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79CD9">
      <w:pPr>
        <w:pStyle w:val="21"/>
        <w:shd w:val="clear"/>
        <w:ind w:firstLine="0" w:firstLineChars="0"/>
        <w:rPr>
          <w:rFonts w:hint="eastAsia" w:ascii="宋体" w:hAnsi="宋体" w:eastAsia="宋体" w:cs="宋体"/>
          <w:b/>
          <w:color w:val="auto"/>
          <w:sz w:val="52"/>
          <w:szCs w:val="52"/>
          <w:highlight w:val="none"/>
          <w:lang w:val="zh-CN"/>
        </w:rPr>
      </w:pPr>
    </w:p>
    <w:p w14:paraId="0A93001A">
      <w:pPr>
        <w:shd w:val="clear"/>
        <w:spacing w:line="240" w:lineRule="auto"/>
        <w:ind w:firstLine="0" w:firstLineChars="0"/>
        <w:jc w:val="center"/>
        <w:rPr>
          <w:rFonts w:hint="eastAsia" w:ascii="宋体" w:hAnsi="宋体" w:eastAsia="宋体" w:cs="宋体"/>
          <w:b/>
          <w:color w:val="auto"/>
          <w:sz w:val="36"/>
          <w:szCs w:val="36"/>
          <w:highlight w:val="none"/>
          <w:lang w:val="zh-CN"/>
        </w:rPr>
      </w:pPr>
      <w:bookmarkStart w:id="0" w:name="_Toc15022"/>
      <w:bookmarkStart w:id="1" w:name="_Toc29473"/>
      <w:bookmarkStart w:id="2" w:name="_Toc32399"/>
    </w:p>
    <w:p w14:paraId="34DFE2CF">
      <w:pPr>
        <w:shd w:val="clear"/>
        <w:tabs>
          <w:tab w:val="center" w:pos="4932"/>
          <w:tab w:val="left" w:pos="8491"/>
        </w:tabs>
        <w:spacing w:line="240" w:lineRule="auto"/>
        <w:ind w:firstLine="0" w:firstLineChars="0"/>
        <w:jc w:val="center"/>
        <w:outlineLvl w:val="9"/>
        <w:rPr>
          <w:rFonts w:hint="eastAsia" w:ascii="宋体" w:hAnsi="宋体" w:eastAsia="宋体" w:cs="宋体"/>
          <w:b/>
          <w:color w:val="auto"/>
          <w:sz w:val="44"/>
          <w:szCs w:val="44"/>
          <w:highlight w:val="none"/>
          <w:lang w:val="zh-CN"/>
        </w:rPr>
      </w:pPr>
      <w:bookmarkStart w:id="3" w:name="_Toc27751"/>
      <w:bookmarkStart w:id="4" w:name="_Toc5692"/>
      <w:bookmarkStart w:id="5" w:name="_Toc4828"/>
      <w:bookmarkStart w:id="6" w:name="_Toc9211"/>
      <w:bookmarkStart w:id="7" w:name="_Toc22968"/>
      <w:bookmarkStart w:id="8" w:name="_Toc2899"/>
      <w:bookmarkStart w:id="9" w:name="_Toc10558"/>
      <w:bookmarkStart w:id="10" w:name="_Toc15456"/>
      <w:bookmarkStart w:id="11" w:name="_Toc22519"/>
      <w:bookmarkStart w:id="12" w:name="_Toc27429"/>
      <w:r>
        <w:rPr>
          <w:rFonts w:hint="eastAsia" w:ascii="宋体" w:hAnsi="宋体" w:cs="宋体"/>
          <w:b/>
          <w:color w:val="auto"/>
          <w:sz w:val="52"/>
          <w:szCs w:val="52"/>
          <w:highlight w:val="none"/>
          <w:lang w:val="zh-CN"/>
        </w:rPr>
        <w:t>金融大厦直饮水项目</w:t>
      </w:r>
    </w:p>
    <w:p w14:paraId="06FA610E">
      <w:pPr>
        <w:shd w:val="clear"/>
        <w:tabs>
          <w:tab w:val="center" w:pos="4932"/>
          <w:tab w:val="left" w:pos="8491"/>
        </w:tabs>
        <w:spacing w:line="240" w:lineRule="auto"/>
        <w:ind w:firstLine="0" w:firstLineChars="0"/>
        <w:jc w:val="center"/>
        <w:outlineLvl w:val="9"/>
        <w:rPr>
          <w:rFonts w:hint="eastAsia" w:ascii="宋体" w:hAnsi="宋体" w:cs="宋体"/>
          <w:b/>
          <w:color w:val="auto"/>
          <w:sz w:val="36"/>
          <w:szCs w:val="36"/>
          <w:highlight w:val="none"/>
          <w:lang w:val="en-US" w:eastAsia="zh-CN"/>
        </w:rPr>
      </w:pPr>
      <w:bookmarkStart w:id="13" w:name="_Toc13325"/>
      <w:bookmarkStart w:id="14" w:name="_Toc1958"/>
      <w:r>
        <w:rPr>
          <w:rFonts w:hint="eastAsia" w:ascii="宋体" w:hAnsi="宋体" w:cs="宋体"/>
          <w:b/>
          <w:color w:val="auto"/>
          <w:sz w:val="36"/>
          <w:szCs w:val="36"/>
          <w:highlight w:val="none"/>
          <w:lang w:val="zh-CN"/>
        </w:rPr>
        <w:t>项目编号：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cs="宋体"/>
          <w:b/>
          <w:color w:val="auto"/>
          <w:sz w:val="36"/>
          <w:szCs w:val="36"/>
          <w:highlight w:val="none"/>
          <w:lang w:val="zh-CN"/>
        </w:rPr>
        <w:t>LYCG2025XCX-004</w:t>
      </w:r>
    </w:p>
    <w:p w14:paraId="26361848">
      <w:pPr>
        <w:pStyle w:val="21"/>
        <w:shd w:val="clear"/>
        <w:ind w:firstLine="0" w:firstLineChars="0"/>
        <w:rPr>
          <w:rFonts w:hint="eastAsia" w:ascii="宋体" w:hAnsi="宋体" w:eastAsia="宋体" w:cs="宋体"/>
          <w:color w:val="auto"/>
          <w:highlight w:val="none"/>
        </w:rPr>
      </w:pPr>
    </w:p>
    <w:p w14:paraId="504A9BFB">
      <w:pPr>
        <w:pStyle w:val="39"/>
        <w:shd w:val="clear"/>
        <w:ind w:firstLine="0" w:firstLineChars="0"/>
        <w:rPr>
          <w:rFonts w:hint="eastAsia" w:ascii="宋体" w:hAnsi="宋体" w:eastAsia="宋体" w:cs="宋体"/>
          <w:color w:val="auto"/>
          <w:highlight w:val="none"/>
        </w:rPr>
      </w:pPr>
    </w:p>
    <w:p w14:paraId="6AD9AC2B">
      <w:pPr>
        <w:shd w:val="clear"/>
        <w:ind w:left="0" w:leftChars="0" w:firstLine="0" w:firstLineChars="0"/>
        <w:rPr>
          <w:rFonts w:hint="eastAsia" w:ascii="宋体" w:hAnsi="宋体" w:eastAsia="宋体" w:cs="宋体"/>
          <w:color w:val="auto"/>
          <w:highlight w:val="none"/>
        </w:rPr>
      </w:pPr>
    </w:p>
    <w:p w14:paraId="029E3081">
      <w:pPr>
        <w:pStyle w:val="15"/>
        <w:shd w:val="clear"/>
        <w:rPr>
          <w:rFonts w:hint="eastAsia"/>
          <w:color w:val="auto"/>
          <w:highlight w:val="none"/>
        </w:rPr>
      </w:pPr>
    </w:p>
    <w:p w14:paraId="1230424A">
      <w:pPr>
        <w:pStyle w:val="3"/>
        <w:numPr>
          <w:ilvl w:val="0"/>
          <w:numId w:val="0"/>
        </w:numPr>
        <w:shd w:val="clear"/>
        <w:spacing w:before="312" w:after="312"/>
        <w:rPr>
          <w:rFonts w:hint="eastAsia" w:ascii="宋体" w:hAnsi="宋体" w:eastAsia="宋体" w:cs="宋体"/>
          <w:color w:val="auto"/>
          <w:sz w:val="84"/>
          <w:szCs w:val="84"/>
          <w:highlight w:val="none"/>
        </w:rPr>
      </w:pPr>
      <w:bookmarkStart w:id="15" w:name="_Toc3599"/>
      <w:bookmarkStart w:id="16" w:name="_Toc32532"/>
      <w:bookmarkStart w:id="17" w:name="_Toc22509"/>
      <w:bookmarkStart w:id="18" w:name="_Toc3353"/>
      <w:bookmarkStart w:id="19" w:name="_Toc13806"/>
      <w:bookmarkStart w:id="20" w:name="_Toc316"/>
      <w:bookmarkStart w:id="21" w:name="_Toc16998"/>
      <w:bookmarkStart w:id="22" w:name="_Toc1315"/>
      <w:bookmarkStart w:id="23" w:name="_Toc30029"/>
      <w:bookmarkStart w:id="24" w:name="_Toc18284"/>
      <w:bookmarkStart w:id="25" w:name="_Toc3816"/>
      <w:bookmarkStart w:id="26" w:name="_Toc25432"/>
      <w:bookmarkStart w:id="27" w:name="_Toc20415"/>
      <w:bookmarkStart w:id="28" w:name="_Toc29899"/>
      <w:bookmarkStart w:id="29" w:name="_Toc24377"/>
      <w:bookmarkStart w:id="30" w:name="_Toc18946"/>
      <w:bookmarkStart w:id="31" w:name="_Toc19234"/>
      <w:bookmarkStart w:id="32" w:name="_Toc2996"/>
      <w:bookmarkStart w:id="33" w:name="_Toc3604"/>
      <w:bookmarkStart w:id="34" w:name="_Toc9907"/>
      <w:bookmarkStart w:id="35" w:name="_Toc7862"/>
      <w:bookmarkStart w:id="36" w:name="_Toc3452"/>
      <w:bookmarkStart w:id="37" w:name="_Toc21191"/>
      <w:bookmarkStart w:id="38" w:name="_Toc29628"/>
      <w:bookmarkStart w:id="39" w:name="_Toc22836"/>
      <w:bookmarkStart w:id="40" w:name="_Toc31437"/>
      <w:bookmarkStart w:id="41" w:name="_Toc26637"/>
      <w:bookmarkStart w:id="42" w:name="_Toc29345"/>
      <w:bookmarkStart w:id="43" w:name="_Toc14416"/>
      <w:r>
        <w:rPr>
          <w:rFonts w:hint="eastAsia" w:ascii="宋体" w:hAnsi="宋体" w:eastAsia="宋体" w:cs="宋体"/>
          <w:color w:val="auto"/>
          <w:sz w:val="84"/>
          <w:szCs w:val="84"/>
          <w:highlight w:val="none"/>
        </w:rPr>
        <w:t>公开招标文件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199B71E">
      <w:pPr>
        <w:pStyle w:val="3"/>
        <w:numPr>
          <w:ilvl w:val="0"/>
          <w:numId w:val="0"/>
        </w:numPr>
        <w:shd w:val="clear"/>
        <w:bidi w:val="0"/>
        <w:ind w:left="432" w:leftChars="0"/>
        <w:jc w:val="center"/>
        <w:rPr>
          <w:rFonts w:hint="eastAsia" w:ascii="宋体" w:hAnsi="宋体" w:eastAsia="宋体" w:cs="宋体"/>
          <w:color w:val="auto"/>
          <w:sz w:val="52"/>
          <w:szCs w:val="52"/>
          <w:highlight w:val="none"/>
          <w:lang w:val="en-US" w:eastAsia="zh-CN"/>
        </w:rPr>
      </w:pPr>
      <w:bookmarkStart w:id="44" w:name="_Toc19230"/>
      <w:bookmarkStart w:id="45" w:name="_Toc19864"/>
      <w:bookmarkStart w:id="46" w:name="_Toc12814"/>
      <w:r>
        <w:rPr>
          <w:rFonts w:hint="eastAsia" w:ascii="宋体" w:hAnsi="宋体" w:eastAsia="宋体" w:cs="宋体"/>
          <w:color w:val="auto"/>
          <w:sz w:val="52"/>
          <w:szCs w:val="52"/>
          <w:highlight w:val="none"/>
          <w:lang w:val="en-US" w:eastAsia="zh-CN"/>
        </w:rPr>
        <w:t>(电子交易）</w:t>
      </w:r>
      <w:bookmarkEnd w:id="44"/>
      <w:bookmarkEnd w:id="45"/>
      <w:bookmarkEnd w:id="46"/>
    </w:p>
    <w:p w14:paraId="56BA5778">
      <w:pPr>
        <w:pStyle w:val="38"/>
        <w:shd w:val="clear"/>
        <w:ind w:left="0" w:leftChars="0" w:firstLine="0" w:firstLineChars="0"/>
        <w:jc w:val="both"/>
        <w:outlineLvl w:val="9"/>
        <w:rPr>
          <w:rFonts w:hint="eastAsia" w:ascii="宋体" w:hAnsi="宋体" w:eastAsia="宋体" w:cs="宋体"/>
          <w:color w:val="auto"/>
          <w:highlight w:val="none"/>
        </w:rPr>
      </w:pPr>
    </w:p>
    <w:p w14:paraId="1E031B76">
      <w:pPr>
        <w:pStyle w:val="61"/>
        <w:shd w:val="clear"/>
        <w:ind w:left="0" w:leftChars="0" w:firstLine="0" w:firstLineChars="0"/>
        <w:rPr>
          <w:rFonts w:hint="eastAsia" w:ascii="宋体" w:hAnsi="宋体" w:eastAsia="宋体" w:cs="宋体"/>
          <w:color w:val="auto"/>
          <w:highlight w:val="none"/>
          <w:lang w:val="zh-CN"/>
        </w:rPr>
      </w:pPr>
    </w:p>
    <w:p w14:paraId="258C1F4B">
      <w:pPr>
        <w:pStyle w:val="62"/>
        <w:shd w:val="clear"/>
        <w:rPr>
          <w:rFonts w:hint="eastAsia" w:ascii="宋体" w:hAnsi="宋体" w:eastAsia="宋体" w:cs="宋体"/>
          <w:color w:val="auto"/>
          <w:highlight w:val="none"/>
          <w:lang w:val="zh-CN"/>
        </w:rPr>
      </w:pPr>
    </w:p>
    <w:p w14:paraId="478B36C7">
      <w:pPr>
        <w:shd w:val="clear"/>
        <w:adjustRightInd w:val="0"/>
        <w:snapToGrid w:val="0"/>
        <w:spacing w:line="800" w:lineRule="exact"/>
        <w:ind w:left="0" w:leftChars="0" w:firstLine="0" w:firstLineChars="0"/>
        <w:outlineLvl w:val="9"/>
        <w:rPr>
          <w:rFonts w:hint="eastAsia" w:ascii="宋体" w:hAnsi="宋体" w:eastAsia="宋体" w:cs="宋体"/>
          <w:b/>
          <w:bCs/>
          <w:color w:val="auto"/>
          <w:sz w:val="32"/>
          <w:szCs w:val="32"/>
          <w:highlight w:val="none"/>
          <w:lang w:val="zh-CN"/>
        </w:rPr>
      </w:pPr>
      <w:bookmarkStart w:id="47" w:name="_Toc10292"/>
      <w:bookmarkStart w:id="48" w:name="_Toc17773"/>
      <w:bookmarkStart w:id="49" w:name="_Toc10073"/>
      <w:bookmarkStart w:id="50" w:name="_Toc21088"/>
      <w:bookmarkStart w:id="51" w:name="_Toc5870"/>
      <w:bookmarkStart w:id="52" w:name="_Toc17343"/>
      <w:bookmarkStart w:id="53" w:name="_Toc17119"/>
      <w:bookmarkStart w:id="54" w:name="_Toc6812"/>
      <w:bookmarkStart w:id="55" w:name="_Toc25590"/>
      <w:bookmarkStart w:id="56" w:name="_Toc21898"/>
      <w:bookmarkStart w:id="57" w:name="_Toc25950"/>
      <w:bookmarkStart w:id="58" w:name="_Toc19150"/>
      <w:bookmarkStart w:id="59" w:name="_Toc5623"/>
      <w:bookmarkStart w:id="60" w:name="_Toc11886"/>
      <w:bookmarkStart w:id="61" w:name="_Toc13995"/>
    </w:p>
    <w:p w14:paraId="5203F61F">
      <w:pPr>
        <w:shd w:val="clear"/>
        <w:adjustRightInd w:val="0"/>
        <w:snapToGrid w:val="0"/>
        <w:spacing w:line="800" w:lineRule="exact"/>
        <w:ind w:left="0" w:leftChars="0" w:firstLine="0" w:firstLineChars="0"/>
        <w:outlineLvl w:val="9"/>
        <w:rPr>
          <w:rFonts w:hint="eastAsia" w:ascii="宋体" w:hAnsi="宋体" w:eastAsia="宋体" w:cs="宋体"/>
          <w:b/>
          <w:bCs/>
          <w:color w:val="auto"/>
          <w:sz w:val="32"/>
          <w:szCs w:val="32"/>
          <w:highlight w:val="none"/>
          <w:lang w:val="zh-CN"/>
        </w:rPr>
      </w:pPr>
    </w:p>
    <w:p w14:paraId="7CB8D325">
      <w:pPr>
        <w:shd w:val="clear"/>
        <w:adjustRightInd w:val="0"/>
        <w:snapToGrid w:val="0"/>
        <w:spacing w:line="800" w:lineRule="exact"/>
        <w:ind w:firstLine="1084" w:firstLineChars="300"/>
        <w:outlineLvl w:val="0"/>
        <w:rPr>
          <w:rFonts w:hint="eastAsia" w:ascii="宋体" w:hAnsi="宋体" w:eastAsia="宋体" w:cs="宋体"/>
          <w:b/>
          <w:bCs/>
          <w:color w:val="auto"/>
          <w:sz w:val="36"/>
          <w:szCs w:val="36"/>
          <w:highlight w:val="none"/>
          <w:lang w:val="zh-CN"/>
        </w:rPr>
      </w:pPr>
      <w:bookmarkStart w:id="62" w:name="_Toc4639"/>
      <w:bookmarkStart w:id="63" w:name="_Toc18782"/>
      <w:bookmarkStart w:id="64" w:name="_Toc1642"/>
      <w:r>
        <w:rPr>
          <w:rFonts w:hint="eastAsia" w:ascii="宋体" w:hAnsi="宋体" w:eastAsia="宋体" w:cs="宋体"/>
          <w:b/>
          <w:bCs/>
          <w:color w:val="auto"/>
          <w:sz w:val="36"/>
          <w:szCs w:val="36"/>
          <w:highlight w:val="none"/>
          <w:lang w:val="zh-CN"/>
        </w:rPr>
        <w:t>采</w:t>
      </w:r>
      <w:r>
        <w:rPr>
          <w:rFonts w:hint="eastAsia" w:ascii="宋体" w:hAnsi="宋体" w:eastAsia="宋体" w:cs="宋体"/>
          <w:b/>
          <w:bCs/>
          <w:color w:val="auto"/>
          <w:sz w:val="36"/>
          <w:szCs w:val="36"/>
          <w:highlight w:val="none"/>
        </w:rPr>
        <w:t xml:space="preserve">  </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购</w:t>
      </w:r>
      <w:r>
        <w:rPr>
          <w:rFonts w:hint="eastAsia" w:ascii="宋体" w:hAnsi="宋体" w:eastAsia="宋体" w:cs="宋体"/>
          <w:b/>
          <w:bCs/>
          <w:color w:val="auto"/>
          <w:sz w:val="36"/>
          <w:szCs w:val="36"/>
          <w:highlight w:val="none"/>
        </w:rPr>
        <w:t xml:space="preserve"> </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人：</w:t>
      </w:r>
      <w:r>
        <w:rPr>
          <w:rFonts w:hint="eastAsia" w:ascii="宋体" w:hAnsi="宋体" w:cs="宋体"/>
          <w:b/>
          <w:bCs/>
          <w:color w:val="auto"/>
          <w:sz w:val="36"/>
          <w:szCs w:val="36"/>
          <w:highlight w:val="none"/>
          <w:lang w:val="zh-CN"/>
        </w:rPr>
        <w:t>龙游华水水业发展有限公司</w:t>
      </w:r>
      <w:r>
        <w:rPr>
          <w:rFonts w:hint="eastAsia" w:ascii="宋体" w:hAnsi="宋体" w:eastAsia="宋体" w:cs="宋体"/>
          <w:b/>
          <w:bCs/>
          <w:color w:val="auto"/>
          <w:sz w:val="36"/>
          <w:szCs w:val="36"/>
          <w:highlight w:val="none"/>
          <w:lang w:val="zh-CN"/>
        </w:rPr>
        <w:t>（</w:t>
      </w:r>
      <w:r>
        <w:rPr>
          <w:rFonts w:hint="eastAsia" w:ascii="宋体" w:hAnsi="宋体" w:eastAsia="宋体" w:cs="宋体"/>
          <w:b/>
          <w:bCs/>
          <w:color w:val="auto"/>
          <w:sz w:val="36"/>
          <w:szCs w:val="36"/>
          <w:highlight w:val="none"/>
        </w:rPr>
        <w:t>盖章</w:t>
      </w:r>
      <w:r>
        <w:rPr>
          <w:rFonts w:hint="eastAsia" w:ascii="宋体" w:hAnsi="宋体" w:eastAsia="宋体" w:cs="宋体"/>
          <w:b/>
          <w:bCs/>
          <w:color w:val="auto"/>
          <w:sz w:val="36"/>
          <w:szCs w:val="36"/>
          <w:highlight w:val="none"/>
          <w:lang w:val="zh-CN"/>
        </w:rPr>
        <w:t>）</w:t>
      </w:r>
      <w:bookmarkEnd w:id="47"/>
      <w:bookmarkEnd w:id="48"/>
      <w:bookmarkEnd w:id="49"/>
      <w:bookmarkEnd w:id="50"/>
      <w:bookmarkEnd w:id="51"/>
      <w:bookmarkEnd w:id="52"/>
      <w:bookmarkEnd w:id="53"/>
      <w:bookmarkEnd w:id="54"/>
      <w:bookmarkEnd w:id="55"/>
      <w:bookmarkEnd w:id="56"/>
      <w:bookmarkEnd w:id="57"/>
      <w:bookmarkEnd w:id="58"/>
      <w:bookmarkEnd w:id="59"/>
      <w:bookmarkEnd w:id="62"/>
      <w:bookmarkEnd w:id="63"/>
      <w:bookmarkEnd w:id="64"/>
    </w:p>
    <w:p w14:paraId="5C84588B">
      <w:pPr>
        <w:shd w:val="clear"/>
        <w:adjustRightInd w:val="0"/>
        <w:snapToGrid w:val="0"/>
        <w:spacing w:line="800" w:lineRule="exact"/>
        <w:ind w:firstLine="1084" w:firstLineChars="300"/>
        <w:outlineLvl w:val="0"/>
        <w:rPr>
          <w:rFonts w:hint="eastAsia" w:ascii="宋体" w:hAnsi="宋体" w:eastAsia="宋体" w:cs="宋体"/>
          <w:b/>
          <w:bCs/>
          <w:color w:val="auto"/>
          <w:sz w:val="36"/>
          <w:szCs w:val="36"/>
          <w:highlight w:val="none"/>
          <w:lang w:val="zh-CN"/>
        </w:rPr>
      </w:pPr>
      <w:bookmarkStart w:id="65" w:name="_Toc8207"/>
      <w:bookmarkStart w:id="66" w:name="_Toc23740"/>
      <w:bookmarkStart w:id="67" w:name="_Toc22952"/>
      <w:bookmarkStart w:id="68" w:name="_Toc6155"/>
      <w:bookmarkStart w:id="69" w:name="_Toc11940"/>
      <w:bookmarkStart w:id="70" w:name="_Toc10821"/>
      <w:bookmarkStart w:id="71" w:name="_Toc28723"/>
      <w:bookmarkStart w:id="72" w:name="_Toc26242"/>
      <w:bookmarkStart w:id="73" w:name="_Toc1371"/>
      <w:bookmarkStart w:id="74" w:name="_Toc17588"/>
      <w:bookmarkStart w:id="75" w:name="_Toc13318"/>
      <w:bookmarkStart w:id="76" w:name="_Toc17743"/>
      <w:bookmarkStart w:id="77" w:name="_Toc10453"/>
      <w:bookmarkStart w:id="78" w:name="_Toc21860"/>
      <w:bookmarkStart w:id="79" w:name="_Toc611"/>
      <w:bookmarkStart w:id="80" w:name="_Toc11450"/>
      <w:bookmarkStart w:id="81" w:name="_Toc13576"/>
      <w:bookmarkStart w:id="82" w:name="_Toc5468"/>
      <w:bookmarkStart w:id="83" w:name="_Toc11169"/>
      <w:r>
        <w:rPr>
          <w:rFonts w:hint="eastAsia" w:ascii="宋体" w:hAnsi="宋体" w:eastAsia="宋体" w:cs="宋体"/>
          <w:b/>
          <w:bCs/>
          <w:color w:val="auto"/>
          <w:sz w:val="36"/>
          <w:szCs w:val="36"/>
          <w:highlight w:val="none"/>
        </w:rPr>
        <w:t>采购</w:t>
      </w:r>
      <w:r>
        <w:rPr>
          <w:rFonts w:hint="eastAsia" w:ascii="宋体" w:hAnsi="宋体" w:eastAsia="宋体" w:cs="宋体"/>
          <w:b/>
          <w:bCs/>
          <w:color w:val="auto"/>
          <w:sz w:val="36"/>
          <w:szCs w:val="36"/>
          <w:highlight w:val="none"/>
          <w:lang w:val="zh-CN"/>
        </w:rPr>
        <w:t>代理机构：</w:t>
      </w:r>
      <w:bookmarkEnd w:id="65"/>
      <w:bookmarkEnd w:id="66"/>
      <w:bookmarkEnd w:id="67"/>
      <w:r>
        <w:rPr>
          <w:rFonts w:hint="eastAsia" w:ascii="宋体" w:hAnsi="宋体" w:cs="宋体"/>
          <w:b/>
          <w:bCs/>
          <w:color w:val="auto"/>
          <w:sz w:val="36"/>
          <w:szCs w:val="36"/>
          <w:highlight w:val="none"/>
          <w:lang w:val="zh-CN"/>
        </w:rPr>
        <w:t>浙江新诚信工程咨询有限公司</w:t>
      </w:r>
      <w:r>
        <w:rPr>
          <w:rFonts w:hint="eastAsia" w:ascii="宋体" w:hAnsi="宋体" w:eastAsia="宋体" w:cs="宋体"/>
          <w:b/>
          <w:bCs/>
          <w:color w:val="auto"/>
          <w:sz w:val="36"/>
          <w:szCs w:val="36"/>
          <w:highlight w:val="none"/>
          <w:lang w:val="zh-CN"/>
        </w:rPr>
        <w:t>（</w:t>
      </w:r>
      <w:r>
        <w:rPr>
          <w:rFonts w:hint="eastAsia" w:ascii="宋体" w:hAnsi="宋体" w:eastAsia="宋体" w:cs="宋体"/>
          <w:b/>
          <w:bCs/>
          <w:color w:val="auto"/>
          <w:sz w:val="36"/>
          <w:szCs w:val="36"/>
          <w:highlight w:val="none"/>
        </w:rPr>
        <w:t>盖章</w:t>
      </w:r>
      <w:r>
        <w:rPr>
          <w:rFonts w:hint="eastAsia" w:ascii="宋体" w:hAnsi="宋体" w:eastAsia="宋体" w:cs="宋体"/>
          <w:b/>
          <w:bCs/>
          <w:color w:val="auto"/>
          <w:sz w:val="36"/>
          <w:szCs w:val="36"/>
          <w:highlight w:val="none"/>
          <w:lang w:val="zh-CN"/>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5AEB834">
      <w:pPr>
        <w:pStyle w:val="40"/>
        <w:shd w:val="clear"/>
        <w:ind w:left="0" w:leftChars="0" w:firstLine="0" w:firstLineChars="0"/>
        <w:jc w:val="left"/>
        <w:rPr>
          <w:rFonts w:hint="eastAsia" w:ascii="宋体" w:hAnsi="宋体" w:eastAsia="宋体" w:cs="宋体"/>
          <w:b/>
          <w:bCs/>
          <w:color w:val="auto"/>
          <w:sz w:val="36"/>
          <w:szCs w:val="36"/>
          <w:highlight w:val="none"/>
          <w:lang w:val="zh-CN"/>
        </w:rPr>
      </w:pPr>
    </w:p>
    <w:p w14:paraId="26B3D752">
      <w:pPr>
        <w:pStyle w:val="40"/>
        <w:shd w:val="clear"/>
        <w:ind w:left="0" w:leftChars="0" w:firstLine="0" w:firstLineChars="0"/>
        <w:jc w:val="center"/>
        <w:rPr>
          <w:rFonts w:hint="eastAsia" w:ascii="宋体" w:hAnsi="宋体" w:eastAsia="宋体" w:cs="宋体"/>
          <w:b/>
          <w:bCs/>
          <w:color w:val="auto"/>
          <w:kern w:val="2"/>
          <w:sz w:val="36"/>
          <w:szCs w:val="36"/>
          <w:highlight w:val="none"/>
          <w:lang w:val="zh-CN"/>
        </w:rPr>
      </w:pPr>
      <w:r>
        <w:rPr>
          <w:rFonts w:hint="eastAsia" w:ascii="宋体" w:hAnsi="宋体" w:eastAsia="宋体" w:cs="宋体"/>
          <w:b/>
          <w:bCs/>
          <w:color w:val="auto"/>
          <w:kern w:val="2"/>
          <w:sz w:val="36"/>
          <w:szCs w:val="36"/>
          <w:highlight w:val="none"/>
          <w:lang w:val="zh-CN"/>
        </w:rPr>
        <w:t>二〇二</w:t>
      </w:r>
      <w:r>
        <w:rPr>
          <w:rFonts w:hint="eastAsia" w:hAnsi="宋体" w:cs="宋体"/>
          <w:b/>
          <w:bCs/>
          <w:color w:val="auto"/>
          <w:kern w:val="2"/>
          <w:sz w:val="36"/>
          <w:szCs w:val="36"/>
          <w:highlight w:val="none"/>
          <w:lang w:val="en-US" w:eastAsia="zh-CN"/>
        </w:rPr>
        <w:t>五</w:t>
      </w:r>
      <w:r>
        <w:rPr>
          <w:rFonts w:hint="eastAsia" w:ascii="宋体" w:hAnsi="宋体" w:eastAsia="宋体" w:cs="宋体"/>
          <w:b/>
          <w:bCs/>
          <w:color w:val="auto"/>
          <w:kern w:val="2"/>
          <w:sz w:val="36"/>
          <w:szCs w:val="36"/>
          <w:highlight w:val="none"/>
          <w:lang w:val="zh-CN"/>
        </w:rPr>
        <w:t>年</w:t>
      </w:r>
      <w:r>
        <w:rPr>
          <w:rFonts w:hint="eastAsia" w:hAnsi="宋体" w:cs="宋体"/>
          <w:b/>
          <w:bCs/>
          <w:color w:val="auto"/>
          <w:kern w:val="2"/>
          <w:sz w:val="36"/>
          <w:szCs w:val="36"/>
          <w:highlight w:val="none"/>
          <w:lang w:val="en-US" w:eastAsia="zh-CN"/>
        </w:rPr>
        <w:t>二</w:t>
      </w:r>
      <w:r>
        <w:rPr>
          <w:rFonts w:hint="eastAsia" w:ascii="宋体" w:hAnsi="宋体" w:eastAsia="宋体" w:cs="宋体"/>
          <w:b/>
          <w:bCs/>
          <w:color w:val="auto"/>
          <w:kern w:val="2"/>
          <w:sz w:val="36"/>
          <w:szCs w:val="36"/>
          <w:highlight w:val="none"/>
          <w:lang w:val="zh-CN"/>
        </w:rPr>
        <w:t>月</w:t>
      </w:r>
    </w:p>
    <w:bookmarkEnd w:id="60"/>
    <w:bookmarkEnd w:id="61"/>
    <w:p w14:paraId="230A328C">
      <w:pPr>
        <w:shd w:val="clear"/>
        <w:ind w:firstLine="0" w:firstLineChars="0"/>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目  录</w:t>
      </w:r>
    </w:p>
    <w:sdt>
      <w:sdtPr>
        <w:rPr>
          <w:rFonts w:ascii="宋体" w:hAnsi="宋体" w:eastAsia="宋体" w:cstheme="minorBidi"/>
          <w:color w:val="auto"/>
          <w:kern w:val="2"/>
          <w:sz w:val="21"/>
          <w:szCs w:val="24"/>
          <w:highlight w:val="none"/>
          <w:lang w:val="en-US" w:eastAsia="zh-CN" w:bidi="ar-SA"/>
        </w:rPr>
        <w:id w:val="147454431"/>
        <w15:color w:val="DBDBDB"/>
        <w:docPartObj>
          <w:docPartGallery w:val="Table of Contents"/>
          <w:docPartUnique/>
        </w:docPartObj>
      </w:sdtPr>
      <w:sdtEndPr>
        <w:rPr>
          <w:rFonts w:hint="eastAsia" w:ascii="Times New Roman" w:hAnsi="Times New Roman" w:eastAsia="宋体" w:cstheme="minorBidi"/>
          <w:b/>
          <w:color w:val="auto"/>
          <w:kern w:val="2"/>
          <w:sz w:val="24"/>
          <w:szCs w:val="24"/>
          <w:highlight w:val="none"/>
          <w:lang w:val="en-US" w:eastAsia="zh-CN" w:bidi="ar-SA"/>
        </w:rPr>
      </w:sdtEndPr>
      <w:sdtContent>
        <w:p w14:paraId="2A02011F">
          <w:pPr>
            <w:shd w:val="clear"/>
            <w:spacing w:before="0" w:beforeLines="0" w:after="0" w:afterLines="0" w:line="240" w:lineRule="auto"/>
            <w:ind w:left="0" w:leftChars="0" w:right="0" w:rightChars="0" w:firstLine="0" w:firstLineChars="0"/>
            <w:jc w:val="center"/>
            <w:rPr>
              <w:color w:val="auto"/>
              <w:highlight w:val="none"/>
            </w:rPr>
          </w:pPr>
        </w:p>
        <w:p w14:paraId="65022BA1">
          <w:pPr>
            <w:pStyle w:val="94"/>
            <w:shd w:val="clear"/>
            <w:tabs>
              <w:tab w:val="right" w:leader="dot" w:pos="9746"/>
            </w:tabs>
            <w:rPr>
              <w:b/>
              <w:color w:val="auto"/>
              <w:highlight w:val="none"/>
            </w:rPr>
          </w:pPr>
          <w:r>
            <w:rPr>
              <w:rFonts w:hint="eastAsia" w:ascii="Times New Roman" w:hAnsi="Times New Roman" w:eastAsia="宋体" w:cstheme="minorBidi"/>
              <w:b/>
              <w:color w:val="auto"/>
              <w:kern w:val="2"/>
              <w:sz w:val="24"/>
              <w:szCs w:val="24"/>
              <w:highlight w:val="none"/>
              <w:lang w:val="en-US" w:eastAsia="zh-CN" w:bidi="ar-SA"/>
            </w:rPr>
            <w:fldChar w:fldCharType="begin"/>
          </w:r>
          <w:r>
            <w:rPr>
              <w:rFonts w:hint="eastAsia" w:ascii="Times New Roman" w:hAnsi="Times New Roman" w:eastAsia="宋体" w:cstheme="minorBidi"/>
              <w:b/>
              <w:color w:val="auto"/>
              <w:kern w:val="2"/>
              <w:sz w:val="24"/>
              <w:szCs w:val="24"/>
              <w:highlight w:val="none"/>
              <w:lang w:val="en-US" w:eastAsia="zh-CN" w:bidi="ar-SA"/>
            </w:rPr>
            <w:instrText xml:space="preserve">TOC \o "1-2" \h \u </w:instrText>
          </w:r>
          <w:r>
            <w:rPr>
              <w:rFonts w:hint="eastAsia" w:ascii="Times New Roman" w:hAnsi="Times New Roman" w:eastAsia="宋体" w:cstheme="minorBidi"/>
              <w:b/>
              <w:color w:val="auto"/>
              <w:kern w:val="2"/>
              <w:sz w:val="24"/>
              <w:szCs w:val="24"/>
              <w:highlight w:val="none"/>
              <w:lang w:val="en-US" w:eastAsia="zh-CN" w:bidi="ar-SA"/>
            </w:rPr>
            <w:fldChar w:fldCharType="separate"/>
          </w:r>
        </w:p>
        <w:p w14:paraId="73BABE32">
          <w:pPr>
            <w:pStyle w:val="94"/>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_Toc12162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bCs/>
              <w:color w:val="auto"/>
              <w:sz w:val="22"/>
              <w:szCs w:val="22"/>
              <w:highlight w:val="none"/>
            </w:rPr>
            <w:t>第一章 招标公告</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_Toc12162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72BF2D47">
          <w:pPr>
            <w:pStyle w:val="94"/>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_Toc3195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rPr>
            <w:t>第二章 供应商须知</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_Toc3195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7</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4827C59B">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_Toc23252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一、供应商须知前附表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_Toc23252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7FA67EB4">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_Toc17814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二、总 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_Toc17814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17400E9D">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_Toc351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三、招标文件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71002BA0">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_Toc11971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四、投标文件的编制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_Toc11971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6A72A6AF">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_Toc17806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五、投标文件的递交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_Toc17806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78AE39DD">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_Toc8383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六、投标无效的情形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_Toc8383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336A5799">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_Toc31521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val="en-US" w:eastAsia="zh-CN" w:bidi="ar"/>
            </w:rPr>
            <w:t>七</w:t>
          </w:r>
          <w:r>
            <w:rPr>
              <w:rFonts w:hint="eastAsia" w:ascii="宋体" w:hAnsi="宋体" w:eastAsia="宋体" w:cs="宋体"/>
              <w:bCs w:val="0"/>
              <w:color w:val="auto"/>
              <w:sz w:val="22"/>
              <w:szCs w:val="22"/>
              <w:highlight w:val="none"/>
              <w:lang w:bidi="ar"/>
            </w:rPr>
            <w:t>、废标的情形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_Toc31521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00B44684">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_Toc2054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val="en-US" w:eastAsia="zh-CN" w:bidi="ar"/>
            </w:rPr>
            <w:t>八</w:t>
          </w:r>
          <w:r>
            <w:rPr>
              <w:rFonts w:hint="eastAsia" w:ascii="宋体" w:hAnsi="宋体" w:eastAsia="宋体" w:cs="宋体"/>
              <w:bCs w:val="0"/>
              <w:color w:val="auto"/>
              <w:sz w:val="22"/>
              <w:szCs w:val="22"/>
              <w:highlight w:val="none"/>
              <w:lang w:bidi="ar"/>
            </w:rPr>
            <w:t>、开标、评标和定标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_Toc2054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6700BBCD">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_Toc11626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val="en-US" w:eastAsia="zh-CN" w:bidi="ar"/>
            </w:rPr>
            <w:t>九、</w:t>
          </w:r>
          <w:r>
            <w:rPr>
              <w:rFonts w:hint="eastAsia" w:ascii="宋体" w:hAnsi="宋体" w:eastAsia="宋体" w:cs="宋体"/>
              <w:bCs w:val="0"/>
              <w:color w:val="auto"/>
              <w:sz w:val="22"/>
              <w:szCs w:val="22"/>
              <w:highlight w:val="none"/>
              <w:lang w:bidi="ar"/>
            </w:rPr>
            <w:t>电子投标说明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_Toc11626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10C12BA0">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_Toc14457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十、纪律和监督</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_Toc14457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1DEFE173">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_Toc26084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w:t>
          </w:r>
          <w:r>
            <w:rPr>
              <w:rFonts w:hint="eastAsia" w:ascii="宋体" w:hAnsi="宋体" w:eastAsia="宋体" w:cs="宋体"/>
              <w:bCs w:val="0"/>
              <w:color w:val="auto"/>
              <w:sz w:val="22"/>
              <w:szCs w:val="22"/>
              <w:highlight w:val="none"/>
              <w:lang w:val="en-US" w:eastAsia="zh-CN" w:bidi="ar"/>
            </w:rPr>
            <w:t>一</w:t>
          </w:r>
          <w:r>
            <w:rPr>
              <w:rFonts w:hint="eastAsia" w:ascii="宋体" w:hAnsi="宋体" w:eastAsia="宋体" w:cs="宋体"/>
              <w:bCs w:val="0"/>
              <w:color w:val="auto"/>
              <w:sz w:val="22"/>
              <w:szCs w:val="22"/>
              <w:highlight w:val="none"/>
              <w:lang w:bidi="ar"/>
            </w:rPr>
            <w:t>、质疑和投诉</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_Toc26084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1F2DF859">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_Toc22578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w:t>
          </w:r>
          <w:r>
            <w:rPr>
              <w:rFonts w:hint="eastAsia" w:ascii="宋体" w:hAnsi="宋体" w:eastAsia="宋体" w:cs="宋体"/>
              <w:bCs w:val="0"/>
              <w:color w:val="auto"/>
              <w:sz w:val="22"/>
              <w:szCs w:val="22"/>
              <w:highlight w:val="none"/>
              <w:lang w:val="en-US" w:eastAsia="zh-CN" w:bidi="ar"/>
            </w:rPr>
            <w:t>二</w:t>
          </w:r>
          <w:r>
            <w:rPr>
              <w:rFonts w:hint="eastAsia" w:ascii="宋体" w:hAnsi="宋体" w:eastAsia="宋体" w:cs="宋体"/>
              <w:bCs w:val="0"/>
              <w:color w:val="auto"/>
              <w:sz w:val="22"/>
              <w:szCs w:val="22"/>
              <w:highlight w:val="none"/>
              <w:lang w:bidi="ar"/>
            </w:rPr>
            <w:t>、授予合同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_Toc22578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5BD2EB7E">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_Toc18745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w:t>
          </w:r>
          <w:r>
            <w:rPr>
              <w:rFonts w:hint="eastAsia" w:ascii="宋体" w:hAnsi="宋体" w:eastAsia="宋体" w:cs="宋体"/>
              <w:bCs w:val="0"/>
              <w:color w:val="auto"/>
              <w:sz w:val="22"/>
              <w:szCs w:val="22"/>
              <w:highlight w:val="none"/>
              <w:lang w:val="en-US" w:eastAsia="zh-CN" w:bidi="ar"/>
            </w:rPr>
            <w:t>三</w:t>
          </w:r>
          <w:r>
            <w:rPr>
              <w:rFonts w:hint="eastAsia" w:ascii="宋体" w:hAnsi="宋体" w:eastAsia="宋体" w:cs="宋体"/>
              <w:bCs w:val="0"/>
              <w:color w:val="auto"/>
              <w:sz w:val="22"/>
              <w:szCs w:val="22"/>
              <w:highlight w:val="none"/>
              <w:lang w:bidi="ar"/>
            </w:rPr>
            <w:t>、法律责任</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_Toc18745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6C7A0962">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_Toc18174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rPr>
            <w:t>十</w:t>
          </w:r>
          <w:r>
            <w:rPr>
              <w:rFonts w:hint="eastAsia" w:ascii="宋体" w:hAnsi="宋体" w:eastAsia="宋体" w:cs="宋体"/>
              <w:bCs w:val="0"/>
              <w:color w:val="auto"/>
              <w:sz w:val="22"/>
              <w:szCs w:val="22"/>
              <w:highlight w:val="none"/>
              <w:lang w:val="en-US" w:eastAsia="zh-CN"/>
            </w:rPr>
            <w:t>四</w:t>
          </w:r>
          <w:r>
            <w:rPr>
              <w:rFonts w:hint="eastAsia" w:ascii="宋体" w:hAnsi="宋体" w:eastAsia="宋体" w:cs="宋体"/>
              <w:bCs w:val="0"/>
              <w:color w:val="auto"/>
              <w:sz w:val="22"/>
              <w:szCs w:val="22"/>
              <w:highlight w:val="none"/>
            </w:rPr>
            <w:t>、诚信管理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_Toc18174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373CEFAD">
          <w:pPr>
            <w:pStyle w:val="95"/>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_Toc8468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w:t>
          </w:r>
          <w:r>
            <w:rPr>
              <w:rFonts w:hint="eastAsia" w:ascii="宋体" w:hAnsi="宋体" w:eastAsia="宋体" w:cs="宋体"/>
              <w:bCs w:val="0"/>
              <w:color w:val="auto"/>
              <w:sz w:val="22"/>
              <w:szCs w:val="22"/>
              <w:highlight w:val="none"/>
              <w:lang w:val="en-US" w:eastAsia="zh-CN" w:bidi="ar"/>
            </w:rPr>
            <w:t>五</w:t>
          </w:r>
          <w:r>
            <w:rPr>
              <w:rFonts w:hint="eastAsia" w:ascii="宋体" w:hAnsi="宋体" w:eastAsia="宋体" w:cs="宋体"/>
              <w:bCs w:val="0"/>
              <w:color w:val="auto"/>
              <w:sz w:val="22"/>
              <w:szCs w:val="22"/>
              <w:highlight w:val="none"/>
              <w:lang w:bidi="ar"/>
            </w:rPr>
            <w:t>、其他</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_Toc8468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2133D49B">
          <w:pPr>
            <w:pStyle w:val="94"/>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_Toc1744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lang w:eastAsia="zh-CN"/>
            </w:rPr>
            <w:t xml:space="preserve">第三章 </w:t>
          </w:r>
          <w:r>
            <w:rPr>
              <w:rFonts w:hint="eastAsia" w:ascii="宋体" w:hAnsi="宋体" w:eastAsia="宋体" w:cs="宋体"/>
              <w:b/>
              <w:color w:val="auto"/>
              <w:sz w:val="22"/>
              <w:szCs w:val="22"/>
              <w:highlight w:val="none"/>
            </w:rPr>
            <w:t>采购内容及要求</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_Toc1744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26</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39DDE02A">
          <w:pPr>
            <w:pStyle w:val="94"/>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_Toc9334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rPr>
            <w:t xml:space="preserve">第四章 </w:t>
          </w:r>
          <w:r>
            <w:rPr>
              <w:rFonts w:hint="eastAsia" w:ascii="宋体" w:hAnsi="宋体" w:eastAsia="宋体" w:cs="宋体"/>
              <w:b/>
              <w:color w:val="auto"/>
              <w:sz w:val="22"/>
              <w:szCs w:val="22"/>
              <w:highlight w:val="none"/>
              <w:lang w:val="zh-CN"/>
            </w:rPr>
            <w:t>评标办法及评分标准</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_Toc9334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34</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166EC7F8">
          <w:pPr>
            <w:pStyle w:val="94"/>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_Toc31801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lang w:val="zh-CN"/>
            </w:rPr>
            <w:t>第五章 合同条款及格式</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_Toc31801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40</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66BBBC7B">
          <w:pPr>
            <w:pStyle w:val="94"/>
            <w:keepNext w:val="0"/>
            <w:keepLines w:val="0"/>
            <w:pageBreakBefore w:val="0"/>
            <w:widowControl/>
            <w:shd w:val="clear"/>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_Toc6114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rPr>
            <w:t>第六章 投标文件格式</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_Toc6114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47</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1F51B80B">
          <w:pPr>
            <w:shd w:val="clear"/>
            <w:bidi w:val="0"/>
            <w:ind w:left="0" w:leftChars="0" w:firstLine="0" w:firstLineChars="0"/>
            <w:rPr>
              <w:rFonts w:hint="eastAsia" w:ascii="Times New Roman" w:hAnsi="Times New Roman" w:eastAsia="宋体" w:cstheme="minorBidi"/>
              <w:b/>
              <w:color w:val="auto"/>
              <w:kern w:val="2"/>
              <w:sz w:val="24"/>
              <w:szCs w:val="24"/>
              <w:highlight w:val="none"/>
              <w:lang w:val="en-US" w:eastAsia="zh-CN" w:bidi="ar-SA"/>
            </w:rPr>
          </w:pPr>
          <w:r>
            <w:rPr>
              <w:rFonts w:hint="eastAsia" w:ascii="Times New Roman" w:hAnsi="Times New Roman" w:eastAsia="宋体" w:cstheme="minorBidi"/>
              <w:b/>
              <w:color w:val="auto"/>
              <w:kern w:val="2"/>
              <w:szCs w:val="24"/>
              <w:highlight w:val="none"/>
              <w:lang w:val="en-US" w:eastAsia="zh-CN" w:bidi="ar-SA"/>
            </w:rPr>
            <w:fldChar w:fldCharType="end"/>
          </w:r>
        </w:p>
      </w:sdtContent>
    </w:sdt>
    <w:p w14:paraId="7CA9BF61">
      <w:pPr>
        <w:pStyle w:val="40"/>
        <w:shd w:val="clear"/>
        <w:rPr>
          <w:rFonts w:hint="eastAsia"/>
          <w:color w:val="auto"/>
          <w:highlight w:val="none"/>
          <w:lang w:val="en-US" w:eastAsia="zh-CN"/>
        </w:rPr>
      </w:pPr>
    </w:p>
    <w:p w14:paraId="40AF72F3">
      <w:pPr>
        <w:pStyle w:val="3"/>
        <w:numPr>
          <w:ilvl w:val="0"/>
          <w:numId w:val="0"/>
        </w:numPr>
        <w:shd w:val="clear"/>
        <w:spacing w:beforeLines="0" w:afterLines="0" w:line="480" w:lineRule="exact"/>
        <w:rPr>
          <w:rFonts w:hint="eastAsia" w:ascii="宋体" w:hAnsi="宋体" w:eastAsia="宋体" w:cs="宋体"/>
          <w:bCs/>
          <w:color w:val="auto"/>
          <w:szCs w:val="36"/>
          <w:highlight w:val="none"/>
        </w:rPr>
      </w:pPr>
      <w:bookmarkStart w:id="84" w:name="_Toc16590"/>
      <w:bookmarkStart w:id="85" w:name="_Toc12162"/>
    </w:p>
    <w:p w14:paraId="68A6A2DF">
      <w:pPr>
        <w:pStyle w:val="3"/>
        <w:numPr>
          <w:ilvl w:val="0"/>
          <w:numId w:val="0"/>
        </w:numPr>
        <w:shd w:val="clear"/>
        <w:spacing w:beforeLines="0" w:afterLines="0" w:line="480" w:lineRule="exact"/>
        <w:rPr>
          <w:rFonts w:hint="eastAsia" w:ascii="宋体" w:hAnsi="宋体" w:eastAsia="宋体" w:cs="宋体"/>
          <w:bCs/>
          <w:color w:val="auto"/>
          <w:szCs w:val="36"/>
          <w:highlight w:val="none"/>
        </w:rPr>
      </w:pPr>
    </w:p>
    <w:p w14:paraId="75A97980">
      <w:pPr>
        <w:pStyle w:val="3"/>
        <w:numPr>
          <w:ilvl w:val="0"/>
          <w:numId w:val="0"/>
        </w:numPr>
        <w:shd w:val="clear"/>
        <w:spacing w:beforeLines="0" w:afterLines="0" w:line="480" w:lineRule="exact"/>
        <w:rPr>
          <w:rFonts w:hint="eastAsia" w:ascii="宋体" w:hAnsi="宋体" w:eastAsia="宋体" w:cs="宋体"/>
          <w:bCs/>
          <w:color w:val="auto"/>
          <w:szCs w:val="36"/>
          <w:highlight w:val="none"/>
        </w:rPr>
      </w:pPr>
    </w:p>
    <w:p w14:paraId="72D9AAA8">
      <w:pPr>
        <w:pStyle w:val="3"/>
        <w:numPr>
          <w:ilvl w:val="0"/>
          <w:numId w:val="0"/>
        </w:numPr>
        <w:shd w:val="clear"/>
        <w:spacing w:beforeLines="0" w:afterLines="0" w:line="480" w:lineRule="exact"/>
        <w:rPr>
          <w:rFonts w:hint="eastAsia" w:ascii="宋体" w:hAnsi="宋体" w:eastAsia="宋体" w:cs="宋体"/>
          <w:bCs/>
          <w:color w:val="auto"/>
          <w:szCs w:val="36"/>
          <w:highlight w:val="none"/>
        </w:rPr>
      </w:pPr>
    </w:p>
    <w:p w14:paraId="6BA84E6F">
      <w:pPr>
        <w:pStyle w:val="3"/>
        <w:numPr>
          <w:ilvl w:val="0"/>
          <w:numId w:val="0"/>
        </w:numPr>
        <w:shd w:val="clear"/>
        <w:spacing w:beforeLines="0" w:afterLines="0" w:line="480" w:lineRule="exact"/>
        <w:jc w:val="both"/>
        <w:rPr>
          <w:rFonts w:hint="eastAsia" w:ascii="宋体" w:hAnsi="宋体" w:eastAsia="宋体" w:cs="宋体"/>
          <w:bCs/>
          <w:color w:val="auto"/>
          <w:szCs w:val="36"/>
          <w:highlight w:val="none"/>
        </w:rPr>
      </w:pPr>
    </w:p>
    <w:p w14:paraId="2A383C1D">
      <w:pPr>
        <w:shd w:val="clear"/>
        <w:rPr>
          <w:rFonts w:hint="eastAsia"/>
          <w:color w:val="auto"/>
          <w:highlight w:val="none"/>
        </w:rPr>
      </w:pPr>
    </w:p>
    <w:p w14:paraId="746710C2">
      <w:pPr>
        <w:pStyle w:val="3"/>
        <w:numPr>
          <w:ilvl w:val="0"/>
          <w:numId w:val="0"/>
        </w:numPr>
        <w:shd w:val="clear"/>
        <w:spacing w:beforeLines="0" w:afterLines="0" w:line="480" w:lineRule="exact"/>
        <w:rPr>
          <w:rFonts w:hint="eastAsia" w:ascii="宋体" w:hAnsi="宋体" w:eastAsia="宋体" w:cs="宋体"/>
          <w:color w:val="auto"/>
          <w:highlight w:val="none"/>
        </w:rPr>
      </w:pPr>
      <w:r>
        <w:rPr>
          <w:rFonts w:hint="eastAsia" w:ascii="宋体" w:hAnsi="宋体" w:eastAsia="宋体" w:cs="宋体"/>
          <w:bCs/>
          <w:color w:val="auto"/>
          <w:szCs w:val="36"/>
          <w:highlight w:val="none"/>
        </w:rPr>
        <w:t>第一章 招标公告</w:t>
      </w:r>
      <w:bookmarkEnd w:id="84"/>
      <w:bookmarkEnd w:id="85"/>
    </w:p>
    <w:p w14:paraId="2519B097">
      <w:pPr>
        <w:numPr>
          <w:ilvl w:val="255"/>
          <w:numId w:val="0"/>
        </w:numPr>
        <w:shd w:val="clear"/>
        <w:snapToGrid w:val="0"/>
        <w:spacing w:line="312" w:lineRule="auto"/>
        <w:ind w:firstLine="482" w:firstLineChars="200"/>
        <w:rPr>
          <w:rFonts w:hint="eastAsia" w:ascii="宋体" w:hAnsi="宋体" w:eastAsia="宋体" w:cs="宋体"/>
          <w:b/>
          <w:bCs/>
          <w:color w:val="auto"/>
          <w:highlight w:val="none"/>
        </w:rPr>
      </w:pPr>
      <w:bookmarkStart w:id="86" w:name="_Toc22093"/>
      <w:bookmarkStart w:id="87" w:name="_Toc28535"/>
      <w:bookmarkStart w:id="88" w:name="_Toc6450"/>
      <w:bookmarkStart w:id="89" w:name="_Toc15323"/>
      <w:bookmarkStart w:id="90" w:name="_Toc14390"/>
      <w:bookmarkStart w:id="91" w:name="_Toc23139"/>
      <w:bookmarkStart w:id="92" w:name="_Toc15977"/>
      <w:bookmarkStart w:id="93" w:name="_Toc16052"/>
      <w:bookmarkStart w:id="94" w:name="_Toc30197"/>
      <w:bookmarkStart w:id="95" w:name="_Toc31067"/>
      <w:bookmarkStart w:id="96" w:name="_Toc19851"/>
      <w:bookmarkStart w:id="97" w:name="_Toc14520"/>
      <w:bookmarkStart w:id="98" w:name="_Toc29328"/>
      <w:bookmarkStart w:id="99" w:name="_Toc26629"/>
      <w:bookmarkStart w:id="100" w:name="_Toc26829"/>
      <w:bookmarkStart w:id="101" w:name="_Toc29696"/>
      <w:bookmarkStart w:id="102" w:name="_Toc18103"/>
      <w:bookmarkStart w:id="103" w:name="_Toc6951"/>
      <w:bookmarkStart w:id="104" w:name="_Toc23741"/>
      <w:bookmarkStart w:id="105" w:name="_Toc2153"/>
      <w:bookmarkStart w:id="106" w:name="_Hlk24379207"/>
      <w:bookmarkStart w:id="107" w:name="_Toc12772"/>
      <w:bookmarkStart w:id="108" w:name="_Toc16976"/>
      <w:bookmarkStart w:id="109" w:name="_Toc5108"/>
      <w:bookmarkStart w:id="110" w:name="_Toc3174"/>
      <w:bookmarkStart w:id="111" w:name="_Toc28359079"/>
      <w:bookmarkStart w:id="112" w:name="_Toc30645"/>
      <w:bookmarkStart w:id="113" w:name="_Toc5925"/>
      <w:bookmarkStart w:id="114" w:name="_Toc28359002"/>
      <w:bookmarkStart w:id="115" w:name="_Toc20476"/>
      <w:bookmarkStart w:id="116" w:name="_Toc24657"/>
      <w:bookmarkStart w:id="117" w:name="_Toc16750"/>
      <w:bookmarkStart w:id="118" w:name="_Toc11780"/>
    </w:p>
    <w:p w14:paraId="3E3EEE8F">
      <w:pPr>
        <w:pStyle w:val="50"/>
        <w:keepNext w:val="0"/>
        <w:keepLines w:val="0"/>
        <w:pageBreakBefore w:val="0"/>
        <w:shd w:val="clear"/>
        <w:tabs>
          <w:tab w:val="left" w:pos="397"/>
          <w:tab w:val="left" w:pos="420"/>
        </w:tabs>
        <w:kinsoku/>
        <w:wordWrap/>
        <w:overflowPunct/>
        <w:topLinePunct w:val="0"/>
        <w:autoSpaceDE/>
        <w:autoSpaceDN/>
        <w:bidi w:val="0"/>
        <w:spacing w:line="288" w:lineRule="auto"/>
        <w:ind w:firstLine="480"/>
        <w:textAlignment w:val="auto"/>
        <w:rPr>
          <w:rFonts w:hint="eastAsia" w:ascii="宋体" w:hAnsi="宋体" w:eastAsia="宋体" w:cs="宋体"/>
          <w:color w:val="auto"/>
          <w:highlight w:val="none"/>
          <w:lang w:val="zh-CN"/>
        </w:rPr>
      </w:pPr>
      <w:r>
        <w:rPr>
          <w:rFonts w:hint="eastAsia" w:ascii="宋体" w:hAnsi="宋体" w:cs="宋体"/>
          <w:color w:val="auto"/>
          <w:highlight w:val="none"/>
          <w:lang w:val="zh-CN" w:eastAsia="zh-CN"/>
        </w:rPr>
        <w:t>根据《</w:t>
      </w:r>
      <w:r>
        <w:rPr>
          <w:rFonts w:hint="eastAsia" w:ascii="宋体" w:hAnsi="宋体" w:eastAsia="宋体" w:cs="宋体"/>
          <w:color w:val="auto"/>
          <w:highlight w:val="none"/>
          <w:lang w:val="zh-CN"/>
        </w:rPr>
        <w:t>龙游县国有企业采购管理办法》（龙政办发〔2021〕58号）等有关规定，</w:t>
      </w:r>
      <w:r>
        <w:rPr>
          <w:rFonts w:hint="eastAsia" w:ascii="宋体" w:hAnsi="宋体" w:cs="宋体"/>
          <w:color w:val="auto"/>
          <w:highlight w:val="none"/>
          <w:lang w:val="zh-CN"/>
        </w:rPr>
        <w:t>浙江新诚信工程咨询有限公司</w:t>
      </w:r>
      <w:r>
        <w:rPr>
          <w:rFonts w:hint="eastAsia" w:ascii="宋体" w:hAnsi="宋体" w:eastAsia="宋体" w:cs="宋体"/>
          <w:color w:val="auto"/>
          <w:highlight w:val="none"/>
          <w:lang w:val="zh-CN"/>
        </w:rPr>
        <w:t>受</w:t>
      </w:r>
      <w:r>
        <w:rPr>
          <w:rFonts w:hint="eastAsia" w:ascii="宋体" w:hAnsi="宋体" w:cs="宋体"/>
          <w:color w:val="auto"/>
          <w:highlight w:val="none"/>
          <w:lang w:val="zh-CN"/>
        </w:rPr>
        <w:t>龙游华水水业发展有限公司</w:t>
      </w:r>
      <w:r>
        <w:rPr>
          <w:rFonts w:hint="eastAsia" w:ascii="宋体" w:hAnsi="宋体" w:eastAsia="宋体" w:cs="宋体"/>
          <w:color w:val="auto"/>
          <w:highlight w:val="none"/>
          <w:lang w:val="zh-CN"/>
        </w:rPr>
        <w:t>委托，就</w:t>
      </w:r>
      <w:r>
        <w:rPr>
          <w:rFonts w:hint="eastAsia" w:ascii="宋体" w:hAnsi="宋体" w:cs="宋体"/>
          <w:color w:val="auto"/>
          <w:highlight w:val="none"/>
          <w:lang w:eastAsia="zh-CN"/>
        </w:rPr>
        <w:t>金融大厦直饮水项目</w:t>
      </w:r>
      <w:r>
        <w:rPr>
          <w:rFonts w:hint="eastAsia" w:ascii="宋体" w:hAnsi="宋体" w:eastAsia="宋体" w:cs="宋体"/>
          <w:color w:val="auto"/>
          <w:highlight w:val="none"/>
          <w:lang w:val="zh-CN"/>
        </w:rPr>
        <w:t>进行公开招标，欢迎符合条件的供应商参加本次采购活动。</w:t>
      </w:r>
    </w:p>
    <w:p w14:paraId="0BFA4BEC">
      <w:pPr>
        <w:keepNext w:val="0"/>
        <w:keepLines w:val="0"/>
        <w:pageBreakBefore w:val="0"/>
        <w:widowControl w:val="0"/>
        <w:numPr>
          <w:ilvl w:val="255"/>
          <w:numId w:val="0"/>
        </w:numPr>
        <w:shd w:val="clear"/>
        <w:kinsoku/>
        <w:wordWrap/>
        <w:overflowPunct/>
        <w:topLinePunct w:val="0"/>
        <w:autoSpaceDE/>
        <w:autoSpaceDN/>
        <w:bidi w:val="0"/>
        <w:adjustRightInd/>
        <w:snapToGrid w:val="0"/>
        <w:spacing w:line="288" w:lineRule="auto"/>
        <w:ind w:firstLine="482" w:firstLineChars="200"/>
        <w:textAlignment w:val="auto"/>
        <w:outlineLvl w:val="1"/>
        <w:rPr>
          <w:rFonts w:hint="eastAsia" w:ascii="宋体" w:hAnsi="宋体" w:eastAsia="宋体" w:cs="宋体"/>
          <w:b/>
          <w:bCs/>
          <w:color w:val="auto"/>
          <w:highlight w:val="none"/>
          <w:lang w:val="zh-CN"/>
        </w:rPr>
      </w:pPr>
      <w:bookmarkStart w:id="119" w:name="_Toc23420"/>
      <w:bookmarkStart w:id="120" w:name="_Toc11491"/>
      <w:bookmarkStart w:id="121" w:name="_Toc15834"/>
      <w:bookmarkStart w:id="122" w:name="_Toc18378"/>
      <w:bookmarkStart w:id="123" w:name="_Toc26312"/>
      <w:r>
        <w:rPr>
          <w:rFonts w:hint="eastAsia" w:ascii="宋体" w:hAnsi="宋体" w:eastAsia="宋体" w:cs="宋体"/>
          <w:b/>
          <w:bCs/>
          <w:color w:val="auto"/>
          <w:highlight w:val="none"/>
        </w:rPr>
        <w:t>一、</w:t>
      </w:r>
      <w:r>
        <w:rPr>
          <w:rFonts w:hint="eastAsia" w:ascii="宋体" w:hAnsi="宋体" w:eastAsia="宋体" w:cs="宋体"/>
          <w:b/>
          <w:bCs/>
          <w:color w:val="auto"/>
          <w:highlight w:val="none"/>
          <w:lang w:val="zh-CN"/>
        </w:rPr>
        <w:t>项目基本情况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19"/>
      <w:bookmarkEnd w:id="120"/>
      <w:bookmarkEnd w:id="121"/>
      <w:bookmarkEnd w:id="122"/>
      <w:bookmarkEnd w:id="123"/>
    </w:p>
    <w:p w14:paraId="19E22338">
      <w:pPr>
        <w:pStyle w:val="50"/>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1.项目编号：</w:t>
      </w:r>
      <w:r>
        <w:rPr>
          <w:rFonts w:hint="eastAsia" w:ascii="宋体" w:hAnsi="宋体" w:cs="宋体"/>
          <w:color w:val="auto"/>
          <w:highlight w:val="none"/>
          <w:lang w:eastAsia="zh-CN"/>
        </w:rPr>
        <w:t>LYCG2025XCX-004</w:t>
      </w:r>
    </w:p>
    <w:p w14:paraId="3DE65872">
      <w:pPr>
        <w:pStyle w:val="50"/>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cs="宋体"/>
          <w:color w:val="auto"/>
          <w:highlight w:val="none"/>
          <w:lang w:eastAsia="zh-CN"/>
        </w:rPr>
      </w:pPr>
      <w:r>
        <w:rPr>
          <w:rFonts w:hint="eastAsia" w:ascii="宋体" w:hAnsi="宋体" w:eastAsia="宋体" w:cs="宋体"/>
          <w:color w:val="auto"/>
          <w:highlight w:val="none"/>
        </w:rPr>
        <w:t>2.项目名称：</w:t>
      </w:r>
      <w:r>
        <w:rPr>
          <w:rFonts w:hint="eastAsia" w:ascii="宋体" w:hAnsi="宋体" w:cs="宋体"/>
          <w:color w:val="auto"/>
          <w:highlight w:val="none"/>
          <w:lang w:eastAsia="zh-CN"/>
        </w:rPr>
        <w:t>金融大厦直饮水项目</w:t>
      </w:r>
    </w:p>
    <w:p w14:paraId="4A0B7587">
      <w:pPr>
        <w:pStyle w:val="50"/>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3.采购方式：公开招标</w:t>
      </w:r>
    </w:p>
    <w:p w14:paraId="6D3CDEDE">
      <w:pPr>
        <w:pStyle w:val="50"/>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4.预算金额（元）</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1750000</w:t>
      </w:r>
      <w:r>
        <w:rPr>
          <w:rFonts w:hint="eastAsia" w:ascii="宋体" w:hAnsi="宋体" w:eastAsia="宋体" w:cs="宋体"/>
          <w:color w:val="auto"/>
          <w:highlight w:val="none"/>
          <w:lang w:val="en-US" w:eastAsia="zh-CN"/>
        </w:rPr>
        <w:t>元</w:t>
      </w:r>
    </w:p>
    <w:p w14:paraId="7B7E9C2A">
      <w:pPr>
        <w:pStyle w:val="50"/>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5.最高限价（元）</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1750000</w:t>
      </w:r>
      <w:r>
        <w:rPr>
          <w:rFonts w:hint="eastAsia" w:ascii="宋体" w:hAnsi="宋体" w:eastAsia="宋体" w:cs="宋体"/>
          <w:color w:val="auto"/>
          <w:highlight w:val="none"/>
          <w:lang w:val="en-US" w:eastAsia="zh-CN"/>
        </w:rPr>
        <w:t>元</w:t>
      </w:r>
    </w:p>
    <w:p w14:paraId="15A29855">
      <w:pPr>
        <w:pStyle w:val="50"/>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lang w:val="en-US" w:eastAsia="zh-CN"/>
        </w:rPr>
      </w:pPr>
      <w:bookmarkStart w:id="124" w:name="_Toc19072"/>
      <w:bookmarkStart w:id="125" w:name="_Toc20050"/>
      <w:bookmarkStart w:id="126" w:name="_Toc16650"/>
      <w:bookmarkStart w:id="127" w:name="_Toc25577"/>
      <w:bookmarkStart w:id="128" w:name="_Toc2474"/>
      <w:bookmarkStart w:id="129" w:name="_Toc17737"/>
      <w:bookmarkStart w:id="130" w:name="_Toc25114"/>
      <w:bookmarkStart w:id="131" w:name="_Toc11395"/>
      <w:bookmarkStart w:id="132" w:name="_Toc22029"/>
      <w:bookmarkStart w:id="133" w:name="_Toc11832"/>
      <w:bookmarkStart w:id="134" w:name="_Toc12876"/>
      <w:bookmarkStart w:id="135" w:name="_Toc8407"/>
      <w:bookmarkStart w:id="136" w:name="_Toc14749"/>
      <w:bookmarkStart w:id="137" w:name="_Toc8671"/>
      <w:r>
        <w:rPr>
          <w:rFonts w:hint="eastAsia" w:ascii="宋体" w:hAnsi="宋体" w:eastAsia="宋体" w:cs="宋体"/>
          <w:color w:val="auto"/>
          <w:highlight w:val="none"/>
          <w:lang w:val="en-US" w:eastAsia="zh-CN"/>
        </w:rPr>
        <w:t>6.简要规格描述或项目基本概况介绍、用途：具体详见招标文件“第三章 采购内容及要求”（包括但不限于标的的名称、数量、简要技术需求或服务要求等）。</w:t>
      </w:r>
    </w:p>
    <w:p w14:paraId="238CD415">
      <w:pPr>
        <w:pStyle w:val="50"/>
        <w:numPr>
          <w:ilvl w:val="255"/>
          <w:numId w:val="0"/>
        </w:numPr>
        <w:shd w:val="clear"/>
        <w:tabs>
          <w:tab w:val="left" w:pos="397"/>
          <w:tab w:val="left" w:pos="420"/>
        </w:tabs>
        <w:snapToGrid w:val="0"/>
        <w:spacing w:line="288"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7.合同履行期限：</w:t>
      </w:r>
      <w:bookmarkStart w:id="138" w:name="_Toc3697"/>
      <w:bookmarkStart w:id="139" w:name="_Toc21589"/>
      <w:bookmarkStart w:id="140" w:name="_Toc2852"/>
      <w:bookmarkStart w:id="141" w:name="_Toc6501"/>
      <w:bookmarkStart w:id="142" w:name="_Toc1861"/>
      <w:r>
        <w:rPr>
          <w:rFonts w:hint="eastAsia" w:ascii="宋体" w:hAnsi="宋体" w:cs="宋体"/>
          <w:color w:val="auto"/>
          <w:kern w:val="2"/>
          <w:sz w:val="24"/>
          <w:szCs w:val="24"/>
          <w:highlight w:val="none"/>
          <w:lang w:val="en-US" w:eastAsia="zh-CN" w:bidi="ar-SA"/>
        </w:rPr>
        <w:t>接采购人通知后且具备安装条件后</w:t>
      </w:r>
      <w:r>
        <w:rPr>
          <w:rFonts w:hint="eastAsia" w:ascii="宋体" w:hAnsi="宋体" w:cs="宋体"/>
          <w:color w:val="auto"/>
          <w:kern w:val="2"/>
          <w:sz w:val="24"/>
          <w:szCs w:val="24"/>
          <w:highlight w:val="none"/>
          <w:lang w:val="en-US" w:eastAsia="zh-CN" w:bidi="ar-SA"/>
        </w:rPr>
        <w:t>60日历天</w:t>
      </w:r>
      <w:r>
        <w:rPr>
          <w:rFonts w:hint="eastAsia" w:ascii="宋体" w:hAnsi="宋体" w:cs="宋体"/>
          <w:color w:val="auto"/>
          <w:kern w:val="2"/>
          <w:sz w:val="24"/>
          <w:szCs w:val="24"/>
          <w:highlight w:val="none"/>
          <w:lang w:val="en-US" w:eastAsia="zh-CN" w:bidi="ar-SA"/>
        </w:rPr>
        <w:t>内货到采购人指定地点并完成全部安装调试且经采购人验收合格。</w:t>
      </w:r>
    </w:p>
    <w:p w14:paraId="234C1808">
      <w:pPr>
        <w:pStyle w:val="50"/>
        <w:numPr>
          <w:ilvl w:val="255"/>
          <w:numId w:val="0"/>
        </w:numPr>
        <w:shd w:val="clear"/>
        <w:tabs>
          <w:tab w:val="left" w:pos="397"/>
          <w:tab w:val="left" w:pos="420"/>
        </w:tabs>
        <w:snapToGrid w:val="0"/>
        <w:spacing w:line="288" w:lineRule="auto"/>
        <w:ind w:firstLine="480" w:firstLineChars="200"/>
        <w:rPr>
          <w:rFonts w:ascii="宋体" w:hAnsi="宋体" w:cs="宋体"/>
          <w:color w:val="auto"/>
          <w:highlight w:val="none"/>
        </w:rPr>
      </w:pPr>
      <w:r>
        <w:rPr>
          <w:rFonts w:hint="eastAsia" w:ascii="宋体" w:hAnsi="宋体" w:cs="宋体"/>
          <w:color w:val="auto"/>
          <w:highlight w:val="none"/>
        </w:rPr>
        <w:t>8.本项目</w:t>
      </w:r>
      <w:r>
        <w:rPr>
          <w:rFonts w:hint="eastAsia" w:ascii="宋体" w:hAnsi="宋体" w:cs="宋体"/>
          <w:color w:val="auto"/>
          <w:highlight w:val="none"/>
          <w:lang w:val="en-US" w:eastAsia="zh-CN"/>
        </w:rPr>
        <w:t>不</w:t>
      </w:r>
      <w:r>
        <w:rPr>
          <w:rFonts w:hint="eastAsia" w:ascii="宋体" w:hAnsi="宋体" w:cs="宋体"/>
          <w:color w:val="auto"/>
          <w:highlight w:val="none"/>
        </w:rPr>
        <w:t xml:space="preserve">接受联合体投标。 </w:t>
      </w:r>
    </w:p>
    <w:p w14:paraId="6A025AC7">
      <w:pPr>
        <w:keepNext w:val="0"/>
        <w:keepLines w:val="0"/>
        <w:pageBreakBefore w:val="0"/>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rPr>
      </w:pPr>
      <w:bookmarkStart w:id="143" w:name="_Toc10038"/>
      <w:r>
        <w:rPr>
          <w:rFonts w:hint="eastAsia" w:ascii="宋体" w:hAnsi="宋体" w:eastAsia="宋体" w:cs="宋体"/>
          <w:b/>
          <w:bCs/>
          <w:color w:val="auto"/>
          <w:highlight w:val="none"/>
        </w:rPr>
        <w:t>二、申请人的资格要求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93F0358">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bookmarkStart w:id="144" w:name="_Toc11020"/>
      <w:bookmarkStart w:id="145" w:name="_Toc16689"/>
      <w:bookmarkStart w:id="146" w:name="_Toc17140"/>
      <w:bookmarkStart w:id="147" w:name="_Toc3109"/>
      <w:bookmarkStart w:id="148" w:name="_Toc15990"/>
      <w:bookmarkStart w:id="149" w:name="_Toc29933"/>
      <w:r>
        <w:rPr>
          <w:rFonts w:hint="eastAsia" w:ascii="宋体" w:hAnsi="宋体" w:eastAsia="宋体" w:cs="宋体"/>
          <w:color w:val="auto"/>
          <w:highlight w:val="none"/>
        </w:rPr>
        <w:t>1.符合《中华人民共和国政府采购法》第二十二条规定：</w:t>
      </w:r>
    </w:p>
    <w:p w14:paraId="1D5B4CA4">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6F66A556">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7E813E6F">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2EAA454">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19DF0CA8">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3C1C218B">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p w14:paraId="48481EF1">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2.供应商未被列入失信被执行人名单、重大税收违法案件当事人名单、政府采购严重违法失信行为记录名单，信用信息以信用中国网站（www.creditchina.gov.cn）、中国政府采购网（www.ccgp.gov.cn）公布为准。</w:t>
      </w:r>
    </w:p>
    <w:p w14:paraId="2E91CECE">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3.单位负责人为同一人或者存在直接控股、管理关系的不同供应商，不得参加同一合同项下的采购活动。</w:t>
      </w:r>
    </w:p>
    <w:bookmarkEnd w:id="144"/>
    <w:bookmarkEnd w:id="145"/>
    <w:bookmarkEnd w:id="146"/>
    <w:bookmarkEnd w:id="147"/>
    <w:bookmarkEnd w:id="148"/>
    <w:bookmarkEnd w:id="149"/>
    <w:p w14:paraId="2E171006">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4.落实国企采购政策需满足的资格要求：</w:t>
      </w:r>
      <w:r>
        <w:rPr>
          <w:rFonts w:hint="eastAsia" w:ascii="宋体" w:hAnsi="宋体" w:cs="宋体"/>
          <w:color w:val="auto"/>
          <w:highlight w:val="none"/>
          <w:lang w:val="en-US" w:eastAsia="zh-CN"/>
        </w:rPr>
        <w:t>投标人须具有独立法人资格的要求</w:t>
      </w:r>
      <w:r>
        <w:rPr>
          <w:rFonts w:hint="eastAsia" w:ascii="宋体" w:hAnsi="宋体" w:eastAsia="宋体" w:cs="宋体"/>
          <w:color w:val="auto"/>
          <w:highlight w:val="none"/>
          <w:lang w:val="en-US" w:eastAsia="zh-CN"/>
        </w:rPr>
        <w:t>。</w:t>
      </w:r>
    </w:p>
    <w:p w14:paraId="2C5289ED">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5.本项目的特定资格要求：</w:t>
      </w:r>
      <w:bookmarkStart w:id="150" w:name="OLE_LINK14"/>
      <w:bookmarkStart w:id="151" w:name="OLE_LINK9"/>
      <w:r>
        <w:rPr>
          <w:rFonts w:hint="eastAsia" w:ascii="宋体" w:hAnsi="宋体" w:eastAsia="宋体" w:cs="宋体"/>
          <w:color w:val="auto"/>
          <w:highlight w:val="none"/>
          <w:lang w:val="en-US" w:eastAsia="zh-CN"/>
        </w:rPr>
        <w:t>经销商或代理商投标时须取得生产厂家授权，并提供相关厂家授权委托书证明扫描件。</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50"/>
    <w:bookmarkEnd w:id="151"/>
    <w:p w14:paraId="496BE161">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rPr>
      </w:pPr>
      <w:bookmarkStart w:id="152" w:name="_Toc21291"/>
      <w:bookmarkStart w:id="153" w:name="_Toc31197"/>
      <w:bookmarkStart w:id="154" w:name="_Toc5989"/>
      <w:bookmarkStart w:id="155" w:name="_Toc31911"/>
      <w:bookmarkStart w:id="156" w:name="_Toc11147"/>
      <w:bookmarkStart w:id="157" w:name="_Toc14501"/>
      <w:bookmarkStart w:id="158" w:name="_Toc29791"/>
      <w:bookmarkStart w:id="159" w:name="_Toc20064"/>
      <w:bookmarkStart w:id="160" w:name="_Toc32492"/>
      <w:bookmarkStart w:id="161" w:name="_Toc17769"/>
      <w:bookmarkStart w:id="162" w:name="_Toc1399"/>
      <w:bookmarkStart w:id="163" w:name="_Toc20310"/>
      <w:bookmarkStart w:id="164" w:name="_Toc5447"/>
      <w:bookmarkStart w:id="165" w:name="_Toc21923"/>
      <w:bookmarkStart w:id="166" w:name="_Toc13512"/>
      <w:bookmarkStart w:id="167" w:name="_Toc23129"/>
      <w:bookmarkStart w:id="168" w:name="_Toc1765"/>
      <w:bookmarkStart w:id="169" w:name="_Toc2752"/>
      <w:bookmarkStart w:id="170" w:name="_Toc728"/>
      <w:bookmarkStart w:id="171" w:name="_Toc26194"/>
      <w:bookmarkStart w:id="172" w:name="_Toc12397"/>
      <w:bookmarkStart w:id="173" w:name="_Toc16934"/>
      <w:bookmarkStart w:id="174" w:name="_Toc23801"/>
      <w:bookmarkStart w:id="175" w:name="_Toc26697"/>
      <w:bookmarkStart w:id="176" w:name="_Toc7089"/>
      <w:bookmarkStart w:id="177" w:name="_Toc16125"/>
      <w:bookmarkStart w:id="178" w:name="_Toc4537"/>
      <w:bookmarkStart w:id="179" w:name="_Toc16832"/>
      <w:bookmarkStart w:id="180" w:name="_Toc30923"/>
      <w:bookmarkStart w:id="181" w:name="_Toc18715"/>
      <w:bookmarkStart w:id="182" w:name="_Toc14675"/>
      <w:bookmarkStart w:id="183" w:name="_Toc26385"/>
      <w:bookmarkStart w:id="184" w:name="_Toc22164"/>
      <w:bookmarkStart w:id="185" w:name="_Toc7004"/>
      <w:bookmarkStart w:id="186" w:name="_Toc3531"/>
      <w:bookmarkStart w:id="187" w:name="_Toc3493"/>
      <w:bookmarkStart w:id="188" w:name="_Toc10681"/>
      <w:bookmarkStart w:id="189" w:name="_Toc3570"/>
      <w:bookmarkStart w:id="190" w:name="_Toc8106"/>
      <w:bookmarkStart w:id="191" w:name="_Toc4869"/>
      <w:bookmarkStart w:id="192" w:name="_Toc900"/>
      <w:bookmarkStart w:id="193" w:name="_Toc4375"/>
      <w:bookmarkStart w:id="194" w:name="_Toc25243"/>
      <w:bookmarkStart w:id="195" w:name="_Toc14989"/>
      <w:bookmarkStart w:id="196" w:name="_Toc9248"/>
      <w:bookmarkStart w:id="197" w:name="_Toc22562"/>
      <w:bookmarkStart w:id="198" w:name="_Toc19515"/>
      <w:bookmarkStart w:id="199" w:name="_Toc16069"/>
      <w:r>
        <w:rPr>
          <w:rFonts w:hint="eastAsia" w:ascii="宋体" w:hAnsi="宋体" w:eastAsia="宋体" w:cs="宋体"/>
          <w:b/>
          <w:bCs/>
          <w:color w:val="auto"/>
          <w:highlight w:val="none"/>
        </w:rPr>
        <w:t>三、电子评标</w:t>
      </w:r>
      <w:bookmarkEnd w:id="152"/>
      <w:bookmarkEnd w:id="153"/>
      <w:bookmarkEnd w:id="154"/>
      <w:bookmarkEnd w:id="155"/>
      <w:bookmarkEnd w:id="156"/>
      <w:bookmarkEnd w:id="157"/>
    </w:p>
    <w:p w14:paraId="3062E191">
      <w:pPr>
        <w:keepNext w:val="0"/>
        <w:keepLines w:val="0"/>
        <w:pageBreakBefore w:val="0"/>
        <w:shd w:val="clear"/>
        <w:kinsoku/>
        <w:wordWrap/>
        <w:overflowPunct/>
        <w:topLinePunct w:val="0"/>
        <w:autoSpaceDE/>
        <w:autoSpaceDN/>
        <w:bidi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本项目实行不见面电子招投标方式。</w:t>
      </w:r>
    </w:p>
    <w:p w14:paraId="6212B270">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rPr>
      </w:pPr>
      <w:bookmarkStart w:id="200" w:name="_Toc13910"/>
      <w:bookmarkStart w:id="201" w:name="_Toc17981"/>
      <w:bookmarkStart w:id="202" w:name="_Toc7095"/>
      <w:bookmarkStart w:id="203" w:name="_Toc21925"/>
      <w:bookmarkStart w:id="204" w:name="_Toc31107"/>
      <w:bookmarkStart w:id="205" w:name="_Toc30557"/>
      <w:r>
        <w:rPr>
          <w:rFonts w:hint="eastAsia" w:ascii="宋体" w:hAnsi="宋体" w:eastAsia="宋体" w:cs="宋体"/>
          <w:b/>
          <w:bCs/>
          <w:color w:val="auto"/>
          <w:highlight w:val="none"/>
        </w:rPr>
        <w:t>四、招标文件的获取</w:t>
      </w:r>
      <w:bookmarkEnd w:id="200"/>
      <w:bookmarkEnd w:id="201"/>
      <w:bookmarkEnd w:id="202"/>
      <w:bookmarkEnd w:id="203"/>
      <w:bookmarkEnd w:id="204"/>
      <w:bookmarkEnd w:id="205"/>
    </w:p>
    <w:p w14:paraId="1388AB87">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bookmarkStart w:id="206" w:name="_Toc19745"/>
      <w:bookmarkStart w:id="207" w:name="_Toc27666"/>
      <w:bookmarkStart w:id="208" w:name="_Toc4243"/>
      <w:r>
        <w:rPr>
          <w:rFonts w:hint="eastAsia" w:ascii="宋体" w:hAnsi="宋体" w:eastAsia="宋体" w:cs="宋体"/>
          <w:color w:val="auto"/>
          <w:highlight w:val="none"/>
          <w:lang w:val="en-US" w:eastAsia="zh-CN"/>
        </w:rPr>
        <w:t>1、投标人按下述要求获取招标文件，如未在“衢州市阳光交易服务平台”系统内完成相关流程，引起投标无效，责任自负。</w:t>
      </w:r>
    </w:p>
    <w:p w14:paraId="2D99B67A">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项目招标文件实行“衢州市阳光交易服务平台”在线申请获取招标文件，不提供纸质版招标文件。投标人获取招标文件前应先办理“衢州市阳光交易服务平台”投标人信息入库备案同时办理介质CA锁。完成介质CA锁办理预计2-3个工作日，建议各投标人合理安排办理时间。</w:t>
      </w:r>
    </w:p>
    <w:p w14:paraId="1ACA8DD4">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3、潜在投标人登录衢州市阳光交易服务平台（https://qzygjy.com/）办理投标人信息入库备案事宜。</w:t>
      </w:r>
    </w:p>
    <w:p w14:paraId="40E6BD7C">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未办理企业信息入库的投标人，根据显示界面提示免费注册，填写、上传相关主体信息，带“*”号的必填，填好后“提交”。投标人须提前申领介质CA锁及电子签章，具体操作可参考衢州市阳光交易服务平台交易乙方操作手册。</w:t>
      </w:r>
    </w:p>
    <w:p w14:paraId="69AE67B2">
      <w:pPr>
        <w:keepNext w:val="0"/>
        <w:keepLines w:val="0"/>
        <w:pageBreakBefore w:val="0"/>
        <w:widowControl w:val="0"/>
        <w:shd w:val="clear"/>
        <w:kinsoku/>
        <w:wordWrap/>
        <w:overflowPunct/>
        <w:topLinePunct w:val="0"/>
        <w:autoSpaceDE/>
        <w:autoSpaceDN/>
        <w:bidi w:val="0"/>
        <w:adjustRightInd w:val="0"/>
        <w:snapToGrid w:val="0"/>
        <w:spacing w:line="288" w:lineRule="auto"/>
        <w:ind w:left="480" w:leftChars="20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 CA办理：</w:t>
      </w:r>
      <w:r>
        <w:rPr>
          <w:rFonts w:hint="eastAsia" w:ascii="宋体" w:hAnsi="宋体" w:eastAsia="宋体" w:cs="宋体"/>
          <w:color w:val="auto"/>
          <w:highlight w:val="none"/>
          <w:lang w:val="en-US" w:eastAsia="zh-CN"/>
        </w:rPr>
        <w:br w:type="textWrapping"/>
      </w:r>
      <w:r>
        <w:rPr>
          <w:rFonts w:hint="eastAsia" w:ascii="宋体" w:hAnsi="宋体" w:cs="宋体"/>
          <w:color w:val="auto"/>
          <w:highlight w:val="none"/>
          <w:lang w:val="en-US" w:eastAsia="zh-CN"/>
        </w:rPr>
        <w:t>5.1</w:t>
      </w:r>
      <w:r>
        <w:rPr>
          <w:rFonts w:hint="eastAsia" w:ascii="宋体" w:hAnsi="宋体" w:eastAsia="宋体" w:cs="宋体"/>
          <w:color w:val="auto"/>
          <w:highlight w:val="none"/>
          <w:lang w:val="en-US" w:eastAsia="zh-CN"/>
        </w:rPr>
        <w:t>天谷CA：</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"http://www.tseal.cn/tcloud/common.xhtml?projId=307"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http://www.tseal.cn/tcloud/common.xhtml?projId=307</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 xml:space="preserve"> 联系电话：400-087-8198</w:t>
      </w:r>
      <w:r>
        <w:rPr>
          <w:rFonts w:hint="eastAsia" w:ascii="宋体" w:hAnsi="宋体" w:eastAsia="宋体" w:cs="宋体"/>
          <w:color w:val="auto"/>
          <w:highlight w:val="none"/>
          <w:lang w:val="en-US" w:eastAsia="zh-CN"/>
        </w:rPr>
        <w:br w:type="textWrapping"/>
      </w:r>
      <w:r>
        <w:rPr>
          <w:rFonts w:hint="eastAsia" w:ascii="宋体" w:hAnsi="宋体" w:cs="宋体"/>
          <w:color w:val="auto"/>
          <w:highlight w:val="none"/>
          <w:lang w:val="en-US" w:eastAsia="zh-CN"/>
        </w:rPr>
        <w:t>5.2</w:t>
      </w:r>
      <w:r>
        <w:rPr>
          <w:rFonts w:hint="eastAsia" w:ascii="宋体" w:hAnsi="宋体" w:eastAsia="宋体" w:cs="宋体"/>
          <w:color w:val="auto"/>
          <w:highlight w:val="none"/>
          <w:lang w:val="en-US" w:eastAsia="zh-CN"/>
        </w:rPr>
        <w:t>新点标证通：</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"https://www.ebpu.com/epbzt/index.html"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https://www.ebpu.com/epbzt/index.html</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 xml:space="preserve"> 联系电话：400-998-0000</w:t>
      </w:r>
    </w:p>
    <w:p w14:paraId="0478766C">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6、招标文件下载：</w:t>
      </w:r>
    </w:p>
    <w:p w14:paraId="1103AF47">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（1）潜在投标人登录“衢州市阳光交易服务平台”，在线申请获取招标文件(选择招标公告，进入项目,选择“投标前阶段”进入项目在获取招标文件菜单中选择项目,选择“招标文件下载”)。</w:t>
      </w:r>
    </w:p>
    <w:p w14:paraId="7F0FE5AD">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（2）投标文件的解密：投标人按照平台提示和招标文件的规定在30分钟内于衢州市阳光交易服务平台不见面开标大厅完成在线解密。</w:t>
      </w:r>
    </w:p>
    <w:p w14:paraId="1259ED02">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7、具体操作指南：详见衢州市阳光交易服务平台“办事指南-衢州市阳光交易服务平台-工程建设交易乙方操作手册”，如遇平台技术问题详询0570-3878007。</w:t>
      </w:r>
    </w:p>
    <w:p w14:paraId="524528B1">
      <w:pPr>
        <w:pStyle w:val="100"/>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7.投标工具</w:t>
      </w:r>
    </w:p>
    <w:p w14:paraId="79A5160D">
      <w:pPr>
        <w:keepNext w:val="0"/>
        <w:keepLines w:val="0"/>
        <w:pageBreakBefore w:val="0"/>
        <w:shd w:val="clear"/>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highlight w:val="none"/>
          <w:lang w:val="en-US" w:eastAsia="zh-CN"/>
        </w:rPr>
      </w:pPr>
      <w:bookmarkStart w:id="209" w:name="_Toc21676"/>
      <w:bookmarkStart w:id="210" w:name="_Toc9357"/>
      <w:bookmarkStart w:id="211" w:name="_Toc15693"/>
      <w:bookmarkStart w:id="212" w:name="_Toc22226"/>
      <w:r>
        <w:rPr>
          <w:rFonts w:hint="eastAsia" w:ascii="宋体" w:hAnsi="宋体" w:eastAsia="宋体" w:cs="宋体"/>
          <w:color w:val="auto"/>
          <w:highlight w:val="none"/>
          <w:lang w:val="en-US" w:eastAsia="zh-CN"/>
        </w:rPr>
        <w:t>一标通投标制作工具，下载地址：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"https://download.bqpoint.com/download/downloaddetail.html?SourceFrom=Ztb&amp;ZtbSoftXiaQuCode=1155&amp;ZtbSoftType=tballinclusive"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https://download.bqpoint.com/download/downloaddetail.html?SourceFrom=Ztb&amp;ZtbSoftXiaQuCode=1155&amp;ZtbSoftType=tballinclusive</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 xml:space="preserve">联系方式，新点软件客服电话：4009980000、0570-3878007、18606516296。 </w:t>
      </w:r>
    </w:p>
    <w:p w14:paraId="1F745454">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、解密</w:t>
      </w:r>
      <w:bookmarkEnd w:id="209"/>
      <w:bookmarkEnd w:id="210"/>
      <w:bookmarkEnd w:id="211"/>
      <w:bookmarkEnd w:id="212"/>
    </w:p>
    <w:p w14:paraId="71768C25">
      <w:pPr>
        <w:keepNext w:val="0"/>
        <w:keepLines w:val="0"/>
        <w:pageBreakBefore w:val="0"/>
        <w:shd w:val="clear"/>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highlight w:val="none"/>
          <w:lang w:val="en-US" w:eastAsia="zh-CN"/>
        </w:rPr>
      </w:pPr>
      <w:bookmarkStart w:id="213" w:name="_Toc31943"/>
      <w:bookmarkStart w:id="214" w:name="_Toc17044"/>
      <w:bookmarkStart w:id="215" w:name="_Toc19306"/>
      <w:r>
        <w:rPr>
          <w:rFonts w:hint="eastAsia" w:ascii="宋体" w:hAnsi="宋体" w:eastAsia="宋体" w:cs="宋体"/>
          <w:color w:val="auto"/>
          <w:highlight w:val="none"/>
          <w:lang w:val="en-US" w:eastAsia="zh-CN"/>
        </w:rPr>
        <w:t>1、投标文件开启时间到后，代理机构（或公证人员）宣布开始解密，30分钟内投标人应完成投标文件的解密。投标人解密方式：投标人自行登录衢州市阳光交易服务平台不见面开标大厅（https://qzygjy.com/BidOpening/bidopeninghallaction/hall/login)——投标人身份——我的项目——选择标段——待招标代理开启解密后进行解密操作投标人在规定的时间内都已完成解密，则系统自动结束解密；投标人因自身原因未在规定时间内完成解密，则默认自动放弃；（综合评估法需要、双随机删除）</w:t>
      </w:r>
    </w:p>
    <w:p w14:paraId="632705E3">
      <w:pPr>
        <w:keepNext w:val="0"/>
        <w:keepLines w:val="0"/>
        <w:pageBreakBefore w:val="0"/>
        <w:shd w:val="clear"/>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2、招标代理机构导入投标文件成功后进入评标流程。</w:t>
      </w:r>
    </w:p>
    <w:p w14:paraId="428202BA">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lang w:val="en-US" w:eastAsia="zh-CN"/>
        </w:rPr>
        <w:t>、开标特别说明</w:t>
      </w:r>
    </w:p>
    <w:p w14:paraId="49D49B5A">
      <w:pPr>
        <w:pStyle w:val="100"/>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1、开标解密使用投标人上传的电子投标文件。 </w:t>
      </w:r>
    </w:p>
    <w:p w14:paraId="4DE461D7">
      <w:pPr>
        <w:pStyle w:val="100"/>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投标人原因（包括投标人自主选择的CA证书、电脑环境、网络等），造成其电子投标文件未解密的，或投标文件解密了，但投标文件无法识别、读取的，视为撤销其投标文件。（综合评估法需要、双随机删除）</w:t>
      </w:r>
    </w:p>
    <w:p w14:paraId="10BBB60F">
      <w:pPr>
        <w:pStyle w:val="100"/>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3、投标人必须使用生成电子投标文件的CA数字证书解密电子投标文件。</w:t>
      </w:r>
    </w:p>
    <w:p w14:paraId="0F0E0C0E">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rPr>
        <w:t>、投标文件的递交</w:t>
      </w:r>
      <w:bookmarkEnd w:id="206"/>
      <w:bookmarkEnd w:id="207"/>
      <w:bookmarkEnd w:id="208"/>
      <w:bookmarkEnd w:id="213"/>
      <w:bookmarkEnd w:id="214"/>
      <w:bookmarkEnd w:id="215"/>
    </w:p>
    <w:p w14:paraId="7740C68F">
      <w:pPr>
        <w:pStyle w:val="100"/>
        <w:keepNext w:val="0"/>
        <w:keepLines w:val="0"/>
        <w:pageBreakBefore w:val="0"/>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1.投标文件递交截止时间（投标截止时间，下同）：</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 00 秒。</w:t>
      </w:r>
    </w:p>
    <w:p w14:paraId="3877858B">
      <w:pPr>
        <w:pStyle w:val="100"/>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2.投标文件递交方式：电子投标文件采用网上递交的方式，上传至衢州市阳光交易服务平台（https://qzygjy.com/TPBidder/memberLogin?type=13）。</w:t>
      </w:r>
    </w:p>
    <w:p w14:paraId="6D55E4A3">
      <w:pPr>
        <w:pStyle w:val="100"/>
        <w:keepNext w:val="0"/>
        <w:keepLines w:val="0"/>
        <w:pageBreakBefore w:val="0"/>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3.网上开标</w:t>
      </w: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rPr>
        <w:t>：衢州市阳光交易服务平台不见面开标大厅（网址：https://qzygjy.com/BidOpening/bidopeninghallaction/hall/login）。操作手册见官网首页下载中心。</w:t>
      </w:r>
    </w:p>
    <w:p w14:paraId="2314288E">
      <w:pPr>
        <w:keepNext w:val="0"/>
        <w:keepLines w:val="0"/>
        <w:pageBreakBefore w:val="0"/>
        <w:shd w:val="clear"/>
        <w:kinsoku/>
        <w:wordWrap/>
        <w:overflowPunct/>
        <w:topLinePunct w:val="0"/>
        <w:autoSpaceDE/>
        <w:autoSpaceDN/>
        <w:bidi w:val="0"/>
        <w:adjustRightInd w:val="0"/>
        <w:spacing w:line="288" w:lineRule="auto"/>
        <w:ind w:firstLine="482"/>
        <w:textAlignment w:val="auto"/>
        <w:outlineLvl w:val="1"/>
        <w:rPr>
          <w:rFonts w:hint="eastAsia" w:ascii="宋体" w:hAnsi="宋体" w:eastAsia="宋体" w:cs="宋体"/>
          <w:b/>
          <w:color w:val="auto"/>
          <w:szCs w:val="21"/>
          <w:highlight w:val="none"/>
        </w:rPr>
      </w:pPr>
      <w:bookmarkStart w:id="216" w:name="_Toc20733"/>
      <w:bookmarkStart w:id="217" w:name="_Toc15705"/>
      <w:bookmarkStart w:id="218" w:name="_Toc947"/>
      <w:bookmarkStart w:id="219" w:name="_Toc30825"/>
      <w:bookmarkStart w:id="220" w:name="_Toc10378"/>
      <w:bookmarkStart w:id="221" w:name="_Toc22063"/>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、发布公告的媒介</w:t>
      </w:r>
      <w:bookmarkEnd w:id="216"/>
      <w:bookmarkEnd w:id="217"/>
      <w:bookmarkEnd w:id="218"/>
      <w:bookmarkEnd w:id="219"/>
      <w:bookmarkEnd w:id="220"/>
      <w:bookmarkEnd w:id="221"/>
    </w:p>
    <w:p w14:paraId="77A286B2">
      <w:pPr>
        <w:keepNext w:val="0"/>
        <w:keepLines w:val="0"/>
        <w:pageBreakBefore w:val="0"/>
        <w:shd w:val="clear"/>
        <w:kinsoku/>
        <w:wordWrap/>
        <w:overflowPunct/>
        <w:topLinePunct w:val="0"/>
        <w:autoSpaceDE/>
        <w:autoSpaceDN/>
        <w:bidi w:val="0"/>
        <w:adjustRightInd w:val="0"/>
        <w:spacing w:line="288"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本招标公告在“衢州市阳光交易服务平台https://qzygjy.com/”“浙江政府采购网https://zfcg.czt.zj.gov.cn/”上发布。</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14:paraId="545E0B22">
      <w:pPr>
        <w:keepNext w:val="0"/>
        <w:keepLines w:val="0"/>
        <w:pageBreakBefore w:val="0"/>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lang w:val="zh-CN"/>
        </w:rPr>
      </w:pPr>
      <w:bookmarkStart w:id="222" w:name="_Toc28973"/>
      <w:bookmarkStart w:id="223" w:name="_Toc30620"/>
      <w:bookmarkStart w:id="224" w:name="_Toc615"/>
      <w:bookmarkStart w:id="225" w:name="_Toc3728"/>
      <w:bookmarkStart w:id="226" w:name="_Toc18088"/>
      <w:bookmarkStart w:id="227" w:name="_Toc24728"/>
      <w:bookmarkStart w:id="228" w:name="_Toc16995"/>
      <w:bookmarkStart w:id="229" w:name="_Toc5934"/>
      <w:bookmarkStart w:id="230" w:name="_Toc31991"/>
      <w:bookmarkStart w:id="231" w:name="_Toc9962"/>
      <w:bookmarkStart w:id="232" w:name="_Toc29452"/>
      <w:bookmarkStart w:id="233" w:name="_Toc15563"/>
      <w:bookmarkStart w:id="234" w:name="_Toc25813"/>
      <w:bookmarkStart w:id="235" w:name="_Toc6741"/>
      <w:bookmarkStart w:id="236" w:name="_Toc3321"/>
      <w:bookmarkStart w:id="237" w:name="_Toc13827"/>
      <w:bookmarkStart w:id="238" w:name="_Toc30034"/>
      <w:bookmarkStart w:id="239" w:name="_Toc32256"/>
      <w:bookmarkStart w:id="240" w:name="_Toc15296"/>
      <w:bookmarkStart w:id="241" w:name="_Toc2592"/>
      <w:bookmarkStart w:id="242" w:name="_Toc7001"/>
      <w:bookmarkStart w:id="243" w:name="_Toc9579"/>
      <w:bookmarkStart w:id="244" w:name="_Toc29674"/>
      <w:bookmarkStart w:id="245" w:name="_Toc24482"/>
      <w:bookmarkStart w:id="246" w:name="_Toc12522"/>
      <w:bookmarkStart w:id="247" w:name="_Toc19503"/>
      <w:bookmarkStart w:id="248" w:name="_Toc7062"/>
      <w:bookmarkStart w:id="249" w:name="_Toc21431"/>
      <w:r>
        <w:rPr>
          <w:rFonts w:hint="eastAsia" w:ascii="宋体" w:hAnsi="宋体" w:cs="宋体"/>
          <w:b/>
          <w:bCs/>
          <w:color w:val="auto"/>
          <w:highlight w:val="none"/>
          <w:lang w:val="en-US" w:eastAsia="zh-CN"/>
        </w:rPr>
        <w:t>九</w:t>
      </w:r>
      <w:r>
        <w:rPr>
          <w:rFonts w:hint="eastAsia" w:ascii="宋体" w:hAnsi="宋体" w:eastAsia="宋体" w:cs="宋体"/>
          <w:b/>
          <w:bCs/>
          <w:color w:val="auto"/>
          <w:highlight w:val="none"/>
          <w:lang w:val="zh-CN"/>
        </w:rPr>
        <w:t>、公告期限</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068848E">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334D0A22">
      <w:pPr>
        <w:keepNext w:val="0"/>
        <w:keepLines w:val="0"/>
        <w:pageBreakBefore w:val="0"/>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lang w:val="zh-CN"/>
        </w:rPr>
      </w:pPr>
      <w:bookmarkStart w:id="250" w:name="_Toc12880"/>
      <w:bookmarkStart w:id="251" w:name="_Toc5821"/>
      <w:bookmarkStart w:id="252" w:name="_Toc14198"/>
      <w:bookmarkStart w:id="253" w:name="_Toc16285"/>
      <w:bookmarkStart w:id="254" w:name="_Toc20211"/>
      <w:bookmarkStart w:id="255" w:name="_Toc18112"/>
      <w:bookmarkStart w:id="256" w:name="_Toc31025"/>
      <w:bookmarkStart w:id="257" w:name="_Toc5521"/>
      <w:bookmarkStart w:id="258" w:name="_Toc21686"/>
      <w:bookmarkStart w:id="259" w:name="_Toc31633"/>
      <w:bookmarkStart w:id="260" w:name="_Toc8449"/>
      <w:bookmarkStart w:id="261" w:name="_Toc31065"/>
      <w:bookmarkStart w:id="262" w:name="_Toc21407"/>
      <w:bookmarkStart w:id="263" w:name="_Toc17913"/>
      <w:bookmarkStart w:id="264" w:name="_Toc19949"/>
      <w:bookmarkStart w:id="265" w:name="_Toc2589"/>
      <w:bookmarkStart w:id="266" w:name="_Toc29902"/>
      <w:bookmarkStart w:id="267" w:name="_Toc15440"/>
      <w:bookmarkStart w:id="268" w:name="_Toc3633"/>
      <w:bookmarkStart w:id="269" w:name="_Toc1123"/>
      <w:bookmarkStart w:id="270" w:name="_Toc19281"/>
      <w:bookmarkStart w:id="271" w:name="_Toc20864"/>
      <w:bookmarkStart w:id="272" w:name="_Toc31887"/>
      <w:bookmarkStart w:id="273" w:name="_Toc15789"/>
      <w:bookmarkStart w:id="274" w:name="_Toc16029"/>
      <w:bookmarkStart w:id="275" w:name="_Toc5254"/>
      <w:bookmarkStart w:id="276" w:name="_Toc26070"/>
      <w:bookmarkStart w:id="277" w:name="_Toc9751"/>
      <w:r>
        <w:rPr>
          <w:rFonts w:hint="eastAsia" w:ascii="宋体" w:hAnsi="宋体" w:cs="宋体"/>
          <w:b/>
          <w:bCs/>
          <w:color w:val="auto"/>
          <w:highlight w:val="none"/>
          <w:lang w:val="en-US" w:eastAsia="zh-CN"/>
        </w:rPr>
        <w:t>十</w:t>
      </w:r>
      <w:r>
        <w:rPr>
          <w:rFonts w:hint="eastAsia" w:ascii="宋体" w:hAnsi="宋体" w:eastAsia="宋体" w:cs="宋体"/>
          <w:b/>
          <w:bCs/>
          <w:color w:val="auto"/>
          <w:highlight w:val="none"/>
          <w:lang w:val="zh-CN"/>
        </w:rPr>
        <w:t>、其他补充事宜</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2E96086D">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供应商对采购人或采购代理机构的质疑答复不满意或者采购人或采购代理机构未在规定时间内作出答复的，可以在答复期满后十五个工作日内向</w:t>
      </w:r>
      <w:r>
        <w:rPr>
          <w:rFonts w:hint="eastAsia" w:ascii="宋体" w:hAnsi="宋体" w:cs="宋体"/>
          <w:bCs/>
          <w:color w:val="auto"/>
          <w:highlight w:val="none"/>
          <w:lang w:eastAsia="zh-CN"/>
        </w:rPr>
        <w:t>龙游县水务集团有限公司招投标分中心</w:t>
      </w:r>
      <w:r>
        <w:rPr>
          <w:rFonts w:hint="eastAsia" w:ascii="宋体" w:hAnsi="宋体" w:eastAsia="宋体" w:cs="宋体"/>
          <w:bCs/>
          <w:color w:val="auto"/>
          <w:highlight w:val="none"/>
        </w:rPr>
        <w:t>投诉（联系人</w:t>
      </w:r>
      <w:r>
        <w:rPr>
          <w:rFonts w:hint="eastAsia" w:ascii="宋体" w:hAnsi="宋体" w:eastAsia="宋体" w:cs="宋体"/>
          <w:bCs/>
          <w:color w:val="auto"/>
          <w:highlight w:val="none"/>
          <w:lang w:eastAsia="zh-CN"/>
        </w:rPr>
        <w:t>：</w:t>
      </w:r>
      <w:r>
        <w:rPr>
          <w:rFonts w:hint="eastAsia" w:ascii="宋体" w:hAnsi="宋体" w:cs="宋体"/>
          <w:bCs/>
          <w:color w:val="auto"/>
          <w:highlight w:val="none"/>
          <w:lang w:eastAsia="zh-CN"/>
        </w:rPr>
        <w:t>夏先生</w:t>
      </w:r>
      <w:r>
        <w:rPr>
          <w:rFonts w:hint="eastAsia" w:ascii="宋体" w:hAnsi="宋体" w:eastAsia="宋体" w:cs="宋体"/>
          <w:bCs/>
          <w:color w:val="auto"/>
          <w:highlight w:val="none"/>
        </w:rPr>
        <w:t>，联系号码：</w:t>
      </w:r>
      <w:r>
        <w:rPr>
          <w:rFonts w:hint="eastAsia" w:ascii="宋体" w:hAnsi="宋体" w:cs="宋体"/>
          <w:bCs/>
          <w:color w:val="auto"/>
          <w:highlight w:val="none"/>
          <w:lang w:eastAsia="zh-CN"/>
        </w:rPr>
        <w:t>1836705822</w:t>
      </w:r>
      <w:r>
        <w:rPr>
          <w:rFonts w:hint="eastAsia" w:ascii="宋体" w:hAnsi="宋体" w:cs="宋体"/>
          <w:bCs/>
          <w:color w:val="auto"/>
          <w:highlight w:val="none"/>
          <w:lang w:val="en-US" w:eastAsia="zh-CN"/>
        </w:rPr>
        <w:t>2</w:t>
      </w:r>
      <w:r>
        <w:rPr>
          <w:rFonts w:hint="eastAsia" w:ascii="宋体" w:hAnsi="宋体" w:eastAsia="宋体" w:cs="宋体"/>
          <w:bCs/>
          <w:color w:val="auto"/>
          <w:highlight w:val="none"/>
        </w:rPr>
        <w:t>，联系地址：</w:t>
      </w:r>
      <w:r>
        <w:rPr>
          <w:rFonts w:hint="eastAsia" w:ascii="宋体" w:hAnsi="宋体"/>
          <w:color w:val="auto"/>
          <w:highlight w:val="none"/>
          <w:lang w:val="zh-CN" w:eastAsia="zh-CN"/>
        </w:rPr>
        <w:t>龙游县龙洲街道荣昌路东道35号</w:t>
      </w:r>
      <w:r>
        <w:rPr>
          <w:rFonts w:hint="eastAsia" w:ascii="宋体" w:hAnsi="宋体" w:eastAsia="宋体" w:cs="宋体"/>
          <w:bCs/>
          <w:color w:val="auto"/>
          <w:highlight w:val="none"/>
        </w:rPr>
        <w:t>）</w:t>
      </w:r>
      <w:r>
        <w:rPr>
          <w:rFonts w:hint="eastAsia" w:ascii="宋体" w:hAnsi="宋体" w:eastAsia="宋体" w:cs="宋体"/>
          <w:color w:val="auto"/>
          <w:highlight w:val="none"/>
        </w:rPr>
        <w:t>。</w:t>
      </w:r>
    </w:p>
    <w:p w14:paraId="4D2E2F34">
      <w:pPr>
        <w:keepNext w:val="0"/>
        <w:keepLines w:val="0"/>
        <w:pageBreakBefore w:val="0"/>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en-US" w:eastAsia="zh-CN"/>
        </w:rPr>
        <w:t>十</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zh-CN"/>
        </w:rPr>
        <w:t>、业务咨询</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DD247D0">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采购人信息</w:t>
      </w:r>
    </w:p>
    <w:p w14:paraId="31BE3B3C">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cs="宋体"/>
          <w:color w:val="auto"/>
          <w:highlight w:val="none"/>
          <w:lang w:eastAsia="zh-CN"/>
        </w:rPr>
        <w:t>龙游华水水业发展有限公司</w:t>
      </w:r>
    </w:p>
    <w:p w14:paraId="71F32C93">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地址</w:t>
      </w:r>
      <w:r>
        <w:rPr>
          <w:rFonts w:hint="eastAsia" w:ascii="宋体" w:hAnsi="宋体" w:eastAsia="宋体" w:cs="宋体"/>
          <w:color w:val="auto"/>
          <w:highlight w:val="none"/>
        </w:rPr>
        <w:t>：</w:t>
      </w:r>
      <w:r>
        <w:rPr>
          <w:rFonts w:hint="eastAsia" w:ascii="宋体" w:hAnsi="宋体" w:cs="宋体"/>
          <w:color w:val="auto"/>
          <w:highlight w:val="none"/>
          <w:lang w:eastAsia="zh-CN"/>
        </w:rPr>
        <w:t>龙游县荣昌大道35号</w:t>
      </w:r>
    </w:p>
    <w:p w14:paraId="6BA30705">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韩先生</w:t>
      </w:r>
    </w:p>
    <w:p w14:paraId="07B9A9B4">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rPr>
        <w:t>联系</w:t>
      </w:r>
      <w:r>
        <w:rPr>
          <w:rFonts w:hint="eastAsia" w:ascii="宋体" w:hAnsi="宋体" w:eastAsia="宋体" w:cs="宋体"/>
          <w:color w:val="auto"/>
          <w:highlight w:val="none"/>
          <w:lang w:val="en-US" w:eastAsia="zh-CN"/>
        </w:rPr>
        <w:t>方式</w:t>
      </w:r>
      <w:r>
        <w:rPr>
          <w:rFonts w:hint="eastAsia" w:ascii="宋体" w:hAnsi="宋体" w:eastAsia="宋体" w:cs="宋体"/>
          <w:color w:val="auto"/>
          <w:highlight w:val="none"/>
        </w:rPr>
        <w:t>：</w:t>
      </w:r>
      <w:r>
        <w:rPr>
          <w:rFonts w:hint="eastAsia" w:ascii="宋体" w:hAnsi="宋体" w:cs="宋体"/>
          <w:color w:val="auto"/>
          <w:highlight w:val="none"/>
          <w:lang w:val="en-US" w:eastAsia="zh-CN"/>
        </w:rPr>
        <w:t>13867037959</w:t>
      </w:r>
    </w:p>
    <w:p w14:paraId="16EB4200">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p>
    <w:p w14:paraId="630EF8C8">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采购代理机构</w:t>
      </w:r>
      <w:r>
        <w:rPr>
          <w:rFonts w:hint="eastAsia" w:ascii="宋体" w:hAnsi="宋体" w:cs="宋体"/>
          <w:color w:val="auto"/>
          <w:highlight w:val="none"/>
          <w:lang w:val="en-US" w:eastAsia="zh-CN"/>
        </w:rPr>
        <w:t>信息</w:t>
      </w:r>
    </w:p>
    <w:p w14:paraId="47BD8E85">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cs="宋体"/>
          <w:color w:val="auto"/>
          <w:highlight w:val="none"/>
          <w:lang w:eastAsia="zh-CN"/>
        </w:rPr>
        <w:t>浙江新诚信工程咨询有限公司</w:t>
      </w:r>
    </w:p>
    <w:p w14:paraId="705A2901">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地址</w:t>
      </w:r>
      <w:r>
        <w:rPr>
          <w:rFonts w:hint="eastAsia" w:ascii="宋体" w:hAnsi="宋体" w:eastAsia="宋体" w:cs="宋体"/>
          <w:color w:val="auto"/>
          <w:highlight w:val="none"/>
        </w:rPr>
        <w:t>：</w:t>
      </w:r>
      <w:r>
        <w:rPr>
          <w:rFonts w:hint="eastAsia" w:ascii="宋体" w:hAnsi="宋体" w:cs="宋体"/>
          <w:color w:val="auto"/>
          <w:highlight w:val="none"/>
          <w:lang w:eastAsia="zh-CN"/>
        </w:rPr>
        <w:t>龙游县龙洲街道环河步行街242号313室</w:t>
      </w:r>
    </w:p>
    <w:p w14:paraId="15B05ECC">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唐女士</w:t>
      </w:r>
    </w:p>
    <w:p w14:paraId="707357EA">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联系方式：</w:t>
      </w:r>
      <w:r>
        <w:rPr>
          <w:rFonts w:hint="eastAsia" w:ascii="宋体" w:hAnsi="宋体" w:cs="宋体"/>
          <w:color w:val="auto"/>
          <w:highlight w:val="none"/>
          <w:lang w:val="en-US" w:eastAsia="zh-CN"/>
        </w:rPr>
        <w:t>13357013858</w:t>
      </w:r>
    </w:p>
    <w:p w14:paraId="01364113">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p>
    <w:p w14:paraId="0F6301E5">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同级</w:t>
      </w:r>
      <w:r>
        <w:rPr>
          <w:rFonts w:hint="eastAsia" w:ascii="宋体" w:hAnsi="宋体" w:eastAsia="宋体" w:cs="宋体"/>
          <w:color w:val="auto"/>
          <w:highlight w:val="none"/>
        </w:rPr>
        <w:t>国企</w:t>
      </w:r>
      <w:r>
        <w:rPr>
          <w:rFonts w:hint="eastAsia" w:ascii="宋体" w:hAnsi="宋体" w:eastAsia="宋体" w:cs="宋体"/>
          <w:color w:val="auto"/>
          <w:highlight w:val="none"/>
          <w:lang w:val="zh-CN"/>
        </w:rPr>
        <w:t>采购监督管理部门</w:t>
      </w:r>
    </w:p>
    <w:p w14:paraId="19916B52">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cs="宋体"/>
          <w:bCs/>
          <w:color w:val="auto"/>
          <w:highlight w:val="none"/>
          <w:lang w:eastAsia="zh-CN"/>
        </w:rPr>
      </w:pPr>
      <w:r>
        <w:rPr>
          <w:rFonts w:hint="eastAsia" w:ascii="宋体" w:hAnsi="宋体" w:eastAsia="宋体" w:cs="宋体"/>
          <w:color w:val="auto"/>
          <w:highlight w:val="none"/>
          <w:lang w:val="zh-CN"/>
        </w:rPr>
        <w:t>名称：</w:t>
      </w:r>
      <w:bookmarkStart w:id="278" w:name="OLE_LINK2"/>
      <w:r>
        <w:rPr>
          <w:rFonts w:hint="eastAsia" w:ascii="宋体" w:hAnsi="宋体" w:cs="宋体"/>
          <w:bCs/>
          <w:color w:val="auto"/>
          <w:highlight w:val="none"/>
          <w:lang w:eastAsia="zh-CN"/>
        </w:rPr>
        <w:t>龙游县水务集团有限公司招投标分中心</w:t>
      </w:r>
    </w:p>
    <w:p w14:paraId="40E82C2E">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地址</w:t>
      </w:r>
      <w:bookmarkEnd w:id="278"/>
      <w:r>
        <w:rPr>
          <w:rFonts w:hint="eastAsia" w:ascii="宋体" w:hAnsi="宋体" w:eastAsia="宋体" w:cs="宋体"/>
          <w:color w:val="auto"/>
          <w:highlight w:val="none"/>
          <w:lang w:val="zh-CN"/>
        </w:rPr>
        <w:t>：</w:t>
      </w:r>
      <w:r>
        <w:rPr>
          <w:rFonts w:hint="eastAsia" w:ascii="宋体" w:hAnsi="宋体"/>
          <w:color w:val="auto"/>
          <w:highlight w:val="none"/>
          <w:lang w:val="zh-CN" w:eastAsia="zh-CN"/>
        </w:rPr>
        <w:t>龙游县荣昌路东道35号</w:t>
      </w:r>
    </w:p>
    <w:p w14:paraId="4B4D786A">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联系人：</w:t>
      </w:r>
      <w:r>
        <w:rPr>
          <w:rFonts w:hint="eastAsia" w:ascii="宋体" w:hAnsi="宋体" w:cs="宋体"/>
          <w:color w:val="auto"/>
          <w:highlight w:val="none"/>
          <w:lang w:val="en-US" w:eastAsia="zh-CN"/>
        </w:rPr>
        <w:t>夏先生</w:t>
      </w:r>
    </w:p>
    <w:p w14:paraId="12D77ECF">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监督投诉方式：</w:t>
      </w:r>
      <w:r>
        <w:rPr>
          <w:rFonts w:hint="eastAsia" w:ascii="宋体" w:hAnsi="宋体" w:cs="宋体"/>
          <w:bCs/>
          <w:color w:val="auto"/>
          <w:highlight w:val="none"/>
          <w:lang w:eastAsia="zh-CN"/>
        </w:rPr>
        <w:t>18367058222</w:t>
      </w:r>
      <w:r>
        <w:rPr>
          <w:rFonts w:hint="eastAsia" w:ascii="宋体" w:hAnsi="宋体" w:cs="宋体"/>
          <w:color w:val="auto"/>
          <w:highlight w:val="none"/>
          <w:lang w:eastAsia="zh-CN"/>
        </w:rPr>
        <w:t xml:space="preserve"> </w:t>
      </w:r>
      <w:r>
        <w:rPr>
          <w:rFonts w:hint="eastAsia" w:ascii="宋体" w:hAnsi="宋体" w:eastAsia="宋体" w:cs="宋体"/>
          <w:color w:val="auto"/>
          <w:highlight w:val="none"/>
        </w:rPr>
        <w:t xml:space="preserve">                </w:t>
      </w:r>
    </w:p>
    <w:p w14:paraId="133F501A">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p>
    <w:p w14:paraId="16AB961E">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2</w:t>
      </w:r>
      <w:r>
        <w:rPr>
          <w:rFonts w:hint="eastAsia" w:ascii="宋体" w:hAnsi="宋体" w:eastAsia="宋体" w:cs="宋体"/>
          <w:color w:val="auto"/>
          <w:highlight w:val="none"/>
        </w:rPr>
        <w:t>月</w:t>
      </w:r>
      <w:r>
        <w:rPr>
          <w:rFonts w:hint="eastAsia" w:ascii="宋体" w:hAnsi="宋体" w:cs="宋体"/>
          <w:color w:val="auto"/>
          <w:highlight w:val="none"/>
          <w:lang w:val="en-US" w:eastAsia="zh-CN"/>
        </w:rPr>
        <w:t>19</w:t>
      </w:r>
      <w:r>
        <w:rPr>
          <w:rFonts w:hint="eastAsia" w:ascii="宋体" w:hAnsi="宋体" w:eastAsia="宋体" w:cs="宋体"/>
          <w:color w:val="auto"/>
          <w:highlight w:val="none"/>
        </w:rPr>
        <w:t>日</w:t>
      </w:r>
    </w:p>
    <w:p w14:paraId="38750067">
      <w:pPr>
        <w:pStyle w:val="21"/>
        <w:keepNext w:val="0"/>
        <w:keepLines w:val="0"/>
        <w:pageBreakBefore w:val="0"/>
        <w:shd w:val="clear"/>
        <w:kinsoku/>
        <w:wordWrap/>
        <w:overflowPunct/>
        <w:topLinePunct w:val="0"/>
        <w:autoSpaceDE/>
        <w:autoSpaceDN/>
        <w:bidi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bCs w:val="0"/>
          <w:color w:val="auto"/>
          <w:highlight w:val="none"/>
        </w:rPr>
        <w:br w:type="page"/>
      </w:r>
      <w:bookmarkStart w:id="279" w:name="_Toc5940"/>
      <w:bookmarkStart w:id="280" w:name="_Toc16230"/>
      <w:bookmarkStart w:id="281" w:name="_Toc12646"/>
      <w:bookmarkStart w:id="282" w:name="_Toc26049"/>
      <w:bookmarkStart w:id="283" w:name="_Toc18814"/>
      <w:bookmarkStart w:id="284" w:name="_Toc24829"/>
    </w:p>
    <w:p w14:paraId="4E52067B">
      <w:pPr>
        <w:pStyle w:val="3"/>
        <w:numPr>
          <w:ilvl w:val="0"/>
          <w:numId w:val="0"/>
        </w:numPr>
        <w:shd w:val="clear"/>
        <w:spacing w:beforeLines="0" w:afterLines="0"/>
        <w:rPr>
          <w:rFonts w:hint="eastAsia" w:ascii="宋体" w:hAnsi="宋体" w:eastAsia="宋体" w:cs="宋体"/>
          <w:color w:val="auto"/>
          <w:highlight w:val="none"/>
        </w:rPr>
      </w:pPr>
      <w:bookmarkStart w:id="285" w:name="_Toc30570"/>
      <w:bookmarkStart w:id="286" w:name="_Toc24594"/>
      <w:bookmarkStart w:id="287" w:name="_Toc16652"/>
      <w:bookmarkStart w:id="288" w:name="_Toc9562"/>
      <w:bookmarkStart w:id="289" w:name="_Toc8894"/>
      <w:bookmarkStart w:id="290" w:name="_Toc27348"/>
      <w:bookmarkStart w:id="291" w:name="_Toc3195"/>
      <w:bookmarkStart w:id="292" w:name="_Toc11144"/>
      <w:bookmarkStart w:id="293" w:name="_Toc5219"/>
      <w:bookmarkStart w:id="294" w:name="_Toc30817"/>
      <w:bookmarkStart w:id="295" w:name="_Toc26017"/>
      <w:bookmarkStart w:id="296" w:name="_Toc2504"/>
      <w:bookmarkStart w:id="297" w:name="_Toc21210"/>
      <w:bookmarkStart w:id="298" w:name="_Toc21043"/>
      <w:bookmarkStart w:id="299" w:name="_Toc28801"/>
      <w:bookmarkStart w:id="300" w:name="_Toc14948"/>
      <w:bookmarkStart w:id="301" w:name="_Toc3742"/>
      <w:bookmarkStart w:id="302" w:name="_Toc26647"/>
      <w:bookmarkStart w:id="303" w:name="_Toc7054"/>
      <w:bookmarkStart w:id="304" w:name="_Toc29935"/>
      <w:bookmarkStart w:id="305" w:name="_Toc29673"/>
      <w:bookmarkStart w:id="306" w:name="_Toc8830"/>
      <w:bookmarkStart w:id="307" w:name="_Toc3207"/>
      <w:bookmarkStart w:id="308" w:name="_Toc9281"/>
      <w:bookmarkStart w:id="309" w:name="_Toc12587"/>
      <w:bookmarkStart w:id="310" w:name="_Toc22916"/>
      <w:bookmarkStart w:id="311" w:name="_Toc19320"/>
      <w:bookmarkStart w:id="312" w:name="_Toc30924"/>
      <w:bookmarkStart w:id="313" w:name="_Toc13762"/>
      <w:bookmarkStart w:id="314" w:name="_Toc27038"/>
      <w:bookmarkStart w:id="315" w:name="_Toc3557"/>
      <w:bookmarkStart w:id="316" w:name="_Toc17699"/>
      <w:bookmarkStart w:id="317" w:name="_Toc2759"/>
      <w:bookmarkStart w:id="318" w:name="_Toc14630"/>
      <w:bookmarkStart w:id="319" w:name="_Toc6325"/>
      <w:bookmarkStart w:id="320" w:name="_Toc20710"/>
      <w:r>
        <w:rPr>
          <w:rFonts w:hint="eastAsia" w:ascii="宋体" w:hAnsi="宋体" w:eastAsia="宋体" w:cs="宋体"/>
          <w:color w:val="auto"/>
          <w:highlight w:val="none"/>
        </w:rPr>
        <w:t>第二章  供应商须知</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AA64500">
      <w:pPr>
        <w:pStyle w:val="4"/>
        <w:numPr>
          <w:ilvl w:val="1"/>
          <w:numId w:val="0"/>
        </w:numPr>
        <w:shd w:val="clear"/>
        <w:spacing w:beforeLines="0" w:afterLines="0"/>
        <w:rPr>
          <w:rFonts w:hint="eastAsia" w:ascii="宋体" w:hAnsi="宋体" w:eastAsia="宋体" w:cs="宋体"/>
          <w:b/>
          <w:bCs w:val="0"/>
          <w:color w:val="auto"/>
          <w:highlight w:val="none"/>
          <w:lang w:bidi="ar"/>
        </w:rPr>
      </w:pPr>
      <w:bookmarkStart w:id="321" w:name="_Toc5445"/>
      <w:bookmarkStart w:id="322" w:name="_Toc23252"/>
      <w:bookmarkStart w:id="323" w:name="_Toc20037"/>
      <w:bookmarkStart w:id="324" w:name="_Toc5125"/>
      <w:bookmarkStart w:id="325" w:name="_Toc24970"/>
      <w:bookmarkStart w:id="326" w:name="_Toc16227"/>
      <w:bookmarkStart w:id="327" w:name="_Toc1898"/>
      <w:bookmarkStart w:id="328" w:name="_Toc26033"/>
      <w:bookmarkStart w:id="329" w:name="_Toc28757"/>
      <w:bookmarkStart w:id="330" w:name="_Toc14813"/>
      <w:bookmarkStart w:id="331" w:name="_Toc1709"/>
      <w:bookmarkStart w:id="332" w:name="_Toc22955"/>
      <w:bookmarkStart w:id="333" w:name="_Toc20609"/>
      <w:bookmarkStart w:id="334" w:name="_Toc14335"/>
      <w:bookmarkStart w:id="335" w:name="_Toc25611"/>
      <w:bookmarkStart w:id="336" w:name="_Toc29109"/>
      <w:bookmarkStart w:id="337" w:name="_Toc5731"/>
      <w:bookmarkStart w:id="338" w:name="_Toc31532"/>
      <w:bookmarkStart w:id="339" w:name="_Toc9417"/>
      <w:bookmarkStart w:id="340" w:name="_Toc2093"/>
      <w:bookmarkStart w:id="341" w:name="_Toc10078"/>
      <w:bookmarkStart w:id="342" w:name="_Toc23368"/>
      <w:bookmarkStart w:id="343" w:name="_Toc32497"/>
      <w:bookmarkStart w:id="344" w:name="_Toc6862"/>
      <w:bookmarkStart w:id="345" w:name="_Toc6943"/>
      <w:bookmarkStart w:id="346" w:name="_Toc2286"/>
      <w:bookmarkStart w:id="347" w:name="_Toc18330"/>
      <w:bookmarkStart w:id="348" w:name="_Toc7175"/>
      <w:bookmarkStart w:id="349" w:name="_Toc18954"/>
      <w:bookmarkStart w:id="350" w:name="_Toc14238"/>
      <w:bookmarkStart w:id="351" w:name="_Toc9012"/>
      <w:bookmarkStart w:id="352" w:name="_Toc1286"/>
      <w:bookmarkStart w:id="353" w:name="_Toc27365"/>
      <w:bookmarkStart w:id="354" w:name="_Toc1237"/>
      <w:bookmarkStart w:id="355" w:name="_Toc25506"/>
      <w:bookmarkStart w:id="356" w:name="_Toc8017"/>
      <w:bookmarkStart w:id="357" w:name="_Toc16050"/>
      <w:bookmarkStart w:id="358" w:name="_Toc24474"/>
      <w:bookmarkStart w:id="359" w:name="_Toc17538"/>
      <w:bookmarkStart w:id="360" w:name="_Toc29631"/>
      <w:bookmarkStart w:id="361" w:name="_Toc22528"/>
      <w:bookmarkStart w:id="362" w:name="_Toc13830"/>
      <w:r>
        <w:rPr>
          <w:rFonts w:hint="eastAsia" w:ascii="宋体" w:hAnsi="宋体" w:eastAsia="宋体" w:cs="宋体"/>
          <w:b/>
          <w:bCs w:val="0"/>
          <w:color w:val="auto"/>
          <w:highlight w:val="none"/>
          <w:lang w:bidi="ar"/>
        </w:rPr>
        <w:t>一、供应商须知前附表</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tbl>
      <w:tblPr>
        <w:tblStyle w:val="41"/>
        <w:tblW w:w="1000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13"/>
        <w:gridCol w:w="7202"/>
      </w:tblGrid>
      <w:tr w14:paraId="64DD5E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thinThickSmallGap" w:color="auto" w:sz="12" w:space="0"/>
            </w:tcBorders>
            <w:vAlign w:val="center"/>
          </w:tcPr>
          <w:p w14:paraId="0BFB4FC9">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bookmarkStart w:id="363" w:name="_Toc361437144"/>
            <w:bookmarkStart w:id="364" w:name="_Toc361434798"/>
            <w:bookmarkStart w:id="365" w:name="_Toc361434459"/>
            <w:bookmarkStart w:id="366" w:name="_Toc361434558"/>
            <w:bookmarkStart w:id="367" w:name="_Toc361434894"/>
            <w:bookmarkStart w:id="368" w:name="_Toc101321790"/>
            <w:bookmarkStart w:id="369" w:name="_Toc1125"/>
            <w:bookmarkStart w:id="370" w:name="_Toc3888"/>
            <w:bookmarkStart w:id="371" w:name="_Toc496962944"/>
            <w:bookmarkStart w:id="372" w:name="_Toc452528599"/>
            <w:bookmarkStart w:id="373" w:name="_Toc7346"/>
            <w:bookmarkStart w:id="374" w:name="_Toc12616"/>
            <w:bookmarkStart w:id="375" w:name="_Toc1265"/>
            <w:bookmarkStart w:id="376" w:name="_Toc16613"/>
            <w:bookmarkStart w:id="377" w:name="_Toc11475"/>
            <w:bookmarkStart w:id="378" w:name="_Toc5990"/>
            <w:bookmarkStart w:id="379" w:name="_Toc7709"/>
            <w:bookmarkStart w:id="380" w:name="_Toc23442"/>
            <w:bookmarkStart w:id="381" w:name="_Toc4691"/>
            <w:bookmarkStart w:id="382" w:name="_Toc22941"/>
            <w:bookmarkStart w:id="383" w:name="_Toc17354"/>
            <w:bookmarkStart w:id="384" w:name="_Toc21242"/>
            <w:bookmarkStart w:id="385" w:name="_Toc24118"/>
            <w:bookmarkStart w:id="386" w:name="_Toc27241"/>
            <w:bookmarkStart w:id="387" w:name="_Toc16257"/>
            <w:bookmarkStart w:id="388" w:name="_Toc25730"/>
            <w:bookmarkStart w:id="389" w:name="_Toc12381"/>
            <w:bookmarkStart w:id="390" w:name="_Toc391298955"/>
            <w:bookmarkStart w:id="391" w:name="_Toc6094"/>
            <w:bookmarkStart w:id="392" w:name="_Toc30126"/>
            <w:bookmarkStart w:id="393" w:name="_Toc3923"/>
            <w:bookmarkStart w:id="394" w:name="_Toc31099"/>
            <w:bookmarkStart w:id="395" w:name="_Toc24478"/>
            <w:bookmarkStart w:id="396" w:name="_Toc17098"/>
            <w:bookmarkStart w:id="397" w:name="_Toc22305"/>
            <w:bookmarkStart w:id="398" w:name="_Toc26063"/>
            <w:bookmarkStart w:id="399" w:name="_Toc15313"/>
            <w:bookmarkStart w:id="400" w:name="_Toc29625"/>
            <w:bookmarkStart w:id="401" w:name="_Toc11023"/>
            <w:bookmarkStart w:id="402" w:name="_Toc4630"/>
            <w:bookmarkStart w:id="403" w:name="_Toc19731"/>
            <w:bookmarkStart w:id="404" w:name="_Toc12403"/>
            <w:bookmarkStart w:id="405" w:name="_Toc27406"/>
            <w:bookmarkStart w:id="406" w:name="_Toc28742"/>
            <w:bookmarkStart w:id="407" w:name="_Toc11179"/>
            <w:bookmarkStart w:id="408" w:name="_Toc27367"/>
            <w:bookmarkStart w:id="409" w:name="_Toc20312"/>
            <w:bookmarkStart w:id="410" w:name="_Toc19715"/>
            <w:bookmarkStart w:id="411" w:name="_Toc12958"/>
            <w:bookmarkStart w:id="412" w:name="_Toc331"/>
            <w:bookmarkStart w:id="413" w:name="_Toc27407"/>
            <w:bookmarkStart w:id="414" w:name="_Toc5481"/>
            <w:r>
              <w:rPr>
                <w:rFonts w:hint="eastAsia" w:ascii="宋体" w:hAnsi="宋体" w:eastAsia="宋体" w:cs="宋体"/>
                <w:color w:val="auto"/>
                <w:highlight w:val="none"/>
              </w:rPr>
              <w:t>序号</w:t>
            </w:r>
          </w:p>
        </w:tc>
        <w:tc>
          <w:tcPr>
            <w:tcW w:w="2013" w:type="dxa"/>
            <w:tcBorders>
              <w:top w:val="thinThickSmallGap" w:color="auto" w:sz="12" w:space="0"/>
            </w:tcBorders>
            <w:vAlign w:val="center"/>
          </w:tcPr>
          <w:p w14:paraId="558747EB">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  容</w:t>
            </w:r>
          </w:p>
        </w:tc>
        <w:tc>
          <w:tcPr>
            <w:tcW w:w="7202" w:type="dxa"/>
            <w:tcBorders>
              <w:top w:val="thinThickSmallGap" w:color="auto" w:sz="12" w:space="0"/>
            </w:tcBorders>
            <w:vAlign w:val="center"/>
          </w:tcPr>
          <w:p w14:paraId="2514093D">
            <w:pPr>
              <w:keepNext w:val="0"/>
              <w:keepLines w:val="0"/>
              <w:suppressLineNumbers w:val="0"/>
              <w:shd w:val="clear"/>
              <w:tabs>
                <w:tab w:val="left" w:pos="0"/>
              </w:tabs>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说明与要求</w:t>
            </w:r>
          </w:p>
        </w:tc>
      </w:tr>
      <w:tr w14:paraId="7C80E1D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BFEB6AA">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013" w:type="dxa"/>
            <w:vAlign w:val="center"/>
          </w:tcPr>
          <w:p w14:paraId="43E0A7A9">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w:t>
            </w:r>
          </w:p>
        </w:tc>
        <w:tc>
          <w:tcPr>
            <w:tcW w:w="7202" w:type="dxa"/>
            <w:vAlign w:val="center"/>
          </w:tcPr>
          <w:p w14:paraId="5CFADF2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名  称</w:t>
            </w:r>
            <w:r>
              <w:rPr>
                <w:rFonts w:hint="eastAsia" w:ascii="宋体" w:hAnsi="宋体" w:eastAsia="宋体" w:cs="宋体"/>
                <w:color w:val="auto"/>
                <w:highlight w:val="none"/>
                <w:lang w:val="en-US" w:eastAsia="zh-CN"/>
              </w:rPr>
              <w:t>：</w:t>
            </w:r>
            <w:r>
              <w:rPr>
                <w:rFonts w:hint="eastAsia" w:ascii="宋体" w:hAnsi="宋体" w:cs="宋体"/>
                <w:color w:val="auto"/>
                <w:highlight w:val="none"/>
                <w:lang w:val="zh-CN" w:eastAsia="zh-CN"/>
              </w:rPr>
              <w:t>龙游华水水业发展有限公司</w:t>
            </w:r>
            <w:r>
              <w:rPr>
                <w:rFonts w:hint="eastAsia" w:ascii="宋体" w:hAnsi="宋体" w:eastAsia="宋体" w:cs="宋体"/>
                <w:color w:val="auto"/>
                <w:highlight w:val="none"/>
                <w:lang w:val="zh-CN"/>
              </w:rPr>
              <w:t xml:space="preserve"> </w:t>
            </w:r>
          </w:p>
          <w:p w14:paraId="0DEA2F86">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址：</w:t>
            </w:r>
            <w:r>
              <w:rPr>
                <w:rFonts w:hint="eastAsia" w:ascii="宋体" w:hAnsi="宋体" w:cs="宋体"/>
                <w:color w:val="auto"/>
                <w:highlight w:val="none"/>
                <w:lang w:val="zh-CN"/>
              </w:rPr>
              <w:t>龙游县荣昌大道35号</w:t>
            </w:r>
          </w:p>
          <w:p w14:paraId="1EB5FCDB">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ascii="宋体" w:hAnsi="宋体" w:cs="宋体"/>
                <w:color w:val="auto"/>
                <w:highlight w:val="none"/>
                <w:lang w:val="zh-CN"/>
              </w:rPr>
              <w:t>邓女士</w:t>
            </w:r>
          </w:p>
          <w:p w14:paraId="3C4ADB1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联系</w:t>
            </w:r>
            <w:r>
              <w:rPr>
                <w:rFonts w:hint="eastAsia" w:ascii="宋体" w:hAnsi="宋体" w:eastAsia="宋体" w:cs="宋体"/>
                <w:color w:val="auto"/>
                <w:highlight w:val="none"/>
                <w:lang w:val="en-US" w:eastAsia="zh-CN"/>
              </w:rPr>
              <w:t>方式</w:t>
            </w:r>
            <w:r>
              <w:rPr>
                <w:rFonts w:hint="eastAsia" w:ascii="宋体" w:hAnsi="宋体" w:eastAsia="宋体" w:cs="宋体"/>
                <w:color w:val="auto"/>
                <w:highlight w:val="none"/>
                <w:lang w:val="zh-CN"/>
              </w:rPr>
              <w:t>：</w:t>
            </w:r>
            <w:r>
              <w:rPr>
                <w:rFonts w:hint="eastAsia" w:ascii="宋体" w:hAnsi="宋体" w:cs="宋体"/>
                <w:color w:val="auto"/>
                <w:highlight w:val="none"/>
                <w:lang w:val="zh-CN"/>
              </w:rPr>
              <w:t>15857013180</w:t>
            </w:r>
          </w:p>
        </w:tc>
      </w:tr>
      <w:tr w14:paraId="1B2B291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2EABEA0">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w:t>
            </w:r>
          </w:p>
        </w:tc>
        <w:tc>
          <w:tcPr>
            <w:tcW w:w="2013" w:type="dxa"/>
            <w:vAlign w:val="center"/>
          </w:tcPr>
          <w:p w14:paraId="2F180491">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w:t>
            </w:r>
          </w:p>
        </w:tc>
        <w:tc>
          <w:tcPr>
            <w:tcW w:w="7202" w:type="dxa"/>
            <w:vAlign w:val="center"/>
          </w:tcPr>
          <w:p w14:paraId="03B5D3BE">
            <w:pPr>
              <w:keepNext w:val="0"/>
              <w:keepLines w:val="0"/>
              <w:widowControl/>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名  称：</w:t>
            </w:r>
            <w:r>
              <w:rPr>
                <w:rFonts w:hint="eastAsia" w:ascii="宋体" w:hAnsi="宋体" w:cs="宋体"/>
                <w:color w:val="auto"/>
                <w:highlight w:val="none"/>
                <w:lang w:val="zh-CN"/>
              </w:rPr>
              <w:t>浙江新诚信工程咨询有限公司</w:t>
            </w:r>
            <w:r>
              <w:rPr>
                <w:rFonts w:hint="eastAsia" w:ascii="宋体" w:hAnsi="宋体" w:eastAsia="宋体" w:cs="宋体"/>
                <w:color w:val="auto"/>
                <w:highlight w:val="none"/>
                <w:lang w:val="zh-CN"/>
              </w:rPr>
              <w:t xml:space="preserve">  </w:t>
            </w:r>
          </w:p>
          <w:p w14:paraId="011ED6B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址：</w:t>
            </w:r>
            <w:r>
              <w:rPr>
                <w:rFonts w:hint="eastAsia" w:ascii="宋体" w:hAnsi="宋体" w:cs="宋体"/>
                <w:color w:val="auto"/>
                <w:highlight w:val="none"/>
                <w:lang w:val="zh-CN"/>
              </w:rPr>
              <w:t>龙游县龙洲街道环河步行街242号313室</w:t>
            </w:r>
          </w:p>
          <w:p w14:paraId="5F7FF07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ascii="宋体" w:hAnsi="宋体" w:cs="宋体"/>
                <w:color w:val="auto"/>
                <w:highlight w:val="none"/>
                <w:lang w:val="zh-CN"/>
              </w:rPr>
              <w:t>唐女士</w:t>
            </w:r>
          </w:p>
          <w:p w14:paraId="5363A5D1">
            <w:pPr>
              <w:keepNext w:val="0"/>
              <w:keepLines w:val="0"/>
              <w:widowControl/>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联系方式：</w:t>
            </w:r>
            <w:r>
              <w:rPr>
                <w:rFonts w:hint="eastAsia" w:ascii="宋体" w:hAnsi="宋体" w:cs="宋体"/>
                <w:color w:val="auto"/>
                <w:highlight w:val="none"/>
                <w:lang w:val="zh-CN"/>
              </w:rPr>
              <w:t>13357013858</w:t>
            </w:r>
            <w:r>
              <w:rPr>
                <w:rFonts w:hint="eastAsia" w:ascii="宋体" w:hAnsi="宋体" w:eastAsia="宋体" w:cs="宋体"/>
                <w:color w:val="auto"/>
                <w:highlight w:val="none"/>
                <w:lang w:val="zh-CN"/>
              </w:rPr>
              <w:t> </w:t>
            </w:r>
          </w:p>
        </w:tc>
      </w:tr>
      <w:tr w14:paraId="0BA4725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A920460">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013" w:type="dxa"/>
            <w:vAlign w:val="center"/>
          </w:tcPr>
          <w:p w14:paraId="7FFAE884">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项目名称</w:t>
            </w:r>
          </w:p>
        </w:tc>
        <w:tc>
          <w:tcPr>
            <w:tcW w:w="7202" w:type="dxa"/>
            <w:vAlign w:val="center"/>
          </w:tcPr>
          <w:p w14:paraId="4AFF96E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金融大厦直饮水项目</w:t>
            </w:r>
          </w:p>
        </w:tc>
      </w:tr>
      <w:tr w14:paraId="0D88396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7A955B7">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013" w:type="dxa"/>
            <w:vAlign w:val="center"/>
          </w:tcPr>
          <w:p w14:paraId="5B622F6B">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预算金额</w:t>
            </w:r>
          </w:p>
        </w:tc>
        <w:tc>
          <w:tcPr>
            <w:tcW w:w="7202" w:type="dxa"/>
          </w:tcPr>
          <w:p w14:paraId="1E81928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en-US"/>
              </w:rPr>
            </w:pPr>
            <w:r>
              <w:rPr>
                <w:rFonts w:hint="eastAsia" w:ascii="宋体" w:hAnsi="宋体" w:cs="宋体"/>
                <w:color w:val="auto"/>
                <w:highlight w:val="none"/>
                <w:lang w:val="en-US" w:eastAsia="zh-CN"/>
              </w:rPr>
              <w:t>1750000</w:t>
            </w:r>
            <w:r>
              <w:rPr>
                <w:rFonts w:hint="eastAsia" w:ascii="宋体" w:hAnsi="宋体" w:eastAsia="宋体" w:cs="宋体"/>
                <w:color w:val="auto"/>
                <w:highlight w:val="none"/>
                <w:lang w:val="en-US" w:eastAsia="zh-CN"/>
              </w:rPr>
              <w:t>元；</w:t>
            </w:r>
          </w:p>
        </w:tc>
      </w:tr>
      <w:tr w14:paraId="58B9EB3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1FCC4A2">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013" w:type="dxa"/>
            <w:vAlign w:val="center"/>
          </w:tcPr>
          <w:p w14:paraId="18CC9D61">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最高限价</w:t>
            </w:r>
          </w:p>
        </w:tc>
        <w:tc>
          <w:tcPr>
            <w:tcW w:w="7202" w:type="dxa"/>
          </w:tcPr>
          <w:p w14:paraId="0B85A7C5">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en-US" w:eastAsia="zh-CN"/>
              </w:rPr>
              <w:t>1750000</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val="zh-CN"/>
              </w:rPr>
              <w:t>供应商应按此最高限价并结合企业自身情况及管理经验自主报价，报价不得超过最高限价，否则作为废标处理。</w:t>
            </w:r>
          </w:p>
        </w:tc>
      </w:tr>
      <w:tr w14:paraId="1A8A06D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13925382">
            <w:pPr>
              <w:keepNext w:val="0"/>
              <w:keepLines w:val="0"/>
              <w:suppressLineNumbers w:val="0"/>
              <w:shd w:val="clear"/>
              <w:tabs>
                <w:tab w:val="left" w:pos="0"/>
              </w:tabs>
              <w:autoSpaceDE w:val="0"/>
              <w:autoSpaceDN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013" w:type="dxa"/>
            <w:vAlign w:val="center"/>
          </w:tcPr>
          <w:p w14:paraId="39FE9183">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t>质量要求</w:t>
            </w:r>
          </w:p>
        </w:tc>
        <w:tc>
          <w:tcPr>
            <w:tcW w:w="7202" w:type="dxa"/>
          </w:tcPr>
          <w:p w14:paraId="47D6E5E8">
            <w:pPr>
              <w:keepNext w:val="0"/>
              <w:keepLines w:val="0"/>
              <w:suppressLineNumbers w:val="0"/>
              <w:shd w:val="clear"/>
              <w:autoSpaceDE w:val="0"/>
              <w:autoSpaceDN w:val="0"/>
              <w:adjustRightInd w:val="0"/>
              <w:spacing w:before="0" w:beforeAutospacing="0" w:after="0" w:afterAutospacing="0" w:line="240" w:lineRule="auto"/>
              <w:ind w:left="0" w:leftChars="0" w:right="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满足现行国家、地方、行业的质量标准。</w:t>
            </w:r>
          </w:p>
        </w:tc>
      </w:tr>
      <w:tr w14:paraId="530B2E9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72BED4F">
            <w:pPr>
              <w:keepNext w:val="0"/>
              <w:keepLines w:val="0"/>
              <w:suppressLineNumbers w:val="0"/>
              <w:shd w:val="clear"/>
              <w:tabs>
                <w:tab w:val="left" w:pos="0"/>
              </w:tabs>
              <w:autoSpaceDE w:val="0"/>
              <w:autoSpaceDN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013" w:type="dxa"/>
            <w:vAlign w:val="center"/>
          </w:tcPr>
          <w:p w14:paraId="394132C4">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申请人资格要求</w:t>
            </w:r>
          </w:p>
        </w:tc>
        <w:tc>
          <w:tcPr>
            <w:tcW w:w="7202" w:type="dxa"/>
            <w:vAlign w:val="center"/>
          </w:tcPr>
          <w:p w14:paraId="58508393">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详见“第一章 招标公告”。</w:t>
            </w:r>
          </w:p>
        </w:tc>
      </w:tr>
      <w:tr w14:paraId="5EDAABC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1D380D99">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8</w:t>
            </w:r>
          </w:p>
        </w:tc>
        <w:tc>
          <w:tcPr>
            <w:tcW w:w="2013" w:type="dxa"/>
            <w:vAlign w:val="center"/>
          </w:tcPr>
          <w:p w14:paraId="667E2A0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获取招标文件</w:t>
            </w:r>
          </w:p>
        </w:tc>
        <w:tc>
          <w:tcPr>
            <w:tcW w:w="7202" w:type="dxa"/>
            <w:vAlign w:val="center"/>
          </w:tcPr>
          <w:p w14:paraId="5835CBA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详见“第一章 招标公告”。</w:t>
            </w:r>
          </w:p>
        </w:tc>
      </w:tr>
      <w:tr w14:paraId="286611A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31A2EB5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w:t>
            </w:r>
          </w:p>
        </w:tc>
        <w:tc>
          <w:tcPr>
            <w:tcW w:w="2013" w:type="dxa"/>
            <w:vAlign w:val="center"/>
          </w:tcPr>
          <w:p w14:paraId="3DE9B9D7">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投标有效期</w:t>
            </w:r>
          </w:p>
        </w:tc>
        <w:tc>
          <w:tcPr>
            <w:tcW w:w="7202" w:type="dxa"/>
            <w:vAlign w:val="center"/>
          </w:tcPr>
          <w:p w14:paraId="6C0BAF9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自投标截止之日起90日历天。</w:t>
            </w:r>
          </w:p>
        </w:tc>
      </w:tr>
      <w:tr w14:paraId="5D1FC3F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16573A8">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c>
          <w:tcPr>
            <w:tcW w:w="2013" w:type="dxa"/>
            <w:vAlign w:val="center"/>
          </w:tcPr>
          <w:p w14:paraId="06BE6A23">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cs="宋体"/>
                <w:color w:val="auto"/>
                <w:highlight w:val="none"/>
                <w:lang w:val="zh-CN"/>
              </w:rPr>
              <w:t>分包</w:t>
            </w:r>
          </w:p>
        </w:tc>
        <w:tc>
          <w:tcPr>
            <w:tcW w:w="7202" w:type="dxa"/>
            <w:vAlign w:val="top"/>
          </w:tcPr>
          <w:p w14:paraId="5D03F1C7">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cs="宋体"/>
                <w:color w:val="auto"/>
                <w:highlight w:val="none"/>
                <w:lang w:val="zh-CN"/>
              </w:rPr>
            </w:pPr>
            <w:r>
              <w:rPr>
                <w:rFonts w:hint="eastAsia" w:ascii="宋体" w:hAnsi="宋体" w:cs="宋体"/>
                <w:color w:val="auto"/>
                <w:sz w:val="24"/>
                <w:szCs w:val="24"/>
                <w:highlight w:val="none"/>
                <w:lang w:val="zh-CN" w:eastAsia="zh-CN"/>
              </w:rPr>
              <w:t>□</w:t>
            </w:r>
            <w:r>
              <w:rPr>
                <w:rFonts w:hint="eastAsia" w:ascii="宋体" w:hAnsi="宋体" w:cs="宋体"/>
                <w:color w:val="auto"/>
                <w:highlight w:val="none"/>
                <w:lang w:val="zh-CN"/>
              </w:rPr>
              <w:t>不允许</w:t>
            </w:r>
          </w:p>
          <w:p w14:paraId="143B5560">
            <w:pPr>
              <w:keepNext w:val="0"/>
              <w:keepLines w:val="0"/>
              <w:suppressLineNumbers w:val="0"/>
              <w:shd w:val="clear"/>
              <w:spacing w:before="0" w:beforeAutospacing="0" w:after="0" w:afterAutospacing="0" w:line="240" w:lineRule="auto"/>
              <w:ind w:left="0" w:leftChars="0" w:right="0" w:rightChars="0" w:firstLine="0" w:firstLineChars="0"/>
              <w:jc w:val="left"/>
              <w:rPr>
                <w:rFonts w:hint="eastAsia" w:ascii="宋体" w:hAnsi="宋体" w:eastAsia="宋体" w:cs="宋体"/>
                <w:color w:val="auto"/>
                <w:highlight w:val="none"/>
                <w:lang w:val="en-US"/>
              </w:rPr>
            </w:pPr>
            <w:r>
              <w:rPr>
                <w:rFonts w:hint="eastAsia" w:ascii="宋体" w:hAnsi="宋体" w:cs="宋体"/>
                <w:color w:val="auto"/>
                <w:sz w:val="24"/>
                <w:szCs w:val="24"/>
                <w:highlight w:val="none"/>
                <w:lang w:val="zh-CN" w:eastAsia="zh-CN"/>
              </w:rPr>
              <w:t>☑</w:t>
            </w:r>
            <w:r>
              <w:rPr>
                <w:rFonts w:hint="eastAsia" w:ascii="宋体" w:hAnsi="宋体" w:cs="宋体"/>
                <w:color w:val="auto"/>
                <w:highlight w:val="none"/>
                <w:lang w:val="zh-CN"/>
              </w:rPr>
              <w:t>允许，投标人根据招标文件载明的标的采购项目实际情况， 拟在中标后将中标项目的非主体、非关键性工作交由他人完成的，事先须经采购人同意，分包承担主体应当具备相应资质条件且不得再次分包。</w:t>
            </w:r>
          </w:p>
        </w:tc>
      </w:tr>
      <w:tr w14:paraId="4EECABC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D640B38">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11</w:t>
            </w:r>
          </w:p>
        </w:tc>
        <w:tc>
          <w:tcPr>
            <w:tcW w:w="2013" w:type="dxa"/>
            <w:vAlign w:val="center"/>
          </w:tcPr>
          <w:p w14:paraId="07ED435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cs="宋体"/>
                <w:color w:val="auto"/>
                <w:highlight w:val="none"/>
                <w:lang w:val="zh-CN"/>
              </w:rPr>
              <w:t>转包</w:t>
            </w:r>
          </w:p>
        </w:tc>
        <w:tc>
          <w:tcPr>
            <w:tcW w:w="7202" w:type="dxa"/>
            <w:vAlign w:val="top"/>
          </w:tcPr>
          <w:p w14:paraId="01319580">
            <w:pPr>
              <w:keepNext w:val="0"/>
              <w:keepLines w:val="0"/>
              <w:suppressLineNumbers w:val="0"/>
              <w:shd w:val="clear"/>
              <w:spacing w:before="0" w:beforeAutospacing="0" w:after="0" w:afterAutospacing="0" w:line="240" w:lineRule="auto"/>
              <w:ind w:left="0" w:leftChars="0" w:right="0" w:rightChars="0" w:firstLine="0" w:firstLineChars="0"/>
              <w:jc w:val="left"/>
              <w:rPr>
                <w:rFonts w:hint="eastAsia" w:ascii="宋体" w:hAnsi="宋体" w:eastAsia="宋体" w:cs="宋体"/>
                <w:color w:val="auto"/>
                <w:highlight w:val="none"/>
                <w:lang w:val="en-US"/>
              </w:rPr>
            </w:pPr>
            <w:r>
              <w:rPr>
                <w:rFonts w:hint="eastAsia" w:ascii="宋体" w:hAnsi="宋体" w:cs="宋体"/>
                <w:color w:val="auto"/>
                <w:highlight w:val="none"/>
                <w:lang w:val="zh-CN"/>
              </w:rPr>
              <w:t>禁止</w:t>
            </w:r>
            <w:r>
              <w:rPr>
                <w:rFonts w:hint="eastAsia" w:ascii="宋体" w:hAnsi="宋体" w:cs="宋体"/>
                <w:color w:val="auto"/>
                <w:highlight w:val="none"/>
                <w:lang w:val="en-US" w:eastAsia="zh-CN"/>
              </w:rPr>
              <w:t>。</w:t>
            </w:r>
          </w:p>
        </w:tc>
      </w:tr>
      <w:tr w14:paraId="7BCEC6E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1D31F84">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12</w:t>
            </w:r>
          </w:p>
        </w:tc>
        <w:tc>
          <w:tcPr>
            <w:tcW w:w="2013" w:type="dxa"/>
            <w:vAlign w:val="center"/>
          </w:tcPr>
          <w:p w14:paraId="7B96F02A">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现场勘查</w:t>
            </w:r>
          </w:p>
        </w:tc>
        <w:tc>
          <w:tcPr>
            <w:tcW w:w="7202" w:type="dxa"/>
            <w:vAlign w:val="center"/>
          </w:tcPr>
          <w:p w14:paraId="07A6346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组织，</w:t>
            </w:r>
            <w:r>
              <w:rPr>
                <w:rFonts w:hint="eastAsia" w:ascii="宋体" w:hAnsi="宋体" w:cs="宋体"/>
                <w:color w:val="auto"/>
                <w:highlight w:val="none"/>
                <w:lang w:val="en-US" w:eastAsia="zh-CN"/>
              </w:rPr>
              <w:t xml:space="preserve">具体勘察时间：自2025年2月   </w:t>
            </w:r>
            <w:bookmarkStart w:id="2068" w:name="_GoBack"/>
            <w:bookmarkEnd w:id="2068"/>
            <w:r>
              <w:rPr>
                <w:rFonts w:hint="eastAsia" w:ascii="宋体" w:hAnsi="宋体" w:cs="宋体"/>
                <w:color w:val="auto"/>
                <w:highlight w:val="none"/>
                <w:lang w:val="en-US" w:eastAsia="zh-CN"/>
              </w:rPr>
              <w:t>日14:30-17:00止</w:t>
            </w:r>
            <w:r>
              <w:rPr>
                <w:rFonts w:hint="eastAsia" w:ascii="宋体" w:hAnsi="宋体" w:eastAsia="宋体" w:cs="宋体"/>
                <w:color w:val="auto"/>
                <w:highlight w:val="none"/>
                <w:lang w:val="zh-CN"/>
              </w:rPr>
              <w:t>。</w:t>
            </w:r>
          </w:p>
        </w:tc>
      </w:tr>
      <w:tr w14:paraId="25DBFB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337658AE">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13</w:t>
            </w:r>
          </w:p>
        </w:tc>
        <w:tc>
          <w:tcPr>
            <w:tcW w:w="2013" w:type="dxa"/>
            <w:vAlign w:val="center"/>
          </w:tcPr>
          <w:p w14:paraId="7BE241E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资金来源及比例</w:t>
            </w:r>
          </w:p>
        </w:tc>
        <w:tc>
          <w:tcPr>
            <w:tcW w:w="7202" w:type="dxa"/>
            <w:vAlign w:val="center"/>
          </w:tcPr>
          <w:p w14:paraId="16E83A73">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国有资金100%。</w:t>
            </w:r>
          </w:p>
        </w:tc>
      </w:tr>
      <w:tr w14:paraId="58B2889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0215FA03">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14</w:t>
            </w:r>
          </w:p>
        </w:tc>
        <w:tc>
          <w:tcPr>
            <w:tcW w:w="2013" w:type="dxa"/>
            <w:vAlign w:val="center"/>
          </w:tcPr>
          <w:p w14:paraId="3F7A4A29">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答疑会</w:t>
            </w:r>
          </w:p>
        </w:tc>
        <w:tc>
          <w:tcPr>
            <w:tcW w:w="7202" w:type="dxa"/>
            <w:vAlign w:val="center"/>
          </w:tcPr>
          <w:p w14:paraId="62E6F8A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不召开。</w:t>
            </w:r>
          </w:p>
        </w:tc>
      </w:tr>
      <w:tr w14:paraId="0081F02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1599B3D">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15</w:t>
            </w:r>
          </w:p>
        </w:tc>
        <w:tc>
          <w:tcPr>
            <w:tcW w:w="2013" w:type="dxa"/>
            <w:vAlign w:val="center"/>
          </w:tcPr>
          <w:p w14:paraId="4375C530">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是否接受联合体</w:t>
            </w:r>
          </w:p>
        </w:tc>
        <w:tc>
          <w:tcPr>
            <w:tcW w:w="7202" w:type="dxa"/>
            <w:vAlign w:val="center"/>
          </w:tcPr>
          <w:p w14:paraId="208C84EF">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cs="宋体"/>
                <w:color w:val="auto"/>
                <w:highlight w:val="none"/>
                <w:lang w:val="zh-CN"/>
              </w:rPr>
              <w:t>☑</w:t>
            </w:r>
            <w:r>
              <w:rPr>
                <w:rFonts w:hint="eastAsia" w:ascii="宋体" w:hAnsi="宋体" w:eastAsia="宋体" w:cs="宋体"/>
                <w:color w:val="auto"/>
                <w:highlight w:val="none"/>
                <w:lang w:val="zh-CN"/>
              </w:rPr>
              <w:t>不接受</w:t>
            </w:r>
          </w:p>
          <w:p w14:paraId="51719474">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cs="宋体"/>
                <w:color w:val="auto"/>
                <w:highlight w:val="none"/>
                <w:lang w:val="zh-CN"/>
              </w:rPr>
              <w:t>□</w:t>
            </w:r>
            <w:r>
              <w:rPr>
                <w:rFonts w:hint="eastAsia" w:ascii="宋体" w:hAnsi="宋体" w:eastAsia="宋体" w:cs="宋体"/>
                <w:color w:val="auto"/>
                <w:highlight w:val="none"/>
                <w:lang w:val="zh-CN"/>
              </w:rPr>
              <w:t>接受。</w:t>
            </w:r>
          </w:p>
        </w:tc>
      </w:tr>
      <w:tr w14:paraId="3FDA39B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64834ED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16</w:t>
            </w:r>
          </w:p>
        </w:tc>
        <w:tc>
          <w:tcPr>
            <w:tcW w:w="2013" w:type="dxa"/>
            <w:vAlign w:val="center"/>
          </w:tcPr>
          <w:p w14:paraId="7616FFD6">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投标保证金</w:t>
            </w:r>
          </w:p>
        </w:tc>
        <w:tc>
          <w:tcPr>
            <w:tcW w:w="7202" w:type="dxa"/>
            <w:vAlign w:val="center"/>
          </w:tcPr>
          <w:p w14:paraId="725A317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不收取。</w:t>
            </w:r>
          </w:p>
        </w:tc>
      </w:tr>
      <w:tr w14:paraId="003FEB8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8AD82DF">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17</w:t>
            </w:r>
          </w:p>
        </w:tc>
        <w:tc>
          <w:tcPr>
            <w:tcW w:w="2013" w:type="dxa"/>
            <w:vAlign w:val="center"/>
          </w:tcPr>
          <w:p w14:paraId="15456BB2">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合同履行期限</w:t>
            </w:r>
          </w:p>
        </w:tc>
        <w:tc>
          <w:tcPr>
            <w:tcW w:w="7202" w:type="dxa"/>
            <w:vAlign w:val="center"/>
          </w:tcPr>
          <w:p w14:paraId="523C573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接采购人通知后且具备安装条件后30日历天内货到采购人指定地点并完成全部安装调试且经采购人验收合格。</w:t>
            </w:r>
          </w:p>
        </w:tc>
      </w:tr>
      <w:tr w14:paraId="7248D36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6D31E024">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18</w:t>
            </w:r>
          </w:p>
        </w:tc>
        <w:tc>
          <w:tcPr>
            <w:tcW w:w="2013" w:type="dxa"/>
            <w:vAlign w:val="center"/>
          </w:tcPr>
          <w:p w14:paraId="436A3A44">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供应商对招标文件要求澄清的截止时间</w:t>
            </w:r>
          </w:p>
        </w:tc>
        <w:tc>
          <w:tcPr>
            <w:tcW w:w="7202" w:type="dxa"/>
            <w:vAlign w:val="center"/>
          </w:tcPr>
          <w:p w14:paraId="673C6728">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对招标文件有异议的，公告期限内获取招标文件的供应商应在自收到招标文件之日（获取招标文件之日）起7个工作日内提出，公告期限外获取招标文件的供应商应在公告期限届满之日起7个工作日内，以书面形式向采购人提出质疑，逾期将不予受理。</w:t>
            </w:r>
          </w:p>
        </w:tc>
      </w:tr>
      <w:tr w14:paraId="2E7FC4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85" w:type="dxa"/>
            <w:shd w:val="clear" w:color="auto" w:fill="auto"/>
            <w:vAlign w:val="center"/>
          </w:tcPr>
          <w:p w14:paraId="48C1DF2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19</w:t>
            </w:r>
          </w:p>
        </w:tc>
        <w:tc>
          <w:tcPr>
            <w:tcW w:w="2013" w:type="dxa"/>
            <w:vAlign w:val="center"/>
          </w:tcPr>
          <w:p w14:paraId="7725F5E1">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采购人澄清的截止时间</w:t>
            </w:r>
          </w:p>
        </w:tc>
        <w:tc>
          <w:tcPr>
            <w:tcW w:w="7202" w:type="dxa"/>
            <w:vAlign w:val="center"/>
          </w:tcPr>
          <w:p w14:paraId="087005B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采购人可对已发出的招标文件进行必要的澄清或修改，如澄清或修改的内容可能影响投标文件编制的，采购人应当在投标截止时间至少15日前，在</w:t>
            </w:r>
            <w:r>
              <w:rPr>
                <w:rFonts w:hint="eastAsia" w:ascii="宋体" w:hAnsi="宋体" w:eastAsia="宋体" w:cs="宋体"/>
                <w:color w:val="auto"/>
                <w:highlight w:val="none"/>
              </w:rPr>
              <w:t>招标</w:t>
            </w:r>
            <w:r>
              <w:rPr>
                <w:rFonts w:hint="eastAsia" w:ascii="宋体" w:hAnsi="宋体" w:eastAsia="宋体" w:cs="宋体"/>
                <w:color w:val="auto"/>
                <w:highlight w:val="none"/>
                <w:lang w:val="zh-CN"/>
              </w:rPr>
              <w:t>公告原发布媒体上发布更正公告，更正内容作为招标文件的组成部分；不足15日的，采购人将顺延提交投标文件的截止时间。如澄清或修改的内容不影响投标文件编制的，采购人将不延长提交投标文件的截止时间。</w:t>
            </w:r>
          </w:p>
        </w:tc>
      </w:tr>
      <w:tr w14:paraId="008DBF8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3AF694C1">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20</w:t>
            </w:r>
          </w:p>
        </w:tc>
        <w:tc>
          <w:tcPr>
            <w:tcW w:w="2013" w:type="dxa"/>
            <w:vAlign w:val="center"/>
          </w:tcPr>
          <w:p w14:paraId="65F5E8E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是否采用电子招标投标</w:t>
            </w:r>
          </w:p>
        </w:tc>
        <w:tc>
          <w:tcPr>
            <w:tcW w:w="7202" w:type="dxa"/>
            <w:vAlign w:val="center"/>
          </w:tcPr>
          <w:p w14:paraId="6283B3E5">
            <w:pPr>
              <w:keepNext w:val="0"/>
              <w:keepLines w:val="0"/>
              <w:suppressLineNumbers w:val="0"/>
              <w:shd w:val="clear"/>
              <w:spacing w:before="0" w:beforeAutospacing="0" w:after="0" w:afterAutospacing="0" w:line="240" w:lineRule="auto"/>
              <w:ind w:left="0" w:right="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是；本项目实行不见面电子招投标方式。</w:t>
            </w:r>
          </w:p>
        </w:tc>
      </w:tr>
      <w:tr w14:paraId="2849DFF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64FE7C3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21</w:t>
            </w:r>
          </w:p>
        </w:tc>
        <w:tc>
          <w:tcPr>
            <w:tcW w:w="2013" w:type="dxa"/>
            <w:vAlign w:val="center"/>
          </w:tcPr>
          <w:p w14:paraId="228664B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构成招标文件的其他材料</w:t>
            </w:r>
          </w:p>
        </w:tc>
        <w:tc>
          <w:tcPr>
            <w:tcW w:w="7202" w:type="dxa"/>
            <w:vAlign w:val="center"/>
          </w:tcPr>
          <w:p w14:paraId="7545742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rPr>
              <w:t>补充（答疑、澄清）、修改（</w:t>
            </w:r>
            <w:r>
              <w:rPr>
                <w:rFonts w:hint="eastAsia" w:ascii="宋体" w:hAnsi="宋体" w:eastAsia="宋体" w:cs="宋体"/>
                <w:color w:val="auto"/>
                <w:highlight w:val="none"/>
                <w:lang w:val="zh-CN"/>
              </w:rPr>
              <w:t>更正</w:t>
            </w:r>
            <w:r>
              <w:rPr>
                <w:rFonts w:hint="eastAsia" w:ascii="宋体" w:hAnsi="宋体" w:eastAsia="宋体" w:cs="宋体"/>
                <w:color w:val="auto"/>
                <w:highlight w:val="none"/>
              </w:rPr>
              <w:t>）文件。</w:t>
            </w:r>
          </w:p>
        </w:tc>
      </w:tr>
      <w:tr w14:paraId="5868F86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1A7C7CF">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22</w:t>
            </w:r>
          </w:p>
        </w:tc>
        <w:tc>
          <w:tcPr>
            <w:tcW w:w="2013" w:type="dxa"/>
            <w:vAlign w:val="center"/>
          </w:tcPr>
          <w:p w14:paraId="4B1FEA9F">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投标报价</w:t>
            </w:r>
          </w:p>
        </w:tc>
        <w:tc>
          <w:tcPr>
            <w:tcW w:w="7202" w:type="dxa"/>
            <w:vAlign w:val="center"/>
          </w:tcPr>
          <w:p w14:paraId="22075DEF">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投标报价是指供应商在正确地完全履行合同义务后采购人应支付给中标人所有的价款，</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rPr>
              <w:t>货款、标准附件、备品备件、专用工具、包装、运输、装卸、保险、税金、货到检查以及安装(含</w:t>
            </w:r>
            <w:r>
              <w:rPr>
                <w:rFonts w:hint="eastAsia" w:ascii="宋体" w:hAnsi="宋体" w:eastAsia="宋体" w:cs="宋体"/>
                <w:color w:val="auto"/>
                <w:highlight w:val="none"/>
                <w:lang w:val="en-US" w:eastAsia="zh-CN"/>
              </w:rPr>
              <w:t>管道</w:t>
            </w:r>
            <w:r>
              <w:rPr>
                <w:rFonts w:hint="eastAsia" w:ascii="宋体" w:hAnsi="宋体" w:eastAsia="宋体" w:cs="宋体"/>
                <w:color w:val="auto"/>
                <w:highlight w:val="none"/>
              </w:rPr>
              <w:t>等配套施工以及所需的所有辅材辅料）、调试、培训、保修</w:t>
            </w:r>
            <w:r>
              <w:rPr>
                <w:rFonts w:hint="eastAsia" w:ascii="宋体" w:hAnsi="宋体" w:eastAsia="宋体" w:cs="宋体"/>
                <w:color w:val="auto"/>
                <w:highlight w:val="none"/>
                <w:lang w:val="en-US" w:eastAsia="zh-CN"/>
              </w:rPr>
              <w:t>及泵房装修</w:t>
            </w:r>
            <w:r>
              <w:rPr>
                <w:rFonts w:hint="eastAsia" w:ascii="宋体" w:hAnsi="宋体" w:eastAsia="宋体" w:cs="宋体"/>
                <w:color w:val="auto"/>
                <w:highlight w:val="none"/>
              </w:rPr>
              <w:t>等一切税金和代理费用等完成本项目的其它费用和政策性文件规定及合同包含的所有风险、责任等所有费用。</w:t>
            </w:r>
          </w:p>
        </w:tc>
      </w:tr>
      <w:tr w14:paraId="1395813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shd w:val="clear" w:color="auto" w:fill="auto"/>
            <w:vAlign w:val="center"/>
          </w:tcPr>
          <w:p w14:paraId="7452B8B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23</w:t>
            </w:r>
          </w:p>
        </w:tc>
        <w:tc>
          <w:tcPr>
            <w:tcW w:w="2013" w:type="dxa"/>
            <w:vAlign w:val="center"/>
          </w:tcPr>
          <w:p w14:paraId="5944465E">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投标报价次数</w:t>
            </w:r>
          </w:p>
        </w:tc>
        <w:tc>
          <w:tcPr>
            <w:tcW w:w="7202" w:type="dxa"/>
            <w:vAlign w:val="center"/>
          </w:tcPr>
          <w:p w14:paraId="14BED6C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本次投标报价为一次，不得更改报价，供应商只有一次报价的机会。投标报价不得有选择性报价和附有条件，且不得高于最高限价。</w:t>
            </w:r>
          </w:p>
        </w:tc>
      </w:tr>
      <w:tr w14:paraId="650D4C6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shd w:val="clear" w:color="auto" w:fill="auto"/>
            <w:vAlign w:val="center"/>
          </w:tcPr>
          <w:p w14:paraId="3A438E1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24</w:t>
            </w:r>
          </w:p>
        </w:tc>
        <w:tc>
          <w:tcPr>
            <w:tcW w:w="2013" w:type="dxa"/>
            <w:vAlign w:val="center"/>
          </w:tcPr>
          <w:p w14:paraId="050530ED">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投标文件</w:t>
            </w:r>
            <w:r>
              <w:rPr>
                <w:rFonts w:hint="eastAsia" w:ascii="宋体" w:hAnsi="宋体" w:eastAsia="宋体" w:cs="宋体"/>
                <w:color w:val="auto"/>
                <w:highlight w:val="none"/>
              </w:rPr>
              <w:t>份数</w:t>
            </w:r>
          </w:p>
        </w:tc>
        <w:tc>
          <w:tcPr>
            <w:tcW w:w="7202" w:type="dxa"/>
            <w:vAlign w:val="center"/>
          </w:tcPr>
          <w:p w14:paraId="027DCA5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电子投标文件：加密电子投标文件一份，包括资格审查文件、资信技术文件、商务报价文件，按规定上传至衢州市阳光交易服务平台。</w:t>
            </w:r>
          </w:p>
          <w:p w14:paraId="285A7F8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中标人</w:t>
            </w:r>
            <w:r>
              <w:rPr>
                <w:rFonts w:hint="eastAsia" w:ascii="宋体" w:hAnsi="宋体" w:eastAsia="宋体" w:cs="宋体"/>
                <w:color w:val="auto"/>
                <w:highlight w:val="none"/>
                <w:lang w:val="zh-CN"/>
              </w:rPr>
              <w:t>在公示结束后，提供与投标时一致的纸质投标文件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套。</w:t>
            </w:r>
          </w:p>
        </w:tc>
      </w:tr>
      <w:tr w14:paraId="5D537C9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8B1E385">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25</w:t>
            </w:r>
          </w:p>
        </w:tc>
        <w:tc>
          <w:tcPr>
            <w:tcW w:w="2013" w:type="dxa"/>
            <w:vAlign w:val="center"/>
          </w:tcPr>
          <w:p w14:paraId="44BCF3AD">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投标截止时间</w:t>
            </w:r>
          </w:p>
        </w:tc>
        <w:tc>
          <w:tcPr>
            <w:tcW w:w="7202" w:type="dxa"/>
            <w:vAlign w:val="center"/>
          </w:tcPr>
          <w:p w14:paraId="727CB57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时  间：202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rPr>
              <w:t>年</w:t>
            </w:r>
            <w:r>
              <w:rPr>
                <w:rFonts w:hint="eastAsia" w:ascii="宋体" w:hAnsi="宋体" w:cs="宋体"/>
                <w:color w:val="auto"/>
                <w:highlight w:val="none"/>
                <w:lang w:val="en-US" w:eastAsia="zh-CN"/>
              </w:rPr>
              <w:t>2</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zh-CN"/>
              </w:rPr>
              <w:t>日</w:t>
            </w:r>
            <w:r>
              <w:rPr>
                <w:rFonts w:hint="eastAsia" w:ascii="宋体" w:hAnsi="宋体" w:cs="宋体"/>
                <w:color w:val="auto"/>
                <w:highlight w:val="none"/>
                <w:lang w:val="en-US" w:eastAsia="zh-CN"/>
              </w:rPr>
              <w:t>14</w:t>
            </w: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0时止。</w:t>
            </w:r>
          </w:p>
        </w:tc>
      </w:tr>
      <w:tr w14:paraId="4A9006A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3FBB37A1">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26</w:t>
            </w:r>
          </w:p>
        </w:tc>
        <w:tc>
          <w:tcPr>
            <w:tcW w:w="2013" w:type="dxa"/>
            <w:vAlign w:val="center"/>
          </w:tcPr>
          <w:p w14:paraId="38D8BEEA">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w:t>
            </w:r>
          </w:p>
        </w:tc>
        <w:tc>
          <w:tcPr>
            <w:tcW w:w="7202" w:type="dxa"/>
            <w:vAlign w:val="center"/>
          </w:tcPr>
          <w:p w14:paraId="1B3F05CB">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开标时间：同电子投标文件上传截止时间。</w:t>
            </w:r>
          </w:p>
          <w:p w14:paraId="4A01A67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开标地址：衢州市公共资源交易龙游县分中心</w:t>
            </w:r>
            <w:r>
              <w:rPr>
                <w:rFonts w:hint="eastAsia" w:ascii="宋体" w:hAnsi="宋体" w:eastAsia="宋体" w:cs="宋体"/>
                <w:color w:val="auto"/>
                <w:highlight w:val="none"/>
              </w:rPr>
              <w:t>2楼</w:t>
            </w:r>
            <w:r>
              <w:rPr>
                <w:rFonts w:hint="eastAsia" w:ascii="宋体" w:hAnsi="宋体" w:eastAsia="宋体" w:cs="宋体"/>
                <w:color w:val="auto"/>
                <w:highlight w:val="none"/>
                <w:lang w:val="zh-CN"/>
              </w:rPr>
              <w:t>开标室3（龙游县龙翔路原香溢市场西侧）</w:t>
            </w:r>
          </w:p>
          <w:p w14:paraId="1FD9875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开标平台：</w:t>
            </w:r>
            <w:r>
              <w:rPr>
                <w:rFonts w:hint="eastAsia" w:ascii="宋体" w:hAnsi="宋体" w:eastAsia="宋体" w:cs="宋体"/>
                <w:color w:val="auto"/>
                <w:highlight w:val="none"/>
              </w:rPr>
              <w:t>衢州市阳光交易服务平台不见面开标大厅。</w:t>
            </w:r>
          </w:p>
        </w:tc>
      </w:tr>
      <w:tr w14:paraId="717828B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9963F2E">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27</w:t>
            </w:r>
          </w:p>
        </w:tc>
        <w:tc>
          <w:tcPr>
            <w:tcW w:w="2013" w:type="dxa"/>
            <w:vAlign w:val="center"/>
          </w:tcPr>
          <w:p w14:paraId="5989E1D2">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递交投标文件的地址</w:t>
            </w:r>
          </w:p>
        </w:tc>
        <w:tc>
          <w:tcPr>
            <w:tcW w:w="7202" w:type="dxa"/>
            <w:vAlign w:val="center"/>
          </w:tcPr>
          <w:p w14:paraId="568E936E">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将由投标文件制作工具制作生成的加密投标文件在投标截止时间前（以上传完成时间为准）上传至衢州市阳光交易服务平台（网址：https://qzygjy.com/)。</w:t>
            </w:r>
          </w:p>
        </w:tc>
      </w:tr>
      <w:tr w14:paraId="34FA523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85" w:type="dxa"/>
            <w:shd w:val="clear" w:color="auto" w:fill="auto"/>
            <w:vAlign w:val="center"/>
          </w:tcPr>
          <w:p w14:paraId="0F285907">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28</w:t>
            </w:r>
          </w:p>
        </w:tc>
        <w:tc>
          <w:tcPr>
            <w:tcW w:w="2013" w:type="dxa"/>
            <w:vAlign w:val="center"/>
          </w:tcPr>
          <w:p w14:paraId="7F3C1909">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投标文件的外包装和密封要求</w:t>
            </w:r>
          </w:p>
        </w:tc>
        <w:tc>
          <w:tcPr>
            <w:tcW w:w="7202" w:type="dxa"/>
            <w:vAlign w:val="center"/>
          </w:tcPr>
          <w:p w14:paraId="3614362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电子招投标，无密封要求。</w:t>
            </w:r>
          </w:p>
        </w:tc>
      </w:tr>
      <w:tr w14:paraId="16BAA93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DCA17DC">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29</w:t>
            </w:r>
          </w:p>
        </w:tc>
        <w:tc>
          <w:tcPr>
            <w:tcW w:w="2013" w:type="dxa"/>
            <w:vAlign w:val="center"/>
          </w:tcPr>
          <w:p w14:paraId="35398D33">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投标文件封面上应载明的信息</w:t>
            </w:r>
          </w:p>
        </w:tc>
        <w:tc>
          <w:tcPr>
            <w:tcW w:w="7202" w:type="dxa"/>
            <w:vAlign w:val="center"/>
          </w:tcPr>
          <w:p w14:paraId="658F61AE">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详见第六章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投标文件格式。</w:t>
            </w:r>
          </w:p>
        </w:tc>
      </w:tr>
      <w:tr w14:paraId="482AFE7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78D3B1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30</w:t>
            </w:r>
          </w:p>
        </w:tc>
        <w:tc>
          <w:tcPr>
            <w:tcW w:w="2013" w:type="dxa"/>
            <w:vAlign w:val="center"/>
          </w:tcPr>
          <w:p w14:paraId="2F3D58FC">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cs="宋体"/>
                <w:color w:val="auto"/>
                <w:highlight w:val="none"/>
              </w:rPr>
              <w:t>签字或盖章要求</w:t>
            </w:r>
          </w:p>
        </w:tc>
        <w:tc>
          <w:tcPr>
            <w:tcW w:w="7202" w:type="dxa"/>
            <w:vAlign w:val="center"/>
          </w:tcPr>
          <w:p w14:paraId="6E8BA999">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rPr>
              <w:t>电子签章。采购文件所指的加盖单位公章为电子签章。投标文件须按采购文件格式要求，由投标人加盖单位公章和法定代表人或其授权代表印章（或签字）。</w:t>
            </w:r>
          </w:p>
        </w:tc>
      </w:tr>
      <w:tr w14:paraId="5908FFF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CBFEF94">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31</w:t>
            </w:r>
          </w:p>
        </w:tc>
        <w:tc>
          <w:tcPr>
            <w:tcW w:w="2013" w:type="dxa"/>
            <w:vAlign w:val="center"/>
          </w:tcPr>
          <w:p w14:paraId="1B727A7C">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是否允许提交备选投标方案</w:t>
            </w:r>
          </w:p>
        </w:tc>
        <w:tc>
          <w:tcPr>
            <w:tcW w:w="7202" w:type="dxa"/>
            <w:vAlign w:val="center"/>
          </w:tcPr>
          <w:p w14:paraId="544F53B2">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不允许。</w:t>
            </w:r>
          </w:p>
        </w:tc>
      </w:tr>
      <w:tr w14:paraId="6DCB53F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55262AA">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32</w:t>
            </w:r>
          </w:p>
        </w:tc>
        <w:tc>
          <w:tcPr>
            <w:tcW w:w="2013" w:type="dxa"/>
            <w:vAlign w:val="center"/>
          </w:tcPr>
          <w:p w14:paraId="2F9A5A1E">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是否允许</w:t>
            </w:r>
            <w:r>
              <w:rPr>
                <w:rFonts w:hint="eastAsia" w:ascii="宋体" w:hAnsi="宋体" w:eastAsia="宋体" w:cs="宋体"/>
                <w:color w:val="auto"/>
                <w:highlight w:val="none"/>
              </w:rPr>
              <w:t>采购进口产品</w:t>
            </w:r>
          </w:p>
        </w:tc>
        <w:tc>
          <w:tcPr>
            <w:tcW w:w="7202" w:type="dxa"/>
            <w:vAlign w:val="center"/>
          </w:tcPr>
          <w:p w14:paraId="0655B9A2">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不允许。</w:t>
            </w:r>
          </w:p>
        </w:tc>
      </w:tr>
      <w:tr w14:paraId="4993B66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5F8A2051">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33</w:t>
            </w:r>
          </w:p>
        </w:tc>
        <w:tc>
          <w:tcPr>
            <w:tcW w:w="2013" w:type="dxa"/>
            <w:vAlign w:val="center"/>
          </w:tcPr>
          <w:p w14:paraId="6150C284">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是否允许提交</w:t>
            </w:r>
            <w:r>
              <w:rPr>
                <w:rFonts w:hint="eastAsia" w:ascii="宋体" w:hAnsi="宋体" w:eastAsia="宋体" w:cs="宋体"/>
                <w:color w:val="auto"/>
                <w:highlight w:val="none"/>
                <w:lang w:val="en-US" w:eastAsia="zh-CN"/>
              </w:rPr>
              <w:t>样品</w:t>
            </w:r>
          </w:p>
        </w:tc>
        <w:tc>
          <w:tcPr>
            <w:tcW w:w="7202" w:type="dxa"/>
            <w:vAlign w:val="center"/>
          </w:tcPr>
          <w:p w14:paraId="59B18EA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sym w:font="Wingdings" w:char="00FE"/>
            </w:r>
            <w:r>
              <w:rPr>
                <w:rFonts w:hint="eastAsia" w:ascii="宋体" w:hAnsi="宋体" w:eastAsia="宋体" w:cs="宋体"/>
                <w:color w:val="auto"/>
                <w:highlight w:val="none"/>
                <w:lang w:val="zh-CN"/>
              </w:rPr>
              <w:t>不要求提供；</w:t>
            </w:r>
          </w:p>
          <w:p w14:paraId="3060074B">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sym w:font="Wingdings" w:char="00A8"/>
            </w:r>
            <w:r>
              <w:rPr>
                <w:rFonts w:hint="eastAsia" w:ascii="宋体" w:hAnsi="宋体" w:eastAsia="宋体" w:cs="宋体"/>
                <w:color w:val="auto"/>
                <w:highlight w:val="none"/>
                <w:lang w:val="zh-CN"/>
              </w:rPr>
              <w:t>要求提供。</w:t>
            </w:r>
          </w:p>
        </w:tc>
      </w:tr>
      <w:tr w14:paraId="62A5DEC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07473C0">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34</w:t>
            </w:r>
          </w:p>
        </w:tc>
        <w:tc>
          <w:tcPr>
            <w:tcW w:w="2013" w:type="dxa"/>
            <w:vAlign w:val="center"/>
          </w:tcPr>
          <w:p w14:paraId="64B037CD">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w:t>
            </w:r>
          </w:p>
        </w:tc>
        <w:tc>
          <w:tcPr>
            <w:tcW w:w="7202" w:type="dxa"/>
            <w:vAlign w:val="center"/>
          </w:tcPr>
          <w:p w14:paraId="16F9C998">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公开招标。</w:t>
            </w:r>
          </w:p>
        </w:tc>
      </w:tr>
      <w:tr w14:paraId="02A2A8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3EC8EAC">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35</w:t>
            </w:r>
          </w:p>
        </w:tc>
        <w:tc>
          <w:tcPr>
            <w:tcW w:w="2013" w:type="dxa"/>
            <w:vAlign w:val="center"/>
          </w:tcPr>
          <w:p w14:paraId="690F16C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评标委员会的组建</w:t>
            </w:r>
          </w:p>
        </w:tc>
        <w:tc>
          <w:tcPr>
            <w:tcW w:w="7202" w:type="dxa"/>
            <w:vAlign w:val="center"/>
          </w:tcPr>
          <w:p w14:paraId="06A5E660">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 xml:space="preserve">评标委员会人数： </w:t>
            </w:r>
            <w:r>
              <w:rPr>
                <w:rFonts w:hint="eastAsia" w:ascii="宋体" w:hAnsi="宋体" w:eastAsia="宋体" w:cs="宋体"/>
                <w:color w:val="auto"/>
                <w:highlight w:val="none"/>
                <w:u w:val="single"/>
                <w:lang w:val="zh-CN"/>
              </w:rPr>
              <w:t xml:space="preserve"> </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人及以上单数，其中</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val="zh-CN"/>
              </w:rPr>
              <w:t>人代表不超过三分之一，有关技术、经济方面的专家人数不少于三分之二。</w:t>
            </w:r>
          </w:p>
          <w:p w14:paraId="600EAB1C">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评标委员会组成方式：由</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val="zh-CN"/>
              </w:rPr>
              <w:t>人代表和有关技术、经济方面的专家组成。</w:t>
            </w:r>
          </w:p>
          <w:p w14:paraId="33AA3D7D">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评标委员会确定方式：按规定随机选聘。</w:t>
            </w:r>
          </w:p>
        </w:tc>
      </w:tr>
      <w:tr w14:paraId="1E6E5E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0365823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36</w:t>
            </w:r>
          </w:p>
        </w:tc>
        <w:tc>
          <w:tcPr>
            <w:tcW w:w="2013" w:type="dxa"/>
            <w:vAlign w:val="center"/>
          </w:tcPr>
          <w:p w14:paraId="2EC535BE">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评审办法</w:t>
            </w:r>
          </w:p>
        </w:tc>
        <w:tc>
          <w:tcPr>
            <w:tcW w:w="7202" w:type="dxa"/>
            <w:vAlign w:val="center"/>
          </w:tcPr>
          <w:p w14:paraId="3AC407E0">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综合评分法。</w:t>
            </w:r>
          </w:p>
        </w:tc>
      </w:tr>
      <w:tr w14:paraId="4DF8748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6B9563A9">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37</w:t>
            </w:r>
          </w:p>
        </w:tc>
        <w:tc>
          <w:tcPr>
            <w:tcW w:w="2013" w:type="dxa"/>
            <w:vAlign w:val="center"/>
          </w:tcPr>
          <w:p w14:paraId="6FFFA8C1">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确定</w:t>
            </w:r>
            <w:r>
              <w:rPr>
                <w:rFonts w:hint="eastAsia" w:ascii="宋体" w:hAnsi="宋体" w:cs="宋体"/>
                <w:color w:val="auto"/>
                <w:highlight w:val="none"/>
                <w:lang w:val="zh-CN"/>
              </w:rPr>
              <w:t>中标人</w:t>
            </w:r>
          </w:p>
        </w:tc>
        <w:tc>
          <w:tcPr>
            <w:tcW w:w="7202" w:type="dxa"/>
            <w:vAlign w:val="center"/>
          </w:tcPr>
          <w:p w14:paraId="7943BE98">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确定1个</w:t>
            </w:r>
            <w:r>
              <w:rPr>
                <w:rFonts w:hint="eastAsia" w:ascii="宋体" w:hAnsi="宋体" w:cs="宋体"/>
                <w:color w:val="auto"/>
                <w:highlight w:val="none"/>
                <w:lang w:val="zh-CN"/>
              </w:rPr>
              <w:t>中标人</w:t>
            </w:r>
            <w:r>
              <w:rPr>
                <w:rFonts w:hint="eastAsia" w:ascii="宋体" w:hAnsi="宋体" w:eastAsia="宋体" w:cs="宋体"/>
                <w:color w:val="auto"/>
                <w:highlight w:val="none"/>
                <w:lang w:val="zh-CN"/>
              </w:rPr>
              <w:t>，中标结果在衢州市阳光交易服务平台、浙江政府采购网公告，中标结果公告期限为1个工作日。</w:t>
            </w:r>
          </w:p>
        </w:tc>
      </w:tr>
      <w:tr w14:paraId="71CC38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0AF2D83E">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rPr>
              <w:t>38</w:t>
            </w:r>
          </w:p>
        </w:tc>
        <w:tc>
          <w:tcPr>
            <w:tcW w:w="2013" w:type="dxa"/>
            <w:vAlign w:val="center"/>
          </w:tcPr>
          <w:p w14:paraId="54A2D6FF">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履约保证金</w:t>
            </w:r>
            <w:r>
              <w:rPr>
                <w:rFonts w:hint="eastAsia" w:ascii="宋体" w:hAnsi="宋体" w:cs="宋体"/>
                <w:color w:val="auto"/>
                <w:highlight w:val="none"/>
                <w:lang w:val="en-US" w:eastAsia="zh-CN"/>
              </w:rPr>
              <w:t>的缴纳与退还</w:t>
            </w:r>
          </w:p>
        </w:tc>
        <w:tc>
          <w:tcPr>
            <w:tcW w:w="7202" w:type="dxa"/>
            <w:vAlign w:val="center"/>
          </w:tcPr>
          <w:p w14:paraId="085F214F">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1.缴纳金额：</w:t>
            </w:r>
            <w:r>
              <w:rPr>
                <w:rFonts w:hint="eastAsia" w:ascii="宋体" w:hAnsi="宋体" w:eastAsia="宋体" w:cs="宋体"/>
                <w:color w:val="auto"/>
                <w:highlight w:val="none"/>
                <w:lang w:val="en-US" w:eastAsia="zh-CN"/>
              </w:rPr>
              <w:t>合同价的1%</w:t>
            </w:r>
            <w:r>
              <w:rPr>
                <w:rFonts w:hint="eastAsia" w:ascii="宋体" w:hAnsi="宋体" w:eastAsia="宋体" w:cs="宋体"/>
                <w:color w:val="auto"/>
                <w:highlight w:val="none"/>
                <w:lang w:val="zh-CN" w:eastAsia="zh-CN"/>
              </w:rPr>
              <w:t>；</w:t>
            </w:r>
          </w:p>
          <w:p w14:paraId="0F54195B">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2.缴纳方式：汇票/支票/银行转账/银行保函/保险保函。</w:t>
            </w:r>
          </w:p>
          <w:p w14:paraId="20BB7578">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3.缴纳时间：本项目中标通知书发出后合同签订前缴纳；</w:t>
            </w:r>
          </w:p>
          <w:p w14:paraId="465ECF00">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4.退还条件：</w:t>
            </w:r>
            <w:r>
              <w:rPr>
                <w:rFonts w:hint="eastAsia" w:ascii="宋体" w:hAnsi="宋体" w:cs="宋体"/>
                <w:color w:val="auto"/>
                <w:highlight w:val="none"/>
                <w:lang w:val="zh-CN"/>
              </w:rPr>
              <w:t>项目验收合格</w:t>
            </w:r>
            <w:r>
              <w:rPr>
                <w:rFonts w:hint="eastAsia" w:ascii="宋体" w:hAnsi="宋体" w:eastAsia="宋体" w:cs="宋体"/>
                <w:color w:val="auto"/>
                <w:highlight w:val="none"/>
                <w:lang w:val="zh-CN"/>
              </w:rPr>
              <w:t>后7个工作日内退还（不计息）。</w:t>
            </w:r>
          </w:p>
        </w:tc>
      </w:tr>
      <w:tr w14:paraId="3A52C9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011A5671">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39</w:t>
            </w:r>
          </w:p>
        </w:tc>
        <w:tc>
          <w:tcPr>
            <w:tcW w:w="2013" w:type="dxa"/>
            <w:vAlign w:val="center"/>
          </w:tcPr>
          <w:p w14:paraId="0E3160F6">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构成招标文件的其他资料</w:t>
            </w:r>
          </w:p>
        </w:tc>
        <w:tc>
          <w:tcPr>
            <w:tcW w:w="7202" w:type="dxa"/>
            <w:vAlign w:val="center"/>
          </w:tcPr>
          <w:p w14:paraId="14B4793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sym w:font="Wingdings 2" w:char="0052"/>
            </w:r>
            <w:r>
              <w:rPr>
                <w:rFonts w:hint="eastAsia" w:ascii="宋体" w:hAnsi="宋体" w:eastAsia="宋体" w:cs="宋体"/>
                <w:color w:val="auto"/>
                <w:highlight w:val="none"/>
                <w:lang w:val="zh-CN" w:eastAsia="zh-CN"/>
              </w:rPr>
              <w:t>图纸</w:t>
            </w:r>
          </w:p>
          <w:p w14:paraId="324F91C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sym w:font="Wingdings 2" w:char="0052"/>
            </w:r>
            <w:r>
              <w:rPr>
                <w:rFonts w:hint="eastAsia" w:ascii="宋体" w:hAnsi="宋体" w:eastAsia="宋体" w:cs="宋体"/>
                <w:color w:val="auto"/>
                <w:highlight w:val="none"/>
                <w:lang w:val="en-US" w:eastAsia="zh-CN"/>
              </w:rPr>
              <w:t>清单</w:t>
            </w:r>
          </w:p>
        </w:tc>
      </w:tr>
      <w:tr w14:paraId="430209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1BBFD45E">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rPr>
              <w:t>40</w:t>
            </w:r>
          </w:p>
        </w:tc>
        <w:tc>
          <w:tcPr>
            <w:tcW w:w="2013" w:type="dxa"/>
            <w:vAlign w:val="center"/>
          </w:tcPr>
          <w:p w14:paraId="1D606693">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签字或盖章要求</w:t>
            </w:r>
          </w:p>
        </w:tc>
        <w:tc>
          <w:tcPr>
            <w:tcW w:w="7202" w:type="dxa"/>
            <w:vAlign w:val="center"/>
          </w:tcPr>
          <w:p w14:paraId="75CFB77D">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rPr>
              <w:t>电子签章。采购文件所指的加盖单位公章为电子签章。投标文件须按采购文件格式要求，由投标人加盖单位公章和法定代表人或其授权代表印章（或签字）。</w:t>
            </w:r>
          </w:p>
        </w:tc>
      </w:tr>
      <w:tr w14:paraId="68BD45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1A40B21F">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rPr>
              <w:t>41</w:t>
            </w:r>
          </w:p>
        </w:tc>
        <w:tc>
          <w:tcPr>
            <w:tcW w:w="2013" w:type="dxa"/>
            <w:vAlign w:val="center"/>
          </w:tcPr>
          <w:p w14:paraId="379A0D26">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签订合同时间</w:t>
            </w:r>
          </w:p>
        </w:tc>
        <w:tc>
          <w:tcPr>
            <w:tcW w:w="7202" w:type="dxa"/>
            <w:vAlign w:val="center"/>
          </w:tcPr>
          <w:p w14:paraId="66B4AF2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中标通知书发出之日起30日内</w:t>
            </w:r>
          </w:p>
        </w:tc>
      </w:tr>
      <w:tr w14:paraId="5C6D933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4D6CD2D">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en-US" w:eastAsia="zh-CN"/>
              </w:rPr>
              <w:t>42</w:t>
            </w:r>
          </w:p>
        </w:tc>
        <w:tc>
          <w:tcPr>
            <w:tcW w:w="2013" w:type="dxa"/>
            <w:vAlign w:val="center"/>
          </w:tcPr>
          <w:p w14:paraId="115BD8C9">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采购信息发布媒体</w:t>
            </w:r>
          </w:p>
        </w:tc>
        <w:tc>
          <w:tcPr>
            <w:tcW w:w="7202" w:type="dxa"/>
            <w:vAlign w:val="center"/>
          </w:tcPr>
          <w:p w14:paraId="40C05F22">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衢州市阳光交易服务平台（https://qzygjy.com/）、浙江省政府采购网（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http://zfcg.czt.zj.gov.cn/</w:t>
            </w:r>
            <w:r>
              <w:rPr>
                <w:rFonts w:hint="eastAsia" w:ascii="宋体" w:hAnsi="宋体" w:eastAsia="宋体" w:cs="宋体"/>
                <w:color w:val="auto"/>
                <w:highlight w:val="none"/>
                <w:lang w:val="zh-CN"/>
              </w:rPr>
              <w:fldChar w:fldCharType="end"/>
            </w:r>
            <w:r>
              <w:rPr>
                <w:rFonts w:hint="eastAsia" w:ascii="宋体" w:hAnsi="宋体" w:eastAsia="宋体" w:cs="宋体"/>
                <w:color w:val="auto"/>
                <w:highlight w:val="none"/>
                <w:lang w:val="zh-CN"/>
              </w:rPr>
              <w:t>）</w:t>
            </w:r>
          </w:p>
        </w:tc>
      </w:tr>
      <w:tr w14:paraId="0761D3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2A935AC3">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43</w:t>
            </w:r>
          </w:p>
        </w:tc>
        <w:tc>
          <w:tcPr>
            <w:tcW w:w="2013" w:type="dxa"/>
            <w:vAlign w:val="center"/>
          </w:tcPr>
          <w:p w14:paraId="180BF7C0">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落实</w:t>
            </w:r>
            <w:r>
              <w:rPr>
                <w:rFonts w:hint="eastAsia" w:ascii="宋体" w:hAnsi="宋体" w:eastAsia="宋体" w:cs="宋体"/>
                <w:color w:val="auto"/>
                <w:highlight w:val="none"/>
              </w:rPr>
              <w:t>国企</w:t>
            </w:r>
            <w:r>
              <w:rPr>
                <w:rFonts w:hint="eastAsia" w:ascii="宋体" w:hAnsi="宋体" w:eastAsia="宋体" w:cs="宋体"/>
                <w:color w:val="auto"/>
                <w:highlight w:val="none"/>
                <w:lang w:val="zh-CN"/>
              </w:rPr>
              <w:t>采购政策需满足的要求</w:t>
            </w:r>
          </w:p>
          <w:p w14:paraId="54AC73B4">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p>
        </w:tc>
        <w:tc>
          <w:tcPr>
            <w:tcW w:w="7202" w:type="dxa"/>
            <w:vAlign w:val="center"/>
          </w:tcPr>
          <w:p w14:paraId="1676285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一、中小企业</w:t>
            </w:r>
          </w:p>
          <w:p w14:paraId="6AFDAD7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根据财政部工信部《关于印发政府采购促进中小企业发展管理办法的通知》财库〔2020〕46号（以下简称本办法）规定，本项目属于非专门面向中小企业采购，对符合本办法规定的小微企业报价给予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0%的扣除，用扣除后的价格参加评审。</w:t>
            </w:r>
          </w:p>
          <w:p w14:paraId="5D2D9AA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（1）中小企业划分</w:t>
            </w:r>
          </w:p>
          <w:p w14:paraId="6107F40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14:paraId="72B0E47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符合中小企业划分标准的个体工商户，在政府采购活动中视同中小企业。</w:t>
            </w:r>
          </w:p>
          <w:p w14:paraId="137C0344">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（2）行业划型标准</w:t>
            </w:r>
          </w:p>
          <w:p w14:paraId="0828F678">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1.项目属性：</w:t>
            </w:r>
            <w:r>
              <w:rPr>
                <w:rFonts w:hint="eastAsia" w:ascii="宋体" w:hAnsi="宋体" w:cs="宋体"/>
                <w:color w:val="auto"/>
                <w:highlight w:val="none"/>
                <w:lang w:val="en-US" w:eastAsia="zh-CN"/>
              </w:rPr>
              <w:t>货物</w:t>
            </w:r>
            <w:r>
              <w:rPr>
                <w:rFonts w:hint="eastAsia" w:ascii="宋体" w:hAnsi="宋体" w:eastAsia="宋体" w:cs="宋体"/>
                <w:color w:val="auto"/>
                <w:highlight w:val="none"/>
                <w:lang w:val="zh-CN"/>
              </w:rPr>
              <w:t>类；采购标的对应所属行业：</w:t>
            </w:r>
            <w:r>
              <w:rPr>
                <w:rFonts w:hint="eastAsia" w:ascii="宋体" w:hAnsi="宋体" w:cs="宋体"/>
                <w:color w:val="auto"/>
                <w:highlight w:val="none"/>
                <w:lang w:val="en-US" w:eastAsia="zh-CN"/>
              </w:rPr>
              <w:t>工业</w:t>
            </w:r>
            <w:r>
              <w:rPr>
                <w:rFonts w:hint="eastAsia" w:ascii="宋体" w:hAnsi="宋体" w:eastAsia="宋体" w:cs="宋体"/>
                <w:color w:val="auto"/>
                <w:highlight w:val="none"/>
                <w:lang w:val="zh-CN" w:eastAsia="zh-CN"/>
              </w:rPr>
              <w:t>。</w:t>
            </w:r>
          </w:p>
          <w:p w14:paraId="611F159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zh-CN"/>
              </w:rPr>
              <w:t>2.中小企业行业划分标准：</w:t>
            </w:r>
            <w:r>
              <w:rPr>
                <w:rFonts w:hint="eastAsia" w:ascii="宋体" w:hAnsi="宋体" w:cs="宋体"/>
                <w:color w:val="auto"/>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285B0E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（3）在本项目采购活动中，供应商提供的货物或服务符合下列情形的，可享受本办法规定的中小企业扶持政策：</w:t>
            </w:r>
          </w:p>
          <w:p w14:paraId="11F1959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货物由中小企业制造，即货物由中小企业生产且使用该中小企业商号或者注册商标，在货物采购项目中，供应商提供的货物既有中小企业制造货物，也有大型企业制造货物的，不享受本办法规定的中小企业扶持政策（本条服务采购项目不适用）。</w:t>
            </w:r>
          </w:p>
          <w:p w14:paraId="19F9441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②中小企业参加政府采购活动，应当提供《中小企业声明函》。</w:t>
            </w:r>
          </w:p>
          <w:p w14:paraId="794774A5">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（4）不可享受本办法规定的中小企业扶持政策的情形</w:t>
            </w:r>
          </w:p>
          <w:p w14:paraId="5EE13B9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zh-CN"/>
              </w:rPr>
              <w:t>①未提供《中小企业声明函》，或者提供的《中小企业声明函》不符合相关规定。</w:t>
            </w:r>
          </w:p>
          <w:p w14:paraId="3CBA4B6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②监狱企业、残疾人福利性单位属于小型微型企业的，不重复享受小微企业优惠政策。</w:t>
            </w:r>
          </w:p>
          <w:p w14:paraId="6742F725">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③事业单位和社会团体不属于企业，不享受小微企业扶持政策。</w:t>
            </w:r>
          </w:p>
          <w:p w14:paraId="4FF5F1F3">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二、监狱企业</w:t>
            </w:r>
          </w:p>
          <w:p w14:paraId="0BD8385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（1）根据财政部、司法部《关于政府采购支持监狱企业发展有关问题的通知》(财库〔2014〕68号)文件精神，监狱企业视同小微企业。</w:t>
            </w:r>
          </w:p>
          <w:p w14:paraId="555FC13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（2）监狱企业应当提供《监狱企业声明函》及由省级以上监狱管理局、戒毒管理局(含新疆生产建设兵团)出具的属于监狱企业的证明文件，否则不予认可。</w:t>
            </w:r>
          </w:p>
          <w:p w14:paraId="79B619A3">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三、残疾人福利性单位</w:t>
            </w:r>
          </w:p>
          <w:p w14:paraId="6ECF72E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（1）根据财政部 民政部 中国残疾人联合会《关于促进残疾人就业政府采购政策的通知》(财库〔2017〕141号)文件精神，残疾人福利性单位视同小微企业。</w:t>
            </w:r>
          </w:p>
          <w:p w14:paraId="01F5489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（2）残疾人福利性单位应当提供《残疾人福利性单位声明函》，否则不予认可。</w:t>
            </w:r>
          </w:p>
        </w:tc>
      </w:tr>
      <w:tr w14:paraId="245DC21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22647760">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4</w:t>
            </w:r>
          </w:p>
        </w:tc>
        <w:tc>
          <w:tcPr>
            <w:tcW w:w="2013" w:type="dxa"/>
            <w:vAlign w:val="center"/>
          </w:tcPr>
          <w:p w14:paraId="1000ADBC">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供应商质疑</w:t>
            </w:r>
          </w:p>
        </w:tc>
        <w:tc>
          <w:tcPr>
            <w:tcW w:w="7202" w:type="dxa"/>
            <w:vAlign w:val="center"/>
          </w:tcPr>
          <w:p w14:paraId="053F95C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名称：</w:t>
            </w:r>
            <w:r>
              <w:rPr>
                <w:rFonts w:hint="eastAsia" w:ascii="宋体" w:hAnsi="宋体" w:cs="宋体"/>
                <w:color w:val="auto"/>
                <w:highlight w:val="none"/>
                <w:lang w:val="zh-CN"/>
              </w:rPr>
              <w:t>浙江新诚信工程咨询有限公司</w:t>
            </w:r>
            <w:r>
              <w:rPr>
                <w:rFonts w:hint="eastAsia" w:ascii="宋体" w:hAnsi="宋体" w:eastAsia="宋体" w:cs="宋体"/>
                <w:color w:val="auto"/>
                <w:highlight w:val="none"/>
                <w:lang w:val="zh-CN"/>
              </w:rPr>
              <w:t xml:space="preserve">  </w:t>
            </w:r>
          </w:p>
          <w:p w14:paraId="4E7025E8">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w:t>
            </w:r>
            <w:r>
              <w:rPr>
                <w:rFonts w:hint="eastAsia" w:ascii="宋体" w:hAnsi="宋体" w:cs="宋体"/>
                <w:color w:val="auto"/>
                <w:highlight w:val="none"/>
                <w:lang w:val="zh-CN"/>
              </w:rPr>
              <w:t>龙游县龙洲街道环河步行街242号313室</w:t>
            </w:r>
          </w:p>
          <w:p w14:paraId="33B674A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质疑联系人：</w:t>
            </w:r>
            <w:r>
              <w:rPr>
                <w:rFonts w:hint="eastAsia" w:ascii="宋体" w:hAnsi="宋体" w:cs="宋体"/>
                <w:color w:val="auto"/>
                <w:highlight w:val="none"/>
                <w:lang w:val="en-US" w:eastAsia="zh-CN"/>
              </w:rPr>
              <w:t>唐女士</w:t>
            </w:r>
          </w:p>
          <w:p w14:paraId="0580E33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质疑联系方式：</w:t>
            </w:r>
            <w:r>
              <w:rPr>
                <w:rFonts w:hint="eastAsia" w:ascii="宋体" w:hAnsi="宋体" w:cs="宋体"/>
                <w:color w:val="auto"/>
                <w:highlight w:val="none"/>
                <w:lang w:val="en-US" w:eastAsia="zh-CN"/>
              </w:rPr>
              <w:t>13357013858</w:t>
            </w:r>
          </w:p>
        </w:tc>
      </w:tr>
      <w:tr w14:paraId="7E55DD9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71CC735">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5</w:t>
            </w:r>
          </w:p>
        </w:tc>
        <w:tc>
          <w:tcPr>
            <w:tcW w:w="2013" w:type="dxa"/>
            <w:vAlign w:val="center"/>
          </w:tcPr>
          <w:p w14:paraId="40AB37C3">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供应商投诉</w:t>
            </w:r>
          </w:p>
        </w:tc>
        <w:tc>
          <w:tcPr>
            <w:tcW w:w="7202" w:type="dxa"/>
            <w:vAlign w:val="center"/>
          </w:tcPr>
          <w:p w14:paraId="7229198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eastAsia="zh-CN"/>
              </w:rPr>
            </w:pPr>
            <w:r>
              <w:rPr>
                <w:rFonts w:hint="eastAsia" w:ascii="宋体" w:hAnsi="宋体" w:eastAsia="宋体" w:cs="宋体"/>
                <w:color w:val="auto"/>
                <w:highlight w:val="none"/>
                <w:lang w:val="zh-CN"/>
              </w:rPr>
              <w:t>名称：</w:t>
            </w:r>
            <w:r>
              <w:rPr>
                <w:rFonts w:hint="eastAsia" w:ascii="宋体" w:hAnsi="宋体" w:cs="宋体"/>
                <w:color w:val="auto"/>
                <w:highlight w:val="none"/>
                <w:lang w:val="zh-CN" w:eastAsia="zh-CN"/>
              </w:rPr>
              <w:t>龙游县水务集团有限公司招投标分中心</w:t>
            </w:r>
          </w:p>
          <w:p w14:paraId="5F85A88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w:t>
            </w:r>
            <w:r>
              <w:rPr>
                <w:rFonts w:hint="eastAsia" w:ascii="宋体" w:hAnsi="宋体" w:cs="宋体"/>
                <w:color w:val="auto"/>
                <w:highlight w:val="none"/>
                <w:lang w:val="zh-CN"/>
              </w:rPr>
              <w:t>龙游县荣昌路东道35号</w:t>
            </w:r>
          </w:p>
          <w:p w14:paraId="3A52C5D6">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ascii="宋体" w:hAnsi="宋体" w:cs="宋体"/>
                <w:color w:val="auto"/>
                <w:highlight w:val="none"/>
                <w:lang w:val="zh-CN"/>
              </w:rPr>
              <w:t>夏先生</w:t>
            </w:r>
          </w:p>
          <w:p w14:paraId="41EBFA0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监督投诉方式：</w:t>
            </w:r>
            <w:r>
              <w:rPr>
                <w:rFonts w:hint="eastAsia" w:ascii="宋体" w:hAnsi="宋体" w:cs="宋体"/>
                <w:color w:val="auto"/>
                <w:highlight w:val="none"/>
                <w:lang w:val="zh-CN"/>
              </w:rPr>
              <w:t xml:space="preserve">18367058222    </w:t>
            </w:r>
            <w:r>
              <w:rPr>
                <w:rFonts w:hint="eastAsia" w:ascii="宋体" w:hAnsi="宋体" w:eastAsia="宋体" w:cs="宋体"/>
                <w:color w:val="auto"/>
                <w:highlight w:val="none"/>
                <w:lang w:val="zh-CN"/>
              </w:rPr>
              <w:t xml:space="preserve">  </w:t>
            </w:r>
          </w:p>
        </w:tc>
      </w:tr>
      <w:tr w14:paraId="683F38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955B82B">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46</w:t>
            </w:r>
          </w:p>
        </w:tc>
        <w:tc>
          <w:tcPr>
            <w:tcW w:w="2013" w:type="dxa"/>
            <w:vAlign w:val="center"/>
          </w:tcPr>
          <w:p w14:paraId="4395AB3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解释权</w:t>
            </w:r>
          </w:p>
        </w:tc>
        <w:tc>
          <w:tcPr>
            <w:tcW w:w="7202" w:type="dxa"/>
            <w:vAlign w:val="center"/>
          </w:tcPr>
          <w:p w14:paraId="02BCCF35">
            <w:pPr>
              <w:keepNext w:val="0"/>
              <w:keepLines w:val="0"/>
              <w:suppressLineNumbers w:val="0"/>
              <w:shd w:val="clear"/>
              <w:spacing w:before="0" w:beforeAutospacing="0" w:after="0" w:afterAutospacing="0"/>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本文件的解释权属于采购人</w:t>
            </w:r>
          </w:p>
        </w:tc>
      </w:tr>
    </w:tbl>
    <w:p w14:paraId="7F06468B">
      <w:pPr>
        <w:pStyle w:val="4"/>
        <w:numPr>
          <w:ilvl w:val="1"/>
          <w:numId w:val="0"/>
        </w:numPr>
        <w:shd w:val="clear"/>
        <w:spacing w:beforeLines="0" w:afterLines="0"/>
        <w:rPr>
          <w:rFonts w:hint="eastAsia" w:ascii="宋体" w:hAnsi="宋体" w:eastAsia="宋体" w:cs="宋体"/>
          <w:b/>
          <w:bCs w:val="0"/>
          <w:color w:val="auto"/>
          <w:highlight w:val="none"/>
          <w:lang w:bidi="ar"/>
        </w:rPr>
      </w:pPr>
      <w:bookmarkStart w:id="415" w:name="_Toc17814"/>
      <w:bookmarkStart w:id="416" w:name="_Toc22609"/>
      <w:bookmarkStart w:id="417" w:name="_Toc19328"/>
      <w:bookmarkStart w:id="418" w:name="_Toc12264"/>
      <w:bookmarkStart w:id="419" w:name="_Toc5088"/>
      <w:bookmarkStart w:id="420" w:name="_Toc19602"/>
      <w:bookmarkStart w:id="421" w:name="_Toc1271"/>
      <w:bookmarkStart w:id="422" w:name="_Toc8910"/>
      <w:r>
        <w:rPr>
          <w:rFonts w:hint="eastAsia" w:ascii="宋体" w:hAnsi="宋体" w:eastAsia="宋体" w:cs="宋体"/>
          <w:b/>
          <w:bCs w:val="0"/>
          <w:color w:val="auto"/>
          <w:highlight w:val="none"/>
          <w:lang w:bidi="ar"/>
        </w:rPr>
        <w:t>二、</w:t>
      </w:r>
      <w:bookmarkEnd w:id="363"/>
      <w:bookmarkEnd w:id="364"/>
      <w:bookmarkEnd w:id="365"/>
      <w:bookmarkEnd w:id="366"/>
      <w:bookmarkEnd w:id="367"/>
      <w:bookmarkEnd w:id="368"/>
      <w:r>
        <w:rPr>
          <w:rFonts w:hint="eastAsia" w:ascii="宋体" w:hAnsi="宋体" w:eastAsia="宋体" w:cs="宋体"/>
          <w:b/>
          <w:bCs w:val="0"/>
          <w:color w:val="auto"/>
          <w:highlight w:val="none"/>
          <w:lang w:bidi="ar"/>
        </w:rPr>
        <w:t>总 则</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415"/>
      <w:bookmarkEnd w:id="416"/>
      <w:bookmarkEnd w:id="417"/>
      <w:bookmarkEnd w:id="418"/>
      <w:bookmarkEnd w:id="419"/>
      <w:bookmarkEnd w:id="420"/>
      <w:bookmarkEnd w:id="421"/>
      <w:bookmarkEnd w:id="422"/>
    </w:p>
    <w:p w14:paraId="64D558B3">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编制依据</w:t>
      </w:r>
    </w:p>
    <w:p w14:paraId="638DAB63">
      <w:pPr>
        <w:pStyle w:val="36"/>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根据《龙游县国有企业采购管理办法》（龙政办发〔2021〕58号），参照《中华人民共和国政府采购法》《中华人民共和国政府采购法实施条例》以及政府采购有关规定，编制本招标文件。</w:t>
      </w:r>
    </w:p>
    <w:p w14:paraId="0E23CDFE">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定 义</w:t>
      </w:r>
    </w:p>
    <w:p w14:paraId="4A881BB1">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bCs/>
          <w:snapToGrid w:val="0"/>
          <w:color w:val="auto"/>
          <w:highlight w:val="none"/>
        </w:rPr>
        <w:t>采购人，是指本次采购货物或服务的购买单位。</w:t>
      </w:r>
    </w:p>
    <w:p w14:paraId="3C354BF1">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供应商，是指响应招标、参加投标竞争的法人。</w:t>
      </w:r>
    </w:p>
    <w:p w14:paraId="4D90F5DB">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采购代理机构（采购组织机构），是指</w:t>
      </w:r>
      <w:r>
        <w:rPr>
          <w:rFonts w:hint="eastAsia" w:ascii="宋体" w:hAnsi="宋体" w:eastAsia="宋体" w:cs="宋体"/>
          <w:color w:val="auto"/>
          <w:highlight w:val="none"/>
          <w:shd w:val="clear" w:color="auto" w:fill="FFFFFF"/>
        </w:rPr>
        <w:t>在采购活动中根据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"http://www.so.com/s?q=%E9%87%87%E8%B4%AD%E4%BA%BA&amp;ie=utf-8&amp;src=internal_wenda_recommend_textn" \t "https://wenda.so.com/q/_blank" </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shd w:val="clear" w:color="auto" w:fill="FFFFFF"/>
        </w:rPr>
        <w:t>采购人</w:t>
      </w:r>
      <w:r>
        <w:rPr>
          <w:rStyle w:val="47"/>
          <w:rFonts w:hint="eastAsia" w:ascii="宋体" w:hAnsi="宋体" w:eastAsia="宋体" w:cs="宋体"/>
          <w:color w:val="auto"/>
          <w:highlight w:val="none"/>
          <w:shd w:val="clear" w:color="auto" w:fill="FFFFFF"/>
        </w:rPr>
        <w:fldChar w:fldCharType="end"/>
      </w:r>
      <w:r>
        <w:rPr>
          <w:rFonts w:hint="eastAsia" w:ascii="宋体" w:hAnsi="宋体" w:eastAsia="宋体" w:cs="宋体"/>
          <w:color w:val="auto"/>
          <w:highlight w:val="none"/>
          <w:shd w:val="clear" w:color="auto" w:fill="FFFFFF"/>
        </w:rPr>
        <w:t>的委托代理采购</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"http://www.so.com/s?q=%E4%BA%8B%E5%AE%9C&amp;ie=utf-8&amp;src=internal_wenda_recommend_textn" \t "https://wenda.so.com/q/_blank" </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shd w:val="clear" w:color="auto" w:fill="FFFFFF"/>
        </w:rPr>
        <w:t>事宜</w:t>
      </w:r>
      <w:r>
        <w:rPr>
          <w:rStyle w:val="47"/>
          <w:rFonts w:hint="eastAsia" w:ascii="宋体" w:hAnsi="宋体" w:eastAsia="宋体" w:cs="宋体"/>
          <w:color w:val="auto"/>
          <w:highlight w:val="none"/>
          <w:shd w:val="clear" w:color="auto" w:fill="FFFFFF"/>
        </w:rPr>
        <w:fldChar w:fldCharType="end"/>
      </w:r>
      <w:r>
        <w:rPr>
          <w:rFonts w:hint="eastAsia" w:ascii="宋体" w:hAnsi="宋体" w:eastAsia="宋体" w:cs="宋体"/>
          <w:color w:val="auto"/>
          <w:highlight w:val="none"/>
          <w:shd w:val="clear" w:color="auto" w:fill="FFFFFF"/>
        </w:rPr>
        <w:t>的机构</w:t>
      </w:r>
      <w:r>
        <w:rPr>
          <w:rFonts w:hint="eastAsia" w:ascii="宋体" w:hAnsi="宋体" w:eastAsia="宋体" w:cs="宋体"/>
          <w:color w:val="auto"/>
          <w:highlight w:val="none"/>
        </w:rPr>
        <w:t>。</w:t>
      </w:r>
    </w:p>
    <w:p w14:paraId="29821D3C">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原件，是指原</w:t>
      </w:r>
      <w:r>
        <w:rPr>
          <w:rFonts w:hint="eastAsia" w:ascii="宋体" w:hAnsi="宋体" w:cs="宋体"/>
          <w:color w:val="auto"/>
          <w:highlight w:val="none"/>
          <w:lang w:eastAsia="zh-CN"/>
        </w:rPr>
        <w:t>始文</w:t>
      </w:r>
      <w:r>
        <w:rPr>
          <w:rFonts w:hint="eastAsia" w:ascii="宋体" w:hAnsi="宋体" w:eastAsia="宋体" w:cs="宋体"/>
          <w:color w:val="auto"/>
          <w:highlight w:val="none"/>
        </w:rPr>
        <w:t>件（即：资料生成时的原始形态，包括所加盖的印章、相关人员的签字笔迹等均是原始印痕、印迹和行迹）。</w:t>
      </w:r>
    </w:p>
    <w:p w14:paraId="44B3C1DB">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书面形式，包括文字的打印或复印件、传真、信函、电传、电报、</w:t>
      </w:r>
      <w:r>
        <w:rPr>
          <w:rFonts w:hint="eastAsia" w:ascii="宋体" w:hAnsi="宋体" w:eastAsia="宋体" w:cs="宋体"/>
          <w:color w:val="auto"/>
          <w:highlight w:val="none"/>
          <w:shd w:val="clear" w:color="auto" w:fill="FFFFFF"/>
        </w:rPr>
        <w:t>电子邮件、</w:t>
      </w:r>
      <w:r>
        <w:rPr>
          <w:rFonts w:hint="eastAsia" w:ascii="宋体" w:hAnsi="宋体" w:eastAsia="宋体" w:cs="宋体"/>
          <w:color w:val="auto"/>
          <w:highlight w:val="none"/>
          <w:lang w:val="zh-CN"/>
        </w:rPr>
        <w:t>衢州市阳光交易服务平台、</w:t>
      </w:r>
      <w:r>
        <w:rPr>
          <w:rFonts w:hint="eastAsia" w:ascii="宋体" w:hAnsi="宋体" w:eastAsia="宋体" w:cs="宋体"/>
          <w:color w:val="auto"/>
          <w:highlight w:val="none"/>
        </w:rPr>
        <w:t>浙江政府采购网网站发布的公告</w:t>
      </w:r>
      <w:r>
        <w:rPr>
          <w:rFonts w:hint="eastAsia" w:ascii="宋体" w:hAnsi="宋体" w:eastAsia="宋体" w:cs="宋体"/>
          <w:color w:val="auto"/>
          <w:highlight w:val="none"/>
          <w:shd w:val="clear" w:color="auto" w:fill="FFFFFF"/>
        </w:rPr>
        <w:t>等可以有形地表现所载内容的形式。</w:t>
      </w:r>
    </w:p>
    <w:p w14:paraId="3C53DFCA">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bCs/>
          <w:color w:val="auto"/>
          <w:highlight w:val="none"/>
        </w:rPr>
        <w:t>供应商公章，</w:t>
      </w:r>
      <w:r>
        <w:rPr>
          <w:rFonts w:hint="eastAsia" w:ascii="宋体" w:hAnsi="宋体" w:eastAsia="宋体" w:cs="宋体"/>
          <w:color w:val="auto"/>
          <w:highlight w:val="none"/>
        </w:rPr>
        <w:t>是指供应商</w:t>
      </w:r>
      <w:r>
        <w:rPr>
          <w:rFonts w:hint="eastAsia" w:ascii="宋体" w:hAnsi="宋体" w:eastAsia="宋体" w:cs="宋体"/>
          <w:color w:val="auto"/>
          <w:highlight w:val="none"/>
          <w:shd w:val="clear" w:color="auto" w:fill="FFFFFF"/>
        </w:rPr>
        <w:t>用自己法定主体行为名称制作的签名印章</w:t>
      </w:r>
      <w:r>
        <w:rPr>
          <w:rFonts w:hint="eastAsia" w:ascii="宋体" w:hAnsi="宋体" w:eastAsia="宋体" w:cs="宋体"/>
          <w:color w:val="auto"/>
          <w:highlight w:val="none"/>
        </w:rPr>
        <w:t>。</w:t>
      </w:r>
      <w:r>
        <w:rPr>
          <w:rFonts w:hint="eastAsia" w:ascii="宋体" w:hAnsi="宋体" w:eastAsia="宋体" w:cs="宋体"/>
          <w:bCs/>
          <w:color w:val="auto"/>
          <w:highlight w:val="none"/>
        </w:rPr>
        <w:t>不得使用专用章（如经济合同章、投标专用章、业务专用章等）或下属单位印章代替。</w:t>
      </w:r>
    </w:p>
    <w:p w14:paraId="07A66E21">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bCs/>
          <w:color w:val="auto"/>
          <w:highlight w:val="none"/>
        </w:rPr>
      </w:pPr>
      <w:r>
        <w:rPr>
          <w:rFonts w:hint="eastAsia" w:ascii="宋体" w:hAnsi="宋体" w:eastAsia="宋体" w:cs="宋体"/>
          <w:bCs/>
          <w:color w:val="auto"/>
          <w:highlight w:val="none"/>
        </w:rPr>
        <w:t>“▲”是供应商按本招标文件要求必须实质性响应的条款，有任何一项缺失或非实质性响应将取消其投标资格。</w:t>
      </w:r>
    </w:p>
    <w:p w14:paraId="7DFEBDA2">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采购方式</w:t>
      </w:r>
    </w:p>
    <w:p w14:paraId="261F9CE2">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采购组织形式国企采购委托代理。</w:t>
      </w:r>
    </w:p>
    <w:p w14:paraId="0E3092C3">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lang w:val="zh-CN"/>
        </w:rPr>
        <w:t>采取</w:t>
      </w:r>
      <w:r>
        <w:rPr>
          <w:rFonts w:hint="eastAsia" w:ascii="宋体" w:hAnsi="宋体" w:eastAsia="宋体" w:cs="宋体"/>
          <w:color w:val="auto"/>
          <w:highlight w:val="none"/>
        </w:rPr>
        <w:t>公开招标采购方式。</w:t>
      </w:r>
    </w:p>
    <w:p w14:paraId="550DE29D">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合格的供应商</w:t>
      </w:r>
    </w:p>
    <w:p w14:paraId="4979B478">
      <w:pPr>
        <w:pStyle w:val="36"/>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合格的供应商应具备以下条件：</w:t>
      </w:r>
    </w:p>
    <w:p w14:paraId="77D98E4A">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具备法律法规和本采购文件规定的资格条件；</w:t>
      </w:r>
    </w:p>
    <w:p w14:paraId="739EAEAF">
      <w:pPr>
        <w:pStyle w:val="36"/>
        <w:widowControl w:val="0"/>
        <w:numPr>
          <w:ilvl w:val="1"/>
          <w:numId w:val="4"/>
        </w:numPr>
        <w:shd w:val="clear"/>
        <w:adjustRightInd w:val="0"/>
        <w:snapToGrid w:val="0"/>
        <w:spacing w:line="312" w:lineRule="auto"/>
        <w:ind w:left="0" w:firstLine="464"/>
        <w:jc w:val="both"/>
        <w:rPr>
          <w:rFonts w:hint="eastAsia" w:ascii="宋体" w:hAnsi="宋体" w:eastAsia="宋体" w:cs="宋体"/>
          <w:color w:val="auto"/>
          <w:highlight w:val="none"/>
        </w:rPr>
      </w:pPr>
      <w:r>
        <w:rPr>
          <w:rFonts w:hint="eastAsia" w:ascii="宋体" w:hAnsi="宋体" w:eastAsia="宋体" w:cs="宋体"/>
          <w:color w:val="auto"/>
          <w:spacing w:val="-4"/>
          <w:highlight w:val="none"/>
        </w:rPr>
        <w:t>不属于限制参加本项目采购活动的供应商</w:t>
      </w:r>
      <w:r>
        <w:rPr>
          <w:rFonts w:hint="eastAsia" w:ascii="宋体" w:hAnsi="宋体" w:eastAsia="宋体" w:cs="宋体"/>
          <w:color w:val="auto"/>
          <w:highlight w:val="none"/>
        </w:rPr>
        <w:t>；</w:t>
      </w:r>
    </w:p>
    <w:p w14:paraId="3ED366B9">
      <w:pPr>
        <w:pStyle w:val="36"/>
        <w:widowControl w:val="0"/>
        <w:numPr>
          <w:ilvl w:val="1"/>
          <w:numId w:val="4"/>
        </w:numPr>
        <w:shd w:val="clear"/>
        <w:adjustRightInd w:val="0"/>
        <w:snapToGrid w:val="0"/>
        <w:spacing w:line="312" w:lineRule="auto"/>
        <w:ind w:left="0" w:firstLine="464"/>
        <w:jc w:val="both"/>
        <w:rPr>
          <w:rFonts w:hint="eastAsia" w:ascii="宋体" w:hAnsi="宋体" w:eastAsia="宋体" w:cs="宋体"/>
          <w:color w:val="auto"/>
          <w:highlight w:val="none"/>
        </w:rPr>
      </w:pPr>
      <w:r>
        <w:rPr>
          <w:rFonts w:hint="eastAsia" w:ascii="宋体" w:hAnsi="宋体" w:eastAsia="宋体" w:cs="宋体"/>
          <w:color w:val="auto"/>
          <w:spacing w:val="-4"/>
          <w:highlight w:val="none"/>
        </w:rPr>
        <w:t>按照规定</w:t>
      </w:r>
      <w:r>
        <w:rPr>
          <w:rFonts w:hint="eastAsia" w:ascii="宋体" w:hAnsi="宋体" w:eastAsia="宋体" w:cs="宋体"/>
          <w:color w:val="auto"/>
          <w:highlight w:val="none"/>
        </w:rPr>
        <w:t>获取了招标文件，属于实质性参加本次采购活动的供应商。</w:t>
      </w:r>
    </w:p>
    <w:p w14:paraId="7A023330">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对供应商的限制</w:t>
      </w:r>
    </w:p>
    <w:p w14:paraId="7BED5CC6">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拒绝不良信用记录的供应商参加本项目的采购活动。</w:t>
      </w:r>
    </w:p>
    <w:p w14:paraId="36CCE73D">
      <w:pPr>
        <w:pStyle w:val="116"/>
        <w:widowControl w:val="0"/>
        <w:numPr>
          <w:ilvl w:val="2"/>
          <w:numId w:val="5"/>
        </w:numPr>
        <w:shd w:val="clear"/>
        <w:adjustRightInd w:val="0"/>
        <w:snapToGrid w:val="0"/>
        <w:spacing w:line="312"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不良信用记录</w:t>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指：</w:t>
      </w:r>
      <w:r>
        <w:rPr>
          <w:rFonts w:hint="eastAsia" w:ascii="宋体" w:hAnsi="宋体" w:eastAsia="宋体" w:cs="宋体"/>
          <w:color w:val="auto"/>
          <w:sz w:val="24"/>
          <w:szCs w:val="24"/>
          <w:highlight w:val="none"/>
          <w:lang w:eastAsia="zh-CN"/>
        </w:rPr>
        <w:t>被</w:t>
      </w:r>
      <w:r>
        <w:rPr>
          <w:rFonts w:hint="eastAsia" w:ascii="宋体" w:hAnsi="宋体" w:eastAsia="宋体" w:cs="宋体"/>
          <w:color w:val="auto"/>
          <w:sz w:val="24"/>
          <w:szCs w:val="24"/>
          <w:highlight w:val="none"/>
        </w:rPr>
        <w:t>信用中国网站（www.creditchina.gov.cn）</w:t>
      </w:r>
      <w:r>
        <w:rPr>
          <w:rFonts w:hint="eastAsia" w:ascii="宋体" w:hAnsi="宋体" w:eastAsia="宋体" w:cs="宋体"/>
          <w:color w:val="auto"/>
          <w:sz w:val="24"/>
          <w:szCs w:val="24"/>
          <w:highlight w:val="none"/>
          <w:shd w:val="clear" w:color="auto" w:fill="FFFFFF"/>
        </w:rPr>
        <w:t>列入失信被执行人、重大税收违法案件当事人名单、政府采购严重违法失信名单</w:t>
      </w:r>
      <w:r>
        <w:rPr>
          <w:rFonts w:hint="eastAsia" w:ascii="宋体" w:hAnsi="宋体" w:eastAsia="宋体" w:cs="宋体"/>
          <w:color w:val="auto"/>
          <w:sz w:val="24"/>
          <w:szCs w:val="24"/>
          <w:highlight w:val="none"/>
          <w:shd w:val="clear" w:color="auto" w:fill="FFFFFF"/>
          <w:lang w:eastAsia="zh-CN"/>
        </w:rPr>
        <w:t>的，</w:t>
      </w:r>
      <w:r>
        <w:rPr>
          <w:rFonts w:hint="eastAsia" w:ascii="宋体" w:hAnsi="宋体" w:eastAsia="宋体" w:cs="宋体"/>
          <w:color w:val="auto"/>
          <w:sz w:val="24"/>
          <w:szCs w:val="24"/>
          <w:highlight w:val="none"/>
          <w:lang w:eastAsia="zh-CN"/>
        </w:rPr>
        <w:t>被</w:t>
      </w:r>
      <w:r>
        <w:rPr>
          <w:rFonts w:hint="eastAsia" w:ascii="宋体" w:hAnsi="宋体" w:eastAsia="宋体" w:cs="宋体"/>
          <w:color w:val="auto"/>
          <w:sz w:val="24"/>
          <w:szCs w:val="24"/>
          <w:highlight w:val="none"/>
        </w:rPr>
        <w:t>中国政府采购网（www.ccgp.gov.cn）</w:t>
      </w:r>
      <w:r>
        <w:rPr>
          <w:rFonts w:hint="eastAsia" w:ascii="宋体" w:hAnsi="宋体" w:eastAsia="宋体" w:cs="宋体"/>
          <w:color w:val="auto"/>
          <w:sz w:val="24"/>
          <w:szCs w:val="24"/>
          <w:highlight w:val="none"/>
          <w:shd w:val="clear" w:color="auto" w:fill="FFFFFF"/>
        </w:rPr>
        <w:t>列入政府采购严重违法失信行为</w:t>
      </w:r>
      <w:r>
        <w:rPr>
          <w:rFonts w:hint="eastAsia" w:ascii="宋体" w:hAnsi="宋体" w:eastAsia="宋体" w:cs="宋体"/>
          <w:color w:val="auto"/>
          <w:sz w:val="24"/>
          <w:szCs w:val="24"/>
          <w:highlight w:val="none"/>
          <w:shd w:val="clear" w:color="auto" w:fill="FFFFFF"/>
          <w:lang w:eastAsia="zh-CN"/>
        </w:rPr>
        <w:t>信用</w:t>
      </w:r>
      <w:r>
        <w:rPr>
          <w:rFonts w:hint="eastAsia" w:ascii="宋体" w:hAnsi="宋体" w:eastAsia="宋体" w:cs="宋体"/>
          <w:color w:val="auto"/>
          <w:sz w:val="24"/>
          <w:szCs w:val="24"/>
          <w:highlight w:val="none"/>
          <w:shd w:val="clear" w:color="auto" w:fill="FFFFFF"/>
        </w:rPr>
        <w:t>记录名单</w:t>
      </w:r>
      <w:r>
        <w:rPr>
          <w:rFonts w:hint="eastAsia" w:ascii="宋体" w:hAnsi="宋体" w:eastAsia="宋体" w:cs="宋体"/>
          <w:color w:val="auto"/>
          <w:sz w:val="24"/>
          <w:szCs w:val="24"/>
          <w:highlight w:val="none"/>
        </w:rPr>
        <w:t>且在处罚有效期内的</w:t>
      </w:r>
      <w:r>
        <w:rPr>
          <w:rFonts w:hint="eastAsia" w:ascii="宋体" w:hAnsi="宋体" w:eastAsia="宋体" w:cs="宋体"/>
          <w:color w:val="auto"/>
          <w:sz w:val="24"/>
          <w:szCs w:val="24"/>
          <w:highlight w:val="none"/>
          <w:lang w:eastAsia="zh-CN"/>
        </w:rPr>
        <w:t>（投标截止之日追溯三年）</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lang w:eastAsia="zh-CN"/>
        </w:rPr>
        <w:t>被</w:t>
      </w:r>
      <w:r>
        <w:rPr>
          <w:rFonts w:hint="eastAsia" w:ascii="宋体" w:hAnsi="宋体" w:eastAsia="宋体" w:cs="宋体"/>
          <w:color w:val="auto"/>
          <w:sz w:val="24"/>
          <w:szCs w:val="24"/>
          <w:highlight w:val="none"/>
        </w:rPr>
        <w:t>浙江政府采购网（zfcg.czt.zj.gov.cn）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曝光台曝光且在处罚有效期内的</w:t>
      </w:r>
      <w:r>
        <w:rPr>
          <w:rFonts w:hint="eastAsia" w:ascii="宋体" w:hAnsi="宋体" w:eastAsia="宋体" w:cs="宋体"/>
          <w:color w:val="auto"/>
          <w:sz w:val="24"/>
          <w:szCs w:val="24"/>
          <w:highlight w:val="none"/>
          <w:lang w:eastAsia="zh-CN"/>
        </w:rPr>
        <w:t>（投标截止之日追溯三年）以</w:t>
      </w:r>
      <w:r>
        <w:rPr>
          <w:rFonts w:hint="eastAsia" w:ascii="宋体" w:hAnsi="宋体" w:eastAsia="宋体" w:cs="宋体"/>
          <w:color w:val="auto"/>
          <w:sz w:val="24"/>
          <w:szCs w:val="24"/>
          <w:highlight w:val="none"/>
          <w:shd w:val="clear" w:color="auto" w:fill="FFFFFF"/>
        </w:rPr>
        <w:t>及其他不符合</w:t>
      </w:r>
      <w:r>
        <w:rPr>
          <w:rFonts w:hint="eastAsia" w:ascii="宋体" w:hAnsi="宋体" w:eastAsia="宋体" w:cs="宋体"/>
          <w:color w:val="auto"/>
          <w:sz w:val="24"/>
          <w:szCs w:val="24"/>
          <w:highlight w:val="none"/>
          <w:shd w:val="clear" w:color="auto" w:fill="FFFFFF"/>
          <w:lang w:eastAsia="zh-CN"/>
        </w:rPr>
        <w:t>《龙游县国有企业采购管理办法》（龙政办发〔2021〕58号）第十二条</w:t>
      </w:r>
      <w:r>
        <w:rPr>
          <w:rFonts w:hint="eastAsia" w:ascii="宋体" w:hAnsi="宋体" w:eastAsia="宋体" w:cs="宋体"/>
          <w:color w:val="auto"/>
          <w:sz w:val="24"/>
          <w:szCs w:val="24"/>
          <w:highlight w:val="none"/>
          <w:shd w:val="clear" w:color="auto" w:fill="FFFFFF"/>
        </w:rPr>
        <w:t>条件的</w:t>
      </w:r>
      <w:r>
        <w:rPr>
          <w:rFonts w:hint="eastAsia" w:ascii="宋体" w:hAnsi="宋体" w:eastAsia="宋体" w:cs="宋体"/>
          <w:color w:val="auto"/>
          <w:sz w:val="24"/>
          <w:szCs w:val="24"/>
          <w:highlight w:val="none"/>
          <w:shd w:val="clear" w:color="auto" w:fill="FFFFFF"/>
          <w:lang w:eastAsia="zh-CN"/>
        </w:rPr>
        <w:t>供应商。</w:t>
      </w:r>
    </w:p>
    <w:p w14:paraId="235042E1">
      <w:pPr>
        <w:pStyle w:val="116"/>
        <w:widowControl w:val="0"/>
        <w:numPr>
          <w:ilvl w:val="2"/>
          <w:numId w:val="5"/>
        </w:numPr>
        <w:shd w:val="clear"/>
        <w:adjustRightInd w:val="0"/>
        <w:snapToGrid w:val="0"/>
        <w:spacing w:line="312"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信用记录</w:t>
      </w:r>
    </w:p>
    <w:p w14:paraId="0AED96F0">
      <w:pPr>
        <w:pStyle w:val="36"/>
        <w:widowControl w:val="0"/>
        <w:numPr>
          <w:ilvl w:val="0"/>
          <w:numId w:val="6"/>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信用信息查询。根据《关于在政府采购活动中查询及使用信用记录有关问题的通知》（财库〔2016〕125号）的要求，通过信用中国网站（www.creditchina.gov.cn）、中国政府采购网（www.ccgp.gov.cn）、浙江政府采购网（zfcg.czt.zj.gov.cn）等渠道查询。</w:t>
      </w:r>
    </w:p>
    <w:p w14:paraId="75A2289E">
      <w:pPr>
        <w:pStyle w:val="36"/>
        <w:widowControl w:val="0"/>
        <w:numPr>
          <w:ilvl w:val="0"/>
          <w:numId w:val="6"/>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截止时点。投标截止时间。</w:t>
      </w:r>
    </w:p>
    <w:p w14:paraId="4C5B8341">
      <w:pPr>
        <w:pStyle w:val="36"/>
        <w:widowControl w:val="0"/>
        <w:numPr>
          <w:ilvl w:val="0"/>
          <w:numId w:val="6"/>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信用信息查询记录和证据留存的方式。采购代理机构经办人将查询网页打印与其他采购文件一并保存。</w:t>
      </w:r>
    </w:p>
    <w:p w14:paraId="652E2930">
      <w:pPr>
        <w:pStyle w:val="36"/>
        <w:widowControl w:val="0"/>
        <w:numPr>
          <w:ilvl w:val="0"/>
          <w:numId w:val="6"/>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信用信息的使用规则。被列入失信被执行人、重大税收违法案件当事人名单、国企或政府采购严重违法失信行为记录名单及其他不符合《龙游县国有企业采购管理办法》（龙政办发〔2021〕58号）第十二条条件的供应商，拒绝参与本次采购活动。</w:t>
      </w:r>
    </w:p>
    <w:p w14:paraId="75B3B027">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单位负责人为同一人或者存在直接控股、管理关系的不同供应商，不得参加同一合同项下的采购活动。</w:t>
      </w:r>
    </w:p>
    <w:p w14:paraId="1224CC75">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采购活动中，采购人员及相关人员与供应商有下列利害关系之一的，应当回避：</w:t>
      </w:r>
    </w:p>
    <w:p w14:paraId="2DE2ECBF">
      <w:pPr>
        <w:pStyle w:val="36"/>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参加采购活动前3年内与供应商存在劳动关系；</w:t>
      </w:r>
    </w:p>
    <w:p w14:paraId="00CD84E1">
      <w:pPr>
        <w:pStyle w:val="36"/>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参加采购活动前3年内担任供应商的董事、监事；</w:t>
      </w:r>
    </w:p>
    <w:p w14:paraId="13D4394B">
      <w:pPr>
        <w:pStyle w:val="36"/>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参加采购活动前3年内是供应商的控股股东或者实际控制人；</w:t>
      </w:r>
    </w:p>
    <w:p w14:paraId="64C548A3">
      <w:pPr>
        <w:pStyle w:val="36"/>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与供应商的法定代表人或者负责人有夫妻、直系血亲、三代以内旁系血亲或者近姻亲关系；</w:t>
      </w:r>
    </w:p>
    <w:p w14:paraId="52354C53">
      <w:pPr>
        <w:pStyle w:val="36"/>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存在共同直接或间接投资设立子公司、联营企业和合营企业情况；</w:t>
      </w:r>
    </w:p>
    <w:p w14:paraId="28F047A3">
      <w:pPr>
        <w:pStyle w:val="36"/>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与供应商有其他可能影响采购活动公平、公正进行的关系。</w:t>
      </w:r>
    </w:p>
    <w:p w14:paraId="1182D551">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评审小组成员。</w:t>
      </w:r>
    </w:p>
    <w:p w14:paraId="4E738C73">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0DDB178A">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资格审查</w:t>
      </w:r>
    </w:p>
    <w:p w14:paraId="26B86459">
      <w:pPr>
        <w:pStyle w:val="36"/>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本次</w:t>
      </w:r>
      <w:r>
        <w:rPr>
          <w:rFonts w:hint="eastAsia" w:ascii="宋体" w:hAnsi="宋体" w:eastAsia="宋体" w:cs="宋体"/>
          <w:color w:val="auto"/>
          <w:highlight w:val="none"/>
          <w:lang w:val="zh-CN"/>
        </w:rPr>
        <w:t>采取</w:t>
      </w:r>
      <w:r>
        <w:rPr>
          <w:rFonts w:hint="eastAsia" w:ascii="宋体" w:hAnsi="宋体" w:eastAsia="宋体" w:cs="宋体"/>
          <w:color w:val="auto"/>
          <w:highlight w:val="none"/>
        </w:rPr>
        <w:t>资格后审，采购组织机构不保证所有</w:t>
      </w:r>
      <w:r>
        <w:rPr>
          <w:rFonts w:hint="eastAsia" w:ascii="宋体" w:hAnsi="宋体" w:cs="宋体"/>
          <w:color w:val="auto"/>
          <w:highlight w:val="none"/>
          <w:lang w:val="en-US" w:eastAsia="zh-CN"/>
        </w:rPr>
        <w:t>获取</w:t>
      </w:r>
      <w:r>
        <w:rPr>
          <w:rFonts w:hint="eastAsia" w:ascii="宋体" w:hAnsi="宋体" w:eastAsia="宋体" w:cs="宋体"/>
          <w:color w:val="auto"/>
          <w:highlight w:val="none"/>
        </w:rPr>
        <w:t>招标文件的供应商都符合合格供应商资格要求。</w:t>
      </w:r>
    </w:p>
    <w:p w14:paraId="42E418B1">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bCs/>
          <w:color w:val="auto"/>
          <w:highlight w:val="none"/>
        </w:rPr>
      </w:pPr>
      <w:r>
        <w:rPr>
          <w:rFonts w:hint="eastAsia" w:ascii="宋体" w:hAnsi="宋体" w:eastAsia="宋体" w:cs="宋体"/>
          <w:bCs/>
          <w:color w:val="auto"/>
          <w:highlight w:val="none"/>
        </w:rPr>
        <w:t>语言文字</w:t>
      </w:r>
    </w:p>
    <w:p w14:paraId="0DC39ECA">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投标文件以及供应商与采购人就有关响应事宜的所有来往函电，均应以中文汉语书写。除签名、盖章、专用名称等特殊情形外，以中文汉语以外的文字表述的投标文件视同未提供。</w:t>
      </w:r>
    </w:p>
    <w:p w14:paraId="58D8FFE5">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外文专用术语应附有中文注释。投标文件及相关往来文件中有外文资料的（如质疑函、进口产品厂商授权书等），资料提供方应当将其翻译为中文，注明翻译人员姓名、工作单位、联系方式等信息，并对译文的完整性、客观性、真实性负责。</w:t>
      </w:r>
    </w:p>
    <w:p w14:paraId="6314E908">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bCs/>
          <w:color w:val="auto"/>
          <w:highlight w:val="none"/>
        </w:rPr>
        <w:t>计量单位</w:t>
      </w:r>
    </w:p>
    <w:p w14:paraId="368C401A">
      <w:pPr>
        <w:pStyle w:val="36"/>
        <w:widowControl w:val="0"/>
        <w:shd w:val="clear"/>
        <w:adjustRightInd w:val="0"/>
        <w:snapToGrid w:val="0"/>
        <w:spacing w:line="312" w:lineRule="auto"/>
        <w:ind w:firstLine="48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除招标文件另有规定外，计量均应采用中华人民共和国法定计量单位；所有报价一律使用人民币，货币单位为“元”。</w:t>
      </w:r>
    </w:p>
    <w:p w14:paraId="7C02470B">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保密</w:t>
      </w:r>
    </w:p>
    <w:p w14:paraId="3C60F1C1">
      <w:pPr>
        <w:pStyle w:val="36"/>
        <w:widowControl w:val="0"/>
        <w:shd w:val="clear"/>
        <w:tabs>
          <w:tab w:val="left" w:pos="0"/>
        </w:tabs>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参与招标的当事人应对招标文件和投标文件中的商业和技术等秘密保密，违者应对由此造成的后果承担法律责任。</w:t>
      </w:r>
    </w:p>
    <w:p w14:paraId="4E200A17">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投标费用</w:t>
      </w:r>
    </w:p>
    <w:p w14:paraId="54D95937">
      <w:pPr>
        <w:pStyle w:val="36"/>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不论投标的结果如何，供应商均自行承担所有与参加本次投标有关的费用。</w:t>
      </w:r>
    </w:p>
    <w:p w14:paraId="602F1A45">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投标有效期</w:t>
      </w:r>
    </w:p>
    <w:p w14:paraId="3EB7A7CF">
      <w:pPr>
        <w:pStyle w:val="116"/>
        <w:widowControl w:val="0"/>
        <w:numPr>
          <w:ilvl w:val="1"/>
          <w:numId w:val="7"/>
        </w:numPr>
        <w:shd w:val="clear"/>
        <w:adjustRightInd w:val="0"/>
        <w:snapToGrid w:val="0"/>
        <w:spacing w:line="312"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在供应商须知前附表规定的投标有效期内，投标文件以及其补充、承诺等部分均保持有效。</w:t>
      </w:r>
    </w:p>
    <w:p w14:paraId="06ED9846">
      <w:pPr>
        <w:pStyle w:val="116"/>
        <w:widowControl w:val="0"/>
        <w:numPr>
          <w:ilvl w:val="1"/>
          <w:numId w:val="7"/>
        </w:numPr>
        <w:shd w:val="clear"/>
        <w:adjustRightInd w:val="0"/>
        <w:snapToGrid w:val="0"/>
        <w:spacing w:line="312"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在招标文件规定的投标文件有效期满之前，如果出现特殊情况，采购人或者采购代理机构可在投标有效期内要求供应商延长有效期，要求与答复均以书面通知为准并作为招标文件和投标文件的组成部分。</w:t>
      </w:r>
    </w:p>
    <w:p w14:paraId="04A8CCD4">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分包与转包</w:t>
      </w:r>
    </w:p>
    <w:p w14:paraId="0796CE84">
      <w:pPr>
        <w:pStyle w:val="116"/>
        <w:widowControl w:val="0"/>
        <w:shd w:val="clear"/>
        <w:tabs>
          <w:tab w:val="left" w:pos="0"/>
        </w:tabs>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不允许。</w:t>
      </w:r>
    </w:p>
    <w:p w14:paraId="39FEF692">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现场勘查</w:t>
      </w:r>
    </w:p>
    <w:p w14:paraId="47784F8E">
      <w:pPr>
        <w:pStyle w:val="36"/>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供应商自行</w:t>
      </w:r>
      <w:r>
        <w:rPr>
          <w:rFonts w:hint="eastAsia" w:ascii="宋体" w:hAnsi="宋体" w:eastAsia="宋体" w:cs="宋体"/>
          <w:color w:val="auto"/>
          <w:highlight w:val="none"/>
          <w:lang w:eastAsia="zh-CN"/>
        </w:rPr>
        <w:t>勘查现场</w:t>
      </w:r>
      <w:r>
        <w:rPr>
          <w:rFonts w:hint="eastAsia" w:ascii="宋体" w:hAnsi="宋体" w:eastAsia="宋体" w:cs="宋体"/>
          <w:color w:val="auto"/>
          <w:highlight w:val="none"/>
        </w:rPr>
        <w:t>以获取有关编制投标文件和签署合同所涉及现场的资料，但需经采购人允许方可为勘察目的进入采购人的项目现场。不得因</w:t>
      </w:r>
      <w:r>
        <w:rPr>
          <w:rFonts w:hint="eastAsia" w:ascii="宋体" w:hAnsi="宋体" w:eastAsia="宋体" w:cs="宋体"/>
          <w:color w:val="auto"/>
          <w:highlight w:val="none"/>
          <w:lang w:eastAsia="zh-CN"/>
        </w:rPr>
        <w:t>勘查现场</w:t>
      </w:r>
      <w:r>
        <w:rPr>
          <w:rFonts w:hint="eastAsia" w:ascii="宋体" w:hAnsi="宋体" w:eastAsia="宋体" w:cs="宋体"/>
          <w:color w:val="auto"/>
          <w:highlight w:val="none"/>
        </w:rPr>
        <w:t>而使采购人承担有关的责任和蒙受损失，供应商应承担</w:t>
      </w:r>
      <w:r>
        <w:rPr>
          <w:rFonts w:hint="eastAsia" w:ascii="宋体" w:hAnsi="宋体" w:eastAsia="宋体" w:cs="宋体"/>
          <w:color w:val="auto"/>
          <w:highlight w:val="none"/>
          <w:lang w:eastAsia="zh-CN"/>
        </w:rPr>
        <w:t>勘查现场</w:t>
      </w:r>
      <w:r>
        <w:rPr>
          <w:rFonts w:hint="eastAsia" w:ascii="宋体" w:hAnsi="宋体" w:eastAsia="宋体" w:cs="宋体"/>
          <w:color w:val="auto"/>
          <w:highlight w:val="none"/>
        </w:rPr>
        <w:t>的责任和风险以及承担</w:t>
      </w:r>
      <w:r>
        <w:rPr>
          <w:rFonts w:hint="eastAsia" w:ascii="宋体" w:hAnsi="宋体" w:eastAsia="宋体" w:cs="宋体"/>
          <w:color w:val="auto"/>
          <w:highlight w:val="none"/>
          <w:lang w:eastAsia="zh-CN"/>
        </w:rPr>
        <w:t>勘查现场</w:t>
      </w:r>
      <w:r>
        <w:rPr>
          <w:rFonts w:hint="eastAsia" w:ascii="宋体" w:hAnsi="宋体" w:eastAsia="宋体" w:cs="宋体"/>
          <w:color w:val="auto"/>
          <w:highlight w:val="none"/>
        </w:rPr>
        <w:t>所发生的费用。</w:t>
      </w:r>
    </w:p>
    <w:p w14:paraId="5B39AD56">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知识产权</w:t>
      </w:r>
    </w:p>
    <w:p w14:paraId="1A08171F">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供应商应保证在本项目使用的任何产品和服务（包括部分使用）时，不会侵犯第三方</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专利权、商标权</w:t>
      </w:r>
      <w:r>
        <w:rPr>
          <w:rFonts w:hint="eastAsia" w:ascii="宋体" w:hAnsi="宋体" w:eastAsia="宋体" w:cs="宋体"/>
          <w:color w:val="auto"/>
          <w:highlight w:val="none"/>
          <w:lang w:eastAsia="zh-CN"/>
        </w:rPr>
        <w:t>或其他</w:t>
      </w:r>
      <w:r>
        <w:rPr>
          <w:rFonts w:hint="eastAsia" w:ascii="宋体" w:hAnsi="宋体" w:eastAsia="宋体" w:cs="宋体"/>
          <w:color w:val="auto"/>
          <w:highlight w:val="none"/>
        </w:rPr>
        <w:t>知识产权，否则因此引起的法律和经济纠纷，由供应商按其过错承担所有相关责任。</w:t>
      </w:r>
    </w:p>
    <w:p w14:paraId="2D0FBC68">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供应商为采购人在本项目中定制化的工作成果所涉知识产权归属于采购人。供应商为本项目而使用的工具、软件、系统、代码、文档、图表等知识产权及产权均归属于</w:t>
      </w:r>
      <w:r>
        <w:rPr>
          <w:rFonts w:hint="eastAsia" w:ascii="宋体" w:hAnsi="宋体" w:cs="宋体"/>
          <w:color w:val="auto"/>
          <w:highlight w:val="none"/>
          <w:lang w:eastAsia="zh-CN"/>
        </w:rPr>
        <w:t>中标人</w:t>
      </w:r>
      <w:r>
        <w:rPr>
          <w:rFonts w:hint="eastAsia" w:ascii="宋体" w:hAnsi="宋体" w:eastAsia="宋体" w:cs="宋体"/>
          <w:color w:val="auto"/>
          <w:highlight w:val="none"/>
        </w:rPr>
        <w:t>或权利人，采购人可为本项目之目的在本合同有效期内非独占、</w:t>
      </w:r>
      <w:r>
        <w:rPr>
          <w:rFonts w:hint="eastAsia" w:ascii="宋体" w:hAnsi="宋体" w:eastAsia="宋体" w:cs="宋体"/>
          <w:color w:val="auto"/>
          <w:highlight w:val="none"/>
          <w:lang w:eastAsia="zh-CN"/>
        </w:rPr>
        <w:t>非排他性</w:t>
      </w:r>
      <w:r>
        <w:rPr>
          <w:rFonts w:hint="eastAsia" w:ascii="宋体" w:hAnsi="宋体" w:eastAsia="宋体" w:cs="宋体"/>
          <w:color w:val="auto"/>
          <w:highlight w:val="none"/>
        </w:rPr>
        <w:t>使用。</w:t>
      </w:r>
    </w:p>
    <w:p w14:paraId="6538129F">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如采用供应商所不拥有的知识产权，则在投标报价中必须包括合法获取该知识产权的相关费用。</w:t>
      </w:r>
    </w:p>
    <w:p w14:paraId="2F3FE7CD">
      <w:pPr>
        <w:pStyle w:val="36"/>
        <w:widowControl w:val="0"/>
        <w:numPr>
          <w:ilvl w:val="0"/>
          <w:numId w:val="4"/>
        </w:numPr>
        <w:shd w:val="clear"/>
        <w:adjustRightInd w:val="0"/>
        <w:snapToGrid w:val="0"/>
        <w:spacing w:line="312" w:lineRule="auto"/>
        <w:ind w:left="0" w:firstLine="480"/>
        <w:jc w:val="both"/>
        <w:rPr>
          <w:rFonts w:ascii="宋体" w:hAnsi="宋体" w:cs="宋体"/>
          <w:color w:val="auto"/>
          <w:highlight w:val="none"/>
        </w:rPr>
      </w:pPr>
      <w:r>
        <w:rPr>
          <w:rFonts w:hint="eastAsia" w:ascii="宋体" w:hAnsi="宋体" w:cs="宋体"/>
          <w:color w:val="auto"/>
          <w:highlight w:val="none"/>
        </w:rPr>
        <w:t>联合体投标</w:t>
      </w:r>
    </w:p>
    <w:p w14:paraId="61B53C1E">
      <w:pPr>
        <w:pStyle w:val="36"/>
        <w:widowControl w:val="0"/>
        <w:numPr>
          <w:ilvl w:val="0"/>
          <w:numId w:val="0"/>
        </w:numPr>
        <w:shd w:val="clear"/>
        <w:tabs>
          <w:tab w:val="left" w:pos="0"/>
        </w:tabs>
        <w:adjustRightInd w:val="0"/>
        <w:snapToGrid w:val="0"/>
        <w:spacing w:line="312" w:lineRule="auto"/>
        <w:ind w:leftChars="200"/>
        <w:jc w:val="both"/>
        <w:rPr>
          <w:rFonts w:ascii="宋体" w:hAnsi="宋体" w:cs="宋体"/>
          <w:color w:val="auto"/>
          <w:highlight w:val="none"/>
        </w:rPr>
      </w:pPr>
      <w:r>
        <w:rPr>
          <w:rFonts w:hint="eastAsia" w:ascii="宋体" w:hAnsi="宋体" w:cs="宋体"/>
          <w:color w:val="auto"/>
          <w:highlight w:val="none"/>
          <w:lang w:val="en-US" w:eastAsia="zh-CN"/>
        </w:rPr>
        <w:t>本项目不接受联合体投标。</w:t>
      </w:r>
    </w:p>
    <w:p w14:paraId="0A96A6DF">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▲特别说明</w:t>
      </w:r>
    </w:p>
    <w:p w14:paraId="1FFA5D2F">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供应商应仔细阅读招标文件的所有内容，按照招标文件的要求提交投标文件，并对所提供的全部资料的真实性承担法律责任。</w:t>
      </w:r>
    </w:p>
    <w:p w14:paraId="566DC2D4">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2F8595D8">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bookmarkStart w:id="423" w:name="_Toc14228"/>
      <w:bookmarkStart w:id="424" w:name="_Toc4362"/>
      <w:bookmarkStart w:id="425" w:name="_Toc361437145"/>
      <w:bookmarkStart w:id="426" w:name="_Toc496962945"/>
      <w:bookmarkStart w:id="427" w:name="_Toc12781"/>
      <w:bookmarkStart w:id="428" w:name="_Toc361434799"/>
      <w:bookmarkStart w:id="429" w:name="_Toc27436"/>
      <w:bookmarkStart w:id="430" w:name="_Toc361434895"/>
      <w:bookmarkStart w:id="431" w:name="_Toc361434559"/>
      <w:bookmarkStart w:id="432" w:name="_Toc6035"/>
      <w:bookmarkStart w:id="433" w:name="_Toc23248"/>
      <w:bookmarkStart w:id="434" w:name="_Toc14280"/>
      <w:bookmarkStart w:id="435" w:name="_Toc361434460"/>
      <w:bookmarkStart w:id="436" w:name="_Toc101321791"/>
      <w:bookmarkStart w:id="437" w:name="_Toc452528600"/>
      <w:bookmarkStart w:id="438" w:name="_Toc9389"/>
      <w:bookmarkStart w:id="439" w:name="_Toc4333"/>
      <w:bookmarkStart w:id="440" w:name="_Toc10567"/>
      <w:bookmarkStart w:id="441" w:name="_Toc28916"/>
      <w:bookmarkStart w:id="442" w:name="_Toc1747"/>
      <w:bookmarkStart w:id="443" w:name="_Toc38"/>
      <w:r>
        <w:rPr>
          <w:rFonts w:hint="eastAsia" w:ascii="宋体" w:hAnsi="宋体" w:eastAsia="宋体" w:cs="宋体"/>
          <w:color w:val="auto"/>
          <w:highlight w:val="none"/>
        </w:rPr>
        <w:t>单位负责人为同一人或者存在直接控股、管理关系的不同供应商，不得参加本项目的政府采购活动。</w:t>
      </w:r>
    </w:p>
    <w:p w14:paraId="2A3D16CE">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政府采购货物和服务招标投标管理办法（财政部令第87号）第31条规定：使用综合评分法的采购项目，提供相同品牌产品且通过资格审查、符合性审查的不同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参加同一合同项下投标的，按一家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计算，评审后得分最高的同品牌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获得</w:t>
      </w:r>
      <w:r>
        <w:rPr>
          <w:rFonts w:hint="eastAsia" w:ascii="宋体" w:hAnsi="宋体" w:cs="宋体"/>
          <w:color w:val="auto"/>
          <w:highlight w:val="none"/>
          <w:lang w:eastAsia="zh-CN"/>
        </w:rPr>
        <w:t>中标人</w:t>
      </w:r>
      <w:r>
        <w:rPr>
          <w:rFonts w:hint="eastAsia" w:ascii="宋体" w:hAnsi="宋体" w:eastAsia="宋体" w:cs="宋体"/>
          <w:color w:val="auto"/>
          <w:highlight w:val="none"/>
        </w:rPr>
        <w:t>推荐资格；评审得分相同的采取随机抽取方式确定，其他同品牌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不作为中标候选人。</w:t>
      </w:r>
    </w:p>
    <w:p w14:paraId="25C146CA">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非单一产品采购项目，招标文件中确定核心产品。多家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提供的核心产品品牌全部相同的，按前款规定处理。</w:t>
      </w:r>
    </w:p>
    <w:p w14:paraId="12BEA37E">
      <w:pPr>
        <w:pStyle w:val="36"/>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供应商在投标活动中提供任何虚假材料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其投标无效，并报监管部门查处中标后发现的</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中标人</w:t>
      </w:r>
      <w:r>
        <w:rPr>
          <w:rFonts w:hint="eastAsia" w:ascii="宋体" w:hAnsi="宋体" w:eastAsia="宋体" w:cs="宋体"/>
          <w:color w:val="auto"/>
          <w:highlight w:val="none"/>
        </w:rPr>
        <w:t>须依照《中华人民共和国消费者权益保护法</w:t>
      </w:r>
      <w:r>
        <w:rPr>
          <w:rFonts w:hint="eastAsia" w:ascii="宋体" w:hAnsi="宋体" w:eastAsia="宋体" w:cs="宋体"/>
          <w:color w:val="auto"/>
          <w:highlight w:val="none"/>
          <w:lang w:eastAsia="zh-CN"/>
        </w:rPr>
        <w:t>》第四十九条</w:t>
      </w:r>
      <w:r>
        <w:rPr>
          <w:rFonts w:hint="eastAsia" w:ascii="宋体" w:hAnsi="宋体" w:eastAsia="宋体" w:cs="宋体"/>
          <w:color w:val="auto"/>
          <w:highlight w:val="none"/>
        </w:rPr>
        <w:t>之规定双倍赔偿采购人，且民事赔偿并不免除违法供应商的行政与刑事责任。</w:t>
      </w:r>
    </w:p>
    <w:p w14:paraId="6FB4D83E">
      <w:pPr>
        <w:pStyle w:val="4"/>
        <w:numPr>
          <w:ilvl w:val="1"/>
          <w:numId w:val="0"/>
        </w:numPr>
        <w:shd w:val="clear"/>
        <w:spacing w:beforeLines="0" w:afterLines="0"/>
        <w:rPr>
          <w:rFonts w:hint="eastAsia" w:ascii="宋体" w:hAnsi="宋体" w:eastAsia="宋体" w:cs="宋体"/>
          <w:b/>
          <w:bCs w:val="0"/>
          <w:color w:val="auto"/>
          <w:highlight w:val="none"/>
          <w:lang w:bidi="ar"/>
        </w:rPr>
      </w:pPr>
      <w:bookmarkStart w:id="444" w:name="_Toc26184"/>
      <w:bookmarkStart w:id="445" w:name="_Toc10053"/>
      <w:bookmarkStart w:id="446" w:name="_Toc32436"/>
      <w:bookmarkStart w:id="447" w:name="_Toc23065"/>
      <w:bookmarkStart w:id="448" w:name="_Toc351"/>
      <w:bookmarkStart w:id="449" w:name="_Toc9060"/>
      <w:bookmarkStart w:id="450" w:name="_Toc14205"/>
      <w:bookmarkStart w:id="451" w:name="_Toc21911"/>
      <w:r>
        <w:rPr>
          <w:rFonts w:hint="eastAsia" w:ascii="宋体" w:hAnsi="宋体" w:eastAsia="宋体" w:cs="宋体"/>
          <w:b/>
          <w:bCs w:val="0"/>
          <w:color w:val="auto"/>
          <w:highlight w:val="none"/>
          <w:lang w:bidi="ar"/>
        </w:rPr>
        <w:t>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int="eastAsia" w:ascii="宋体" w:hAnsi="宋体" w:eastAsia="宋体" w:cs="宋体"/>
          <w:b/>
          <w:bCs w:val="0"/>
          <w:color w:val="auto"/>
          <w:highlight w:val="none"/>
          <w:lang w:bidi="ar"/>
        </w:rPr>
        <w:t>招标文件</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2261FB5">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招标文件的组成</w:t>
      </w:r>
    </w:p>
    <w:p w14:paraId="54B4D066">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招标公告</w:t>
      </w:r>
    </w:p>
    <w:p w14:paraId="278DE7D6">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投标须知前附表及投标须知</w:t>
      </w:r>
    </w:p>
    <w:p w14:paraId="0FE5FE0C">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采购内容及要求</w:t>
      </w:r>
    </w:p>
    <w:p w14:paraId="16AE3396">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合同的主要条款</w:t>
      </w:r>
    </w:p>
    <w:p w14:paraId="3954C2E5">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应提交的有关格式范例</w:t>
      </w:r>
    </w:p>
    <w:p w14:paraId="79C96D55">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评标办法及开评标程序</w:t>
      </w:r>
      <w:bookmarkStart w:id="452" w:name="_Toc16377"/>
      <w:bookmarkStart w:id="453" w:name="_Toc9200"/>
      <w:bookmarkStart w:id="454" w:name="_Toc19778"/>
      <w:bookmarkStart w:id="455" w:name="_Toc356371435"/>
      <w:bookmarkStart w:id="456" w:name="_Toc366144032"/>
      <w:bookmarkStart w:id="457" w:name="_Toc2522"/>
      <w:bookmarkStart w:id="458" w:name="_Toc5619"/>
      <w:bookmarkStart w:id="459" w:name="_Toc13569"/>
      <w:bookmarkStart w:id="460" w:name="_Toc31745"/>
      <w:bookmarkStart w:id="461" w:name="_Toc11932"/>
      <w:bookmarkStart w:id="462" w:name="_Toc22903"/>
    </w:p>
    <w:p w14:paraId="0B8B9B05">
      <w:pPr>
        <w:pStyle w:val="36"/>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招标文件的澄清及修改</w:t>
      </w:r>
    </w:p>
    <w:p w14:paraId="7E59B3F2">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任何要求对招标文件进行澄清的供应商，均应按招标公告中规定的时间和通讯地址，以书面形式（如信件、传真等）送达</w:t>
      </w:r>
      <w:r>
        <w:rPr>
          <w:rFonts w:hint="eastAsia" w:ascii="宋体" w:hAnsi="宋体" w:eastAsia="宋体" w:cs="宋体"/>
          <w:color w:val="auto"/>
          <w:highlight w:val="none"/>
          <w:lang w:eastAsia="zh-CN" w:bidi="ar"/>
        </w:rPr>
        <w:t>采购代理机构</w:t>
      </w:r>
      <w:r>
        <w:rPr>
          <w:rFonts w:hint="eastAsia" w:ascii="宋体" w:hAnsi="宋体" w:eastAsia="宋体" w:cs="宋体"/>
          <w:color w:val="auto"/>
          <w:highlight w:val="none"/>
          <w:lang w:bidi="ar"/>
        </w:rPr>
        <w:t>，在规定时间内未收到质疑则视为各供应商均对此无异议。</w:t>
      </w:r>
      <w:r>
        <w:rPr>
          <w:rFonts w:hint="eastAsia" w:ascii="宋体" w:hAnsi="宋体" w:eastAsia="宋体" w:cs="宋体"/>
          <w:color w:val="auto"/>
          <w:highlight w:val="none"/>
          <w:lang w:eastAsia="zh-CN" w:bidi="ar"/>
        </w:rPr>
        <w:t>采购代理机构</w:t>
      </w:r>
      <w:r>
        <w:rPr>
          <w:rFonts w:hint="eastAsia" w:ascii="宋体" w:hAnsi="宋体" w:eastAsia="宋体" w:cs="宋体"/>
          <w:color w:val="auto"/>
          <w:highlight w:val="none"/>
          <w:lang w:bidi="ar"/>
        </w:rPr>
        <w:t>对规定时间前收到的任何质疑将在</w:t>
      </w:r>
      <w:r>
        <w:rPr>
          <w:rFonts w:hint="eastAsia" w:ascii="宋体" w:hAnsi="宋体" w:eastAsia="宋体" w:cs="宋体"/>
          <w:color w:val="auto"/>
          <w:highlight w:val="none"/>
        </w:rPr>
        <w:t>衢州市阳光交易服务平台（https://qzygjy.com/）</w:t>
      </w:r>
      <w:r>
        <w:rPr>
          <w:rFonts w:hint="eastAsia" w:ascii="宋体" w:hAnsi="宋体" w:eastAsia="宋体" w:cs="宋体"/>
          <w:color w:val="auto"/>
          <w:highlight w:val="none"/>
          <w:lang w:val="zh-CN"/>
        </w:rPr>
        <w:t>、</w:t>
      </w:r>
      <w:r>
        <w:rPr>
          <w:rFonts w:hint="eastAsia" w:ascii="宋体" w:hAnsi="宋体" w:eastAsia="宋体" w:cs="宋体"/>
          <w:color w:val="auto"/>
          <w:highlight w:val="none"/>
          <w:lang w:bidi="ar"/>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bidi="ar"/>
        </w:rPr>
        <w:t>http://zfcg.czt.zj.gov.cn/</w:t>
      </w:r>
      <w:r>
        <w:rPr>
          <w:rFonts w:hint="eastAsia" w:ascii="宋体" w:hAnsi="宋体" w:eastAsia="宋体" w:cs="宋体"/>
          <w:color w:val="auto"/>
          <w:highlight w:val="none"/>
          <w:lang w:bidi="ar"/>
        </w:rPr>
        <w:fldChar w:fldCharType="end"/>
      </w:r>
      <w:r>
        <w:rPr>
          <w:rFonts w:hint="eastAsia" w:ascii="宋体" w:hAnsi="宋体" w:eastAsia="宋体" w:cs="宋体"/>
          <w:color w:val="auto"/>
          <w:highlight w:val="none"/>
          <w:lang w:bidi="ar"/>
        </w:rPr>
        <w:t>）公布澄清，供应商自行到网上查看。无论是采购人根据需要主动对招标文件进行必要的修改或是根据供应商的要求对招标文件</w:t>
      </w:r>
      <w:r>
        <w:rPr>
          <w:rFonts w:hint="eastAsia" w:ascii="宋体" w:hAnsi="宋体" w:eastAsia="宋体" w:cs="宋体"/>
          <w:color w:val="auto"/>
          <w:highlight w:val="none"/>
          <w:lang w:eastAsia="zh-CN" w:bidi="ar"/>
        </w:rPr>
        <w:t>作出</w:t>
      </w:r>
      <w:r>
        <w:rPr>
          <w:rFonts w:hint="eastAsia" w:ascii="宋体" w:hAnsi="宋体" w:eastAsia="宋体" w:cs="宋体"/>
          <w:color w:val="auto"/>
          <w:highlight w:val="none"/>
          <w:lang w:bidi="ar"/>
        </w:rPr>
        <w:t>答复（答复中不包括问题的来源），并视为本招标文件的组成部分。</w:t>
      </w:r>
    </w:p>
    <w:p w14:paraId="72971086">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因其他紧急情况影响本项目正常招标活动的，</w:t>
      </w:r>
      <w:r>
        <w:rPr>
          <w:rFonts w:hint="eastAsia" w:ascii="宋体" w:hAnsi="宋体" w:eastAsia="宋体" w:cs="宋体"/>
          <w:color w:val="auto"/>
          <w:highlight w:val="none"/>
          <w:lang w:eastAsia="zh-CN" w:bidi="ar"/>
        </w:rPr>
        <w:t>采购代理机构</w:t>
      </w:r>
      <w:r>
        <w:rPr>
          <w:rFonts w:hint="eastAsia" w:ascii="宋体" w:hAnsi="宋体" w:eastAsia="宋体" w:cs="宋体"/>
          <w:color w:val="auto"/>
          <w:highlight w:val="none"/>
          <w:lang w:bidi="ar"/>
        </w:rPr>
        <w:t>将于投标截止日期5天前书面通知所有已</w:t>
      </w:r>
      <w:r>
        <w:rPr>
          <w:rFonts w:hint="eastAsia" w:ascii="宋体" w:hAnsi="宋体" w:eastAsia="宋体" w:cs="宋体"/>
          <w:color w:val="auto"/>
          <w:highlight w:val="none"/>
          <w:lang w:val="en-US" w:eastAsia="zh-CN" w:bidi="ar"/>
        </w:rPr>
        <w:t>获取</w:t>
      </w:r>
      <w:r>
        <w:rPr>
          <w:rFonts w:hint="eastAsia" w:ascii="宋体" w:hAnsi="宋体" w:eastAsia="宋体" w:cs="宋体"/>
          <w:color w:val="auto"/>
          <w:highlight w:val="none"/>
          <w:lang w:bidi="ar"/>
        </w:rPr>
        <w:t>的供应商。</w:t>
      </w:r>
    </w:p>
    <w:p w14:paraId="7EEB4D7D">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不论采购人向供应商发送的资料文件，还是供应商提出的问题，均通过</w:t>
      </w:r>
      <w:r>
        <w:rPr>
          <w:rFonts w:hint="eastAsia" w:ascii="宋体" w:hAnsi="宋体" w:eastAsia="宋体" w:cs="宋体"/>
          <w:color w:val="auto"/>
          <w:highlight w:val="none"/>
        </w:rPr>
        <w:t>衢州市阳光交易服务平台（https://qzygjy.com/）、</w:t>
      </w:r>
      <w:r>
        <w:rPr>
          <w:rFonts w:hint="eastAsia" w:ascii="宋体" w:hAnsi="宋体" w:eastAsia="宋体" w:cs="宋体"/>
          <w:color w:val="auto"/>
          <w:highlight w:val="none"/>
          <w:lang w:bidi="ar"/>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bidi="ar"/>
        </w:rPr>
        <w:t>http://zfcg.czt.zj.gov.cn/</w:t>
      </w:r>
      <w:r>
        <w:rPr>
          <w:rFonts w:hint="eastAsia" w:ascii="宋体" w:hAnsi="宋体" w:eastAsia="宋体" w:cs="宋体"/>
          <w:color w:val="auto"/>
          <w:highlight w:val="none"/>
          <w:lang w:bidi="ar"/>
        </w:rPr>
        <w:fldChar w:fldCharType="end"/>
      </w:r>
      <w:r>
        <w:rPr>
          <w:rFonts w:hint="eastAsia" w:ascii="宋体" w:hAnsi="宋体" w:eastAsia="宋体" w:cs="宋体"/>
          <w:color w:val="auto"/>
          <w:highlight w:val="none"/>
          <w:lang w:bidi="ar"/>
        </w:rPr>
        <w:t>）发布，任何口头提问及答复一律无效。</w:t>
      </w:r>
    </w:p>
    <w:p w14:paraId="7A982DEC">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当招标文件、澄清（答疑）纪要内容相互矛盾时，以最后发出的通知（或纪要）或修改文件为准。</w:t>
      </w:r>
    </w:p>
    <w:p w14:paraId="6C5195C1">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若有必要，采购人将酌情延长递交投标文件的截止日期。</w:t>
      </w:r>
    </w:p>
    <w:p w14:paraId="61B55D74">
      <w:pPr>
        <w:pStyle w:val="4"/>
        <w:numPr>
          <w:ilvl w:val="1"/>
          <w:numId w:val="0"/>
        </w:numPr>
        <w:shd w:val="clear"/>
        <w:spacing w:beforeLines="0" w:afterLines="0"/>
        <w:rPr>
          <w:rFonts w:hint="eastAsia" w:ascii="宋体" w:hAnsi="宋体" w:eastAsia="宋体" w:cs="宋体"/>
          <w:b/>
          <w:bCs w:val="0"/>
          <w:color w:val="auto"/>
          <w:highlight w:val="none"/>
          <w:lang w:bidi="ar"/>
        </w:rPr>
      </w:pPr>
      <w:bookmarkStart w:id="463" w:name="_Toc24001"/>
      <w:bookmarkStart w:id="464" w:name="_Toc12858"/>
      <w:bookmarkStart w:id="465" w:name="_Toc7618"/>
      <w:bookmarkStart w:id="466" w:name="_Toc29403"/>
      <w:bookmarkStart w:id="467" w:name="_Toc11019"/>
      <w:bookmarkStart w:id="468" w:name="_Toc20129"/>
      <w:bookmarkStart w:id="469" w:name="_Toc30018"/>
      <w:bookmarkStart w:id="470" w:name="_Toc11971"/>
      <w:bookmarkStart w:id="471" w:name="_Toc1555"/>
      <w:bookmarkStart w:id="472" w:name="_Toc31816"/>
      <w:bookmarkStart w:id="473" w:name="_Toc10055"/>
      <w:bookmarkStart w:id="474" w:name="_Toc27315"/>
      <w:bookmarkStart w:id="475" w:name="_Toc1014"/>
      <w:bookmarkStart w:id="476" w:name="_Toc9684"/>
      <w:bookmarkStart w:id="477" w:name="_Toc7917"/>
      <w:bookmarkStart w:id="478" w:name="_Toc7119"/>
      <w:bookmarkStart w:id="479" w:name="_Toc15095"/>
      <w:bookmarkStart w:id="480" w:name="_Toc18666"/>
      <w:bookmarkStart w:id="481" w:name="_Toc69"/>
      <w:bookmarkStart w:id="482" w:name="_Toc21937"/>
      <w:bookmarkStart w:id="483" w:name="_Toc20563"/>
      <w:bookmarkStart w:id="484" w:name="_Toc26092"/>
      <w:bookmarkStart w:id="485" w:name="_Toc14300"/>
      <w:bookmarkStart w:id="486" w:name="_Toc15778"/>
      <w:bookmarkStart w:id="487" w:name="_Toc26168"/>
      <w:bookmarkStart w:id="488" w:name="_Toc2313"/>
      <w:bookmarkStart w:id="489" w:name="_Toc26069"/>
      <w:bookmarkStart w:id="490" w:name="_Toc4773"/>
      <w:bookmarkStart w:id="491" w:name="_Toc24672"/>
      <w:bookmarkStart w:id="492" w:name="_Toc9649"/>
      <w:bookmarkStart w:id="493" w:name="_Toc16426"/>
      <w:bookmarkStart w:id="494" w:name="_Toc11335"/>
      <w:bookmarkStart w:id="495" w:name="_Toc15023"/>
      <w:bookmarkStart w:id="496" w:name="_Toc8318"/>
      <w:bookmarkStart w:id="497" w:name="_Toc25162"/>
      <w:r>
        <w:rPr>
          <w:rFonts w:hint="eastAsia" w:ascii="宋体" w:hAnsi="宋体" w:eastAsia="宋体" w:cs="宋体"/>
          <w:b/>
          <w:bCs w:val="0"/>
          <w:color w:val="auto"/>
          <w:highlight w:val="none"/>
          <w:lang w:bidi="ar"/>
        </w:rPr>
        <w:t>四、投标文件的编制</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FEC05F6">
      <w:pPr>
        <w:pStyle w:val="36"/>
        <w:numPr>
          <w:ilvl w:val="0"/>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总体要求</w:t>
      </w:r>
    </w:p>
    <w:p w14:paraId="30710B4D">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供应商应仔细阅读招标文件的所有内容，按本文件的要求提供投标文件，并保证所提供的全部资料的真实性和有效性，以使其投标文件对招标文件作出实质性响应，否则，其投标文件可能导致废标处理。</w:t>
      </w:r>
    </w:p>
    <w:p w14:paraId="243D314F">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投标文件及供应商与采购有关的来往通知，函件和文件均应使用中文。</w:t>
      </w:r>
    </w:p>
    <w:p w14:paraId="5D38E3C4">
      <w:pPr>
        <w:pStyle w:val="36"/>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供应商应按本文件中提供的文件格式、内容和要求制作投标文件。投标文件应装订成册。</w:t>
      </w:r>
    </w:p>
    <w:p w14:paraId="65D176FF">
      <w:pPr>
        <w:pStyle w:val="36"/>
        <w:numPr>
          <w:ilvl w:val="0"/>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投标文件的组成</w:t>
      </w:r>
    </w:p>
    <w:p w14:paraId="463EFD6E">
      <w:pPr>
        <w:pStyle w:val="21"/>
        <w:keepNext w:val="0"/>
        <w:keepLines w:val="0"/>
        <w:pageBreakBefore w:val="0"/>
        <w:widowControl w:val="0"/>
        <w:shd w:val="clear"/>
        <w:tabs>
          <w:tab w:val="left" w:pos="0"/>
          <w:tab w:val="left" w:pos="993"/>
          <w:tab w:val="left" w:pos="113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val="0"/>
          <w:color w:val="auto"/>
          <w:highlight w:val="none"/>
          <w:lang w:bidi="ar"/>
        </w:rPr>
      </w:pPr>
      <w:bookmarkStart w:id="498" w:name="OLE_LINK17"/>
      <w:r>
        <w:rPr>
          <w:rFonts w:hint="eastAsia" w:ascii="宋体" w:hAnsi="宋体" w:eastAsia="宋体" w:cs="宋体"/>
          <w:bCs w:val="0"/>
          <w:color w:val="auto"/>
          <w:highlight w:val="none"/>
          <w:lang w:bidi="ar"/>
        </w:rPr>
        <w:t>▲</w:t>
      </w:r>
      <w:bookmarkEnd w:id="498"/>
      <w:r>
        <w:rPr>
          <w:rFonts w:hint="eastAsia" w:ascii="宋体" w:hAnsi="宋体" w:eastAsia="宋体" w:cs="宋体"/>
          <w:bCs w:val="0"/>
          <w:color w:val="auto"/>
          <w:highlight w:val="none"/>
          <w:lang w:bidi="ar"/>
        </w:rPr>
        <w:t>投标文件由资格审查文件、资信技术文件和商务报价文件三部分组成，使用CA锁加盖</w:t>
      </w:r>
      <w:r>
        <w:rPr>
          <w:rFonts w:hint="eastAsia" w:ascii="宋体" w:hAnsi="宋体" w:eastAsia="宋体" w:cs="宋体"/>
          <w:bCs w:val="0"/>
          <w:color w:val="auto"/>
          <w:highlight w:val="none"/>
          <w:lang w:eastAsia="zh-CN" w:bidi="ar"/>
        </w:rPr>
        <w:t>投标人</w:t>
      </w:r>
      <w:r>
        <w:rPr>
          <w:rFonts w:hint="eastAsia" w:ascii="宋体" w:hAnsi="宋体" w:eastAsia="宋体" w:cs="宋体"/>
          <w:bCs w:val="0"/>
          <w:color w:val="auto"/>
          <w:highlight w:val="none"/>
          <w:lang w:bidi="ar"/>
        </w:rPr>
        <w:t>电子公章及法定代表人电子签章，用投标工具生成文件格式为“已加密投标文件”的电子投标文件，并将该格式的电子投标文件成功上传至衢州市阳光交易服务平台。</w:t>
      </w:r>
    </w:p>
    <w:p w14:paraId="13E8D26E">
      <w:pPr>
        <w:pStyle w:val="36"/>
        <w:numPr>
          <w:ilvl w:val="1"/>
          <w:numId w:val="8"/>
        </w:numPr>
        <w:shd w:val="clear"/>
        <w:tabs>
          <w:tab w:val="left" w:pos="171"/>
          <w:tab w:val="clear" w:pos="0"/>
        </w:tabs>
        <w:adjustRightInd w:val="0"/>
        <w:spacing w:line="240" w:lineRule="auto"/>
        <w:ind w:firstLine="480" w:firstLineChars="200"/>
        <w:jc w:val="both"/>
        <w:rPr>
          <w:rFonts w:hint="eastAsia" w:ascii="宋体" w:hAnsi="宋体" w:eastAsia="宋体" w:cs="宋体"/>
          <w:b/>
          <w:bCs/>
          <w:color w:val="auto"/>
          <w:highlight w:val="none"/>
          <w:lang w:eastAsia="en-US" w:bidi="ar"/>
        </w:rPr>
      </w:pPr>
      <w:bookmarkStart w:id="499" w:name="_Toc677"/>
      <w:r>
        <w:rPr>
          <w:rFonts w:hint="eastAsia" w:ascii="宋体" w:hAnsi="宋体" w:eastAsia="宋体" w:cs="宋体"/>
          <w:bCs w:val="0"/>
          <w:color w:val="auto"/>
          <w:highlight w:val="none"/>
          <w:lang w:bidi="ar"/>
        </w:rPr>
        <w:t>▲</w:t>
      </w:r>
      <w:r>
        <w:rPr>
          <w:rFonts w:hint="eastAsia" w:ascii="宋体" w:hAnsi="宋体" w:eastAsia="宋体" w:cs="宋体"/>
          <w:b/>
          <w:bCs/>
          <w:color w:val="auto"/>
          <w:highlight w:val="none"/>
          <w:lang w:eastAsia="en-US" w:bidi="ar"/>
        </w:rPr>
        <w:t>资格审查文件</w:t>
      </w:r>
      <w:bookmarkEnd w:id="499"/>
    </w:p>
    <w:p w14:paraId="5F2717DB">
      <w:pPr>
        <w:pStyle w:val="36"/>
        <w:numPr>
          <w:ilvl w:val="255"/>
          <w:numId w:val="0"/>
        </w:numPr>
        <w:shd w:val="clear"/>
        <w:tabs>
          <w:tab w:val="left" w:pos="171"/>
        </w:tabs>
        <w:spacing w:line="312" w:lineRule="auto"/>
        <w:ind w:firstLine="480" w:firstLineChars="200"/>
        <w:rPr>
          <w:rFonts w:hint="eastAsia" w:ascii="宋体" w:hAnsi="宋体" w:eastAsia="宋体" w:cs="宋体"/>
          <w:color w:val="auto"/>
          <w:highlight w:val="none"/>
          <w:lang w:bidi="ar"/>
        </w:rPr>
      </w:pPr>
      <w:bookmarkStart w:id="500" w:name="_Toc500208474"/>
      <w:r>
        <w:rPr>
          <w:rFonts w:hint="eastAsia" w:ascii="宋体" w:hAnsi="宋体" w:eastAsia="宋体" w:cs="宋体"/>
          <w:color w:val="auto"/>
          <w:highlight w:val="none"/>
          <w:lang w:bidi="ar"/>
        </w:rPr>
        <w:t>（1）供应商基本情况表；（格式见附件1）；</w:t>
      </w:r>
    </w:p>
    <w:p w14:paraId="0B52E2B5">
      <w:pPr>
        <w:pStyle w:val="36"/>
        <w:numPr>
          <w:ilvl w:val="255"/>
          <w:numId w:val="0"/>
        </w:numPr>
        <w:shd w:val="clea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（2）提供有效《企业法人营业执照》副本原件扫描件加盖公章编入投标文件中；</w:t>
      </w:r>
    </w:p>
    <w:p w14:paraId="3BECA538">
      <w:pPr>
        <w:pStyle w:val="36"/>
        <w:numPr>
          <w:ilvl w:val="255"/>
          <w:numId w:val="0"/>
        </w:numPr>
        <w:shd w:val="clea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（3）符合参加国企采购活动应当具备的一般条件的承诺函；（格式见附件2）</w:t>
      </w:r>
    </w:p>
    <w:p w14:paraId="16EEDA68">
      <w:pPr>
        <w:pStyle w:val="36"/>
        <w:numPr>
          <w:ilvl w:val="255"/>
          <w:numId w:val="0"/>
        </w:numPr>
        <w:shd w:val="clea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（4）投标函；（格式见附件3）</w:t>
      </w:r>
    </w:p>
    <w:p w14:paraId="050DC01F">
      <w:pPr>
        <w:pStyle w:val="36"/>
        <w:numPr>
          <w:ilvl w:val="255"/>
          <w:numId w:val="0"/>
        </w:numPr>
        <w:shd w:val="clea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（5）法人证明或授权委托书；（格式见附件4）</w:t>
      </w:r>
    </w:p>
    <w:p w14:paraId="7EF5B7ED">
      <w:pPr>
        <w:pStyle w:val="36"/>
        <w:numPr>
          <w:ilvl w:val="255"/>
          <w:numId w:val="0"/>
        </w:numPr>
        <w:shd w:val="clear"/>
        <w:tabs>
          <w:tab w:val="left" w:pos="171"/>
        </w:tabs>
        <w:spacing w:line="312" w:lineRule="auto"/>
        <w:ind w:firstLine="480" w:firstLineChars="20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bidi="ar"/>
        </w:rPr>
        <w:t>）</w:t>
      </w:r>
      <w:r>
        <w:rPr>
          <w:rFonts w:hint="eastAsia" w:ascii="宋体" w:hAnsi="宋体" w:eastAsia="宋体" w:cs="宋体"/>
          <w:color w:val="auto"/>
          <w:highlight w:val="none"/>
          <w:lang w:val="en-US" w:eastAsia="zh-CN" w:bidi="ar"/>
        </w:rPr>
        <w:t>本项目的特定资格要求：经销商或代理商投标时须取得生产厂家授权，并提供相关厂家授权委托书证明扫描件。</w:t>
      </w:r>
    </w:p>
    <w:p w14:paraId="024A5BCB">
      <w:pPr>
        <w:pStyle w:val="36"/>
        <w:keepNext w:val="0"/>
        <w:keepLines w:val="0"/>
        <w:pageBreakBefore w:val="0"/>
        <w:numPr>
          <w:ilvl w:val="255"/>
          <w:numId w:val="0"/>
        </w:numPr>
        <w:shd w:val="clear"/>
        <w:tabs>
          <w:tab w:val="left" w:pos="171"/>
        </w:tabs>
        <w:kinsoku/>
        <w:wordWrap/>
        <w:overflowPunct/>
        <w:topLinePunct w:val="0"/>
        <w:autoSpaceDE/>
        <w:autoSpaceDN/>
        <w:bidi w:val="0"/>
        <w:adjustRightInd/>
        <w:spacing w:line="312" w:lineRule="auto"/>
        <w:ind w:firstLine="482" w:firstLineChars="200"/>
        <w:textAlignment w:val="auto"/>
        <w:rPr>
          <w:rFonts w:hint="eastAsia" w:ascii="宋体" w:hAnsi="宋体" w:eastAsia="宋体" w:cs="宋体"/>
          <w:b/>
          <w:bCs/>
          <w:color w:val="auto"/>
          <w:highlight w:val="none"/>
          <w:lang w:eastAsia="en-US" w:bidi="ar"/>
        </w:rPr>
      </w:pPr>
      <w:r>
        <w:rPr>
          <w:rFonts w:hint="eastAsia" w:ascii="宋体" w:hAnsi="宋体" w:eastAsia="宋体" w:cs="宋体"/>
          <w:b/>
          <w:bCs/>
          <w:color w:val="auto"/>
          <w:highlight w:val="none"/>
          <w:lang w:eastAsia="en-US" w:bidi="ar"/>
        </w:rPr>
        <w:t>注：以上资格文件为通过式评审</w:t>
      </w:r>
      <w:r>
        <w:rPr>
          <w:rFonts w:hint="eastAsia" w:ascii="宋体" w:hAnsi="宋体" w:eastAsia="宋体" w:cs="宋体"/>
          <w:b/>
          <w:bCs/>
          <w:color w:val="auto"/>
          <w:highlight w:val="none"/>
          <w:lang w:eastAsia="zh-CN" w:bidi="ar"/>
        </w:rPr>
        <w:t>，</w:t>
      </w:r>
      <w:r>
        <w:rPr>
          <w:rFonts w:hint="eastAsia" w:ascii="宋体" w:hAnsi="宋体" w:eastAsia="宋体" w:cs="宋体"/>
          <w:b/>
          <w:bCs/>
          <w:color w:val="auto"/>
          <w:highlight w:val="none"/>
          <w:lang w:eastAsia="en-US" w:bidi="ar"/>
        </w:rPr>
        <w:t>如有缺少或不符合要求的</w:t>
      </w:r>
      <w:r>
        <w:rPr>
          <w:rFonts w:hint="eastAsia" w:ascii="宋体" w:hAnsi="宋体" w:eastAsia="宋体" w:cs="宋体"/>
          <w:b/>
          <w:bCs/>
          <w:color w:val="auto"/>
          <w:highlight w:val="none"/>
          <w:lang w:eastAsia="zh-CN" w:bidi="ar"/>
        </w:rPr>
        <w:t>，</w:t>
      </w:r>
      <w:r>
        <w:rPr>
          <w:rFonts w:hint="eastAsia" w:ascii="宋体" w:hAnsi="宋体" w:eastAsia="宋体" w:cs="宋体"/>
          <w:b/>
          <w:bCs/>
          <w:color w:val="auto"/>
          <w:highlight w:val="none"/>
          <w:lang w:eastAsia="en-US" w:bidi="ar"/>
        </w:rPr>
        <w:t>则视为资格审查不予通过。</w:t>
      </w:r>
    </w:p>
    <w:p w14:paraId="12EC99BC">
      <w:pPr>
        <w:pStyle w:val="36"/>
        <w:numPr>
          <w:ilvl w:val="1"/>
          <w:numId w:val="8"/>
        </w:numPr>
        <w:shd w:val="clear"/>
        <w:tabs>
          <w:tab w:val="left" w:pos="171"/>
          <w:tab w:val="clear" w:pos="0"/>
        </w:tabs>
        <w:adjustRightInd w:val="0"/>
        <w:spacing w:line="240" w:lineRule="auto"/>
        <w:ind w:firstLine="482" w:firstLineChars="200"/>
        <w:jc w:val="both"/>
        <w:rPr>
          <w:rFonts w:hint="eastAsia" w:ascii="宋体" w:hAnsi="宋体" w:eastAsia="宋体" w:cs="宋体"/>
          <w:b/>
          <w:bCs/>
          <w:color w:val="auto"/>
          <w:highlight w:val="none"/>
          <w:lang w:eastAsia="en-US" w:bidi="ar"/>
        </w:rPr>
      </w:pPr>
      <w:r>
        <w:rPr>
          <w:rFonts w:hint="eastAsia" w:ascii="宋体" w:hAnsi="宋体" w:eastAsia="宋体" w:cs="宋体"/>
          <w:b/>
          <w:bCs/>
          <w:color w:val="auto"/>
          <w:highlight w:val="none"/>
          <w:lang w:eastAsia="en-US" w:bidi="ar"/>
        </w:rPr>
        <w:t>资信技术文件</w:t>
      </w:r>
    </w:p>
    <w:p w14:paraId="7CFAB952">
      <w:pPr>
        <w:pStyle w:val="2"/>
        <w:shd w:val="clear"/>
        <w:spacing w:line="312"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包括但不限于以下内容：</w:t>
      </w:r>
    </w:p>
    <w:p w14:paraId="2DE087AB">
      <w:pPr>
        <w:pStyle w:val="2"/>
        <w:shd w:val="clear"/>
        <w:spacing w:line="312" w:lineRule="auto"/>
        <w:ind w:firstLine="48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eastAsia="zh-CN"/>
        </w:rPr>
        <w:t>）类似业绩一览表；（格式见附件</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eastAsia="zh-CN"/>
        </w:rPr>
        <w:t>）</w:t>
      </w:r>
    </w:p>
    <w:p w14:paraId="7D1B4895">
      <w:pPr>
        <w:pStyle w:val="2"/>
        <w:shd w:val="clear"/>
        <w:spacing w:line="312" w:lineRule="auto"/>
        <w:ind w:firstLine="480"/>
        <w:jc w:val="left"/>
        <w:rPr>
          <w:rFonts w:hint="eastAsia" w:ascii="宋体" w:hAnsi="宋体" w:eastAsia="宋体" w:cs="宋体"/>
          <w:color w:val="auto"/>
          <w:szCs w:val="24"/>
          <w:highlight w:val="none"/>
          <w:lang w:val="en-US" w:eastAsia="zh-CN"/>
        </w:rPr>
      </w:pPr>
      <w:bookmarkStart w:id="501" w:name="_Toc16512"/>
      <w:bookmarkStart w:id="502" w:name="_Toc17884"/>
      <w:bookmarkStart w:id="503" w:name="_Toc29404"/>
      <w:bookmarkStart w:id="504" w:name="_Toc10577"/>
      <w:bookmarkStart w:id="505" w:name="_Toc24537"/>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eastAsia="zh-CN"/>
        </w:rPr>
        <w:t>拟派</w:t>
      </w:r>
      <w:r>
        <w:rPr>
          <w:rFonts w:hint="eastAsia" w:ascii="宋体" w:hAnsi="宋体" w:eastAsia="宋体" w:cs="宋体"/>
          <w:color w:val="auto"/>
          <w:szCs w:val="24"/>
          <w:highlight w:val="none"/>
          <w:lang w:val="en-US" w:eastAsia="zh-CN"/>
        </w:rPr>
        <w:t>项目负责人情况表；（格式见附件6）</w:t>
      </w:r>
    </w:p>
    <w:p w14:paraId="346EADAD">
      <w:pPr>
        <w:pStyle w:val="2"/>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（3）拟投入项目组成员一览表；（格式见附件7）</w:t>
      </w:r>
    </w:p>
    <w:p w14:paraId="7ED9A698">
      <w:pPr>
        <w:pStyle w:val="2"/>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val="zh-Hans" w:eastAsia="zh-CN"/>
        </w:rPr>
        <w:t>技术偏离表</w:t>
      </w:r>
      <w:r>
        <w:rPr>
          <w:rFonts w:hint="eastAsia" w:ascii="宋体" w:hAnsi="宋体" w:eastAsia="宋体" w:cs="宋体"/>
          <w:color w:val="auto"/>
          <w:szCs w:val="24"/>
          <w:highlight w:val="none"/>
          <w:lang w:val="en-US" w:eastAsia="zh-CN"/>
        </w:rPr>
        <w:t>；（格式见附件8）</w:t>
      </w:r>
    </w:p>
    <w:p w14:paraId="400C05F6">
      <w:pPr>
        <w:pStyle w:val="2"/>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（5）商务响应承诺函；（格式见附件9）</w:t>
      </w:r>
    </w:p>
    <w:p w14:paraId="0216A399">
      <w:pPr>
        <w:pStyle w:val="2"/>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eastAsia="zh-CN"/>
        </w:rPr>
        <w:t>技术方案</w:t>
      </w:r>
      <w:r>
        <w:rPr>
          <w:rFonts w:hint="eastAsia" w:ascii="宋体" w:hAnsi="宋体" w:eastAsia="宋体" w:cs="宋体"/>
          <w:color w:val="auto"/>
          <w:szCs w:val="24"/>
          <w:highlight w:val="none"/>
          <w:lang w:val="en-US" w:eastAsia="zh-CN"/>
        </w:rPr>
        <w:t>；（格式自拟）</w:t>
      </w:r>
    </w:p>
    <w:p w14:paraId="131A6D91">
      <w:pPr>
        <w:pStyle w:val="2"/>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val="zh-CN" w:eastAsia="zh-CN"/>
        </w:rPr>
        <w:t>施工方案</w:t>
      </w:r>
      <w:r>
        <w:rPr>
          <w:rFonts w:hint="eastAsia" w:ascii="宋体" w:hAnsi="宋体" w:eastAsia="宋体" w:cs="宋体"/>
          <w:color w:val="auto"/>
          <w:szCs w:val="24"/>
          <w:highlight w:val="none"/>
          <w:lang w:val="en-US" w:eastAsia="zh-CN"/>
        </w:rPr>
        <w:t>；（格式自拟）</w:t>
      </w:r>
    </w:p>
    <w:p w14:paraId="3711857D">
      <w:pPr>
        <w:pStyle w:val="2"/>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lang w:val="zh-CN" w:eastAsia="zh-CN"/>
        </w:rPr>
        <w:t>维保方案</w:t>
      </w:r>
      <w:r>
        <w:rPr>
          <w:rFonts w:hint="eastAsia" w:ascii="宋体" w:hAnsi="宋体" w:eastAsia="宋体" w:cs="宋体"/>
          <w:color w:val="auto"/>
          <w:szCs w:val="24"/>
          <w:highlight w:val="none"/>
          <w:lang w:val="en-US" w:eastAsia="zh-CN"/>
        </w:rPr>
        <w:t>；（格式自拟）</w:t>
      </w:r>
    </w:p>
    <w:p w14:paraId="3CD486FF">
      <w:pPr>
        <w:pStyle w:val="2"/>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（9）进度计划；（格式自拟）</w:t>
      </w:r>
    </w:p>
    <w:p w14:paraId="79A8A32A">
      <w:pPr>
        <w:pStyle w:val="2"/>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（10）培训方案；（格式自拟）</w:t>
      </w:r>
    </w:p>
    <w:p w14:paraId="5DD3F559">
      <w:pPr>
        <w:pStyle w:val="2"/>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（11）其他内容供应商根据第四章评标办法及评分标准3.综合评分明细表提供其余的相关评分所需资料。</w:t>
      </w:r>
    </w:p>
    <w:bookmarkEnd w:id="501"/>
    <w:bookmarkEnd w:id="502"/>
    <w:bookmarkEnd w:id="503"/>
    <w:bookmarkEnd w:id="504"/>
    <w:bookmarkEnd w:id="505"/>
    <w:p w14:paraId="5A1EE657">
      <w:pPr>
        <w:pStyle w:val="36"/>
        <w:numPr>
          <w:ilvl w:val="1"/>
          <w:numId w:val="8"/>
        </w:numPr>
        <w:shd w:val="clear"/>
        <w:tabs>
          <w:tab w:val="left" w:pos="171"/>
          <w:tab w:val="clear" w:pos="0"/>
        </w:tabs>
        <w:adjustRightInd w:val="0"/>
        <w:spacing w:line="240" w:lineRule="auto"/>
        <w:ind w:firstLine="482" w:firstLineChars="200"/>
        <w:jc w:val="both"/>
        <w:rPr>
          <w:rFonts w:hint="eastAsia" w:ascii="宋体" w:hAnsi="宋体" w:eastAsia="宋体" w:cs="宋体"/>
          <w:b/>
          <w:bCs/>
          <w:color w:val="auto"/>
          <w:highlight w:val="none"/>
          <w:lang w:eastAsia="en-US" w:bidi="ar"/>
        </w:rPr>
      </w:pPr>
      <w:bookmarkStart w:id="506" w:name="_Toc22013"/>
      <w:bookmarkStart w:id="507" w:name="_Toc25916"/>
      <w:bookmarkStart w:id="508" w:name="_Toc10278"/>
      <w:r>
        <w:rPr>
          <w:rFonts w:hint="eastAsia" w:ascii="宋体" w:hAnsi="宋体" w:eastAsia="宋体" w:cs="宋体"/>
          <w:b/>
          <w:bCs/>
          <w:color w:val="auto"/>
          <w:highlight w:val="none"/>
          <w:lang w:eastAsia="en-US" w:bidi="ar"/>
        </w:rPr>
        <w:t>商务报价文件</w:t>
      </w:r>
      <w:bookmarkEnd w:id="506"/>
      <w:bookmarkEnd w:id="507"/>
      <w:bookmarkEnd w:id="508"/>
    </w:p>
    <w:p w14:paraId="7A0A251A">
      <w:pPr>
        <w:pStyle w:val="2"/>
        <w:shd w:val="clear"/>
        <w:spacing w:line="312"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包括但不限于以下内容：</w:t>
      </w:r>
    </w:p>
    <w:p w14:paraId="15F10045">
      <w:pPr>
        <w:pStyle w:val="2"/>
        <w:shd w:val="clear"/>
        <w:spacing w:line="312"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▲（1）开标一览表；（格式见附件</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p>
    <w:p w14:paraId="05CCBF30">
      <w:pPr>
        <w:pStyle w:val="2"/>
        <w:shd w:val="clear"/>
        <w:spacing w:line="312" w:lineRule="auto"/>
        <w:ind w:firstLine="48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清单报价明细表</w:t>
      </w:r>
      <w:r>
        <w:rPr>
          <w:rFonts w:hint="eastAsia" w:ascii="宋体" w:hAnsi="宋体" w:eastAsia="宋体" w:cs="宋体"/>
          <w:color w:val="auto"/>
          <w:highlight w:val="none"/>
        </w:rPr>
        <w:t>；（格式见附件</w:t>
      </w:r>
      <w:r>
        <w:rPr>
          <w:rFonts w:hint="eastAsia" w:hAnsi="宋体" w:cs="宋体"/>
          <w:color w:val="auto"/>
          <w:highlight w:val="none"/>
          <w:lang w:val="en-US" w:eastAsia="zh-CN"/>
        </w:rPr>
        <w:t>11</w:t>
      </w:r>
      <w:r>
        <w:rPr>
          <w:rFonts w:hint="eastAsia" w:ascii="宋体" w:hAnsi="宋体" w:eastAsia="宋体" w:cs="宋体"/>
          <w:color w:val="auto"/>
          <w:highlight w:val="none"/>
        </w:rPr>
        <w:t>）</w:t>
      </w:r>
    </w:p>
    <w:p w14:paraId="1E34221D">
      <w:pPr>
        <w:pStyle w:val="2"/>
        <w:shd w:val="clear"/>
        <w:spacing w:line="312"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3</w:t>
      </w:r>
      <w:r>
        <w:rPr>
          <w:rFonts w:hint="eastAsia" w:ascii="宋体" w:hAnsi="宋体" w:eastAsia="宋体" w:cs="宋体"/>
          <w:color w:val="auto"/>
          <w:highlight w:val="none"/>
        </w:rPr>
        <w:t>）中小企业、监狱企业、残疾人福利性单位声明函；（格式见附件</w:t>
      </w: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2</w:t>
      </w:r>
      <w:r>
        <w:rPr>
          <w:rFonts w:hint="eastAsia" w:ascii="宋体" w:hAnsi="宋体" w:eastAsia="宋体" w:cs="宋体"/>
          <w:color w:val="auto"/>
          <w:highlight w:val="none"/>
        </w:rPr>
        <w:t>）</w:t>
      </w:r>
    </w:p>
    <w:p w14:paraId="54AD9251">
      <w:pPr>
        <w:pStyle w:val="2"/>
        <w:shd w:val="clear"/>
        <w:spacing w:line="312"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4）</w:t>
      </w:r>
      <w:r>
        <w:rPr>
          <w:rFonts w:hint="eastAsia" w:ascii="宋体" w:hAnsi="宋体" w:eastAsia="宋体" w:cs="宋体"/>
          <w:color w:val="auto"/>
          <w:highlight w:val="none"/>
        </w:rPr>
        <w:t>供应商需要说明的其他文件和说明。</w:t>
      </w:r>
    </w:p>
    <w:bookmarkEnd w:id="500"/>
    <w:p w14:paraId="42B82EA8">
      <w:pPr>
        <w:shd w:val="clear"/>
        <w:spacing w:line="312" w:lineRule="auto"/>
        <w:ind w:firstLine="482"/>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注：1.以上文件组成投标文件。供应商应对招标文件</w:t>
      </w:r>
      <w:r>
        <w:rPr>
          <w:rFonts w:hint="eastAsia" w:ascii="宋体" w:hAnsi="宋体" w:eastAsia="宋体" w:cs="宋体"/>
          <w:b/>
          <w:bCs/>
          <w:color w:val="auto"/>
          <w:highlight w:val="none"/>
          <w:u w:val="single"/>
          <w:lang w:eastAsia="zh-CN"/>
        </w:rPr>
        <w:t>作出</w:t>
      </w:r>
      <w:r>
        <w:rPr>
          <w:rFonts w:hint="eastAsia" w:ascii="宋体" w:hAnsi="宋体" w:eastAsia="宋体" w:cs="宋体"/>
          <w:b/>
          <w:bCs/>
          <w:color w:val="auto"/>
          <w:highlight w:val="none"/>
          <w:u w:val="single"/>
        </w:rPr>
        <w:t>实质性响应，该项内容将作为投标的重要指标。一旦开标后，经审核确定投标资格和技术能力不能响应招标文件要求，则供应商即刻被废标或被拒绝进入商务报价阶段。</w:t>
      </w:r>
    </w:p>
    <w:p w14:paraId="3FBE0F6C">
      <w:pPr>
        <w:shd w:val="clear"/>
        <w:spacing w:line="312" w:lineRule="auto"/>
        <w:ind w:firstLine="482"/>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2.以上所需的各种证书、证件、证明、执照等证明文件扫描件上应加盖供应商的电子公章，否则相应部分不得分。</w:t>
      </w:r>
    </w:p>
    <w:p w14:paraId="01041191">
      <w:pPr>
        <w:pStyle w:val="36"/>
        <w:numPr>
          <w:ilvl w:val="0"/>
          <w:numId w:val="9"/>
        </w:numPr>
        <w:shd w:val="clear"/>
        <w:adjustRightInd w:val="0"/>
        <w:spacing w:line="312" w:lineRule="auto"/>
        <w:ind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投标文件的编制</w:t>
      </w:r>
    </w:p>
    <w:p w14:paraId="671CD6B8">
      <w:pPr>
        <w:pStyle w:val="36"/>
        <w:numPr>
          <w:ilvl w:val="1"/>
          <w:numId w:val="10"/>
        </w:numPr>
        <w:shd w:val="clear"/>
        <w:tabs>
          <w:tab w:val="left" w:pos="171"/>
          <w:tab w:val="clear" w:pos="0"/>
        </w:tabs>
        <w:adjustRightInd w:val="0"/>
        <w:spacing w:line="312" w:lineRule="auto"/>
        <w:ind w:left="0" w:firstLine="48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投标文件应按第六章“投标文件格式”进行编写，如有必要，可以增加附页，作为投标文件的组成部分。其中，投标函在满足招标文件实质性要求的基础上，可以提出比招标文件要求更有利于采购人的承诺。</w:t>
      </w:r>
    </w:p>
    <w:p w14:paraId="628B4497">
      <w:pPr>
        <w:pStyle w:val="36"/>
        <w:numPr>
          <w:ilvl w:val="1"/>
          <w:numId w:val="10"/>
        </w:numPr>
        <w:shd w:val="clear"/>
        <w:tabs>
          <w:tab w:val="left" w:pos="171"/>
          <w:tab w:val="clear" w:pos="0"/>
        </w:tabs>
        <w:adjustRightInd w:val="0"/>
        <w:spacing w:line="312" w:lineRule="auto"/>
        <w:ind w:left="0" w:firstLine="48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投标文件的制作要求详见本章“电子投标说明”。</w:t>
      </w:r>
    </w:p>
    <w:p w14:paraId="403D0A22">
      <w:pPr>
        <w:pStyle w:val="36"/>
        <w:numPr>
          <w:ilvl w:val="1"/>
          <w:numId w:val="10"/>
        </w:numPr>
        <w:shd w:val="clear"/>
        <w:tabs>
          <w:tab w:val="left" w:pos="171"/>
          <w:tab w:val="clear" w:pos="0"/>
        </w:tabs>
        <w:adjustRightInd w:val="0"/>
        <w:spacing w:line="312" w:lineRule="auto"/>
        <w:ind w:left="0" w:firstLine="48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资格审查文件、资信技术文件和商务报价文件按投标文件格式文件要求供应商盖章、法定代表人印章的地方，供应商均应使用CA数字证书加盖供应商的单位电子印章、法定代表人个人电子印章，上传至衢州市阳光交易服务平台，作为投标文件正本，其余详见供应商须知前附表。</w:t>
      </w:r>
    </w:p>
    <w:p w14:paraId="061613F0">
      <w:pPr>
        <w:pStyle w:val="36"/>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投标内容填写说明</w:t>
      </w:r>
    </w:p>
    <w:p w14:paraId="235BF967">
      <w:pPr>
        <w:pStyle w:val="36"/>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无相应内容可填的项应填写“无</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未测试</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没有相应指标”等明确的回答文字。</w:t>
      </w:r>
    </w:p>
    <w:p w14:paraId="5FA881FF">
      <w:pPr>
        <w:pStyle w:val="36"/>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供应商必须保证投标文件所提供的全部资料真实可靠，并接受采购人对任何资料进一步审查的要求。</w:t>
      </w:r>
    </w:p>
    <w:p w14:paraId="05D6D6DB">
      <w:pPr>
        <w:pStyle w:val="36"/>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《开标一览表》为在开标仪式上唱标的内容，要求按格式填写、统一规范，不得自行增减内容。</w:t>
      </w:r>
    </w:p>
    <w:p w14:paraId="0FF25C5A">
      <w:pPr>
        <w:pStyle w:val="36"/>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投标文件须对招标文件中的内容做出实质性、完整的响应，否则其投标将被拒绝。如果投标文件填报的内容资料不详，或没有提供招标文件中所要求的全部资料及数据，将会导致投标被拒绝。</w:t>
      </w:r>
    </w:p>
    <w:p w14:paraId="19F75B47">
      <w:pPr>
        <w:pStyle w:val="36"/>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供应商已明知采购期间或之后企业将发生兼并改制，应当告知采购人可能影响采购服务项目实施或损害采购人利益的信息，必须在投标文件中予以特别说明，否则，采购人可以拒绝其投标文件。</w:t>
      </w:r>
    </w:p>
    <w:p w14:paraId="0EBD12AB">
      <w:pPr>
        <w:pStyle w:val="36"/>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投标文件不得涂改和增删，如有错漏必须修改，修改处须由法人或授权代表在旁边签字或盖章或加盖供应商公章才有效。</w:t>
      </w:r>
    </w:p>
    <w:p w14:paraId="7CB22713">
      <w:pPr>
        <w:pStyle w:val="36"/>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由于字迹模糊或表达不清引起的后果由供应商负责。</w:t>
      </w:r>
    </w:p>
    <w:p w14:paraId="4D6A7644">
      <w:pPr>
        <w:pStyle w:val="36"/>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投标报价</w:t>
      </w:r>
    </w:p>
    <w:p w14:paraId="2FD729A2">
      <w:pPr>
        <w:pStyle w:val="36"/>
        <w:numPr>
          <w:ilvl w:val="1"/>
          <w:numId w:val="12"/>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zh-CN"/>
        </w:rPr>
        <w:t>投标报价是指</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在正确地完全履行合同义务后采购人应支付给</w:t>
      </w:r>
      <w:r>
        <w:rPr>
          <w:rFonts w:hint="eastAsia" w:ascii="宋体" w:hAnsi="宋体" w:cs="宋体"/>
          <w:color w:val="auto"/>
          <w:highlight w:val="none"/>
          <w:lang w:eastAsia="zh-CN"/>
        </w:rPr>
        <w:t>中标人</w:t>
      </w:r>
      <w:r>
        <w:rPr>
          <w:rFonts w:hint="eastAsia" w:ascii="宋体" w:hAnsi="宋体" w:eastAsia="宋体" w:cs="宋体"/>
          <w:color w:val="auto"/>
          <w:highlight w:val="none"/>
          <w:lang w:val="zh-CN"/>
        </w:rPr>
        <w:t>所有的价款</w:t>
      </w:r>
      <w:r>
        <w:rPr>
          <w:rFonts w:hint="eastAsia" w:ascii="宋体" w:hAnsi="宋体" w:cs="宋体"/>
          <w:color w:val="auto"/>
          <w:highlight w:val="none"/>
          <w:lang w:val="zh-CN"/>
        </w:rPr>
        <w:t>，</w:t>
      </w:r>
      <w:r>
        <w:rPr>
          <w:rFonts w:hint="eastAsia" w:ascii="宋体" w:hAnsi="宋体" w:cs="宋体"/>
          <w:color w:val="auto"/>
          <w:highlight w:val="none"/>
          <w:lang w:val="en-US" w:eastAsia="zh-CN"/>
        </w:rPr>
        <w:t>本项目为交钥匙工程。</w:t>
      </w:r>
      <w:r>
        <w:rPr>
          <w:rFonts w:hint="eastAsia" w:ascii="宋体" w:hAnsi="宋体" w:eastAsia="宋体" w:cs="宋体"/>
          <w:color w:val="auto"/>
          <w:highlight w:val="none"/>
          <w:lang w:bidi="ar"/>
        </w:rPr>
        <w:t>供应商的投标报价不得高于采购人给定的最高限价，否则投标文件</w:t>
      </w:r>
      <w:r>
        <w:rPr>
          <w:rFonts w:hint="eastAsia" w:ascii="宋体" w:hAnsi="宋体" w:eastAsia="宋体" w:cs="宋体"/>
          <w:color w:val="auto"/>
          <w:highlight w:val="none"/>
          <w:lang w:eastAsia="zh-CN" w:bidi="ar"/>
        </w:rPr>
        <w:t>无效</w:t>
      </w:r>
      <w:r>
        <w:rPr>
          <w:rFonts w:hint="eastAsia" w:ascii="宋体" w:hAnsi="宋体" w:eastAsia="宋体" w:cs="宋体"/>
          <w:color w:val="auto"/>
          <w:highlight w:val="none"/>
          <w:lang w:bidi="ar"/>
        </w:rPr>
        <w:t>。</w:t>
      </w:r>
    </w:p>
    <w:p w14:paraId="4E6FE22E">
      <w:pPr>
        <w:pStyle w:val="36"/>
        <w:numPr>
          <w:ilvl w:val="1"/>
          <w:numId w:val="12"/>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任何算术性错误，采购人将按下述原则予以调整：</w:t>
      </w:r>
    </w:p>
    <w:p w14:paraId="250BCFC2">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（1）开标时，投标文件中开标一览表（报价表）内容与投标文件中明细表内容不一致的，以开标一览表（报价表）为准；</w:t>
      </w:r>
    </w:p>
    <w:p w14:paraId="2FD06B06">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14:paraId="3BA2C669">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（3）单价金额小数点或百分比有明显错位的，以开标一览表的总价为准，并修改单价；</w:t>
      </w:r>
    </w:p>
    <w:p w14:paraId="19ABD067">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（4）总价金额与按单价汇总金额不一致的，以单价金额计算结果为准；同时出现两种以上不一致的，按照前款规定的顺序修正，修正后的报价应经供应商书面确认，供应商不予确认的，其投标无效。</w:t>
      </w:r>
    </w:p>
    <w:p w14:paraId="5E9F328B">
      <w:pPr>
        <w:pStyle w:val="4"/>
        <w:numPr>
          <w:ilvl w:val="1"/>
          <w:numId w:val="0"/>
        </w:numPr>
        <w:shd w:val="clear"/>
        <w:spacing w:beforeLines="0" w:afterLines="0"/>
        <w:rPr>
          <w:rFonts w:hint="eastAsia" w:ascii="宋体" w:hAnsi="宋体" w:eastAsia="宋体" w:cs="宋体"/>
          <w:b/>
          <w:bCs w:val="0"/>
          <w:color w:val="auto"/>
          <w:highlight w:val="none"/>
          <w:lang w:bidi="ar"/>
        </w:rPr>
      </w:pPr>
      <w:bookmarkStart w:id="509" w:name="_Toc17806"/>
      <w:bookmarkStart w:id="510" w:name="_Toc1082"/>
      <w:bookmarkStart w:id="511" w:name="_Toc23535"/>
      <w:bookmarkStart w:id="512" w:name="_Toc13814"/>
      <w:r>
        <w:rPr>
          <w:rFonts w:hint="eastAsia" w:ascii="宋体" w:hAnsi="宋体" w:eastAsia="宋体" w:cs="宋体"/>
          <w:b/>
          <w:bCs w:val="0"/>
          <w:color w:val="auto"/>
          <w:highlight w:val="none"/>
          <w:lang w:bidi="ar"/>
        </w:rPr>
        <w:t>五、投标文件的递交</w:t>
      </w:r>
      <w:bookmarkEnd w:id="509"/>
      <w:bookmarkEnd w:id="510"/>
      <w:bookmarkEnd w:id="511"/>
      <w:bookmarkEnd w:id="512"/>
    </w:p>
    <w:p w14:paraId="6DEA42DA">
      <w:pPr>
        <w:pStyle w:val="36"/>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递交投标文件方式和</w:t>
      </w:r>
      <w:r>
        <w:rPr>
          <w:rFonts w:hint="eastAsia" w:ascii="宋体" w:hAnsi="宋体" w:eastAsia="宋体" w:cs="宋体"/>
          <w:color w:val="auto"/>
          <w:highlight w:val="none"/>
          <w:lang w:eastAsia="zh-CN" w:bidi="ar"/>
        </w:rPr>
        <w:t>地址</w:t>
      </w:r>
    </w:p>
    <w:p w14:paraId="46AFF9B3">
      <w:pPr>
        <w:pStyle w:val="30"/>
        <w:shd w:val="clear"/>
        <w:tabs>
          <w:tab w:val="right" w:leader="dot" w:pos="9060"/>
          <w:tab w:val="right" w:leader="dot" w:pos="9170"/>
          <w:tab w:val="clear" w:pos="9628"/>
        </w:tabs>
        <w:adjustRightInd w:val="0"/>
        <w:snapToGrid w:val="0"/>
        <w:spacing w:line="420" w:lineRule="exact"/>
        <w:ind w:firstLine="480"/>
        <w:jc w:val="both"/>
        <w:rPr>
          <w:rFonts w:hint="eastAsia" w:ascii="宋体" w:hAnsi="宋体" w:eastAsia="宋体" w:cs="宋体"/>
          <w:b w:val="0"/>
          <w:bCs w:val="0"/>
          <w:caps w:val="0"/>
          <w:color w:val="auto"/>
          <w:sz w:val="24"/>
          <w:szCs w:val="24"/>
          <w:highlight w:val="none"/>
        </w:rPr>
      </w:pPr>
      <w:r>
        <w:rPr>
          <w:rFonts w:hint="eastAsia" w:ascii="宋体" w:hAnsi="宋体" w:eastAsia="宋体" w:cs="宋体"/>
          <w:b w:val="0"/>
          <w:bCs w:val="0"/>
          <w:caps w:val="0"/>
          <w:color w:val="auto"/>
          <w:sz w:val="24"/>
          <w:szCs w:val="24"/>
          <w:highlight w:val="none"/>
        </w:rPr>
        <w:t>将由投标文件制作工具制作生成的加密投标文件（.QZCGTF）在投标截止时间前（以上传完成时间为准）上传至衢州市阳光交易服务平台（https://qzygjy.com/）。</w:t>
      </w:r>
    </w:p>
    <w:p w14:paraId="1F38D4FF">
      <w:pPr>
        <w:pStyle w:val="36"/>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递交投标文件截止期</w:t>
      </w:r>
    </w:p>
    <w:p w14:paraId="62454830">
      <w:pPr>
        <w:pStyle w:val="36"/>
        <w:numPr>
          <w:ilvl w:val="1"/>
          <w:numId w:val="13"/>
        </w:numPr>
        <w:shd w:val="clear"/>
        <w:tabs>
          <w:tab w:val="left" w:pos="171"/>
        </w:tabs>
        <w:adjustRightInd w:val="0"/>
        <w:spacing w:line="312" w:lineRule="auto"/>
        <w:ind w:firstLine="48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供应商应在供应商须知前附表规定的投标截止时间前递交投标文件。</w:t>
      </w:r>
    </w:p>
    <w:p w14:paraId="79CDBB2E">
      <w:pPr>
        <w:pStyle w:val="36"/>
        <w:numPr>
          <w:ilvl w:val="1"/>
          <w:numId w:val="13"/>
        </w:numPr>
        <w:shd w:val="clear"/>
        <w:tabs>
          <w:tab w:val="left" w:pos="171"/>
        </w:tabs>
        <w:adjustRightInd w:val="0"/>
        <w:spacing w:line="312" w:lineRule="auto"/>
        <w:ind w:firstLine="480"/>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供应商递交投标文件的地址：见供应商须知前附表。</w:t>
      </w:r>
    </w:p>
    <w:p w14:paraId="6B19C974">
      <w:pPr>
        <w:pStyle w:val="36"/>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投标文件的修改和撤销</w:t>
      </w:r>
    </w:p>
    <w:p w14:paraId="7F229975">
      <w:pPr>
        <w:pStyle w:val="36"/>
        <w:numPr>
          <w:ilvl w:val="255"/>
          <w:numId w:val="0"/>
        </w:numPr>
        <w:shd w:val="clea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rPr>
        <w:t>在本章第25.1项规定的投标截止时间前，供应商可以修改或撤回已递交的投标文件，但应以书面形式通知采购人。</w:t>
      </w:r>
    </w:p>
    <w:p w14:paraId="72915016">
      <w:pPr>
        <w:pStyle w:val="4"/>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13" w:name="_Toc20370"/>
      <w:bookmarkStart w:id="514" w:name="_Toc1411"/>
      <w:bookmarkStart w:id="515" w:name="_Toc8383"/>
      <w:bookmarkStart w:id="516" w:name="_Toc11534"/>
      <w:bookmarkStart w:id="517" w:name="_Toc30998"/>
      <w:r>
        <w:rPr>
          <w:rFonts w:hint="eastAsia" w:ascii="宋体" w:hAnsi="宋体" w:cs="宋体"/>
          <w:b/>
          <w:bCs w:val="0"/>
          <w:color w:val="auto"/>
          <w:highlight w:val="none"/>
          <w:lang w:bidi="ar"/>
        </w:rPr>
        <w:t>六、投标无效的情形</w:t>
      </w:r>
      <w:bookmarkEnd w:id="513"/>
      <w:bookmarkEnd w:id="514"/>
      <w:bookmarkEnd w:id="515"/>
      <w:bookmarkEnd w:id="516"/>
      <w:bookmarkEnd w:id="517"/>
    </w:p>
    <w:p w14:paraId="06D357D1">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bidi="ar"/>
        </w:rPr>
        <w:t>实质上没有响应招标文件要求的投标将被视为无效投标。</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不得通过修正或撤销不合要求的偏离或保留从而使其投标成为实质上响应的投标。如发生下列情况之一的，其投标视为无效：</w:t>
      </w:r>
    </w:p>
    <w:p w14:paraId="2014456F">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投标文件逾期上传标书的；</w:t>
      </w:r>
    </w:p>
    <w:p w14:paraId="6C919263">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不具备招标文件规定的资格要求；</w:t>
      </w:r>
    </w:p>
    <w:p w14:paraId="1A75DEFD">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投标文件未按招标文件的要求加盖单位公章，或投标人的法定代表人未按招标文件要求签字或盖章的；</w:t>
      </w:r>
    </w:p>
    <w:p w14:paraId="70B5DE3A">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招标文件中有▲处条款或▲处参数投标人未做实质性响应的；</w:t>
      </w:r>
    </w:p>
    <w:p w14:paraId="7F306843">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投标文件的实质性内容未使用中文表述、意思表述不明确、前后矛盾或者使用计量单位不符合招标文件要求的（经评标委员会认定允许其当场更正的笔误除外）；</w:t>
      </w:r>
    </w:p>
    <w:p w14:paraId="6FCC67D0">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outlineLvl w:val="2"/>
        <w:rPr>
          <w:rFonts w:ascii="宋体" w:hAnsi="宋体" w:cs="宋体"/>
          <w:color w:val="auto"/>
          <w:highlight w:val="none"/>
          <w:lang w:val="zh-CN" w:bidi="ar"/>
        </w:rPr>
      </w:pPr>
      <w:r>
        <w:rPr>
          <w:rFonts w:hint="eastAsia" w:ascii="宋体" w:hAnsi="宋体" w:cs="宋体"/>
          <w:color w:val="auto"/>
          <w:highlight w:val="none"/>
          <w:lang w:val="zh-CN" w:bidi="ar"/>
        </w:rPr>
        <w:t>投标文件关键内容字迹模糊、无法辨认的；</w:t>
      </w:r>
    </w:p>
    <w:p w14:paraId="7425BDFE">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投标方案不明确，存在一个或一个以上备选（替代）投标方案的；</w:t>
      </w:r>
    </w:p>
    <w:p w14:paraId="0FA11C9A">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资信技术文件中包含本次报价的；</w:t>
      </w:r>
    </w:p>
    <w:p w14:paraId="44A0ABC8">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未按照招标文件标明的币种报价的；</w:t>
      </w:r>
    </w:p>
    <w:p w14:paraId="108A3B85">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投标报价具有选择性，或者开标价格与投标文件承诺的优惠（折扣）价格不一致的；</w:t>
      </w:r>
    </w:p>
    <w:p w14:paraId="60D31301">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投标报价明细表总额与开标一览表总价不一致，且高于总价5％的；</w:t>
      </w:r>
    </w:p>
    <w:p w14:paraId="64A0B154">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投标人的报价明显高于其市场价或低于成本价的，该投标人不能合理说明原因并提供证明材料的；</w:t>
      </w:r>
    </w:p>
    <w:p w14:paraId="13692E65">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投标报价漏项超过投标报价5%以上的或漏项超过2项及以上的，均属无效投标；</w:t>
      </w:r>
    </w:p>
    <w:p w14:paraId="74C55601">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报价超出采购招标控制价（最高限价）的；</w:t>
      </w:r>
    </w:p>
    <w:p w14:paraId="08E3AD67">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提供虚假材料谋取中标的；</w:t>
      </w:r>
    </w:p>
    <w:p w14:paraId="45D4472A">
      <w:pPr>
        <w:pStyle w:val="36"/>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不符合法律法规和招标文件规定的其他实质性要求的。</w:t>
      </w:r>
    </w:p>
    <w:p w14:paraId="2F7D402D">
      <w:pPr>
        <w:pStyle w:val="4"/>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18" w:name="_Toc26252"/>
      <w:bookmarkStart w:id="519" w:name="_Toc31521"/>
      <w:bookmarkStart w:id="520" w:name="_Toc10623"/>
      <w:bookmarkStart w:id="521" w:name="_Toc22816"/>
      <w:bookmarkStart w:id="522" w:name="_Toc5200"/>
      <w:bookmarkStart w:id="523" w:name="_Toc9415"/>
      <w:r>
        <w:rPr>
          <w:rFonts w:hint="eastAsia" w:ascii="宋体" w:hAnsi="宋体" w:cs="宋体"/>
          <w:b/>
          <w:bCs w:val="0"/>
          <w:color w:val="auto"/>
          <w:highlight w:val="none"/>
          <w:lang w:val="en-US" w:eastAsia="zh-CN" w:bidi="ar"/>
        </w:rPr>
        <w:t>七</w:t>
      </w:r>
      <w:r>
        <w:rPr>
          <w:rFonts w:hint="eastAsia" w:ascii="宋体" w:hAnsi="宋体" w:cs="宋体"/>
          <w:b/>
          <w:bCs w:val="0"/>
          <w:color w:val="auto"/>
          <w:highlight w:val="none"/>
          <w:lang w:bidi="ar"/>
        </w:rPr>
        <w:t>、废标的情形</w:t>
      </w:r>
      <w:bookmarkEnd w:id="518"/>
      <w:bookmarkEnd w:id="519"/>
      <w:bookmarkEnd w:id="520"/>
      <w:bookmarkEnd w:id="521"/>
      <w:bookmarkEnd w:id="522"/>
    </w:p>
    <w:p w14:paraId="35D8B0ED">
      <w:pPr>
        <w:pStyle w:val="36"/>
        <w:pageBreakBefore w:val="0"/>
        <w:numPr>
          <w:ilvl w:val="0"/>
          <w:numId w:val="9"/>
        </w:numPr>
        <w:shd w:val="clear"/>
        <w:kinsoku/>
        <w:overflowPunct/>
        <w:topLinePunct w:val="0"/>
        <w:autoSpaceDE/>
        <w:autoSpaceDN/>
        <w:bidi w:val="0"/>
        <w:adjustRightInd w:val="0"/>
        <w:spacing w:line="308" w:lineRule="auto"/>
        <w:ind w:left="0" w:firstLine="480"/>
        <w:jc w:val="both"/>
        <w:textAlignment w:val="auto"/>
        <w:rPr>
          <w:rFonts w:ascii="宋体" w:hAnsi="宋体" w:cs="宋体"/>
          <w:color w:val="auto"/>
          <w:highlight w:val="none"/>
          <w:lang w:bidi="ar"/>
        </w:rPr>
      </w:pPr>
      <w:bookmarkStart w:id="524" w:name="_Toc11809"/>
      <w:r>
        <w:rPr>
          <w:rFonts w:hint="eastAsia" w:ascii="宋体" w:hAnsi="宋体" w:cs="宋体"/>
          <w:color w:val="auto"/>
          <w:highlight w:val="none"/>
          <w:lang w:bidi="ar"/>
        </w:rPr>
        <w:t>采购中，出现下列情形之一的，应予废标，废标后，采购人将废标理由通知所有</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w:t>
      </w:r>
    </w:p>
    <w:p w14:paraId="326BF6C1">
      <w:pPr>
        <w:pStyle w:val="36"/>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ascii="宋体" w:hAnsi="宋体" w:cs="宋体"/>
          <w:color w:val="auto"/>
          <w:highlight w:val="none"/>
          <w:lang w:bidi="ar"/>
        </w:rPr>
      </w:pPr>
      <w:bookmarkStart w:id="525" w:name="OLE_LINK60"/>
      <w:r>
        <w:rPr>
          <w:rFonts w:hint="eastAsia" w:ascii="宋体" w:hAnsi="宋体" w:cs="宋体"/>
          <w:color w:val="auto"/>
          <w:highlight w:val="none"/>
          <w:lang w:bidi="ar"/>
        </w:rPr>
        <w:t>投标截止时间止提交投标文件的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不足3家或者对招标文件作实质性响应的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不足3家的；</w:t>
      </w:r>
    </w:p>
    <w:p w14:paraId="0D9C8993">
      <w:pPr>
        <w:pStyle w:val="36"/>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出现影响采购公正的违法、违规行为的；</w:t>
      </w:r>
    </w:p>
    <w:p w14:paraId="084193CA">
      <w:pPr>
        <w:pStyle w:val="36"/>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的报价均超过了采购预算，采购人不能支付的；</w:t>
      </w:r>
    </w:p>
    <w:p w14:paraId="6FA0034D">
      <w:pPr>
        <w:pStyle w:val="36"/>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因重大变故，采购任务取消的。</w:t>
      </w:r>
    </w:p>
    <w:p w14:paraId="1738EB69">
      <w:pPr>
        <w:pStyle w:val="36"/>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法律法规以及招标文件规定的其他废标情形的。</w:t>
      </w:r>
    </w:p>
    <w:bookmarkEnd w:id="523"/>
    <w:bookmarkEnd w:id="524"/>
    <w:bookmarkEnd w:id="525"/>
    <w:p w14:paraId="16FC43A1">
      <w:pPr>
        <w:pStyle w:val="4"/>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26" w:name="_Toc8873"/>
      <w:bookmarkStart w:id="527" w:name="_Toc2054"/>
      <w:bookmarkStart w:id="528" w:name="_Toc14371"/>
      <w:r>
        <w:rPr>
          <w:rFonts w:hint="eastAsia" w:ascii="宋体" w:hAnsi="宋体" w:cs="宋体"/>
          <w:b/>
          <w:bCs w:val="0"/>
          <w:color w:val="auto"/>
          <w:highlight w:val="none"/>
          <w:lang w:val="en-US" w:eastAsia="zh-CN" w:bidi="ar"/>
        </w:rPr>
        <w:t>八</w:t>
      </w:r>
      <w:r>
        <w:rPr>
          <w:rFonts w:hint="eastAsia" w:ascii="宋体" w:hAnsi="宋体" w:cs="宋体"/>
          <w:b/>
          <w:bCs w:val="0"/>
          <w:color w:val="auto"/>
          <w:highlight w:val="none"/>
          <w:lang w:bidi="ar"/>
        </w:rPr>
        <w:t>、开标、评标和定标</w:t>
      </w:r>
      <w:bookmarkEnd w:id="526"/>
      <w:bookmarkEnd w:id="527"/>
      <w:bookmarkEnd w:id="528"/>
    </w:p>
    <w:p w14:paraId="4B09E698">
      <w:pPr>
        <w:pStyle w:val="36"/>
        <w:keepNext w:val="0"/>
        <w:keepLines w:val="0"/>
        <w:pageBreakBefore w:val="0"/>
        <w:widowControl/>
        <w:numPr>
          <w:ilvl w:val="0"/>
          <w:numId w:val="9"/>
        </w:numPr>
        <w:shd w:val="clear"/>
        <w:kinsoku/>
        <w:wordWrap/>
        <w:overflowPunct/>
        <w:topLinePunct w:val="0"/>
        <w:autoSpaceDE/>
        <w:autoSpaceDN/>
        <w:bidi w:val="0"/>
        <w:adjustRightInd w:val="0"/>
        <w:snapToGrid/>
        <w:spacing w:line="308" w:lineRule="auto"/>
        <w:ind w:left="0" w:firstLine="480" w:firstLineChars="20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开标时间、地点、参加开标会议的要求</w:t>
      </w:r>
    </w:p>
    <w:p w14:paraId="6F732A2B">
      <w:pPr>
        <w:pStyle w:val="36"/>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开标时间：同投标截止时间。</w:t>
      </w:r>
    </w:p>
    <w:p w14:paraId="07ECE04D">
      <w:pPr>
        <w:pStyle w:val="36"/>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开标大厅：（https://qzygjy.com/BidOpening/bidopeninghallaction/hall/login）</w:t>
      </w:r>
    </w:p>
    <w:p w14:paraId="4110D1CD">
      <w:pPr>
        <w:pStyle w:val="36"/>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参加开标会议的要求</w:t>
      </w:r>
    </w:p>
    <w:p w14:paraId="164C1C56">
      <w:pPr>
        <w:pStyle w:val="36"/>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开标过程中，</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参与远程音视频交互的</w:t>
      </w:r>
      <w:r>
        <w:rPr>
          <w:rFonts w:hint="eastAsia" w:ascii="宋体" w:hAnsi="宋体" w:cs="宋体"/>
          <w:color w:val="auto"/>
          <w:highlight w:val="none"/>
          <w:lang w:eastAsia="zh-CN" w:bidi="ar"/>
        </w:rPr>
        <w:t>法定代表人</w:t>
      </w:r>
      <w:r>
        <w:rPr>
          <w:rFonts w:hint="eastAsia" w:ascii="宋体" w:hAnsi="宋体" w:cs="宋体"/>
          <w:color w:val="auto"/>
          <w:highlight w:val="none"/>
          <w:lang w:bidi="ar"/>
        </w:rPr>
        <w:t>或授权委托人应始终为同一人，中途不得更换，并能及时响应开标要求。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终端操作人员均被视为</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法人代表或授权委托人，</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自行承担随意更换人员所导致的一切后果。</w:t>
      </w:r>
    </w:p>
    <w:p w14:paraId="31015BEC">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开标程序</w:t>
      </w:r>
    </w:p>
    <w:p w14:paraId="69A48909">
      <w:pPr>
        <w:pStyle w:val="36"/>
        <w:pageBreakBefore w:val="0"/>
        <w:numPr>
          <w:ilvl w:val="255"/>
          <w:numId w:val="0"/>
        </w:numPr>
        <w:shd w:val="clear"/>
        <w:tabs>
          <w:tab w:val="left" w:pos="171"/>
        </w:tabs>
        <w:kinsoku/>
        <w:overflowPunct/>
        <w:topLinePunct w:val="0"/>
        <w:autoSpaceDE/>
        <w:autoSpaceDN/>
        <w:bidi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须准备好加密投标文件的CA数字证书以供开标时远程解密投标文件。</w:t>
      </w:r>
    </w:p>
    <w:p w14:paraId="6D1BAD91">
      <w:pPr>
        <w:pStyle w:val="152"/>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投标截止时间</w:t>
      </w:r>
    </w:p>
    <w:p w14:paraId="2EB750F5">
      <w:pPr>
        <w:pStyle w:val="155"/>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采购人（或公证处工作人员）宣布开始开标，宣布开标项目名称、采购人代表等有关人员姓名，公布在投标截止时间前受理的投标文件的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w:t>
      </w:r>
    </w:p>
    <w:p w14:paraId="32671C4D">
      <w:pPr>
        <w:pStyle w:val="155"/>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w:t>
      </w:r>
    </w:p>
    <w:p w14:paraId="6A5EA554">
      <w:pPr>
        <w:pStyle w:val="155"/>
        <w:pageBreakBefore w:val="0"/>
        <w:widowControl w:val="0"/>
        <w:shd w:val="clear"/>
        <w:tabs>
          <w:tab w:val="right" w:leader="dot" w:pos="8295"/>
        </w:tabs>
        <w:kinsoku/>
        <w:overflowPunct/>
        <w:topLinePunct w:val="0"/>
        <w:autoSpaceDE/>
        <w:autoSpaceDN/>
        <w:bidi w:val="0"/>
        <w:snapToGrid w:val="0"/>
        <w:spacing w:line="308"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解密时间：采购人（公证人员）宣布开始解密后30分钟以内。</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解密方式：</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自行登录衢州市阳光交易服务平台不见面开标大厅（</w:t>
      </w:r>
      <w:r>
        <w:rPr>
          <w:rFonts w:hint="eastAsia" w:ascii="宋体" w:hAnsi="宋体" w:cs="宋体"/>
          <w:snapToGrid w:val="0"/>
          <w:color w:val="auto"/>
          <w:spacing w:val="-6"/>
          <w:sz w:val="24"/>
          <w:szCs w:val="24"/>
          <w:highlight w:val="none"/>
        </w:rPr>
        <w:t>https://qzygjy.com/BidOpening/bidopeninghallaction/hall/login</w:t>
      </w:r>
      <w:r>
        <w:rPr>
          <w:rFonts w:hint="eastAsia" w:ascii="宋体" w:hAnsi="宋体" w:cs="宋体"/>
          <w:snapToGrid w:val="0"/>
          <w:color w:val="auto"/>
          <w:spacing w:val="-6"/>
          <w:sz w:val="24"/>
          <w:szCs w:val="24"/>
          <w:highlight w:val="none"/>
          <w:lang w:eastAsia="zh-CN"/>
        </w:rPr>
        <w:t>）</w:t>
      </w:r>
      <w:r>
        <w:rPr>
          <w:rFonts w:hint="eastAsia" w:ascii="宋体" w:hAnsi="宋体" w:cs="宋体"/>
          <w:color w:val="auto"/>
          <w:sz w:val="24"/>
          <w:szCs w:val="24"/>
          <w:highlight w:val="none"/>
        </w:rPr>
        <w:t>——我的项目——选择标段——待招标代理开启解密后进行解密操作。</w:t>
      </w:r>
    </w:p>
    <w:p w14:paraId="4BB7DC58">
      <w:pPr>
        <w:pStyle w:val="155"/>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使用生成投标文件的CA数字证书解密投标文件。</w:t>
      </w:r>
    </w:p>
    <w:p w14:paraId="38D0D325">
      <w:pPr>
        <w:pStyle w:val="155"/>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（四）投标文件解密完成后，开标系统公布</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名称、投标报价、合同履行期限及其他内容。</w:t>
      </w:r>
    </w:p>
    <w:p w14:paraId="1CFE0E35">
      <w:pPr>
        <w:pStyle w:val="155"/>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确认</w:t>
      </w:r>
    </w:p>
    <w:p w14:paraId="3581F783">
      <w:pPr>
        <w:pStyle w:val="155"/>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唱标完成后，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可通过衢州市阳光交易服务平台不见面开标大厅系统对唱标结果进行确认，未在开标结束前完成在线确认的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，衢州市阳光交易服务平台不见面开标大厅系统将视作自动确认。</w:t>
      </w:r>
    </w:p>
    <w:p w14:paraId="18ED901A">
      <w:pPr>
        <w:pStyle w:val="155"/>
        <w:pageBreakBefore w:val="0"/>
        <w:widowControl w:val="0"/>
        <w:shd w:val="clear"/>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对开标过程有异议的，应通过衢州市阳光交易服务平台不见面开标大厅系统的“开标异议文字提问”按钮进行异议，采购人通过衢州市阳光交易服务平台不见面开标大厅系统文字答复，</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提出异议的时间截止至开标结果公布后5分钟；</w:t>
      </w:r>
    </w:p>
    <w:p w14:paraId="6815636C">
      <w:pPr>
        <w:pStyle w:val="155"/>
        <w:pageBreakBefore w:val="0"/>
        <w:shd w:val="clear"/>
        <w:tabs>
          <w:tab w:val="right" w:leader="dot" w:pos="8295"/>
        </w:tabs>
        <w:kinsoku/>
        <w:overflowPunct/>
        <w:topLinePunct w:val="0"/>
        <w:autoSpaceDE/>
        <w:autoSpaceDN/>
        <w:bidi w:val="0"/>
        <w:snapToGrid w:val="0"/>
        <w:spacing w:line="308"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（六）进入评标环节，首先对解密成功的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进行资格审查，然后对通过资格审查的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进行资信技术文件评审，最后进行报价评分；</w:t>
      </w:r>
    </w:p>
    <w:p w14:paraId="5A5D4B1B">
      <w:pPr>
        <w:pStyle w:val="155"/>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（七）评标结束后，采购人宣布中标候选人。采购人宣布开标会议结束。</w:t>
      </w:r>
    </w:p>
    <w:p w14:paraId="65C1B2E3">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开标特别说明</w:t>
      </w:r>
    </w:p>
    <w:p w14:paraId="1E1B251D">
      <w:pPr>
        <w:pStyle w:val="152"/>
        <w:pageBreakBefore w:val="0"/>
        <w:shd w:val="clear"/>
        <w:kinsoku/>
        <w:overflowPunct/>
        <w:topLinePunct w:val="0"/>
        <w:autoSpaceDE/>
        <w:autoSpaceDN/>
        <w:bidi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（一）开标解密使用</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 xml:space="preserve">上传的电子投标文件。 </w:t>
      </w:r>
    </w:p>
    <w:p w14:paraId="3C60E5D8">
      <w:pPr>
        <w:pStyle w:val="152"/>
        <w:pageBreakBefore w:val="0"/>
        <w:shd w:val="clear"/>
        <w:kinsoku/>
        <w:overflowPunct/>
        <w:topLinePunct w:val="0"/>
        <w:autoSpaceDE/>
        <w:autoSpaceDN/>
        <w:bidi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（二）因</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原因（包括</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自主选择的CA证书、投标工具等），造成其电子投标文件未解密的，或投标文件解密了，但投标文件无法识别、读取的，视为撤销其投标文件。</w:t>
      </w:r>
    </w:p>
    <w:p w14:paraId="0369DB89">
      <w:pPr>
        <w:pStyle w:val="152"/>
        <w:pageBreakBefore w:val="0"/>
        <w:shd w:val="clear"/>
        <w:kinsoku/>
        <w:overflowPunct/>
        <w:topLinePunct w:val="0"/>
        <w:autoSpaceDE/>
        <w:autoSpaceDN/>
        <w:bidi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（三）部分</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的电子投标文件无法解密（识别、读取）的，其他投标文件的开标可以继续进行，但最终解密（识别、读取）成功的应不少于3家。</w:t>
      </w:r>
    </w:p>
    <w:p w14:paraId="2D315D91">
      <w:pPr>
        <w:pStyle w:val="152"/>
        <w:pageBreakBefore w:val="0"/>
        <w:shd w:val="clear"/>
        <w:kinsoku/>
        <w:overflowPunct/>
        <w:topLinePunct w:val="0"/>
        <w:autoSpaceDE/>
        <w:autoSpaceDN/>
        <w:bidi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必须使用生成电子投标文件的CA数字证书解密电子投标文件。</w:t>
      </w:r>
    </w:p>
    <w:p w14:paraId="52718664">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评标委员会</w:t>
      </w:r>
    </w:p>
    <w:p w14:paraId="77FEBD4B">
      <w:pPr>
        <w:pStyle w:val="36"/>
        <w:keepNext w:val="0"/>
        <w:keepLines w:val="0"/>
        <w:pageBreakBefore w:val="0"/>
        <w:widowControl/>
        <w:numPr>
          <w:ilvl w:val="1"/>
          <w:numId w:val="17"/>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评标由采购人依法组建的评标委员会负责。评标委员会成员人数以及技术、经济等方面专家的确定方式见</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须知前附表。</w:t>
      </w:r>
    </w:p>
    <w:p w14:paraId="799BB3BD">
      <w:pPr>
        <w:pStyle w:val="36"/>
        <w:keepNext w:val="0"/>
        <w:keepLines w:val="0"/>
        <w:pageBreakBefore w:val="0"/>
        <w:widowControl/>
        <w:numPr>
          <w:ilvl w:val="1"/>
          <w:numId w:val="17"/>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评标委员会依据</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提交的投标文件进行评审。</w:t>
      </w:r>
    </w:p>
    <w:p w14:paraId="357D6240">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评标的保密</w:t>
      </w:r>
    </w:p>
    <w:p w14:paraId="08D46C4B">
      <w:pPr>
        <w:pStyle w:val="36"/>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评标采用保密的方式进行。</w:t>
      </w:r>
    </w:p>
    <w:p w14:paraId="21E6BC97">
      <w:pPr>
        <w:pStyle w:val="36"/>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评标委员会成员和参与评标的有关工作人员不得透露对投标文件的评审和比较、中标候选人的推荐情况以及与评标有关的其他情况。</w:t>
      </w:r>
    </w:p>
    <w:p w14:paraId="2982B8B5">
      <w:pPr>
        <w:pStyle w:val="36"/>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在投标文件的评审和比较、中标候选人推荐以及授予合同的过程中，</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向采购人和评标委员会施加影响的任何行为，都将导致其投标被拒绝。</w:t>
      </w:r>
    </w:p>
    <w:p w14:paraId="10166C7D">
      <w:pPr>
        <w:pStyle w:val="36"/>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评标委员会对未</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就评标过程以及未能中标原因不作解释。</w:t>
      </w:r>
    </w:p>
    <w:p w14:paraId="0DAEAD86">
      <w:pPr>
        <w:pStyle w:val="36"/>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采购人不得在</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确定前，与</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就投标价格、投标方案等实质性内容进行谈判。</w:t>
      </w:r>
    </w:p>
    <w:p w14:paraId="68046FD4">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评标程序</w:t>
      </w:r>
    </w:p>
    <w:p w14:paraId="030B0D3B">
      <w:pPr>
        <w:pStyle w:val="36"/>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资格审查文件的评审。</w:t>
      </w:r>
    </w:p>
    <w:p w14:paraId="63000636">
      <w:pPr>
        <w:pStyle w:val="36"/>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资信技术文件的评审。</w:t>
      </w:r>
    </w:p>
    <w:p w14:paraId="0AEEFA30">
      <w:pPr>
        <w:pStyle w:val="36"/>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val="en-US" w:eastAsia="zh-CN" w:bidi="ar"/>
        </w:rPr>
        <w:t>商务报价</w:t>
      </w:r>
      <w:r>
        <w:rPr>
          <w:rFonts w:hint="eastAsia" w:ascii="宋体" w:hAnsi="宋体" w:cs="宋体"/>
          <w:color w:val="auto"/>
          <w:highlight w:val="none"/>
          <w:lang w:bidi="ar"/>
        </w:rPr>
        <w:t>文件的</w:t>
      </w:r>
      <w:r>
        <w:rPr>
          <w:rFonts w:hint="eastAsia" w:ascii="宋体" w:hAnsi="宋体" w:cs="宋体"/>
          <w:color w:val="auto"/>
          <w:highlight w:val="none"/>
          <w:lang w:val="en-US" w:eastAsia="zh-CN" w:bidi="ar"/>
        </w:rPr>
        <w:t>评审。</w:t>
      </w:r>
    </w:p>
    <w:p w14:paraId="2398F2F8">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bidi="ar"/>
        </w:rPr>
        <w:t>评标办法及评分标准（详见第四章）。</w:t>
      </w:r>
    </w:p>
    <w:p w14:paraId="6636C3E0">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bidi="ar"/>
        </w:rPr>
        <w:t>澄清问题的形式</w:t>
      </w:r>
    </w:p>
    <w:p w14:paraId="62CFC7E9">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s="宋体"/>
          <w:color w:val="auto"/>
          <w:highlight w:val="none"/>
        </w:rPr>
      </w:pPr>
      <w:r>
        <w:rPr>
          <w:rFonts w:hint="eastAsia" w:ascii="宋体" w:hAnsi="宋体" w:cs="宋体"/>
          <w:color w:val="auto"/>
          <w:highlight w:val="none"/>
        </w:rPr>
        <w:t>对投标文件中含义不明确、同类问题表述不一致或者有明显文字和计算错误的内容，评标委员会可要求</w:t>
      </w:r>
      <w:r>
        <w:rPr>
          <w:rFonts w:hint="eastAsia" w:ascii="宋体" w:hAnsi="宋体" w:cs="宋体"/>
          <w:color w:val="auto"/>
          <w:highlight w:val="none"/>
          <w:lang w:eastAsia="zh-CN"/>
        </w:rPr>
        <w:t>投标人</w:t>
      </w:r>
      <w:r>
        <w:rPr>
          <w:rFonts w:hint="eastAsia" w:ascii="宋体" w:hAnsi="宋体" w:cs="宋体"/>
          <w:color w:val="auto"/>
          <w:highlight w:val="none"/>
        </w:rPr>
        <w:t>在评标委员会要求的时间内作出必要的澄清、说明或者补正。</w:t>
      </w:r>
      <w:r>
        <w:rPr>
          <w:rFonts w:hint="eastAsia" w:ascii="宋体" w:hAnsi="宋体" w:cs="宋体"/>
          <w:color w:val="auto"/>
          <w:highlight w:val="none"/>
          <w:lang w:eastAsia="zh-CN"/>
        </w:rPr>
        <w:t>投标人</w:t>
      </w:r>
      <w:r>
        <w:rPr>
          <w:rFonts w:hint="eastAsia" w:ascii="宋体" w:hAnsi="宋体" w:cs="宋体"/>
          <w:color w:val="auto"/>
          <w:highlight w:val="none"/>
        </w:rPr>
        <w:t>的澄清、说明或者补正应当采用书面形式，由法定代表人或委托代理人签字确认，并不得超出投标文件的范围或者改变投标文件的实质性内容。如</w:t>
      </w:r>
      <w:r>
        <w:rPr>
          <w:rFonts w:hint="eastAsia" w:ascii="宋体" w:hAnsi="宋体" w:cs="宋体"/>
          <w:color w:val="auto"/>
          <w:highlight w:val="none"/>
          <w:lang w:eastAsia="zh-CN"/>
        </w:rPr>
        <w:t>投标人</w:t>
      </w:r>
      <w:r>
        <w:rPr>
          <w:rFonts w:hint="eastAsia" w:ascii="宋体" w:hAnsi="宋体" w:cs="宋体"/>
          <w:color w:val="auto"/>
          <w:highlight w:val="none"/>
        </w:rPr>
        <w:t>未在规定时间内澄清、说明、补正或拒绝澄清、说明、补正的，其投标文件按无效标处理。</w:t>
      </w:r>
    </w:p>
    <w:p w14:paraId="6010B5FB">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投标文件的澄清</w:t>
      </w:r>
    </w:p>
    <w:p w14:paraId="3478B706">
      <w:pPr>
        <w:pStyle w:val="36"/>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为有助于投标文件的审查、评价和比较，评标委员会可以通过</w:t>
      </w:r>
      <w:r>
        <w:rPr>
          <w:rFonts w:hint="eastAsia" w:ascii="宋体" w:hAnsi="宋体" w:cs="宋体"/>
          <w:color w:val="auto"/>
          <w:highlight w:val="none"/>
        </w:rPr>
        <w:t>衢州市阳光交易服务平台</w:t>
      </w:r>
      <w:r>
        <w:rPr>
          <w:rFonts w:hint="eastAsia" w:ascii="宋体" w:hAnsi="宋体" w:cs="宋体"/>
          <w:color w:val="auto"/>
          <w:highlight w:val="none"/>
          <w:lang w:bidi="ar"/>
        </w:rPr>
        <w:t>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对投标文件含义不明确的内容</w:t>
      </w:r>
      <w:r>
        <w:rPr>
          <w:rFonts w:hint="eastAsia" w:ascii="宋体" w:hAnsi="宋体" w:cs="宋体"/>
          <w:color w:val="auto"/>
          <w:highlight w:val="none"/>
          <w:lang w:eastAsia="zh-CN" w:bidi="ar"/>
        </w:rPr>
        <w:t>做</w:t>
      </w:r>
      <w:r>
        <w:rPr>
          <w:rFonts w:hint="eastAsia" w:ascii="宋体" w:hAnsi="宋体" w:cs="宋体"/>
          <w:color w:val="auto"/>
          <w:highlight w:val="none"/>
          <w:lang w:bidi="ar"/>
        </w:rPr>
        <w:t>必要的澄清或者说明。</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通过该平台作出澄清回复，澄清回复时间不得超过在发出通知后15分钟</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具体以系统规定的时间为准</w:t>
      </w:r>
      <w:r>
        <w:rPr>
          <w:rFonts w:hint="eastAsia" w:ascii="宋体" w:hAnsi="宋体" w:cs="宋体"/>
          <w:color w:val="auto"/>
          <w:highlight w:val="none"/>
          <w:lang w:eastAsia="zh-CN" w:bidi="ar"/>
        </w:rPr>
        <w:t>）</w:t>
      </w:r>
      <w:r>
        <w:rPr>
          <w:rFonts w:hint="eastAsia" w:ascii="宋体" w:hAnsi="宋体" w:cs="宋体"/>
          <w:color w:val="auto"/>
          <w:highlight w:val="none"/>
          <w:lang w:bidi="ar"/>
        </w:rPr>
        <w:t>，</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逾期或未按要求澄清回复的，将视为不予回复或确认，评标委员会有权否决其投标。</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通讯不畅通，导致不能及时联系的，视</w:t>
      </w:r>
      <w:r>
        <w:rPr>
          <w:rFonts w:hint="eastAsia" w:ascii="宋体" w:hAnsi="宋体" w:cs="宋体"/>
          <w:color w:val="auto"/>
          <w:highlight w:val="none"/>
          <w:lang w:eastAsia="zh-CN" w:bidi="ar"/>
        </w:rPr>
        <w:t>为投标人</w:t>
      </w:r>
      <w:r>
        <w:rPr>
          <w:rFonts w:hint="eastAsia" w:ascii="宋体" w:hAnsi="宋体" w:cs="宋体"/>
          <w:color w:val="auto"/>
          <w:highlight w:val="none"/>
          <w:lang w:bidi="ar"/>
        </w:rPr>
        <w:t>不予回复或确认。评标委员会对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提交的澄清、说明或补正有疑问的，可以要求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进一步澄清、说明或补正，直至满足评标委员会的要求。</w:t>
      </w:r>
    </w:p>
    <w:p w14:paraId="28346999">
      <w:pPr>
        <w:pStyle w:val="36"/>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澄清将作为投标内容的一部分，</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对投标文件的澄清或说明不得超出投标文件的范围或改变投标文件的实质性的内容。凡属于评标委员会在评标中发现的计算错误并进行核实的修改不在此列。</w:t>
      </w:r>
    </w:p>
    <w:p w14:paraId="7C069490">
      <w:pPr>
        <w:pStyle w:val="36"/>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对投标文件修正原则：用数字表示的数额与用文字表示的数额不一致时，以文字数额为准；单价与数量的乘积与总价之间不一致时，以单价为准，但单价有明显的小数点错位的，以总价为准，并修改单价。</w:t>
      </w:r>
    </w:p>
    <w:p w14:paraId="5D04AD32">
      <w:pPr>
        <w:pStyle w:val="36"/>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拒不按照要求对投标文件进行澄清、说明或者补正的，评标委员会可以否决其投标。</w:t>
      </w:r>
    </w:p>
    <w:p w14:paraId="3C9584B1">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确定中标候选人</w:t>
      </w:r>
    </w:p>
    <w:p w14:paraId="5E2D0C4C">
      <w:pPr>
        <w:pStyle w:val="36"/>
        <w:keepNext w:val="0"/>
        <w:keepLines w:val="0"/>
        <w:pageBreakBefore w:val="0"/>
        <w:widowControl/>
        <w:numPr>
          <w:ilvl w:val="1"/>
          <w:numId w:val="21"/>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本次招标由评标委员会推荐中标候选人，采购人根据评标委员会的推荐结果进行最终确认。</w:t>
      </w:r>
    </w:p>
    <w:p w14:paraId="0CF39615">
      <w:pPr>
        <w:pStyle w:val="36"/>
        <w:keepNext w:val="0"/>
        <w:keepLines w:val="0"/>
        <w:pageBreakBefore w:val="0"/>
        <w:widowControl/>
        <w:numPr>
          <w:ilvl w:val="1"/>
          <w:numId w:val="21"/>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评标委员会依据</w:t>
      </w:r>
      <w:r>
        <w:rPr>
          <w:rFonts w:hint="eastAsia" w:ascii="宋体" w:hAnsi="宋体" w:cs="宋体"/>
          <w:color w:val="auto"/>
          <w:highlight w:val="none"/>
          <w:lang w:eastAsia="zh-CN" w:bidi="ar"/>
        </w:rPr>
        <w:t>法律法规</w:t>
      </w:r>
      <w:r>
        <w:rPr>
          <w:rFonts w:hint="eastAsia" w:ascii="宋体" w:hAnsi="宋体" w:cs="宋体"/>
          <w:color w:val="auto"/>
          <w:highlight w:val="none"/>
          <w:lang w:bidi="ar"/>
        </w:rPr>
        <w:t>及招标文件有关规定在有</w:t>
      </w:r>
      <w:r>
        <w:rPr>
          <w:rFonts w:hint="eastAsia" w:ascii="宋体" w:hAnsi="宋体" w:cs="宋体"/>
          <w:color w:val="auto"/>
          <w:highlight w:val="none"/>
          <w:lang w:eastAsia="zh-CN" w:bidi="ar"/>
        </w:rPr>
        <w:t>效投</w:t>
      </w:r>
      <w:r>
        <w:rPr>
          <w:rFonts w:hint="eastAsia" w:ascii="宋体" w:hAnsi="宋体" w:cs="宋体"/>
          <w:color w:val="auto"/>
          <w:highlight w:val="none"/>
          <w:lang w:bidi="ar"/>
        </w:rPr>
        <w:t>标中按</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的综合得分（即资信技术分与商务（价格）分之和）高低进行排序，得分前一名的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推荐为第一中标候选人（综合得分相同投标总报价低的排序第一；综合得分且投标总报价相同的，以技术指标优劣决定中标候选人）。</w:t>
      </w:r>
    </w:p>
    <w:p w14:paraId="535D8E86">
      <w:pPr>
        <w:pStyle w:val="36"/>
        <w:keepNext w:val="0"/>
        <w:keepLines w:val="0"/>
        <w:pageBreakBefore w:val="0"/>
        <w:widowControl/>
        <w:numPr>
          <w:ilvl w:val="1"/>
          <w:numId w:val="21"/>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重新招标。</w:t>
      </w:r>
    </w:p>
    <w:p w14:paraId="3F685F5C">
      <w:pPr>
        <w:pStyle w:val="36"/>
        <w:keepNext w:val="0"/>
        <w:keepLines w:val="0"/>
        <w:pageBreakBefore w:val="0"/>
        <w:widowControl/>
        <w:numPr>
          <w:ilvl w:val="1"/>
          <w:numId w:val="21"/>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采购人对评标结果</w:t>
      </w:r>
      <w:r>
        <w:rPr>
          <w:rFonts w:hint="eastAsia" w:ascii="宋体" w:hAnsi="宋体" w:cs="宋体"/>
          <w:color w:val="auto"/>
          <w:highlight w:val="none"/>
          <w:lang w:eastAsia="zh-CN" w:bidi="ar"/>
        </w:rPr>
        <w:t>不作</w:t>
      </w:r>
      <w:r>
        <w:rPr>
          <w:rFonts w:hint="eastAsia" w:ascii="宋体" w:hAnsi="宋体" w:cs="宋体"/>
          <w:color w:val="auto"/>
          <w:highlight w:val="none"/>
          <w:lang w:bidi="ar"/>
        </w:rPr>
        <w:t>任何解释，也不保证最低价中标。</w:t>
      </w:r>
    </w:p>
    <w:p w14:paraId="582BA350">
      <w:pPr>
        <w:pStyle w:val="4"/>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29" w:name="_Toc11626"/>
      <w:bookmarkStart w:id="530" w:name="_Toc6673"/>
      <w:bookmarkStart w:id="531" w:name="_Toc13797"/>
      <w:bookmarkStart w:id="532" w:name="_Toc7936"/>
      <w:bookmarkStart w:id="533" w:name="_Toc2220"/>
      <w:r>
        <w:rPr>
          <w:rFonts w:hint="eastAsia" w:ascii="宋体" w:hAnsi="宋体" w:cs="宋体"/>
          <w:b/>
          <w:bCs w:val="0"/>
          <w:color w:val="auto"/>
          <w:highlight w:val="none"/>
          <w:lang w:val="en-US" w:eastAsia="zh-CN" w:bidi="ar"/>
        </w:rPr>
        <w:t>九、</w:t>
      </w:r>
      <w:r>
        <w:rPr>
          <w:rFonts w:hint="eastAsia" w:ascii="宋体" w:hAnsi="宋体" w:cs="宋体"/>
          <w:b/>
          <w:bCs w:val="0"/>
          <w:color w:val="auto"/>
          <w:highlight w:val="none"/>
          <w:lang w:bidi="ar"/>
        </w:rPr>
        <w:t>电子投标说明</w:t>
      </w:r>
      <w:bookmarkEnd w:id="529"/>
      <w:bookmarkEnd w:id="530"/>
      <w:bookmarkEnd w:id="531"/>
      <w:bookmarkEnd w:id="532"/>
      <w:bookmarkEnd w:id="533"/>
    </w:p>
    <w:p w14:paraId="253F9A54">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应检查标书完整性和有效性，确保电子投标文件能否正常打开解密。开标时，以电子交易平台上传规定格式的电子投标文件为正本。</w:t>
      </w:r>
    </w:p>
    <w:p w14:paraId="7FADBAAA">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bidi="ar"/>
        </w:rPr>
        <w:t>投标文件相应要求盖章处应按要求使用CA加盖单位电子公章和法定代表人电子章。</w:t>
      </w:r>
    </w:p>
    <w:p w14:paraId="2516C412">
      <w:pPr>
        <w:pStyle w:val="4"/>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34" w:name="_Toc14457"/>
      <w:bookmarkStart w:id="535" w:name="_Toc20492"/>
      <w:bookmarkStart w:id="536" w:name="_Toc17151"/>
      <w:bookmarkStart w:id="537" w:name="_Toc15658"/>
      <w:bookmarkStart w:id="538" w:name="_Toc4862"/>
      <w:r>
        <w:rPr>
          <w:rFonts w:hint="eastAsia" w:ascii="宋体" w:hAnsi="宋体" w:cs="宋体"/>
          <w:b/>
          <w:bCs w:val="0"/>
          <w:color w:val="auto"/>
          <w:highlight w:val="none"/>
          <w:lang w:bidi="ar"/>
        </w:rPr>
        <w:t>十、纪律和监督</w:t>
      </w:r>
      <w:bookmarkEnd w:id="534"/>
      <w:bookmarkEnd w:id="535"/>
      <w:bookmarkEnd w:id="536"/>
      <w:bookmarkEnd w:id="537"/>
      <w:bookmarkEnd w:id="538"/>
    </w:p>
    <w:p w14:paraId="4C1432F5">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对采购人的纪律要求</w:t>
      </w:r>
    </w:p>
    <w:p w14:paraId="649BCDEB">
      <w:pPr>
        <w:pageBreakBefore w:val="0"/>
        <w:shd w:val="clear"/>
        <w:kinsoku/>
        <w:wordWrap w:val="0"/>
        <w:overflowPunct/>
        <w:topLinePunct w:val="0"/>
        <w:autoSpaceDE/>
        <w:autoSpaceDN/>
        <w:bidi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采购人不得</w:t>
      </w:r>
      <w:r>
        <w:rPr>
          <w:rFonts w:hint="eastAsia" w:ascii="宋体" w:hAnsi="宋体"/>
          <w:color w:val="auto"/>
          <w:highlight w:val="none"/>
          <w:lang w:eastAsia="zh-CN"/>
        </w:rPr>
        <w:t>泄露</w:t>
      </w:r>
      <w:r>
        <w:rPr>
          <w:rFonts w:hint="eastAsia" w:ascii="宋体" w:hAnsi="宋体"/>
          <w:color w:val="auto"/>
          <w:highlight w:val="none"/>
        </w:rPr>
        <w:t>招标投标活动中应当保密的情况和资料，不得与</w:t>
      </w:r>
      <w:r>
        <w:rPr>
          <w:rFonts w:hint="eastAsia" w:ascii="宋体" w:hAnsi="宋体"/>
          <w:color w:val="auto"/>
          <w:highlight w:val="none"/>
          <w:lang w:eastAsia="zh-CN"/>
        </w:rPr>
        <w:t>投标人</w:t>
      </w:r>
      <w:r>
        <w:rPr>
          <w:rFonts w:hint="eastAsia" w:ascii="宋体" w:hAnsi="宋体"/>
          <w:color w:val="auto"/>
          <w:highlight w:val="none"/>
        </w:rPr>
        <w:t>串通损害国家利益、社会公共利益或者他人合法权益。</w:t>
      </w:r>
    </w:p>
    <w:p w14:paraId="65CF000C">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的纪律要求</w:t>
      </w:r>
    </w:p>
    <w:p w14:paraId="533F8336">
      <w:pPr>
        <w:pageBreakBefore w:val="0"/>
        <w:shd w:val="clear"/>
        <w:kinsoku/>
        <w:wordWrap w:val="0"/>
        <w:overflowPunct/>
        <w:topLinePunct w:val="0"/>
        <w:autoSpaceDE/>
        <w:autoSpaceDN/>
        <w:bidi w:val="0"/>
        <w:snapToGrid w:val="0"/>
        <w:spacing w:line="308" w:lineRule="auto"/>
        <w:ind w:firstLine="480"/>
        <w:textAlignment w:val="auto"/>
        <w:rPr>
          <w:rFonts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不得相互串通投标或者与采购人串通投标，不得向采购人或者评标委员会成员行贿谋取中标，不得以他人名义投标或者以其他方式弄虚作假骗取中标；</w:t>
      </w:r>
      <w:r>
        <w:rPr>
          <w:rFonts w:hint="eastAsia" w:ascii="宋体" w:hAnsi="宋体"/>
          <w:color w:val="auto"/>
          <w:highlight w:val="none"/>
          <w:lang w:eastAsia="zh-CN"/>
        </w:rPr>
        <w:t>投标人</w:t>
      </w:r>
      <w:r>
        <w:rPr>
          <w:rFonts w:hint="eastAsia" w:ascii="宋体" w:hAnsi="宋体"/>
          <w:color w:val="auto"/>
          <w:highlight w:val="none"/>
        </w:rPr>
        <w:t>不得以任何方式干扰、影响评标工作。</w:t>
      </w:r>
    </w:p>
    <w:p w14:paraId="49D672FD">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对评标委员会成员的纪律要求</w:t>
      </w:r>
    </w:p>
    <w:p w14:paraId="2DF109F5">
      <w:pPr>
        <w:pStyle w:val="3"/>
        <w:pageBreakBefore w:val="0"/>
        <w:numPr>
          <w:ilvl w:val="0"/>
          <w:numId w:val="0"/>
        </w:numPr>
        <w:shd w:val="clear"/>
        <w:kinsoku/>
        <w:overflowPunct/>
        <w:topLinePunct w:val="0"/>
        <w:autoSpaceDE/>
        <w:autoSpaceDN/>
        <w:bidi w:val="0"/>
        <w:spacing w:beforeLines="0" w:afterLines="0" w:line="308" w:lineRule="auto"/>
        <w:ind w:firstLine="480" w:firstLineChars="200"/>
        <w:jc w:val="left"/>
        <w:textAlignment w:val="auto"/>
        <w:rPr>
          <w:rFonts w:ascii="宋体" w:hAnsi="宋体"/>
          <w:b w:val="0"/>
          <w:color w:val="auto"/>
          <w:sz w:val="24"/>
          <w:szCs w:val="24"/>
          <w:highlight w:val="none"/>
        </w:rPr>
      </w:pPr>
      <w:bookmarkStart w:id="539" w:name="_Toc19838"/>
      <w:bookmarkStart w:id="540" w:name="_Toc998"/>
      <w:bookmarkStart w:id="541" w:name="_Toc21417"/>
      <w:bookmarkStart w:id="542" w:name="_Toc11952"/>
      <w:bookmarkStart w:id="543" w:name="_Toc30527"/>
      <w:bookmarkStart w:id="544" w:name="_Toc23966"/>
      <w:bookmarkStart w:id="545" w:name="_Toc18245"/>
      <w:bookmarkStart w:id="546" w:name="_Toc3863"/>
      <w:r>
        <w:rPr>
          <w:rFonts w:hint="eastAsia" w:ascii="宋体" w:hAnsi="宋体"/>
          <w:b w:val="0"/>
          <w:color w:val="auto"/>
          <w:sz w:val="24"/>
          <w:szCs w:val="24"/>
          <w:highlight w:val="none"/>
        </w:rPr>
        <w:t>评标委员会成员不得收受他人的财物或者其他好处，不得向他人</w:t>
      </w:r>
      <w:r>
        <w:rPr>
          <w:rFonts w:hint="eastAsia" w:ascii="宋体" w:hAnsi="宋体"/>
          <w:b w:val="0"/>
          <w:color w:val="auto"/>
          <w:sz w:val="24"/>
          <w:szCs w:val="24"/>
          <w:highlight w:val="none"/>
          <w:lang w:eastAsia="zh-CN"/>
        </w:rPr>
        <w:t>透露</w:t>
      </w:r>
      <w:r>
        <w:rPr>
          <w:rFonts w:hint="eastAsia" w:ascii="宋体" w:hAnsi="宋体"/>
          <w:b w:val="0"/>
          <w:color w:val="auto"/>
          <w:sz w:val="24"/>
          <w:szCs w:val="24"/>
          <w:highlight w:val="none"/>
        </w:rPr>
        <w:t>对投标文件的评审和比较、中标候选人的推荐情况以及评标有关的其他情况。在评标活动中，评标委员会成员不得擅离职守，影响评标程序正常进行，不得使用第四章 评标办法及评分标准没有规定的评审因素和标准进行评标。</w:t>
      </w:r>
      <w:bookmarkEnd w:id="539"/>
      <w:bookmarkEnd w:id="540"/>
      <w:bookmarkEnd w:id="541"/>
      <w:bookmarkEnd w:id="542"/>
      <w:bookmarkEnd w:id="543"/>
      <w:bookmarkEnd w:id="544"/>
      <w:bookmarkEnd w:id="545"/>
      <w:bookmarkEnd w:id="546"/>
    </w:p>
    <w:p w14:paraId="511ACF1A">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47" w:name="_Toc22806"/>
      <w:r>
        <w:rPr>
          <w:rFonts w:hint="eastAsia" w:ascii="宋体" w:hAnsi="宋体" w:cs="宋体"/>
          <w:color w:val="auto"/>
          <w:highlight w:val="none"/>
          <w:lang w:bidi="ar"/>
        </w:rPr>
        <w:t>对与评标活动有关的工作人员的纪律要求</w:t>
      </w:r>
      <w:bookmarkEnd w:id="547"/>
    </w:p>
    <w:p w14:paraId="72F7CA59">
      <w:pPr>
        <w:pageBreakBefore w:val="0"/>
        <w:shd w:val="clear"/>
        <w:kinsoku/>
        <w:wordWrap w:val="0"/>
        <w:overflowPunct/>
        <w:topLinePunct w:val="0"/>
        <w:autoSpaceDE/>
        <w:autoSpaceDN/>
        <w:bidi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w:t>
      </w:r>
      <w:r>
        <w:rPr>
          <w:rFonts w:hint="eastAsia" w:ascii="宋体" w:hAnsi="宋体"/>
          <w:color w:val="auto"/>
          <w:highlight w:val="none"/>
          <w:lang w:eastAsia="zh-CN"/>
        </w:rPr>
        <w:t>透露</w:t>
      </w:r>
      <w:r>
        <w:rPr>
          <w:rFonts w:hint="eastAsia" w:ascii="宋体" w:hAnsi="宋体"/>
          <w:color w:val="auto"/>
          <w:highlight w:val="none"/>
        </w:rPr>
        <w:t>对投标文件的评审和比较、中标候选人的推荐情况以及评标有关的其他情况。在评标活动中，与评标活动有关的工作人员不得擅离职守，影响评标程序正常进行。</w:t>
      </w:r>
    </w:p>
    <w:p w14:paraId="2D63037C">
      <w:pPr>
        <w:pStyle w:val="4"/>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48" w:name="_Toc26110"/>
      <w:bookmarkStart w:id="549" w:name="_Toc14537"/>
      <w:bookmarkStart w:id="550" w:name="_Toc21011"/>
      <w:bookmarkStart w:id="551" w:name="_Toc26084"/>
      <w:bookmarkStart w:id="552" w:name="_Toc9301"/>
      <w:bookmarkStart w:id="553" w:name="_Toc10206"/>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一</w:t>
      </w:r>
      <w:r>
        <w:rPr>
          <w:rFonts w:hint="eastAsia" w:ascii="宋体" w:hAnsi="宋体" w:cs="宋体"/>
          <w:b/>
          <w:bCs w:val="0"/>
          <w:color w:val="auto"/>
          <w:highlight w:val="none"/>
          <w:lang w:bidi="ar"/>
        </w:rPr>
        <w:t>、质疑和投诉</w:t>
      </w:r>
      <w:bookmarkEnd w:id="548"/>
      <w:bookmarkEnd w:id="549"/>
      <w:bookmarkEnd w:id="550"/>
      <w:bookmarkEnd w:id="551"/>
      <w:bookmarkEnd w:id="552"/>
      <w:bookmarkEnd w:id="553"/>
    </w:p>
    <w:p w14:paraId="1FB5E8F3">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54" w:name="_Toc21882"/>
      <w:r>
        <w:rPr>
          <w:rFonts w:hint="eastAsia" w:ascii="宋体" w:hAnsi="宋体" w:cs="宋体"/>
          <w:color w:val="auto"/>
          <w:highlight w:val="none"/>
          <w:lang w:bidi="ar"/>
        </w:rPr>
        <w:t>质疑提出</w:t>
      </w:r>
      <w:bookmarkEnd w:id="554"/>
    </w:p>
    <w:p w14:paraId="45E16B32">
      <w:pPr>
        <w:pStyle w:val="36"/>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参照《中华人民共和国政府采购法》《中华人民共和国政府采购法实施条例》《政府采购质疑和投诉办法》（财政部令第94号）等有关法律法规规定。</w:t>
      </w:r>
    </w:p>
    <w:p w14:paraId="182AD6FF">
      <w:pPr>
        <w:pStyle w:val="36"/>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认为采购文件、采购过程和成交结果使自己的权益受到损害的，可以在知道或者应知其权益受到损害之日起7个工作日内，以书面形式向采购人、采购代理机构提出质疑。</w:t>
      </w:r>
    </w:p>
    <w:p w14:paraId="5B2F4854">
      <w:pPr>
        <w:pStyle w:val="36"/>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潜在</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已依法获取采购文件，可以对该文件提出质疑。采购人拒绝受理未提交投标文件的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对采购过程和中标结果</w:t>
      </w:r>
      <w:r>
        <w:rPr>
          <w:rFonts w:hint="eastAsia" w:ascii="宋体" w:hAnsi="宋体" w:cs="宋体"/>
          <w:color w:val="auto"/>
          <w:highlight w:val="none"/>
          <w:lang w:eastAsia="zh-CN" w:bidi="ar"/>
        </w:rPr>
        <w:t>质疑</w:t>
      </w:r>
      <w:r>
        <w:rPr>
          <w:rFonts w:hint="eastAsia" w:ascii="宋体" w:hAnsi="宋体" w:cs="宋体"/>
          <w:color w:val="auto"/>
          <w:highlight w:val="none"/>
          <w:lang w:bidi="ar"/>
        </w:rPr>
        <w:t>。</w:t>
      </w:r>
    </w:p>
    <w:p w14:paraId="392A9127">
      <w:pPr>
        <w:pStyle w:val="36"/>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质疑提出起算日期：</w:t>
      </w:r>
    </w:p>
    <w:p w14:paraId="178E8F5C">
      <w:pPr>
        <w:pStyle w:val="36"/>
        <w:pageBreakBefore w:val="0"/>
        <w:numPr>
          <w:ilvl w:val="255"/>
          <w:numId w:val="0"/>
        </w:numPr>
        <w:shd w:val="clear"/>
        <w:tabs>
          <w:tab w:val="left" w:pos="171"/>
        </w:tabs>
        <w:kinsoku/>
        <w:overflowPunct/>
        <w:topLinePunct w:val="0"/>
        <w:autoSpaceDE/>
        <w:autoSpaceDN/>
        <w:bidi w:val="0"/>
        <w:adjustRightInd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对采购文件提出质疑的，自</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获取招标文件之日起或者公告届满之日起开始计算，且应当在投标文件提交截止前24小时前提出，否则，被质疑人可不予受理。</w:t>
      </w:r>
    </w:p>
    <w:p w14:paraId="3893117F">
      <w:pPr>
        <w:pStyle w:val="36"/>
        <w:pageBreakBefore w:val="0"/>
        <w:numPr>
          <w:ilvl w:val="255"/>
          <w:numId w:val="0"/>
        </w:numPr>
        <w:shd w:val="clear"/>
        <w:tabs>
          <w:tab w:val="left" w:pos="171"/>
        </w:tabs>
        <w:kinsoku/>
        <w:overflowPunct/>
        <w:topLinePunct w:val="0"/>
        <w:autoSpaceDE/>
        <w:autoSpaceDN/>
        <w:bidi w:val="0"/>
        <w:adjustRightInd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对投标过程提出质疑的，质疑期限自各采购程序环节结束之日起计算。</w:t>
      </w:r>
    </w:p>
    <w:p w14:paraId="1DC47884">
      <w:pPr>
        <w:pStyle w:val="36"/>
        <w:pageBreakBefore w:val="0"/>
        <w:numPr>
          <w:ilvl w:val="255"/>
          <w:numId w:val="0"/>
        </w:numPr>
        <w:shd w:val="clear"/>
        <w:tabs>
          <w:tab w:val="left" w:pos="171"/>
        </w:tabs>
        <w:kinsoku/>
        <w:overflowPunct/>
        <w:topLinePunct w:val="0"/>
        <w:autoSpaceDE/>
        <w:autoSpaceDN/>
        <w:bidi w:val="0"/>
        <w:adjustRightInd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对采购结果提出质疑的，质疑期限自采购结果公告之日起计算。</w:t>
      </w:r>
    </w:p>
    <w:p w14:paraId="02F9848B">
      <w:pPr>
        <w:pStyle w:val="36"/>
        <w:pageBreakBefore w:val="0"/>
        <w:numPr>
          <w:ilvl w:val="255"/>
          <w:numId w:val="0"/>
        </w:numPr>
        <w:shd w:val="clear"/>
        <w:tabs>
          <w:tab w:val="left" w:pos="171"/>
        </w:tabs>
        <w:kinsoku/>
        <w:overflowPunct/>
        <w:topLinePunct w:val="0"/>
        <w:autoSpaceDE/>
        <w:autoSpaceDN/>
        <w:bidi w:val="0"/>
        <w:adjustRightInd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提交的质疑函应符合财政部《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lang w:bidi="ar"/>
        </w:rPr>
        <w:t>政府采购</w:t>
      </w:r>
      <w:r>
        <w:rPr>
          <w:rFonts w:hint="eastAsia" w:ascii="宋体" w:hAnsi="宋体" w:cs="宋体"/>
          <w:color w:val="auto"/>
          <w:highlight w:val="none"/>
          <w:lang w:bidi="ar"/>
        </w:rPr>
        <w:fldChar w:fldCharType="end"/>
      </w:r>
      <w:r>
        <w:rPr>
          <w:rFonts w:hint="eastAsia" w:ascii="宋体" w:hAnsi="宋体" w:cs="宋体"/>
          <w:bCs/>
          <w:color w:val="auto"/>
          <w:highlight w:val="none"/>
        </w:rPr>
        <w:t>供应商</w:t>
      </w:r>
      <w:r>
        <w:rPr>
          <w:rFonts w:hint="eastAsia" w:ascii="宋体" w:hAnsi="宋体" w:cs="宋体"/>
          <w:color w:val="auto"/>
          <w:highlight w:val="none"/>
          <w:lang w:bidi="ar"/>
        </w:rPr>
        <w:t>质疑函范本》要求。</w:t>
      </w:r>
    </w:p>
    <w:p w14:paraId="44E7E902">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55" w:name="_Toc6349"/>
      <w:r>
        <w:rPr>
          <w:rFonts w:hint="eastAsia" w:ascii="宋体" w:hAnsi="宋体" w:cs="宋体"/>
          <w:color w:val="auto"/>
          <w:highlight w:val="none"/>
          <w:lang w:bidi="ar"/>
        </w:rPr>
        <w:t>质疑处理</w:t>
      </w:r>
      <w:bookmarkEnd w:id="555"/>
    </w:p>
    <w:p w14:paraId="0D06F110">
      <w:pPr>
        <w:pageBreakBefore w:val="0"/>
        <w:shd w:val="clear"/>
        <w:kinsoku/>
        <w:overflowPunct/>
        <w:topLinePunct w:val="0"/>
        <w:autoSpaceDE/>
        <w:autoSpaceDN/>
        <w:bidi w:val="0"/>
        <w:spacing w:line="308" w:lineRule="auto"/>
        <w:ind w:firstLine="480"/>
        <w:textAlignment w:val="auto"/>
        <w:rPr>
          <w:rFonts w:ascii="宋体" w:hAnsi="宋体" w:cs="宋体"/>
          <w:bCs/>
          <w:color w:val="auto"/>
          <w:highlight w:val="none"/>
        </w:rPr>
      </w:pPr>
      <w:r>
        <w:rPr>
          <w:rFonts w:ascii="宋体" w:hAnsi="宋体" w:cs="宋体"/>
          <w:bCs/>
          <w:color w:val="auto"/>
          <w:highlight w:val="none"/>
        </w:rPr>
        <w:t>采购人应当在收到</w:t>
      </w:r>
      <w:r>
        <w:rPr>
          <w:rFonts w:hint="eastAsia" w:ascii="宋体" w:hAnsi="宋体" w:cs="宋体"/>
          <w:bCs/>
          <w:color w:val="auto"/>
          <w:highlight w:val="none"/>
          <w:lang w:eastAsia="zh-CN"/>
        </w:rPr>
        <w:t>投标人</w:t>
      </w:r>
      <w:r>
        <w:rPr>
          <w:rFonts w:ascii="宋体" w:hAnsi="宋体" w:cs="宋体"/>
          <w:bCs/>
          <w:color w:val="auto"/>
          <w:highlight w:val="none"/>
        </w:rPr>
        <w:t>的书面质疑后7个工作日内作出答复，并以书面形式通知质疑</w:t>
      </w:r>
      <w:r>
        <w:rPr>
          <w:rFonts w:hint="eastAsia" w:ascii="宋体" w:hAnsi="宋体" w:cs="宋体"/>
          <w:bCs/>
          <w:color w:val="auto"/>
          <w:highlight w:val="none"/>
          <w:lang w:eastAsia="zh-CN"/>
        </w:rPr>
        <w:t>投标人</w:t>
      </w:r>
      <w:r>
        <w:rPr>
          <w:rFonts w:ascii="宋体" w:hAnsi="宋体" w:cs="宋体"/>
          <w:bCs/>
          <w:color w:val="auto"/>
          <w:highlight w:val="none"/>
        </w:rPr>
        <w:t>和其他与质疑处理结果有利害关系的政府采购当事人，但答复的内容不得涉及商业秘密。</w:t>
      </w:r>
    </w:p>
    <w:p w14:paraId="5B484F3E">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56" w:name="_Toc28506"/>
      <w:r>
        <w:rPr>
          <w:rFonts w:hint="eastAsia" w:ascii="宋体" w:hAnsi="宋体" w:cs="宋体"/>
          <w:color w:val="auto"/>
          <w:highlight w:val="none"/>
          <w:lang w:bidi="ar"/>
        </w:rPr>
        <w:t>投诉</w:t>
      </w:r>
      <w:bookmarkEnd w:id="556"/>
    </w:p>
    <w:p w14:paraId="159DDB48">
      <w:pPr>
        <w:keepNext w:val="0"/>
        <w:keepLines w:val="0"/>
        <w:pageBreakBefore w:val="0"/>
        <w:widowControl/>
        <w:shd w:val="clear"/>
        <w:kinsoku/>
        <w:wordWrap/>
        <w:overflowPunct/>
        <w:topLinePunct w:val="0"/>
        <w:autoSpaceDE/>
        <w:autoSpaceDN/>
        <w:bidi w:val="0"/>
        <w:adjustRightInd/>
        <w:spacing w:line="308" w:lineRule="auto"/>
        <w:ind w:firstLine="480"/>
        <w:jc w:val="left"/>
        <w:textAlignment w:val="auto"/>
        <w:outlineLvl w:val="9"/>
        <w:rPr>
          <w:rFonts w:ascii="宋体" w:hAnsi="宋体" w:cs="宋体"/>
          <w:bCs/>
          <w:color w:val="auto"/>
          <w:highlight w:val="none"/>
          <w:lang w:bidi="ar"/>
        </w:rPr>
      </w:pPr>
      <w:r>
        <w:rPr>
          <w:rFonts w:ascii="宋体" w:hAnsi="宋体" w:cs="宋体"/>
          <w:bCs/>
          <w:color w:val="auto"/>
          <w:highlight w:val="none"/>
          <w:lang w:bidi="ar"/>
        </w:rPr>
        <w:t>质疑</w:t>
      </w:r>
      <w:r>
        <w:rPr>
          <w:rFonts w:hint="eastAsia" w:ascii="宋体" w:hAnsi="宋体" w:cs="宋体"/>
          <w:bCs/>
          <w:color w:val="auto"/>
          <w:highlight w:val="none"/>
          <w:lang w:eastAsia="zh-CN" w:bidi="ar"/>
        </w:rPr>
        <w:t>投标人</w:t>
      </w:r>
      <w:r>
        <w:rPr>
          <w:rFonts w:ascii="宋体" w:hAnsi="宋体" w:cs="宋体"/>
          <w:bCs/>
          <w:color w:val="auto"/>
          <w:highlight w:val="none"/>
          <w:lang w:bidi="ar"/>
        </w:rPr>
        <w:t>对采购人未在规定时间内作出答复的，可以在答复期满后15个工作</w:t>
      </w:r>
      <w:r>
        <w:rPr>
          <w:rFonts w:hint="eastAsia" w:ascii="宋体" w:hAnsi="宋体" w:cs="宋体"/>
          <w:bCs/>
          <w:color w:val="auto"/>
          <w:highlight w:val="none"/>
          <w:lang w:eastAsia="zh-CN" w:bidi="ar"/>
        </w:rPr>
        <w:t>日向龙游县水务集团有限公司招投标分中心</w:t>
      </w:r>
      <w:r>
        <w:rPr>
          <w:rFonts w:ascii="宋体" w:hAnsi="宋体" w:cs="宋体"/>
          <w:bCs/>
          <w:color w:val="auto"/>
          <w:highlight w:val="none"/>
          <w:lang w:bidi="ar"/>
        </w:rPr>
        <w:t>投诉。若对质疑答复不满意的，应当自答复的次日起15个工作日</w:t>
      </w:r>
      <w:r>
        <w:rPr>
          <w:rFonts w:hint="eastAsia" w:ascii="宋体" w:hAnsi="宋体" w:cs="宋体"/>
          <w:bCs/>
          <w:color w:val="auto"/>
          <w:highlight w:val="none"/>
          <w:lang w:eastAsia="zh-CN" w:bidi="ar"/>
        </w:rPr>
        <w:t>内向龙游县水务集团有限公司招投标分中心</w:t>
      </w:r>
      <w:r>
        <w:rPr>
          <w:rFonts w:ascii="宋体" w:hAnsi="宋体" w:cs="宋体"/>
          <w:bCs/>
          <w:color w:val="auto"/>
          <w:highlight w:val="none"/>
          <w:lang w:bidi="ar"/>
        </w:rPr>
        <w:t>投诉。</w:t>
      </w:r>
      <w:r>
        <w:rPr>
          <w:rFonts w:hint="eastAsia" w:ascii="宋体" w:hAnsi="宋体" w:cs="宋体"/>
          <w:bCs/>
          <w:color w:val="auto"/>
          <w:highlight w:val="none"/>
          <w:lang w:eastAsia="zh-CN" w:bidi="ar"/>
        </w:rPr>
        <w:t>投标人</w:t>
      </w:r>
      <w:r>
        <w:rPr>
          <w:rFonts w:ascii="宋体" w:hAnsi="宋体" w:cs="宋体"/>
          <w:bCs/>
          <w:color w:val="auto"/>
          <w:highlight w:val="none"/>
          <w:lang w:bidi="ar"/>
        </w:rPr>
        <w:t>提交的投诉书应参照财政部《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ascii="宋体" w:hAnsi="宋体" w:cs="宋体"/>
          <w:bCs/>
          <w:color w:val="auto"/>
          <w:highlight w:val="none"/>
          <w:lang w:bidi="ar"/>
        </w:rPr>
        <w:t>政府采购</w:t>
      </w:r>
      <w:r>
        <w:rPr>
          <w:rFonts w:ascii="宋体" w:hAnsi="宋体" w:cs="宋体"/>
          <w:bCs/>
          <w:color w:val="auto"/>
          <w:highlight w:val="none"/>
          <w:lang w:bidi="ar"/>
        </w:rPr>
        <w:fldChar w:fldCharType="end"/>
      </w:r>
      <w:r>
        <w:rPr>
          <w:rFonts w:ascii="宋体" w:hAnsi="宋体" w:cs="宋体"/>
          <w:bCs/>
          <w:color w:val="auto"/>
          <w:highlight w:val="none"/>
        </w:rPr>
        <w:t>供应商</w:t>
      </w:r>
      <w:r>
        <w:rPr>
          <w:rFonts w:ascii="宋体" w:hAnsi="宋体" w:cs="宋体"/>
          <w:bCs/>
          <w:color w:val="auto"/>
          <w:highlight w:val="none"/>
          <w:lang w:bidi="ar"/>
        </w:rPr>
        <w:t>投诉书范本》要求。</w:t>
      </w:r>
    </w:p>
    <w:p w14:paraId="0CBBE6AF">
      <w:pPr>
        <w:pStyle w:val="4"/>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57" w:name="_Toc5681"/>
      <w:bookmarkStart w:id="558" w:name="_Toc31426"/>
      <w:bookmarkStart w:id="559" w:name="_Toc2389"/>
      <w:bookmarkStart w:id="560" w:name="_Toc9490"/>
      <w:bookmarkStart w:id="561" w:name="_Toc22578"/>
      <w:bookmarkStart w:id="562" w:name="_Toc17780"/>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二</w:t>
      </w:r>
      <w:r>
        <w:rPr>
          <w:rFonts w:hint="eastAsia" w:ascii="宋体" w:hAnsi="宋体" w:cs="宋体"/>
          <w:b/>
          <w:bCs w:val="0"/>
          <w:color w:val="auto"/>
          <w:highlight w:val="none"/>
          <w:lang w:bidi="ar"/>
        </w:rPr>
        <w:t>、授予合同</w:t>
      </w:r>
      <w:bookmarkEnd w:id="557"/>
      <w:bookmarkEnd w:id="558"/>
      <w:bookmarkEnd w:id="559"/>
      <w:bookmarkEnd w:id="560"/>
      <w:bookmarkEnd w:id="561"/>
      <w:bookmarkEnd w:id="562"/>
    </w:p>
    <w:p w14:paraId="44562A68">
      <w:pPr>
        <w:pStyle w:val="36"/>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63" w:name="_Toc13873"/>
      <w:r>
        <w:rPr>
          <w:rFonts w:hint="eastAsia" w:ascii="宋体" w:hAnsi="宋体" w:cs="宋体"/>
          <w:color w:val="auto"/>
          <w:highlight w:val="none"/>
          <w:lang w:bidi="ar"/>
        </w:rPr>
        <w:t>合同授予标准</w:t>
      </w:r>
      <w:bookmarkEnd w:id="563"/>
    </w:p>
    <w:p w14:paraId="516ACA82">
      <w:pPr>
        <w:pStyle w:val="36"/>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中标候选人经查有违法违规现象的，取消其中标候选资格，采购人重新招标。</w:t>
      </w:r>
    </w:p>
    <w:p w14:paraId="06DC7DEA">
      <w:pPr>
        <w:pStyle w:val="36"/>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采购人确认且备案后，确定</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。中标结果在衢州市阳光交易服务平台、浙江政府采购网予以公布，</w:t>
      </w:r>
      <w:r>
        <w:rPr>
          <w:rFonts w:hint="eastAsia" w:ascii="宋体" w:hAnsi="宋体" w:cs="宋体"/>
          <w:color w:val="auto"/>
          <w:highlight w:val="none"/>
          <w:lang w:eastAsia="zh-CN" w:bidi="ar"/>
        </w:rPr>
        <w:t>浙江新诚信工程咨询有限公司</w:t>
      </w:r>
      <w:r>
        <w:rPr>
          <w:rFonts w:hint="eastAsia" w:ascii="宋体" w:hAnsi="宋体" w:eastAsia="宋体" w:cs="宋体"/>
          <w:color w:val="auto"/>
          <w:highlight w:val="none"/>
          <w:lang w:bidi="ar"/>
        </w:rPr>
        <w:t>发出中标通知书。</w:t>
      </w:r>
    </w:p>
    <w:p w14:paraId="6A9D7528">
      <w:pPr>
        <w:pStyle w:val="36"/>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经采购人备案后，由采购人签发国企采购中标通知书。中标通知书对采购人和确认</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均具有法律效力。中标通知书发出后，采购人改变中标结果的，或者</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放弃中标项目的，应当依法承担法律责任。</w:t>
      </w:r>
    </w:p>
    <w:p w14:paraId="77733D08">
      <w:pPr>
        <w:pStyle w:val="36"/>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在中标通知书发出后三十日内，</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应按中标通知书指定的时间、地点与采购人签订合同。招标文件、</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的投标文件及澄清文件等，均为签订合同的依据。</w:t>
      </w:r>
    </w:p>
    <w:p w14:paraId="7C863979">
      <w:pPr>
        <w:pStyle w:val="36"/>
        <w:numPr>
          <w:ilvl w:val="1"/>
          <w:numId w:val="23"/>
        </w:numPr>
        <w:shd w:val="clear"/>
        <w:tabs>
          <w:tab w:val="left" w:pos="171"/>
        </w:tabs>
        <w:spacing w:line="308" w:lineRule="auto"/>
        <w:ind w:firstLine="480"/>
        <w:rPr>
          <w:rFonts w:ascii="宋体" w:hAnsi="宋体" w:cs="宋体"/>
          <w:color w:val="auto"/>
          <w:highlight w:val="none"/>
          <w:lang w:bidi="ar"/>
        </w:rPr>
      </w:pPr>
      <w:bookmarkStart w:id="564" w:name="_Toc1064"/>
      <w:r>
        <w:rPr>
          <w:rFonts w:hint="eastAsia" w:ascii="宋体" w:hAnsi="宋体" w:cs="宋体"/>
          <w:color w:val="auto"/>
          <w:highlight w:val="none"/>
          <w:lang w:bidi="ar"/>
        </w:rPr>
        <w:t>采购人与中标人签署合同协议，</w:t>
      </w:r>
      <w:r>
        <w:rPr>
          <w:rFonts w:hint="eastAsia" w:ascii="宋体" w:hAnsi="宋体" w:cs="宋体"/>
          <w:color w:val="auto"/>
          <w:highlight w:val="none"/>
          <w:lang w:eastAsia="zh-CN" w:bidi="ar"/>
        </w:rPr>
        <w:t>浙江新诚信工程咨询有限公司</w:t>
      </w:r>
      <w:r>
        <w:rPr>
          <w:rFonts w:hint="eastAsia" w:ascii="宋体" w:hAnsi="宋体" w:cs="宋体"/>
          <w:color w:val="auto"/>
          <w:highlight w:val="none"/>
          <w:lang w:bidi="ar"/>
        </w:rPr>
        <w:t>作为鉴证人共同签订（合同上请标明采购编号）。</w:t>
      </w:r>
      <w:r>
        <w:rPr>
          <w:rFonts w:hint="eastAsia" w:ascii="宋体" w:hAnsi="宋体" w:cs="宋体"/>
          <w:color w:val="auto"/>
          <w:highlight w:val="none"/>
          <w:lang w:eastAsia="zh-CN"/>
        </w:rPr>
        <w:t>本合同一式七份，具有同等法律效力，采购人执三份，中标人执三份，浙江新诚信工程咨询有限公司执一份。</w:t>
      </w:r>
    </w:p>
    <w:p w14:paraId="3F04DF23">
      <w:pPr>
        <w:pStyle w:val="36"/>
        <w:pageBreakBefore w:val="0"/>
        <w:numPr>
          <w:ilvl w:val="0"/>
          <w:numId w:val="9"/>
        </w:numPr>
        <w:shd w:val="clear"/>
        <w:kinsoku/>
        <w:overflowPunct/>
        <w:topLinePunct w:val="0"/>
        <w:autoSpaceDE/>
        <w:autoSpaceDN/>
        <w:bidi w:val="0"/>
        <w:adjustRightInd w:val="0"/>
        <w:spacing w:line="308" w:lineRule="auto"/>
        <w:ind w:firstLine="480" w:firstLineChars="20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授予合同时变更数量的权利</w:t>
      </w:r>
      <w:bookmarkEnd w:id="564"/>
    </w:p>
    <w:p w14:paraId="3828E6B5">
      <w:pPr>
        <w:pageBreakBefore w:val="0"/>
        <w:shd w:val="clear"/>
        <w:kinsoku/>
        <w:overflowPunct/>
        <w:topLinePunct w:val="0"/>
        <w:autoSpaceDE/>
        <w:autoSpaceDN/>
        <w:bidi w:val="0"/>
        <w:spacing w:line="308" w:lineRule="auto"/>
        <w:ind w:firstLine="480"/>
        <w:textAlignment w:val="auto"/>
        <w:rPr>
          <w:rFonts w:ascii="宋体" w:cs="宋体"/>
          <w:color w:val="auto"/>
          <w:highlight w:val="none"/>
        </w:rPr>
      </w:pPr>
      <w:r>
        <w:rPr>
          <w:rFonts w:hint="eastAsia" w:ascii="宋体" w:hAnsi="宋体" w:cs="宋体"/>
          <w:color w:val="auto"/>
          <w:highlight w:val="none"/>
        </w:rPr>
        <w:t>国企采购合同履行中，采购人需追加与合同标的相同的货物、工程或者服务的，在不改变合同其他条款的前提下，可以与</w:t>
      </w:r>
      <w:r>
        <w:rPr>
          <w:rFonts w:hint="eastAsia" w:ascii="宋体" w:hAnsi="宋体" w:cs="宋体"/>
          <w:color w:val="auto"/>
          <w:highlight w:val="none"/>
          <w:lang w:eastAsia="zh-CN"/>
        </w:rPr>
        <w:t>投标人</w:t>
      </w:r>
      <w:r>
        <w:rPr>
          <w:rFonts w:hint="eastAsia" w:ascii="宋体" w:hAnsi="宋体" w:cs="宋体"/>
          <w:color w:val="auto"/>
          <w:highlight w:val="none"/>
        </w:rPr>
        <w:t>签订补充合同，但所补充合同的采购金额不得超过原采购金额的</w:t>
      </w:r>
      <w:r>
        <w:rPr>
          <w:rFonts w:ascii="宋体" w:hAnsi="宋体" w:cs="宋体"/>
          <w:color w:val="auto"/>
          <w:highlight w:val="none"/>
        </w:rPr>
        <w:t>10%</w:t>
      </w:r>
      <w:r>
        <w:rPr>
          <w:rFonts w:hint="eastAsia" w:ascii="宋体" w:hAnsi="宋体" w:cs="宋体"/>
          <w:color w:val="auto"/>
          <w:highlight w:val="none"/>
        </w:rPr>
        <w:t>。</w:t>
      </w:r>
    </w:p>
    <w:p w14:paraId="2E0388A1">
      <w:pPr>
        <w:pStyle w:val="36"/>
        <w:pageBreakBefore w:val="0"/>
        <w:numPr>
          <w:ilvl w:val="0"/>
          <w:numId w:val="9"/>
        </w:numPr>
        <w:shd w:val="clear"/>
        <w:kinsoku/>
        <w:overflowPunct/>
        <w:topLinePunct w:val="0"/>
        <w:autoSpaceDE/>
        <w:autoSpaceDN/>
        <w:bidi w:val="0"/>
        <w:adjustRightInd w:val="0"/>
        <w:spacing w:line="308" w:lineRule="auto"/>
        <w:ind w:firstLine="480" w:firstLineChars="200"/>
        <w:jc w:val="both"/>
        <w:textAlignment w:val="auto"/>
        <w:outlineLvl w:val="2"/>
        <w:rPr>
          <w:rFonts w:ascii="宋体" w:hAnsi="宋体" w:cs="宋体"/>
          <w:color w:val="auto"/>
          <w:highlight w:val="none"/>
          <w:lang w:bidi="ar"/>
        </w:rPr>
      </w:pPr>
      <w:bookmarkStart w:id="565" w:name="_Toc3538"/>
      <w:r>
        <w:rPr>
          <w:rFonts w:hint="eastAsia" w:ascii="宋体" w:hAnsi="宋体" w:cs="宋体"/>
          <w:color w:val="auto"/>
          <w:highlight w:val="none"/>
          <w:lang w:bidi="ar"/>
        </w:rPr>
        <w:t>本次招标</w:t>
      </w:r>
      <w:r>
        <w:rPr>
          <w:rFonts w:hint="eastAsia" w:ascii="宋体" w:hAnsi="宋体" w:cs="宋体"/>
          <w:color w:val="auto"/>
          <w:highlight w:val="none"/>
          <w:lang w:val="en-US" w:eastAsia="zh-CN" w:bidi="ar"/>
        </w:rPr>
        <w:t>合同履行</w:t>
      </w:r>
      <w:r>
        <w:rPr>
          <w:rFonts w:hint="eastAsia" w:ascii="宋体" w:hAnsi="宋体" w:cs="宋体"/>
          <w:color w:val="auto"/>
          <w:highlight w:val="none"/>
          <w:lang w:bidi="ar"/>
        </w:rPr>
        <w:t>期限及付款方式</w:t>
      </w:r>
      <w:bookmarkEnd w:id="565"/>
    </w:p>
    <w:p w14:paraId="4158AFBB">
      <w:pPr>
        <w:pStyle w:val="36"/>
        <w:keepNext w:val="0"/>
        <w:keepLines w:val="0"/>
        <w:pageBreakBefore w:val="0"/>
        <w:widowControl/>
        <w:numPr>
          <w:ilvl w:val="1"/>
          <w:numId w:val="24"/>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cs="宋体"/>
          <w:color w:val="auto"/>
          <w:highlight w:val="none"/>
          <w:lang w:val="en-US" w:eastAsia="zh-CN" w:bidi="ar"/>
        </w:rPr>
        <w:t>合同履行</w:t>
      </w:r>
      <w:r>
        <w:rPr>
          <w:rFonts w:hint="eastAsia" w:ascii="宋体" w:hAnsi="宋体" w:eastAsia="宋体" w:cs="宋体"/>
          <w:color w:val="auto"/>
          <w:highlight w:val="none"/>
          <w:lang w:bidi="ar"/>
        </w:rPr>
        <w:t>期限：详见合同条款；</w:t>
      </w:r>
    </w:p>
    <w:p w14:paraId="3872A29B">
      <w:pPr>
        <w:pStyle w:val="36"/>
        <w:keepNext w:val="0"/>
        <w:keepLines w:val="0"/>
        <w:pageBreakBefore w:val="0"/>
        <w:widowControl/>
        <w:numPr>
          <w:ilvl w:val="1"/>
          <w:numId w:val="24"/>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付款方式：详见合同条款。</w:t>
      </w:r>
    </w:p>
    <w:p w14:paraId="5808A88E">
      <w:pPr>
        <w:pStyle w:val="36"/>
        <w:pageBreakBefore w:val="0"/>
        <w:numPr>
          <w:ilvl w:val="0"/>
          <w:numId w:val="9"/>
        </w:numPr>
        <w:shd w:val="clear"/>
        <w:kinsoku/>
        <w:wordWrap/>
        <w:overflowPunct/>
        <w:topLinePunct w:val="0"/>
        <w:autoSpaceDE/>
        <w:autoSpaceDN/>
        <w:bidi w:val="0"/>
        <w:adjustRightInd/>
        <w:snapToGrid/>
        <w:spacing w:line="312" w:lineRule="auto"/>
        <w:ind w:firstLine="480" w:firstLineChars="200"/>
        <w:jc w:val="both"/>
        <w:textAlignment w:val="auto"/>
        <w:outlineLvl w:val="2"/>
        <w:rPr>
          <w:rFonts w:ascii="宋体" w:hAnsi="宋体" w:cs="宋体"/>
          <w:color w:val="auto"/>
          <w:highlight w:val="none"/>
          <w:lang w:bidi="ar"/>
        </w:rPr>
      </w:pPr>
      <w:bookmarkStart w:id="566" w:name="_Toc660"/>
      <w:bookmarkStart w:id="567" w:name="_Toc27730"/>
      <w:bookmarkStart w:id="568" w:name="_Toc361434250"/>
      <w:bookmarkStart w:id="569" w:name="_Toc81372954"/>
      <w:bookmarkStart w:id="570" w:name="_Toc327"/>
      <w:bookmarkStart w:id="571" w:name="_Toc81372777"/>
      <w:bookmarkStart w:id="572" w:name="_Toc361436980"/>
      <w:bookmarkStart w:id="573" w:name="_Toc361434052"/>
      <w:bookmarkStart w:id="574" w:name="_Toc361433695"/>
      <w:bookmarkStart w:id="575" w:name="_Toc361433420"/>
      <w:bookmarkStart w:id="576" w:name="_Toc361437247"/>
      <w:bookmarkStart w:id="577" w:name="_Toc31349"/>
      <w:bookmarkStart w:id="578" w:name="_Toc361433283"/>
      <w:bookmarkStart w:id="579" w:name="_Toc361433768"/>
      <w:bookmarkStart w:id="580" w:name="_Toc361433873"/>
      <w:bookmarkStart w:id="581" w:name="_Toc361435893"/>
      <w:bookmarkStart w:id="582" w:name="_Toc361437572"/>
      <w:bookmarkStart w:id="583" w:name="_Toc19"/>
      <w:bookmarkStart w:id="584" w:name="_Toc361433090"/>
      <w:bookmarkStart w:id="585" w:name="_Toc363052661"/>
      <w:bookmarkStart w:id="586" w:name="_Toc101321796"/>
      <w:bookmarkStart w:id="587" w:name="_Toc361432200"/>
      <w:bookmarkStart w:id="588" w:name="_Toc361437173"/>
      <w:bookmarkStart w:id="589" w:name="_Toc361432660"/>
      <w:bookmarkStart w:id="590" w:name="_Toc361433601"/>
      <w:bookmarkStart w:id="591" w:name="_Toc84325930"/>
      <w:r>
        <w:rPr>
          <w:rFonts w:hint="eastAsia" w:ascii="宋体" w:hAnsi="宋体" w:cs="宋体"/>
          <w:color w:val="auto"/>
          <w:highlight w:val="none"/>
          <w:lang w:bidi="ar"/>
        </w:rPr>
        <w:t>招标代理费用</w:t>
      </w:r>
      <w:bookmarkEnd w:id="566"/>
    </w:p>
    <w:p w14:paraId="0F82E05B">
      <w:pPr>
        <w:pStyle w:val="36"/>
        <w:keepNext w:val="0"/>
        <w:keepLines w:val="0"/>
        <w:pageBreakBefore w:val="0"/>
        <w:widowControl/>
        <w:numPr>
          <w:ilvl w:val="1"/>
          <w:numId w:val="25"/>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rPr>
      </w:pPr>
      <w:bookmarkStart w:id="592" w:name="OLE_LINK37"/>
      <w:bookmarkStart w:id="593" w:name="_Toc18932"/>
      <w:bookmarkStart w:id="594" w:name="_Toc27865"/>
      <w:bookmarkStart w:id="595" w:name="_Toc27073"/>
      <w:bookmarkStart w:id="596" w:name="_Toc4316"/>
      <w:bookmarkStart w:id="597" w:name="_Toc6658"/>
      <w:bookmarkStart w:id="598" w:name="_Toc3972"/>
      <w:bookmarkStart w:id="599" w:name="_Toc16186"/>
      <w:bookmarkStart w:id="600" w:name="_Toc21042"/>
      <w:bookmarkStart w:id="601" w:name="_Toc3872"/>
      <w:bookmarkStart w:id="602" w:name="_Toc11991"/>
      <w:bookmarkStart w:id="603" w:name="_Toc5064"/>
      <w:bookmarkStart w:id="604" w:name="_Toc13809"/>
      <w:bookmarkStart w:id="605" w:name="_Toc28218"/>
      <w:bookmarkStart w:id="606" w:name="_Toc23772"/>
      <w:bookmarkStart w:id="607" w:name="_Toc787"/>
      <w:bookmarkStart w:id="608" w:name="_Toc18862"/>
      <w:bookmarkStart w:id="609" w:name="_Toc32449"/>
      <w:bookmarkStart w:id="610" w:name="_Toc28587"/>
      <w:bookmarkStart w:id="611" w:name="_Toc3233"/>
      <w:bookmarkStart w:id="612" w:name="_Toc25338"/>
      <w:bookmarkStart w:id="613" w:name="_Toc759"/>
      <w:bookmarkStart w:id="614" w:name="_Toc28293"/>
      <w:bookmarkStart w:id="615" w:name="_Toc30799"/>
      <w:bookmarkStart w:id="616" w:name="_Toc7384"/>
      <w:bookmarkStart w:id="617" w:name="_Toc30244"/>
      <w:bookmarkStart w:id="618" w:name="_Toc356371441"/>
      <w:bookmarkStart w:id="619" w:name="_Toc18934"/>
      <w:bookmarkStart w:id="620" w:name="_Toc30941"/>
      <w:bookmarkStart w:id="621" w:name="_Toc1830"/>
      <w:bookmarkStart w:id="622" w:name="_Toc5554"/>
      <w:bookmarkStart w:id="623" w:name="_Toc26725"/>
      <w:bookmarkStart w:id="624" w:name="_Toc17209"/>
      <w:bookmarkStart w:id="625" w:name="_Toc829"/>
      <w:bookmarkStart w:id="626" w:name="_Toc30867"/>
      <w:bookmarkStart w:id="627" w:name="_Toc27560"/>
      <w:bookmarkStart w:id="628" w:name="_Toc14430"/>
      <w:bookmarkStart w:id="629" w:name="_Toc6640"/>
      <w:bookmarkStart w:id="630" w:name="_Toc31514"/>
      <w:bookmarkStart w:id="631" w:name="_Toc194"/>
      <w:bookmarkStart w:id="632" w:name="_Toc26256"/>
      <w:bookmarkStart w:id="633" w:name="_Toc366144040"/>
      <w:bookmarkStart w:id="634" w:name="_Toc16372"/>
      <w:bookmarkStart w:id="635" w:name="_Toc1992"/>
      <w:bookmarkStart w:id="636" w:name="_Toc24668"/>
      <w:bookmarkStart w:id="637" w:name="_Toc10535"/>
      <w:bookmarkStart w:id="638" w:name="_Toc6421"/>
      <w:bookmarkStart w:id="639" w:name="_Toc25070"/>
      <w:bookmarkStart w:id="640" w:name="_Toc31746"/>
      <w:r>
        <w:rPr>
          <w:rFonts w:hint="eastAsia" w:ascii="宋体" w:hAnsi="宋体" w:cs="宋体"/>
          <w:color w:val="auto"/>
          <w:highlight w:val="none"/>
          <w:lang w:val="zh-CN"/>
        </w:rPr>
        <w:t>本项目招标代理费</w:t>
      </w:r>
      <w:r>
        <w:rPr>
          <w:rFonts w:hint="eastAsia" w:ascii="宋体" w:hAnsi="宋体" w:cs="宋体"/>
          <w:color w:val="auto"/>
          <w:highlight w:val="none"/>
          <w:lang w:val="en-US" w:eastAsia="zh-CN"/>
        </w:rPr>
        <w:t>及预算编制费</w:t>
      </w:r>
      <w:r>
        <w:rPr>
          <w:rFonts w:hint="eastAsia" w:ascii="宋体" w:hAnsi="宋体" w:cs="宋体"/>
          <w:color w:val="auto"/>
          <w:highlight w:val="none"/>
          <w:lang w:val="zh-CN"/>
        </w:rPr>
        <w:t>参照《招标代理服务收费管理暂行办法》（国家计委计价格</w:t>
      </w:r>
      <w:r>
        <w:rPr>
          <w:rFonts w:hint="eastAsia" w:ascii="宋体" w:hAnsi="宋体" w:cs="宋体"/>
          <w:color w:val="auto"/>
          <w:highlight w:val="none"/>
        </w:rPr>
        <w:t>〔2002〕</w:t>
      </w:r>
      <w:r>
        <w:rPr>
          <w:rFonts w:hint="eastAsia" w:ascii="宋体" w:hAnsi="宋体" w:cs="宋体"/>
          <w:color w:val="auto"/>
          <w:highlight w:val="none"/>
          <w:lang w:val="zh-CN"/>
        </w:rPr>
        <w:t>1980号）文件、</w:t>
      </w:r>
      <w:r>
        <w:rPr>
          <w:rFonts w:hint="eastAsia" w:ascii="宋体" w:hAnsi="宋体" w:cs="宋体"/>
          <w:color w:val="auto"/>
          <w:highlight w:val="none"/>
          <w:lang w:val="en-US" w:eastAsia="zh-CN"/>
        </w:rPr>
        <w:t>浙价服2009（84号）文件</w:t>
      </w:r>
      <w:r>
        <w:rPr>
          <w:rFonts w:hint="eastAsia" w:ascii="宋体" w:hAnsi="宋体" w:cs="宋体"/>
          <w:color w:val="auto"/>
          <w:highlight w:val="none"/>
          <w:lang w:val="zh-CN"/>
        </w:rPr>
        <w:t>标准</w:t>
      </w:r>
      <w:r>
        <w:rPr>
          <w:rFonts w:hint="eastAsia" w:ascii="宋体" w:hAnsi="宋体" w:cs="宋体"/>
          <w:color w:val="auto"/>
          <w:highlight w:val="none"/>
          <w:lang w:val="en-US" w:eastAsia="zh-CN"/>
        </w:rPr>
        <w:t>的63.45%</w:t>
      </w:r>
      <w:r>
        <w:rPr>
          <w:rFonts w:hint="eastAsia" w:ascii="宋体" w:hAnsi="宋体" w:cs="宋体"/>
          <w:color w:val="auto"/>
          <w:highlight w:val="none"/>
          <w:lang w:val="zh-CN"/>
        </w:rPr>
        <w:t>收费计取</w:t>
      </w:r>
      <w:r>
        <w:rPr>
          <w:rFonts w:hint="eastAsia" w:ascii="宋体" w:hAnsi="宋体" w:cs="宋体"/>
          <w:color w:val="auto"/>
          <w:highlight w:val="none"/>
          <w:lang w:val="en-US" w:eastAsia="zh-CN" w:bidi="ar"/>
        </w:rPr>
        <w:t>,由中标人在领取中标通知书时支付。</w:t>
      </w:r>
    </w:p>
    <w:p w14:paraId="3C667D67">
      <w:pPr>
        <w:pStyle w:val="36"/>
        <w:pageBreakBefore w:val="0"/>
        <w:numPr>
          <w:ilvl w:val="1"/>
          <w:numId w:val="26"/>
        </w:numPr>
        <w:shd w:val="clear"/>
        <w:tabs>
          <w:tab w:val="left" w:pos="171"/>
        </w:tabs>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highlight w:val="none"/>
        </w:rPr>
      </w:pPr>
      <w:r>
        <w:rPr>
          <w:rFonts w:hint="eastAsia" w:ascii="宋体" w:hAnsi="宋体" w:cs="宋体"/>
          <w:color w:val="auto"/>
          <w:highlight w:val="none"/>
        </w:rPr>
        <w:t>评委费最终按实由中标人支付。</w:t>
      </w:r>
    </w:p>
    <w:bookmarkEnd w:id="592"/>
    <w:p w14:paraId="4A91D74D">
      <w:pPr>
        <w:pStyle w:val="36"/>
        <w:pageBreakBefore w:val="0"/>
        <w:numPr>
          <w:ilvl w:val="1"/>
          <w:numId w:val="26"/>
        </w:numPr>
        <w:shd w:val="clear"/>
        <w:tabs>
          <w:tab w:val="left" w:pos="171"/>
        </w:tabs>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highlight w:val="none"/>
        </w:rPr>
      </w:pPr>
      <w:r>
        <w:rPr>
          <w:rFonts w:hint="eastAsia" w:ascii="宋体" w:hAnsi="宋体" w:cs="宋体"/>
          <w:color w:val="auto"/>
          <w:highlight w:val="none"/>
        </w:rPr>
        <w:t>若出现终止采购情形的，上述费用由采购人支付。</w:t>
      </w:r>
    </w:p>
    <w:p w14:paraId="643DFC4F">
      <w:pPr>
        <w:pStyle w:val="4"/>
        <w:pageBreakBefore w:val="0"/>
        <w:numPr>
          <w:ilvl w:val="1"/>
          <w:numId w:val="0"/>
        </w:numPr>
        <w:shd w:val="clear"/>
        <w:kinsoku/>
        <w:wordWrap/>
        <w:overflowPunct/>
        <w:topLinePunct w:val="0"/>
        <w:autoSpaceDE/>
        <w:autoSpaceDN/>
        <w:bidi w:val="0"/>
        <w:adjustRightInd/>
        <w:snapToGrid/>
        <w:spacing w:beforeLines="0" w:afterLines="0" w:line="312" w:lineRule="auto"/>
        <w:ind w:firstLine="602" w:firstLineChars="200"/>
        <w:textAlignment w:val="auto"/>
        <w:rPr>
          <w:rFonts w:ascii="宋体" w:hAnsi="宋体" w:cs="宋体"/>
          <w:b/>
          <w:bCs w:val="0"/>
          <w:color w:val="auto"/>
          <w:highlight w:val="none"/>
          <w:lang w:bidi="ar"/>
        </w:rPr>
      </w:pPr>
      <w:bookmarkStart w:id="641" w:name="_Toc15116"/>
      <w:bookmarkStart w:id="642" w:name="_Toc18745"/>
      <w:bookmarkStart w:id="643" w:name="_Toc23556"/>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三</w:t>
      </w:r>
      <w:r>
        <w:rPr>
          <w:rFonts w:hint="eastAsia" w:ascii="宋体" w:hAnsi="宋体" w:cs="宋体"/>
          <w:b/>
          <w:bCs w:val="0"/>
          <w:color w:val="auto"/>
          <w:highlight w:val="none"/>
          <w:lang w:bidi="ar"/>
        </w:rPr>
        <w:t>、法律责任</w:t>
      </w:r>
      <w:bookmarkEnd w:id="593"/>
      <w:bookmarkEnd w:id="594"/>
      <w:bookmarkEnd w:id="595"/>
      <w:bookmarkEnd w:id="641"/>
      <w:bookmarkEnd w:id="642"/>
      <w:bookmarkEnd w:id="643"/>
    </w:p>
    <w:p w14:paraId="5BA00585">
      <w:pPr>
        <w:pStyle w:val="36"/>
        <w:pageBreakBefore w:val="0"/>
        <w:numPr>
          <w:ilvl w:val="0"/>
          <w:numId w:val="9"/>
        </w:numPr>
        <w:shd w:val="clear"/>
        <w:kinsoku/>
        <w:wordWrap/>
        <w:overflowPunct/>
        <w:topLinePunct w:val="0"/>
        <w:autoSpaceDE/>
        <w:autoSpaceDN/>
        <w:bidi w:val="0"/>
        <w:adjustRightInd/>
        <w:snapToGrid/>
        <w:spacing w:line="312" w:lineRule="auto"/>
        <w:ind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w:t>
      </w:r>
      <w:r>
        <w:rPr>
          <w:rFonts w:hint="eastAsia" w:ascii="宋体" w:hAnsi="宋体" w:cs="宋体"/>
          <w:color w:val="auto"/>
          <w:highlight w:val="none"/>
          <w:lang w:eastAsia="zh-CN" w:bidi="ar"/>
        </w:rPr>
        <w:t>，</w:t>
      </w:r>
      <w:r>
        <w:rPr>
          <w:rFonts w:hint="eastAsia" w:ascii="宋体" w:hAnsi="宋体" w:cs="宋体"/>
          <w:color w:val="auto"/>
          <w:highlight w:val="none"/>
          <w:lang w:bidi="ar"/>
        </w:rPr>
        <w:t>处以政府采购项目中标金额千分之五以上千分之十以下的罚款</w:t>
      </w:r>
      <w:r>
        <w:rPr>
          <w:rFonts w:hint="eastAsia" w:ascii="宋体" w:hAnsi="宋体" w:cs="宋体"/>
          <w:color w:val="auto"/>
          <w:highlight w:val="none"/>
          <w:lang w:eastAsia="zh-CN" w:bidi="ar"/>
        </w:rPr>
        <w:t>，</w:t>
      </w:r>
      <w:r>
        <w:rPr>
          <w:rFonts w:hint="eastAsia" w:ascii="宋体" w:hAnsi="宋体" w:cs="宋体"/>
          <w:color w:val="auto"/>
          <w:highlight w:val="none"/>
          <w:lang w:bidi="ar"/>
        </w:rPr>
        <w:t>列入不良行为记录名单</w:t>
      </w:r>
      <w:r>
        <w:rPr>
          <w:rFonts w:hint="eastAsia" w:ascii="宋体" w:hAnsi="宋体" w:cs="宋体"/>
          <w:color w:val="auto"/>
          <w:highlight w:val="none"/>
          <w:lang w:eastAsia="zh-CN" w:bidi="ar"/>
        </w:rPr>
        <w:t>，</w:t>
      </w:r>
      <w:r>
        <w:rPr>
          <w:rFonts w:hint="eastAsia" w:ascii="宋体" w:hAnsi="宋体" w:cs="宋体"/>
          <w:color w:val="auto"/>
          <w:highlight w:val="none"/>
          <w:lang w:bidi="ar"/>
        </w:rPr>
        <w:t>在一至三年内禁止参加国企采购活动</w:t>
      </w:r>
      <w:r>
        <w:rPr>
          <w:rFonts w:hint="eastAsia" w:ascii="宋体" w:hAnsi="宋体" w:cs="宋体"/>
          <w:color w:val="auto"/>
          <w:highlight w:val="none"/>
          <w:lang w:eastAsia="zh-CN" w:bidi="ar"/>
        </w:rPr>
        <w:t>，</w:t>
      </w:r>
      <w:r>
        <w:rPr>
          <w:rFonts w:hint="eastAsia" w:ascii="宋体" w:hAnsi="宋体" w:cs="宋体"/>
          <w:color w:val="auto"/>
          <w:highlight w:val="none"/>
          <w:lang w:bidi="ar"/>
        </w:rPr>
        <w:t>并予以公告</w:t>
      </w:r>
      <w:r>
        <w:rPr>
          <w:rFonts w:hint="eastAsia" w:ascii="宋体" w:hAnsi="宋体" w:cs="宋体"/>
          <w:color w:val="auto"/>
          <w:highlight w:val="none"/>
          <w:lang w:eastAsia="zh-CN" w:bidi="ar"/>
        </w:rPr>
        <w:t>，</w:t>
      </w:r>
      <w:r>
        <w:rPr>
          <w:rFonts w:hint="eastAsia" w:ascii="宋体" w:hAnsi="宋体" w:cs="宋体"/>
          <w:color w:val="auto"/>
          <w:highlight w:val="none"/>
          <w:lang w:bidi="ar"/>
        </w:rPr>
        <w:t>有违法所得的</w:t>
      </w:r>
      <w:r>
        <w:rPr>
          <w:rFonts w:hint="eastAsia" w:ascii="宋体" w:hAnsi="宋体" w:cs="宋体"/>
          <w:color w:val="auto"/>
          <w:highlight w:val="none"/>
          <w:lang w:eastAsia="zh-CN" w:bidi="ar"/>
        </w:rPr>
        <w:t>，</w:t>
      </w:r>
      <w:r>
        <w:rPr>
          <w:rFonts w:hint="eastAsia" w:ascii="宋体" w:hAnsi="宋体" w:cs="宋体"/>
          <w:color w:val="auto"/>
          <w:highlight w:val="none"/>
          <w:lang w:bidi="ar"/>
        </w:rPr>
        <w:t>并处没收违法所得</w:t>
      </w:r>
      <w:r>
        <w:rPr>
          <w:rFonts w:hint="eastAsia" w:ascii="宋体" w:hAnsi="宋体" w:cs="宋体"/>
          <w:color w:val="auto"/>
          <w:highlight w:val="none"/>
          <w:lang w:eastAsia="zh-CN" w:bidi="ar"/>
        </w:rPr>
        <w:t>，</w:t>
      </w:r>
      <w:r>
        <w:rPr>
          <w:rFonts w:hint="eastAsia" w:ascii="宋体" w:hAnsi="宋体" w:cs="宋体"/>
          <w:color w:val="auto"/>
          <w:highlight w:val="none"/>
          <w:lang w:bidi="ar"/>
        </w:rPr>
        <w:t>情节严重的</w:t>
      </w:r>
      <w:r>
        <w:rPr>
          <w:rFonts w:hint="eastAsia" w:ascii="宋体" w:hAnsi="宋体" w:cs="宋体"/>
          <w:color w:val="auto"/>
          <w:highlight w:val="none"/>
          <w:lang w:eastAsia="zh-CN" w:bidi="ar"/>
        </w:rPr>
        <w:t>，</w:t>
      </w:r>
      <w:r>
        <w:rPr>
          <w:rFonts w:hint="eastAsia" w:ascii="宋体" w:hAnsi="宋体" w:cs="宋体"/>
          <w:color w:val="auto"/>
          <w:highlight w:val="none"/>
          <w:lang w:bidi="ar"/>
        </w:rPr>
        <w:t>由市场监督管理机关吊销营业执照</w:t>
      </w:r>
      <w:r>
        <w:rPr>
          <w:rFonts w:hint="eastAsia" w:ascii="宋体" w:hAnsi="宋体" w:cs="宋体"/>
          <w:color w:val="auto"/>
          <w:highlight w:val="none"/>
          <w:lang w:eastAsia="zh-CN" w:bidi="ar"/>
        </w:rPr>
        <w:t>；</w:t>
      </w:r>
      <w:r>
        <w:rPr>
          <w:rFonts w:hint="eastAsia" w:ascii="宋体" w:hAnsi="宋体" w:cs="宋体"/>
          <w:color w:val="auto"/>
          <w:highlight w:val="none"/>
          <w:lang w:bidi="ar"/>
        </w:rPr>
        <w:t>构成犯罪的</w:t>
      </w:r>
      <w:r>
        <w:rPr>
          <w:rFonts w:hint="eastAsia" w:ascii="宋体" w:hAnsi="宋体" w:cs="宋体"/>
          <w:color w:val="auto"/>
          <w:highlight w:val="none"/>
          <w:lang w:eastAsia="zh-CN" w:bidi="ar"/>
        </w:rPr>
        <w:t>，</w:t>
      </w:r>
      <w:r>
        <w:rPr>
          <w:rFonts w:hint="eastAsia" w:ascii="宋体" w:hAnsi="宋体" w:cs="宋体"/>
          <w:color w:val="auto"/>
          <w:highlight w:val="none"/>
          <w:lang w:bidi="ar"/>
        </w:rPr>
        <w:t>依法追究刑事责任</w:t>
      </w:r>
      <w:r>
        <w:rPr>
          <w:rFonts w:hint="eastAsia" w:ascii="宋体" w:hAnsi="宋体" w:cs="宋体"/>
          <w:color w:val="auto"/>
          <w:highlight w:val="none"/>
          <w:lang w:eastAsia="zh-CN" w:bidi="ar"/>
        </w:rPr>
        <w:t>：</w:t>
      </w:r>
    </w:p>
    <w:p w14:paraId="24106435">
      <w:pPr>
        <w:pStyle w:val="36"/>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提供虚假材料谋取中标的；</w:t>
      </w:r>
    </w:p>
    <w:p w14:paraId="11D339A8">
      <w:pPr>
        <w:pStyle w:val="36"/>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采取不正当手段诋毁、排挤其他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w:t>
      </w:r>
    </w:p>
    <w:p w14:paraId="3E8C8736">
      <w:pPr>
        <w:pStyle w:val="36"/>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与采购人、采购代理机构、其他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恶意串通的；</w:t>
      </w:r>
    </w:p>
    <w:p w14:paraId="6B3B0BE3">
      <w:pPr>
        <w:pStyle w:val="36"/>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向采购人、采购代理机构行贿或者提供其他不正当利益的；</w:t>
      </w:r>
    </w:p>
    <w:p w14:paraId="1162D039">
      <w:pPr>
        <w:pStyle w:val="36"/>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在招标过程中与采购人进行协商谈判、不按照招标文件和</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的投标文件订立合同</w:t>
      </w:r>
      <w:r>
        <w:rPr>
          <w:rFonts w:hint="eastAsia" w:ascii="宋体" w:hAnsi="宋体" w:cs="宋体"/>
          <w:color w:val="auto"/>
          <w:highlight w:val="none"/>
          <w:lang w:eastAsia="zh-CN" w:bidi="ar"/>
        </w:rPr>
        <w:t>，</w:t>
      </w:r>
      <w:r>
        <w:rPr>
          <w:rFonts w:hint="eastAsia" w:ascii="宋体" w:hAnsi="宋体" w:cs="宋体"/>
          <w:color w:val="auto"/>
          <w:highlight w:val="none"/>
          <w:lang w:bidi="ar"/>
        </w:rPr>
        <w:t>或者与采购人另行订立背离合同实质性内容的协议的；</w:t>
      </w:r>
    </w:p>
    <w:p w14:paraId="51C58A1A">
      <w:pPr>
        <w:pStyle w:val="36"/>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outlineLvl w:val="2"/>
        <w:rPr>
          <w:rFonts w:ascii="宋体" w:hAnsi="宋体" w:cs="宋体"/>
          <w:color w:val="auto"/>
          <w:highlight w:val="none"/>
          <w:lang w:bidi="ar"/>
        </w:rPr>
      </w:pPr>
      <w:bookmarkStart w:id="644" w:name="_Toc10003"/>
      <w:r>
        <w:rPr>
          <w:rFonts w:hint="eastAsia" w:ascii="宋体" w:hAnsi="宋体" w:cs="宋体"/>
          <w:color w:val="auto"/>
          <w:highlight w:val="none"/>
          <w:lang w:bidi="ar"/>
        </w:rPr>
        <w:t>拒绝有关部门监督检查或者提供虚假情况的。</w:t>
      </w:r>
      <w:bookmarkEnd w:id="644"/>
    </w:p>
    <w:p w14:paraId="754FFA36">
      <w:pPr>
        <w:pStyle w:val="4"/>
        <w:pageBreakBefore w:val="0"/>
        <w:numPr>
          <w:ilvl w:val="1"/>
          <w:numId w:val="0"/>
        </w:numPr>
        <w:shd w:val="clear"/>
        <w:kinsoku/>
        <w:overflowPunct/>
        <w:topLinePunct w:val="0"/>
        <w:autoSpaceDE/>
        <w:autoSpaceDN/>
        <w:bidi w:val="0"/>
        <w:spacing w:beforeLines="0" w:afterLines="0" w:line="308" w:lineRule="auto"/>
        <w:jc w:val="center"/>
        <w:textAlignment w:val="auto"/>
        <w:rPr>
          <w:rFonts w:ascii="宋体" w:hAnsi="宋体" w:cs="宋体"/>
          <w:b/>
          <w:bCs w:val="0"/>
          <w:color w:val="auto"/>
          <w:highlight w:val="none"/>
        </w:rPr>
      </w:pPr>
      <w:bookmarkStart w:id="645" w:name="_Toc18174"/>
      <w:bookmarkStart w:id="646" w:name="_Toc10353"/>
      <w:bookmarkStart w:id="647" w:name="_Toc19842"/>
      <w:bookmarkStart w:id="648" w:name="_Toc13704"/>
      <w:bookmarkStart w:id="649" w:name="_Toc5419"/>
      <w:bookmarkStart w:id="650" w:name="_Toc19245"/>
      <w:r>
        <w:rPr>
          <w:rFonts w:hint="eastAsia" w:ascii="宋体" w:hAnsi="宋体" w:cs="宋体"/>
          <w:b/>
          <w:bCs w:val="0"/>
          <w:color w:val="auto"/>
          <w:highlight w:val="none"/>
        </w:rPr>
        <w:t>十</w:t>
      </w:r>
      <w:r>
        <w:rPr>
          <w:rFonts w:hint="eastAsia" w:ascii="宋体" w:hAnsi="宋体" w:cs="宋体"/>
          <w:b/>
          <w:bCs w:val="0"/>
          <w:color w:val="auto"/>
          <w:highlight w:val="none"/>
          <w:lang w:val="en-US" w:eastAsia="zh-CN"/>
        </w:rPr>
        <w:t>四</w:t>
      </w:r>
      <w:r>
        <w:rPr>
          <w:rFonts w:hint="eastAsia" w:ascii="宋体" w:hAnsi="宋体" w:cs="宋体"/>
          <w:b/>
          <w:bCs w:val="0"/>
          <w:color w:val="auto"/>
          <w:highlight w:val="none"/>
        </w:rPr>
        <w:t>、诚信管理</w:t>
      </w:r>
      <w:bookmarkEnd w:id="645"/>
      <w:bookmarkEnd w:id="646"/>
      <w:bookmarkEnd w:id="647"/>
      <w:bookmarkEnd w:id="648"/>
      <w:bookmarkEnd w:id="649"/>
      <w:bookmarkEnd w:id="650"/>
    </w:p>
    <w:p w14:paraId="40E9C7F5">
      <w:pPr>
        <w:pStyle w:val="36"/>
        <w:keepNext w:val="0"/>
        <w:keepLines w:val="0"/>
        <w:pageBreakBefore w:val="0"/>
        <w:widowControl/>
        <w:numPr>
          <w:ilvl w:val="0"/>
          <w:numId w:val="27"/>
        </w:numPr>
        <w:shd w:val="clear"/>
        <w:kinsoku/>
        <w:wordWrap/>
        <w:overflowPunct/>
        <w:topLinePunct w:val="0"/>
        <w:autoSpaceDE/>
        <w:autoSpaceDN/>
        <w:bidi w:val="0"/>
        <w:adjustRightInd w:val="0"/>
        <w:snapToGrid/>
        <w:spacing w:line="308"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有下列情形之一的，依据《关于印发浙江省政府</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注册及诚信管理暂行办</w:t>
      </w:r>
      <w:r>
        <w:rPr>
          <w:rFonts w:hint="eastAsia" w:ascii="宋体" w:hAnsi="宋体" w:cs="宋体"/>
          <w:color w:val="auto"/>
          <w:highlight w:val="none"/>
          <w:lang w:eastAsia="zh-CN" w:bidi="ar"/>
        </w:rPr>
        <w:t>法的</w:t>
      </w:r>
      <w:r>
        <w:rPr>
          <w:rFonts w:hint="eastAsia" w:ascii="宋体" w:hAnsi="宋体" w:cs="宋体"/>
          <w:color w:val="auto"/>
          <w:highlight w:val="none"/>
          <w:lang w:bidi="ar"/>
        </w:rPr>
        <w:t>通知》[浙财采监字〔2009〕28号]文件第三十八条和第三十九条的规定记录不良行为、黑名单及处罚。</w:t>
      </w:r>
    </w:p>
    <w:p w14:paraId="14BE402A">
      <w:pPr>
        <w:pStyle w:val="36"/>
        <w:keepNext w:val="0"/>
        <w:keepLines w:val="0"/>
        <w:pageBreakBefore w:val="0"/>
        <w:widowControl/>
        <w:numPr>
          <w:ilvl w:val="1"/>
          <w:numId w:val="27"/>
        </w:numPr>
        <w:shd w:val="clear"/>
        <w:tabs>
          <w:tab w:val="left" w:pos="171"/>
        </w:tabs>
        <w:kinsoku/>
        <w:wordWrap/>
        <w:overflowPunct/>
        <w:topLinePunct w:val="0"/>
        <w:autoSpaceDE/>
        <w:autoSpaceDN/>
        <w:bidi w:val="0"/>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有下列情形之一的，采购人或采购代理机构应按不良行为记入该注册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诚信档案中：</w:t>
      </w:r>
    </w:p>
    <w:p w14:paraId="65E377DE">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1" w:name="_Toc25740"/>
      <w:r>
        <w:rPr>
          <w:rFonts w:hint="eastAsia" w:ascii="宋体" w:hAnsi="宋体"/>
          <w:color w:val="auto"/>
          <w:highlight w:val="none"/>
        </w:rPr>
        <w:t>（一）开标后擅自撤回采购投标文件，影响采购活动继续进行的；</w:t>
      </w:r>
      <w:bookmarkEnd w:id="651"/>
    </w:p>
    <w:p w14:paraId="1BF01009">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（二）中标、成交后无正当理由拒绝签订国企采购合同，或者与采购人另行订立背离合同实质内容的协议的；</w:t>
      </w:r>
    </w:p>
    <w:p w14:paraId="5DB4A68E">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（三）无正当理由拒绝履行合同和有关承诺，或擅自变更、中止（终止）国企采购合同的；</w:t>
      </w:r>
    </w:p>
    <w:p w14:paraId="0BC7F4A4">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2" w:name="_Toc14984"/>
      <w:r>
        <w:rPr>
          <w:rFonts w:hint="eastAsia" w:ascii="宋体" w:hAnsi="宋体"/>
          <w:color w:val="auto"/>
          <w:highlight w:val="none"/>
        </w:rPr>
        <w:t>（四）超过合同约定的供货（或服务）时间达10日以上的；</w:t>
      </w:r>
      <w:bookmarkEnd w:id="652"/>
    </w:p>
    <w:p w14:paraId="177E2EFC">
      <w:pPr>
        <w:pageBreakBefore w:val="0"/>
        <w:shd w:val="clear"/>
        <w:kinsoku/>
        <w:overflowPunct/>
        <w:topLinePunct w:val="0"/>
        <w:autoSpaceDE/>
        <w:autoSpaceDN/>
        <w:bidi w:val="0"/>
        <w:adjustRightInd w:val="0"/>
        <w:snapToGrid w:val="0"/>
        <w:spacing w:line="308" w:lineRule="auto"/>
        <w:ind w:firstLine="480"/>
        <w:textAlignment w:val="auto"/>
        <w:rPr>
          <w:rFonts w:hint="eastAsia" w:ascii="宋体" w:hAnsi="宋体"/>
          <w:color w:val="auto"/>
          <w:highlight w:val="none"/>
        </w:rPr>
      </w:pPr>
      <w:r>
        <w:rPr>
          <w:rFonts w:hint="eastAsia" w:ascii="宋体" w:hAnsi="宋体"/>
          <w:color w:val="auto"/>
          <w:highlight w:val="none"/>
        </w:rPr>
        <w:t>（五）中标、成交后，将国企采购合同转包或擅自分包给其他</w:t>
      </w:r>
      <w:r>
        <w:rPr>
          <w:rFonts w:hint="eastAsia" w:ascii="宋体" w:hAnsi="宋体"/>
          <w:color w:val="auto"/>
          <w:highlight w:val="none"/>
          <w:lang w:eastAsia="zh-CN"/>
        </w:rPr>
        <w:t>投标人</w:t>
      </w:r>
      <w:r>
        <w:rPr>
          <w:rFonts w:hint="eastAsia" w:ascii="宋体" w:hAnsi="宋体"/>
          <w:color w:val="auto"/>
          <w:highlight w:val="none"/>
        </w:rPr>
        <w:t>的；</w:t>
      </w:r>
    </w:p>
    <w:p w14:paraId="01ADDB54">
      <w:pPr>
        <w:pageBreakBefore w:val="0"/>
        <w:shd w:val="clear"/>
        <w:kinsoku/>
        <w:overflowPunct/>
        <w:topLinePunct w:val="0"/>
        <w:autoSpaceDE/>
        <w:autoSpaceDN/>
        <w:bidi w:val="0"/>
        <w:adjustRightInd w:val="0"/>
        <w:snapToGrid w:val="0"/>
        <w:spacing w:line="308" w:lineRule="auto"/>
        <w:ind w:firstLine="480"/>
        <w:textAlignment w:val="auto"/>
        <w:rPr>
          <w:rFonts w:hint="eastAsia" w:ascii="宋体" w:hAnsi="宋体"/>
          <w:color w:val="auto"/>
          <w:highlight w:val="none"/>
        </w:rPr>
      </w:pPr>
      <w:bookmarkStart w:id="653" w:name="_Toc30937"/>
      <w:r>
        <w:rPr>
          <w:rFonts w:hint="eastAsia" w:ascii="宋体" w:hAnsi="宋体"/>
          <w:color w:val="auto"/>
          <w:highlight w:val="none"/>
        </w:rPr>
        <w:t>（六）提供假冒伪劣产品或走私物品的；</w:t>
      </w:r>
      <w:bookmarkEnd w:id="653"/>
    </w:p>
    <w:p w14:paraId="2F25717C">
      <w:pPr>
        <w:pageBreakBefore w:val="0"/>
        <w:shd w:val="clear"/>
        <w:kinsoku/>
        <w:overflowPunct/>
        <w:topLinePunct w:val="0"/>
        <w:autoSpaceDE/>
        <w:autoSpaceDN/>
        <w:bidi w:val="0"/>
        <w:adjustRightInd w:val="0"/>
        <w:snapToGrid w:val="0"/>
        <w:spacing w:line="308" w:lineRule="auto"/>
        <w:ind w:firstLine="480"/>
        <w:textAlignment w:val="auto"/>
        <w:rPr>
          <w:rFonts w:hint="eastAsia" w:ascii="宋体" w:hAnsi="宋体"/>
          <w:color w:val="auto"/>
          <w:highlight w:val="none"/>
        </w:rPr>
      </w:pPr>
      <w:r>
        <w:rPr>
          <w:rFonts w:hint="eastAsia" w:ascii="宋体" w:hAnsi="宋体"/>
          <w:color w:val="auto"/>
          <w:highlight w:val="none"/>
        </w:rPr>
        <w:t>（七）擅自降低产品质量等次和售后服务，或以次充好、偷工减料的；</w:t>
      </w:r>
    </w:p>
    <w:p w14:paraId="641A0584">
      <w:pPr>
        <w:pageBreakBefore w:val="0"/>
        <w:shd w:val="clear"/>
        <w:kinsoku/>
        <w:overflowPunct/>
        <w:topLinePunct w:val="0"/>
        <w:autoSpaceDE/>
        <w:autoSpaceDN/>
        <w:bidi w:val="0"/>
        <w:adjustRightInd w:val="0"/>
        <w:snapToGrid w:val="0"/>
        <w:spacing w:line="308" w:lineRule="auto"/>
        <w:ind w:firstLine="480"/>
        <w:textAlignment w:val="auto"/>
        <w:rPr>
          <w:rFonts w:hint="eastAsia" w:ascii="宋体" w:hAnsi="宋体"/>
          <w:color w:val="auto"/>
          <w:highlight w:val="none"/>
        </w:rPr>
      </w:pPr>
      <w:r>
        <w:rPr>
          <w:rFonts w:hint="eastAsia" w:ascii="宋体" w:hAnsi="宋体"/>
          <w:color w:val="auto"/>
          <w:highlight w:val="none"/>
        </w:rPr>
        <w:t>（八）实际提供的有关产品性能指标和技术服务能力明显低于采购投标文件或询标、谈判时的承诺；</w:t>
      </w:r>
    </w:p>
    <w:p w14:paraId="3392575F">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（九）在供应商库中发布的产品服务信息或在政府采购网上宣传的信息与实际明显不符，或故意误导采购人的；</w:t>
      </w:r>
    </w:p>
    <w:p w14:paraId="63AA2758">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4" w:name="_Toc8068"/>
      <w:r>
        <w:rPr>
          <w:rFonts w:hint="eastAsia" w:ascii="宋体" w:hAnsi="宋体"/>
          <w:color w:val="auto"/>
          <w:highlight w:val="none"/>
        </w:rPr>
        <w:t>（十）不按规定或不及时变更供应商库中的有关信息的；</w:t>
      </w:r>
      <w:bookmarkEnd w:id="654"/>
    </w:p>
    <w:p w14:paraId="7FD0DD78">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（十一）1年内在全省被质疑或投诉累计分别在20和10次以上且60%以上被驳回的，或恶意举报给采购人或采购代理机构造成损害的；</w:t>
      </w:r>
    </w:p>
    <w:p w14:paraId="24D4EC32">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5" w:name="_Toc24408"/>
      <w:r>
        <w:rPr>
          <w:rFonts w:hint="eastAsia" w:ascii="宋体" w:hAnsi="宋体"/>
          <w:color w:val="auto"/>
          <w:highlight w:val="none"/>
        </w:rPr>
        <w:t>（十二）各级财政部门认定</w:t>
      </w:r>
      <w:r>
        <w:rPr>
          <w:rFonts w:hint="eastAsia" w:ascii="宋体" w:hAnsi="宋体"/>
          <w:color w:val="auto"/>
          <w:highlight w:val="none"/>
          <w:lang w:eastAsia="zh-CN"/>
        </w:rPr>
        <w:t>的其他</w:t>
      </w:r>
      <w:r>
        <w:rPr>
          <w:rFonts w:hint="eastAsia" w:ascii="宋体" w:hAnsi="宋体"/>
          <w:color w:val="auto"/>
          <w:highlight w:val="none"/>
        </w:rPr>
        <w:t>有违诚实信用的行为。</w:t>
      </w:r>
      <w:bookmarkEnd w:id="655"/>
    </w:p>
    <w:p w14:paraId="51095E7C">
      <w:pPr>
        <w:pStyle w:val="36"/>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注册供应商有下列情形之一的，采购人或采购代理机构应向同级主管部门书面报告，并提请主管部门将其列入“黑名单”或者依法作出处罚；各级主管部门在依法处罚的同时，应将该情况按不良行为记入该供应商诚信档案中，同时将该供应商列入“黑名单”公开曝光：</w:t>
      </w:r>
    </w:p>
    <w:p w14:paraId="5AFF112F">
      <w:pPr>
        <w:pStyle w:val="36"/>
        <w:keepNext w:val="0"/>
        <w:keepLines w:val="0"/>
        <w:pageBreakBefore w:val="0"/>
        <w:widowControl/>
        <w:numPr>
          <w:ilvl w:val="255"/>
          <w:numId w:val="0"/>
        </w:numPr>
        <w:shd w:val="clear"/>
        <w:tabs>
          <w:tab w:val="left" w:pos="0"/>
          <w:tab w:val="left" w:pos="171"/>
        </w:tabs>
        <w:kinsoku/>
        <w:wordWrap/>
        <w:overflowPunct/>
        <w:topLinePunct w:val="0"/>
        <w:autoSpaceDE/>
        <w:autoSpaceDN/>
        <w:bidi w:val="0"/>
        <w:adjustRightInd/>
        <w:snapToGrid/>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（一）提供虚假材料谋取中标、成交的；</w:t>
      </w:r>
    </w:p>
    <w:p w14:paraId="55B3FCBA">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（二）采取不正当手段诋毁、排挤其他</w:t>
      </w:r>
      <w:r>
        <w:rPr>
          <w:rFonts w:hint="eastAsia" w:ascii="宋体" w:hAnsi="宋体"/>
          <w:color w:val="auto"/>
          <w:highlight w:val="none"/>
          <w:lang w:eastAsia="zh-CN"/>
        </w:rPr>
        <w:t>投标人</w:t>
      </w:r>
      <w:r>
        <w:rPr>
          <w:rFonts w:hint="eastAsia" w:ascii="宋体" w:hAnsi="宋体"/>
          <w:color w:val="auto"/>
          <w:highlight w:val="none"/>
        </w:rPr>
        <w:t>的；</w:t>
      </w:r>
    </w:p>
    <w:p w14:paraId="503E9105">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（三）与采购人、其他</w:t>
      </w:r>
      <w:r>
        <w:rPr>
          <w:rFonts w:hint="eastAsia" w:ascii="宋体" w:hAnsi="宋体"/>
          <w:color w:val="auto"/>
          <w:highlight w:val="none"/>
          <w:lang w:eastAsia="zh-CN"/>
        </w:rPr>
        <w:t>投标人</w:t>
      </w:r>
      <w:r>
        <w:rPr>
          <w:rFonts w:hint="eastAsia" w:ascii="宋体" w:hAnsi="宋体"/>
          <w:color w:val="auto"/>
          <w:highlight w:val="none"/>
        </w:rPr>
        <w:t>或者采购代理机构恶意串通的；</w:t>
      </w:r>
    </w:p>
    <w:p w14:paraId="1795AC97">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（四）向采购人、采购代理机构行贿或提供其他不正当利益，或因此被其他国家机关立案</w:t>
      </w:r>
      <w:r>
        <w:rPr>
          <w:rFonts w:hint="eastAsia" w:ascii="宋体" w:hAnsi="宋体"/>
          <w:color w:val="auto"/>
          <w:highlight w:val="none"/>
          <w:lang w:eastAsia="zh-CN"/>
        </w:rPr>
        <w:t>查处</w:t>
      </w:r>
      <w:r>
        <w:rPr>
          <w:rFonts w:hint="eastAsia" w:ascii="宋体" w:hAnsi="宋体"/>
          <w:color w:val="auto"/>
          <w:highlight w:val="none"/>
        </w:rPr>
        <w:t>的；</w:t>
      </w:r>
    </w:p>
    <w:p w14:paraId="06609C02">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6" w:name="_Toc14927"/>
      <w:r>
        <w:rPr>
          <w:rFonts w:hint="eastAsia" w:ascii="宋体" w:hAnsi="宋体"/>
          <w:color w:val="auto"/>
          <w:highlight w:val="none"/>
        </w:rPr>
        <w:t>（五）在招标采购过程中与采购人进行协商谈判的；</w:t>
      </w:r>
      <w:bookmarkEnd w:id="656"/>
    </w:p>
    <w:p w14:paraId="6A9686BC">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（六）哄抬、操纵国企采购报价，或国企采购价格（包括产品及其配件、试剂、耗材等价格）明显高于市场平均价的；</w:t>
      </w:r>
    </w:p>
    <w:p w14:paraId="2D1DC5DE">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（七）提供虚假材料骗取注册供应商资格的；</w:t>
      </w:r>
    </w:p>
    <w:p w14:paraId="7E1789E7">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（八）伪造《浙江省政府采购注册供应商信息登记表》的；</w:t>
      </w:r>
    </w:p>
    <w:p w14:paraId="2F073A30">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（九）销售或发布</w:t>
      </w:r>
      <w:r>
        <w:rPr>
          <w:rFonts w:hint="eastAsia" w:ascii="宋体" w:hAnsi="宋体"/>
          <w:color w:val="auto"/>
          <w:highlight w:val="none"/>
          <w:lang w:eastAsia="zh-CN"/>
        </w:rPr>
        <w:t>法律法规</w:t>
      </w:r>
      <w:r>
        <w:rPr>
          <w:rFonts w:hint="eastAsia" w:ascii="宋体" w:hAnsi="宋体"/>
          <w:color w:val="auto"/>
          <w:highlight w:val="none"/>
        </w:rPr>
        <w:t>禁止销售的商品、服务和其他违法信息的；</w:t>
      </w:r>
    </w:p>
    <w:p w14:paraId="54BBBE8E">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7" w:name="_Toc30788"/>
      <w:r>
        <w:rPr>
          <w:rFonts w:hint="eastAsia" w:ascii="宋体" w:hAnsi="宋体"/>
          <w:color w:val="auto"/>
          <w:highlight w:val="none"/>
        </w:rPr>
        <w:t>（十）</w:t>
      </w:r>
      <w:r>
        <w:rPr>
          <w:rFonts w:hint="eastAsia" w:ascii="宋体" w:hAnsi="宋体"/>
          <w:color w:val="auto"/>
          <w:highlight w:val="none"/>
          <w:lang w:eastAsia="zh-CN"/>
        </w:rPr>
        <w:t>其他违反法律法规</w:t>
      </w:r>
      <w:r>
        <w:rPr>
          <w:rFonts w:hint="eastAsia" w:ascii="宋体" w:hAnsi="宋体"/>
          <w:color w:val="auto"/>
          <w:highlight w:val="none"/>
        </w:rPr>
        <w:t>和政府采购管理有关规定的行为的。</w:t>
      </w:r>
      <w:bookmarkEnd w:id="657"/>
    </w:p>
    <w:p w14:paraId="6CE6F5DF">
      <w:pPr>
        <w:pStyle w:val="4"/>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658" w:name="_Toc14150"/>
      <w:bookmarkStart w:id="659" w:name="_Toc8468"/>
      <w:bookmarkStart w:id="660" w:name="_Toc5209"/>
      <w:bookmarkStart w:id="661" w:name="_Toc8521"/>
      <w:bookmarkStart w:id="662" w:name="_Toc24611"/>
      <w:bookmarkStart w:id="663" w:name="_Toc18631"/>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五</w:t>
      </w:r>
      <w:r>
        <w:rPr>
          <w:rFonts w:hint="eastAsia" w:ascii="宋体" w:hAnsi="宋体" w:cs="宋体"/>
          <w:b/>
          <w:bCs w:val="0"/>
          <w:color w:val="auto"/>
          <w:highlight w:val="none"/>
          <w:lang w:bidi="ar"/>
        </w:rPr>
        <w:t>、其他</w:t>
      </w:r>
      <w:bookmarkEnd w:id="658"/>
      <w:bookmarkEnd w:id="659"/>
      <w:bookmarkEnd w:id="660"/>
      <w:bookmarkEnd w:id="661"/>
      <w:bookmarkEnd w:id="662"/>
      <w:bookmarkEnd w:id="663"/>
    </w:p>
    <w:p w14:paraId="399AA1BD">
      <w:pPr>
        <w:pStyle w:val="36"/>
        <w:keepNext w:val="0"/>
        <w:keepLines w:val="0"/>
        <w:pageBreakBefore w:val="0"/>
        <w:widowControl/>
        <w:numPr>
          <w:ilvl w:val="0"/>
          <w:numId w:val="27"/>
        </w:numPr>
        <w:shd w:val="clear"/>
        <w:kinsoku/>
        <w:wordWrap/>
        <w:overflowPunct/>
        <w:topLinePunct w:val="0"/>
        <w:autoSpaceDE/>
        <w:autoSpaceDN/>
        <w:bidi w:val="0"/>
        <w:adjustRightInd w:val="0"/>
        <w:snapToGrid/>
        <w:spacing w:line="308" w:lineRule="auto"/>
        <w:ind w:left="0" w:leftChars="0" w:firstLine="480" w:firstLineChars="200"/>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解释权：本招标文件是</w:t>
      </w:r>
      <w:r>
        <w:rPr>
          <w:rFonts w:hint="eastAsia" w:ascii="宋体" w:hAnsi="宋体" w:cs="宋体"/>
          <w:color w:val="auto"/>
          <w:highlight w:val="none"/>
          <w:lang w:val="en-US" w:eastAsia="zh-CN" w:bidi="ar"/>
        </w:rPr>
        <w:t>参照</w:t>
      </w:r>
      <w:r>
        <w:rPr>
          <w:rFonts w:hint="eastAsia" w:ascii="宋体" w:hAnsi="宋体" w:eastAsia="宋体" w:cs="宋体"/>
          <w:color w:val="auto"/>
          <w:highlight w:val="none"/>
          <w:lang w:bidi="ar"/>
        </w:rPr>
        <w:t>《</w:t>
      </w:r>
      <w:r>
        <w:rPr>
          <w:rFonts w:hint="eastAsia" w:ascii="宋体" w:hAnsi="宋体" w:cs="宋体"/>
          <w:color w:val="auto"/>
          <w:highlight w:val="none"/>
          <w:lang w:eastAsia="zh-CN" w:bidi="ar"/>
        </w:rPr>
        <w:t>中华人民共和国政府采购法</w:t>
      </w:r>
      <w:r>
        <w:rPr>
          <w:rFonts w:hint="eastAsia" w:ascii="宋体" w:hAnsi="宋体" w:eastAsia="宋体" w:cs="宋体"/>
          <w:color w:val="auto"/>
          <w:highlight w:val="none"/>
          <w:lang w:bidi="ar"/>
        </w:rPr>
        <w:t>》及有关规定编制的，解释权属采购人。</w:t>
      </w:r>
    </w:p>
    <w:p w14:paraId="62AA09AB">
      <w:pPr>
        <w:pStyle w:val="36"/>
        <w:keepNext w:val="0"/>
        <w:keepLines w:val="0"/>
        <w:pageBreakBefore w:val="0"/>
        <w:widowControl/>
        <w:numPr>
          <w:ilvl w:val="0"/>
          <w:numId w:val="27"/>
        </w:numPr>
        <w:shd w:val="clear"/>
        <w:kinsoku/>
        <w:wordWrap/>
        <w:overflowPunct/>
        <w:topLinePunct w:val="0"/>
        <w:autoSpaceDE/>
        <w:autoSpaceDN/>
        <w:bidi w:val="0"/>
        <w:adjustRightInd w:val="0"/>
        <w:snapToGrid/>
        <w:spacing w:line="308" w:lineRule="auto"/>
        <w:ind w:left="0" w:leftChars="0" w:firstLine="480" w:firstLineChars="200"/>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联系方式：所有与招标有关的函电请按下面联系，其他任何方式或信息来源均无效。</w:t>
      </w:r>
    </w:p>
    <w:p w14:paraId="5341CCAE">
      <w:pPr>
        <w:pStyle w:val="36"/>
        <w:keepNext w:val="0"/>
        <w:keepLines w:val="0"/>
        <w:pageBreakBefore w:val="0"/>
        <w:widowControl/>
        <w:shd w:val="clear"/>
        <w:tabs>
          <w:tab w:val="left" w:pos="0"/>
        </w:tabs>
        <w:kinsoku/>
        <w:wordWrap/>
        <w:overflowPunct/>
        <w:topLinePunct w:val="0"/>
        <w:autoSpaceDE/>
        <w:autoSpaceDN/>
        <w:bidi w:val="0"/>
        <w:adjustRightInd w:val="0"/>
        <w:snapToGrid/>
        <w:spacing w:line="308"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highlight w:val="none"/>
          <w:lang w:bidi="ar"/>
        </w:rPr>
        <w:t>通讯</w:t>
      </w:r>
      <w:r>
        <w:rPr>
          <w:rFonts w:hint="eastAsia" w:ascii="宋体" w:hAnsi="宋体" w:cs="宋体"/>
          <w:color w:val="auto"/>
          <w:szCs w:val="21"/>
          <w:highlight w:val="none"/>
        </w:rPr>
        <w:t>地址：</w:t>
      </w:r>
      <w:r>
        <w:rPr>
          <w:rFonts w:hint="eastAsia" w:ascii="宋体" w:hAnsi="宋体" w:cs="宋体"/>
          <w:color w:val="auto"/>
          <w:szCs w:val="21"/>
          <w:highlight w:val="none"/>
          <w:lang w:eastAsia="zh-CN"/>
        </w:rPr>
        <w:t>浙江新诚信工程咨询有限公司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龙游县广和商务楼306室</w:t>
      </w:r>
      <w:r>
        <w:rPr>
          <w:rFonts w:hint="eastAsia" w:ascii="宋体" w:hAnsi="宋体" w:cs="宋体"/>
          <w:color w:val="auto"/>
          <w:szCs w:val="21"/>
          <w:highlight w:val="none"/>
        </w:rPr>
        <w:t>）</w:t>
      </w:r>
    </w:p>
    <w:p w14:paraId="3CEF8A96">
      <w:pPr>
        <w:pStyle w:val="36"/>
        <w:keepNext w:val="0"/>
        <w:keepLines w:val="0"/>
        <w:pageBreakBefore w:val="0"/>
        <w:widowControl/>
        <w:shd w:val="clear"/>
        <w:tabs>
          <w:tab w:val="left" w:pos="0"/>
        </w:tabs>
        <w:kinsoku/>
        <w:wordWrap/>
        <w:overflowPunct/>
        <w:topLinePunct w:val="0"/>
        <w:autoSpaceDE/>
        <w:autoSpaceDN/>
        <w:bidi w:val="0"/>
        <w:adjustRightInd w:val="0"/>
        <w:snapToGrid/>
        <w:spacing w:line="308" w:lineRule="auto"/>
        <w:ind w:firstLine="48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唐女士</w:t>
      </w:r>
      <w:r>
        <w:rPr>
          <w:rFonts w:hint="eastAsia" w:ascii="宋体" w:hAnsi="宋体" w:cs="宋体"/>
          <w:color w:val="auto"/>
          <w:szCs w:val="21"/>
          <w:highlight w:val="none"/>
        </w:rPr>
        <w:t xml:space="preserve">   联系方式：</w:t>
      </w:r>
      <w:r>
        <w:rPr>
          <w:rFonts w:hint="eastAsia" w:ascii="宋体" w:hAnsi="宋体" w:cs="宋体"/>
          <w:color w:val="auto"/>
          <w:szCs w:val="21"/>
          <w:highlight w:val="none"/>
          <w:lang w:eastAsia="zh-CN"/>
        </w:rPr>
        <w:t>13357013858</w:t>
      </w:r>
    </w:p>
    <w:p w14:paraId="2E91AAD4">
      <w:pPr>
        <w:pStyle w:val="36"/>
        <w:keepNext w:val="0"/>
        <w:keepLines w:val="0"/>
        <w:pageBreakBefore w:val="0"/>
        <w:widowControl/>
        <w:shd w:val="clear"/>
        <w:tabs>
          <w:tab w:val="left" w:pos="0"/>
        </w:tabs>
        <w:kinsoku/>
        <w:wordWrap/>
        <w:overflowPunct/>
        <w:topLinePunct w:val="0"/>
        <w:autoSpaceDE/>
        <w:autoSpaceDN/>
        <w:bidi w:val="0"/>
        <w:adjustRightInd w:val="0"/>
        <w:snapToGrid/>
        <w:spacing w:line="308"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公告网址：</w:t>
      </w:r>
      <w:r>
        <w:rPr>
          <w:rFonts w:hint="eastAsia" w:ascii="宋体" w:hAnsi="宋体" w:cs="宋体"/>
          <w:color w:val="auto"/>
          <w:szCs w:val="21"/>
          <w:highlight w:val="none"/>
          <w:lang w:eastAsia="zh-CN"/>
        </w:rPr>
        <w:t>“</w:t>
      </w:r>
      <w:r>
        <w:rPr>
          <w:rFonts w:hint="eastAsia" w:ascii="宋体" w:hAnsi="宋体" w:cs="宋体"/>
          <w:color w:val="auto"/>
          <w:szCs w:val="21"/>
          <w:highlight w:val="none"/>
        </w:rPr>
        <w:t>衢州市阳光交易服务平台https://qzygjy.com/”</w:t>
      </w:r>
      <w:r>
        <w:rPr>
          <w:rFonts w:hint="eastAsia" w:ascii="宋体" w:hAnsi="宋体" w:cs="宋体"/>
          <w:color w:val="auto"/>
          <w:szCs w:val="21"/>
          <w:highlight w:val="none"/>
          <w:lang w:eastAsia="zh-CN"/>
        </w:rPr>
        <w:t>“</w:t>
      </w:r>
      <w:r>
        <w:rPr>
          <w:rFonts w:hint="eastAsia" w:ascii="宋体" w:hAnsi="宋体" w:cs="宋体"/>
          <w:color w:val="auto"/>
          <w:szCs w:val="21"/>
          <w:highlight w:val="none"/>
        </w:rPr>
        <w:t>浙江政府采购网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"https://zfcg.czt.zj.gov.cn/\”。"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https://zfcg.czt.zj.gov.cn/”。</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Fonts w:hint="eastAsia" w:ascii="宋体" w:hAnsi="宋体" w:cs="宋体"/>
          <w:color w:val="auto"/>
          <w:szCs w:val="21"/>
          <w:highlight w:val="none"/>
        </w:rPr>
        <w:fldChar w:fldCharType="end"/>
      </w:r>
    </w:p>
    <w:p w14:paraId="0CE81024">
      <w:pPr>
        <w:pStyle w:val="36"/>
        <w:shd w:val="clear"/>
        <w:tabs>
          <w:tab w:val="left" w:pos="0"/>
        </w:tabs>
        <w:adjustRightInd w:val="0"/>
        <w:spacing w:line="312" w:lineRule="auto"/>
        <w:ind w:firstLine="480"/>
        <w:rPr>
          <w:rFonts w:hint="eastAsia" w:ascii="宋体" w:hAnsi="宋体" w:eastAsia="宋体" w:cs="宋体"/>
          <w:color w:val="auto"/>
          <w:szCs w:val="21"/>
          <w:highlight w:val="none"/>
        </w:rPr>
      </w:pPr>
    </w:p>
    <w:p w14:paraId="14541825">
      <w:pPr>
        <w:pStyle w:val="36"/>
        <w:shd w:val="clear"/>
        <w:tabs>
          <w:tab w:val="left" w:pos="0"/>
        </w:tabs>
        <w:adjustRightInd w:val="0"/>
        <w:spacing w:line="312" w:lineRule="auto"/>
        <w:ind w:firstLine="480"/>
        <w:rPr>
          <w:rFonts w:hint="eastAsia" w:ascii="宋体" w:hAnsi="宋体" w:eastAsia="宋体" w:cs="宋体"/>
          <w:color w:val="auto"/>
          <w:szCs w:val="21"/>
          <w:highlight w:val="none"/>
        </w:rPr>
      </w:pPr>
    </w:p>
    <w:p w14:paraId="0970814B">
      <w:pPr>
        <w:pStyle w:val="36"/>
        <w:shd w:val="clear"/>
        <w:tabs>
          <w:tab w:val="left" w:pos="0"/>
        </w:tabs>
        <w:adjustRightInd w:val="0"/>
        <w:spacing w:line="312" w:lineRule="auto"/>
        <w:ind w:firstLine="480"/>
        <w:rPr>
          <w:rFonts w:hint="eastAsia" w:ascii="宋体" w:hAnsi="宋体" w:eastAsia="宋体" w:cs="宋体"/>
          <w:color w:val="auto"/>
          <w:szCs w:val="21"/>
          <w:highlight w:val="none"/>
        </w:rPr>
      </w:pPr>
    </w:p>
    <w:p w14:paraId="22B00D21">
      <w:pPr>
        <w:pStyle w:val="36"/>
        <w:shd w:val="clear"/>
        <w:tabs>
          <w:tab w:val="left" w:pos="0"/>
        </w:tabs>
        <w:adjustRightInd w:val="0"/>
        <w:spacing w:line="312" w:lineRule="auto"/>
        <w:ind w:firstLine="480"/>
        <w:rPr>
          <w:rFonts w:hint="eastAsia" w:ascii="宋体" w:hAnsi="宋体" w:eastAsia="宋体" w:cs="宋体"/>
          <w:color w:val="auto"/>
          <w:szCs w:val="21"/>
          <w:highlight w:val="none"/>
        </w:rPr>
      </w:pPr>
    </w:p>
    <w:p w14:paraId="281B9B1F">
      <w:pPr>
        <w:pStyle w:val="36"/>
        <w:shd w:val="clear"/>
        <w:tabs>
          <w:tab w:val="left" w:pos="0"/>
        </w:tabs>
        <w:adjustRightInd w:val="0"/>
        <w:spacing w:line="312" w:lineRule="auto"/>
        <w:ind w:firstLine="480"/>
        <w:rPr>
          <w:rFonts w:hint="eastAsia" w:ascii="宋体" w:hAnsi="宋体" w:eastAsia="宋体" w:cs="宋体"/>
          <w:color w:val="auto"/>
          <w:szCs w:val="21"/>
          <w:highlight w:val="none"/>
        </w:rPr>
      </w:pPr>
    </w:p>
    <w:p w14:paraId="68A57C05">
      <w:pPr>
        <w:pStyle w:val="36"/>
        <w:shd w:val="clear"/>
        <w:tabs>
          <w:tab w:val="left" w:pos="0"/>
        </w:tabs>
        <w:adjustRightInd w:val="0"/>
        <w:spacing w:line="312" w:lineRule="auto"/>
        <w:ind w:firstLine="480"/>
        <w:rPr>
          <w:rFonts w:hint="eastAsia" w:ascii="宋体" w:hAnsi="宋体" w:eastAsia="宋体" w:cs="宋体"/>
          <w:color w:val="auto"/>
          <w:szCs w:val="21"/>
          <w:highlight w:val="none"/>
        </w:rPr>
      </w:pPr>
    </w:p>
    <w:p w14:paraId="16D9AC0E">
      <w:pPr>
        <w:pStyle w:val="36"/>
        <w:shd w:val="clear"/>
        <w:tabs>
          <w:tab w:val="left" w:pos="0"/>
        </w:tabs>
        <w:adjustRightInd w:val="0"/>
        <w:spacing w:line="312" w:lineRule="auto"/>
        <w:ind w:firstLine="480"/>
        <w:rPr>
          <w:rFonts w:hint="eastAsia" w:ascii="宋体" w:hAnsi="宋体" w:eastAsia="宋体" w:cs="宋体"/>
          <w:color w:val="auto"/>
          <w:szCs w:val="21"/>
          <w:highlight w:val="none"/>
        </w:rPr>
      </w:pPr>
    </w:p>
    <w:p w14:paraId="4E91AD4F">
      <w:pPr>
        <w:pStyle w:val="36"/>
        <w:shd w:val="clear"/>
        <w:tabs>
          <w:tab w:val="left" w:pos="0"/>
        </w:tabs>
        <w:adjustRightInd w:val="0"/>
        <w:spacing w:line="312" w:lineRule="auto"/>
        <w:ind w:left="0" w:leftChars="0" w:firstLine="0" w:firstLineChars="0"/>
        <w:rPr>
          <w:rFonts w:hint="eastAsia" w:ascii="宋体" w:hAnsi="宋体" w:eastAsia="宋体" w:cs="宋体"/>
          <w:color w:val="auto"/>
          <w:szCs w:val="21"/>
          <w:highlight w:val="none"/>
        </w:rPr>
      </w:pPr>
    </w:p>
    <w:p w14:paraId="72CF3335">
      <w:pPr>
        <w:pStyle w:val="3"/>
        <w:numPr>
          <w:ilvl w:val="0"/>
          <w:numId w:val="28"/>
        </w:numPr>
        <w:shd w:val="clear"/>
        <w:spacing w:beforeLines="0" w:afterLines="0"/>
        <w:jc w:val="center"/>
        <w:rPr>
          <w:rFonts w:hint="eastAsia" w:ascii="宋体" w:hAnsi="宋体" w:eastAsia="宋体" w:cs="宋体"/>
          <w:color w:val="auto"/>
          <w:szCs w:val="21"/>
          <w:highlight w:val="none"/>
          <w:lang w:eastAsia="zh-CN"/>
        </w:rPr>
      </w:pPr>
      <w:bookmarkStart w:id="664" w:name="_Toc18060"/>
      <w:bookmarkStart w:id="665" w:name="_Toc5412"/>
      <w:bookmarkStart w:id="666" w:name="_Toc1744"/>
      <w:bookmarkStart w:id="667" w:name="_Toc23321"/>
      <w:r>
        <w:rPr>
          <w:rFonts w:hint="eastAsia" w:ascii="宋体" w:hAnsi="宋体" w:eastAsia="宋体" w:cs="宋体"/>
          <w:color w:val="auto"/>
          <w:highlight w:val="none"/>
        </w:rPr>
        <w:t>采购内容及要求</w:t>
      </w:r>
      <w:bookmarkEnd w:id="664"/>
      <w:bookmarkEnd w:id="665"/>
      <w:bookmarkEnd w:id="666"/>
      <w:bookmarkEnd w:id="667"/>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52C6D9F8">
      <w:pPr>
        <w:pStyle w:val="21"/>
        <w:keepNext w:val="0"/>
        <w:keepLines w:val="0"/>
        <w:pageBreakBefore w:val="0"/>
        <w:widowControl w:val="0"/>
        <w:numPr>
          <w:ilvl w:val="0"/>
          <w:numId w:val="29"/>
        </w:numPr>
        <w:shd w:val="clear"/>
        <w:kinsoku/>
        <w:wordWrap/>
        <w:overflowPunct/>
        <w:topLinePunct w:val="0"/>
        <w:autoSpaceDE/>
        <w:autoSpaceDN/>
        <w:bidi w:val="0"/>
        <w:adjustRightInd/>
        <w:snapToGrid/>
        <w:spacing w:line="312" w:lineRule="auto"/>
        <w:jc w:val="left"/>
        <w:textAlignment w:val="auto"/>
        <w:rPr>
          <w:rFonts w:hint="eastAsia" w:ascii="宋体" w:hAnsi="宋体" w:cs="宋体"/>
          <w:b/>
          <w:bCs/>
          <w:color w:val="auto"/>
          <w:sz w:val="24"/>
          <w:szCs w:val="24"/>
          <w:highlight w:val="none"/>
        </w:rPr>
      </w:pPr>
      <w:bookmarkStart w:id="668" w:name="_Toc16120"/>
      <w:bookmarkStart w:id="669" w:name="_Toc7305"/>
      <w:bookmarkStart w:id="670" w:name="_Toc17090"/>
      <w:bookmarkStart w:id="671" w:name="_Toc7285"/>
      <w:bookmarkStart w:id="672" w:name="_Toc2726"/>
      <w:bookmarkStart w:id="673" w:name="_Toc10546"/>
      <w:bookmarkStart w:id="674" w:name="_Toc25442"/>
      <w:bookmarkStart w:id="675" w:name="_Toc21569"/>
      <w:bookmarkStart w:id="676" w:name="_Toc25941"/>
      <w:bookmarkStart w:id="677" w:name="_Toc17476"/>
      <w:bookmarkStart w:id="678" w:name="_Toc16142"/>
      <w:bookmarkStart w:id="679" w:name="_Toc10333"/>
      <w:bookmarkStart w:id="680" w:name="_Toc31750"/>
      <w:bookmarkStart w:id="681" w:name="_Toc22954"/>
      <w:bookmarkStart w:id="682" w:name="_Toc9028"/>
      <w:bookmarkStart w:id="683" w:name="_Toc30205"/>
      <w:bookmarkStart w:id="684" w:name="_Toc32545"/>
      <w:bookmarkStart w:id="685" w:name="_Toc2165"/>
      <w:bookmarkStart w:id="686" w:name="_Toc13464"/>
      <w:bookmarkStart w:id="687" w:name="_Toc6334"/>
      <w:bookmarkStart w:id="688" w:name="_Toc27793"/>
      <w:bookmarkStart w:id="689" w:name="_Toc11926"/>
      <w:bookmarkStart w:id="690" w:name="_Toc12676"/>
      <w:bookmarkStart w:id="691" w:name="_Toc13539"/>
      <w:bookmarkStart w:id="692" w:name="_Toc13753"/>
      <w:bookmarkStart w:id="693" w:name="_Toc295"/>
      <w:bookmarkStart w:id="694" w:name="_Toc10430"/>
      <w:bookmarkStart w:id="695" w:name="_Toc848"/>
      <w:bookmarkStart w:id="696" w:name="_Toc25661"/>
      <w:bookmarkStart w:id="697" w:name="_Toc19025"/>
      <w:bookmarkStart w:id="698" w:name="_Toc24682"/>
      <w:bookmarkStart w:id="699" w:name="_Toc18254"/>
      <w:bookmarkStart w:id="700" w:name="_Toc19613"/>
      <w:bookmarkStart w:id="701" w:name="_Toc25560"/>
      <w:bookmarkStart w:id="702" w:name="_Toc391298963"/>
      <w:bookmarkStart w:id="703" w:name="_Toc24232"/>
      <w:bookmarkStart w:id="704" w:name="_Toc5985"/>
      <w:bookmarkStart w:id="705" w:name="_Toc10724"/>
      <w:bookmarkStart w:id="706" w:name="_Toc2124"/>
      <w:bookmarkStart w:id="707" w:name="_Toc19099"/>
      <w:bookmarkStart w:id="708" w:name="_Toc3828"/>
      <w:bookmarkStart w:id="709" w:name="_Toc27295"/>
      <w:bookmarkStart w:id="710" w:name="_Toc10368"/>
      <w:r>
        <w:rPr>
          <w:rFonts w:hint="eastAsia" w:ascii="宋体" w:hAnsi="宋体" w:cs="宋体"/>
          <w:b/>
          <w:bCs/>
          <w:color w:val="auto"/>
          <w:sz w:val="24"/>
          <w:szCs w:val="24"/>
          <w:highlight w:val="none"/>
        </w:rPr>
        <w:t>总体要求</w:t>
      </w:r>
    </w:p>
    <w:p w14:paraId="69A49104">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（一）工作范围</w:t>
      </w:r>
    </w:p>
    <w:p w14:paraId="2D3A5BAD">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楼内建设集中式直饮水设备的新建，包括设备房进水端（1m)到出水端（1m)所有的过滤器、膜处理装置、水箱、水泵、杀菌系统等，并含与之相关的管道、阀门、</w:t>
      </w:r>
      <w:r>
        <w:rPr>
          <w:rFonts w:hint="eastAsia" w:ascii="宋体" w:hAnsi="宋体" w:cs="宋体"/>
          <w:color w:val="auto"/>
          <w:szCs w:val="21"/>
          <w:highlight w:val="none"/>
          <w:lang w:val="en-US" w:eastAsia="zh-CN"/>
        </w:rPr>
        <w:t>流量计、</w:t>
      </w:r>
      <w:r>
        <w:rPr>
          <w:rFonts w:hint="eastAsia" w:ascii="宋体" w:hAnsi="宋体" w:cs="宋体"/>
          <w:color w:val="auto"/>
          <w:szCs w:val="21"/>
          <w:highlight w:val="none"/>
        </w:rPr>
        <w:t>压力表、控制设备以及30米外接电源电缆等附属配件</w:t>
      </w:r>
      <w:r>
        <w:rPr>
          <w:rFonts w:hint="eastAsia" w:ascii="宋体" w:hAnsi="宋体" w:cs="宋体"/>
          <w:color w:val="auto"/>
          <w:szCs w:val="21"/>
          <w:highlight w:val="none"/>
          <w:lang w:val="en-US" w:eastAsia="zh-CN"/>
        </w:rPr>
        <w:t>采购及安装</w:t>
      </w:r>
      <w:r>
        <w:rPr>
          <w:rFonts w:hint="eastAsia" w:ascii="宋体" w:hAnsi="宋体" w:cs="宋体"/>
          <w:color w:val="auto"/>
          <w:szCs w:val="21"/>
          <w:highlight w:val="none"/>
        </w:rPr>
        <w:t>。直饮水控制系统应具备10英寸液晶平板显示器，与控制系统终端连接，分屏显示水质在线监测，故障报警，远程管理等功能，同时具有远程监控功能。</w:t>
      </w:r>
    </w:p>
    <w:p w14:paraId="067F46D0">
      <w:pPr>
        <w:keepNext w:val="0"/>
        <w:keepLines w:val="0"/>
        <w:pageBreakBefore w:val="0"/>
        <w:widowControl w:val="0"/>
        <w:numPr>
          <w:ilvl w:val="0"/>
          <w:numId w:val="30"/>
        </w:numPr>
        <w:shd w:val="clea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工艺流程</w:t>
      </w:r>
    </w:p>
    <w:p w14:paraId="153113E9">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市政自来水</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原水箱</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原水泵</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多介质过滤器</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活性炭过滤器</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保安过滤器</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高压泵组</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过流式紫外杀菌</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纳滤膜或反渗透膜装置</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净水箱</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净水杀菌系统（紫外和臭氧）</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净水加压泵组</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用户</w:t>
      </w:r>
      <w:r>
        <w:rPr>
          <w:rFonts w:hint="eastAsia" w:ascii="宋体" w:hAnsi="宋体" w:cs="宋体"/>
          <w:color w:val="auto"/>
          <w:szCs w:val="21"/>
          <w:highlight w:val="none"/>
        </w:rPr>
        <w:sym w:font="Wingdings" w:char="F0F0"/>
      </w:r>
      <w:r>
        <w:rPr>
          <w:rFonts w:hint="eastAsia" w:ascii="宋体" w:hAnsi="宋体" w:cs="宋体"/>
          <w:color w:val="auto"/>
          <w:szCs w:val="21"/>
          <w:highlight w:val="none"/>
        </w:rPr>
        <w:t>回水处理系统。</w:t>
      </w:r>
    </w:p>
    <w:p w14:paraId="41F7A515">
      <w:pPr>
        <w:keepNext w:val="0"/>
        <w:keepLines w:val="0"/>
        <w:pageBreakBefore w:val="0"/>
        <w:widowControl w:val="0"/>
        <w:numPr>
          <w:ilvl w:val="0"/>
          <w:numId w:val="30"/>
        </w:numPr>
        <w:shd w:val="clea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出水水质</w:t>
      </w:r>
    </w:p>
    <w:p w14:paraId="4B330EC6">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设备出水水质必须满足《饮用净水水质标准》CJ94-2005</w:t>
      </w:r>
      <w:r>
        <w:rPr>
          <w:rFonts w:hint="eastAsia" w:ascii="宋体" w:hAnsi="宋体" w:cs="宋体"/>
          <w:color w:val="auto"/>
          <w:szCs w:val="21"/>
          <w:highlight w:val="none"/>
          <w:lang w:eastAsia="zh-CN"/>
        </w:rPr>
        <w:t>、</w:t>
      </w:r>
      <w:r>
        <w:rPr>
          <w:rFonts w:hint="eastAsia" w:ascii="宋体" w:hAnsi="宋体" w:cs="宋体"/>
          <w:color w:val="auto"/>
          <w:szCs w:val="21"/>
          <w:highlight w:val="none"/>
        </w:rPr>
        <w:t>《管道直饮水系统技术规程》(CJJ110-2017)</w:t>
      </w:r>
      <w:r>
        <w:rPr>
          <w:rFonts w:hint="eastAsia" w:ascii="宋体" w:hAnsi="宋体" w:cs="宋体"/>
          <w:color w:val="auto"/>
          <w:szCs w:val="21"/>
          <w:highlight w:val="none"/>
          <w:lang w:eastAsia="zh-CN"/>
        </w:rPr>
        <w:t>、</w:t>
      </w:r>
      <w:r>
        <w:rPr>
          <w:rFonts w:hint="eastAsia" w:ascii="宋体" w:hAnsi="宋体" w:cs="宋体"/>
          <w:color w:val="auto"/>
          <w:szCs w:val="21"/>
          <w:highlight w:val="none"/>
        </w:rPr>
        <w:t>《健康直饮水水质标准》 (T/BJWA001—2021)</w:t>
      </w:r>
      <w:r>
        <w:rPr>
          <w:rFonts w:hint="eastAsia" w:ascii="宋体" w:hAnsi="宋体" w:cs="宋体"/>
          <w:color w:val="auto"/>
          <w:szCs w:val="21"/>
          <w:highlight w:val="none"/>
        </w:rPr>
        <w:t>。</w:t>
      </w:r>
    </w:p>
    <w:p w14:paraId="6EB9457A">
      <w:pPr>
        <w:keepNext w:val="0"/>
        <w:keepLines w:val="0"/>
        <w:pageBreakBefore w:val="0"/>
        <w:widowControl w:val="0"/>
        <w:numPr>
          <w:ilvl w:val="0"/>
          <w:numId w:val="30"/>
        </w:numPr>
        <w:shd w:val="clea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设备参数表</w:t>
      </w:r>
    </w:p>
    <w:tbl>
      <w:tblPr>
        <w:tblStyle w:val="41"/>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6264"/>
        <w:gridCol w:w="761"/>
        <w:gridCol w:w="817"/>
        <w:gridCol w:w="916"/>
      </w:tblGrid>
      <w:tr w14:paraId="17FA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noWrap w:val="0"/>
            <w:vAlign w:val="center"/>
          </w:tcPr>
          <w:p w14:paraId="76C2A946">
            <w:pPr>
              <w:keepNext w:val="0"/>
              <w:keepLines w:val="0"/>
              <w:suppressLineNumbers w:val="0"/>
              <w:shd w:val="clear"/>
              <w:adjustRightInd w:val="0"/>
              <w:snapToGrid w:val="0"/>
              <w:spacing w:before="0" w:beforeAutospacing="0" w:after="0" w:afterAutospacing="0" w:line="440" w:lineRule="exact"/>
              <w:ind w:left="0" w:leftChars="0" w:right="0" w:firstLine="0" w:firstLineChars="0"/>
              <w:jc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名称</w:t>
            </w:r>
          </w:p>
        </w:tc>
        <w:tc>
          <w:tcPr>
            <w:tcW w:w="3152" w:type="pct"/>
            <w:tcBorders>
              <w:top w:val="single" w:color="auto" w:sz="4" w:space="0"/>
              <w:left w:val="single" w:color="auto" w:sz="4" w:space="0"/>
              <w:bottom w:val="single" w:color="auto" w:sz="4" w:space="0"/>
              <w:right w:val="single" w:color="auto" w:sz="4" w:space="0"/>
            </w:tcBorders>
            <w:noWrap w:val="0"/>
            <w:vAlign w:val="center"/>
          </w:tcPr>
          <w:p w14:paraId="651004CC">
            <w:pPr>
              <w:keepNext w:val="0"/>
              <w:keepLines w:val="0"/>
              <w:suppressLineNumbers w:val="0"/>
              <w:shd w:val="clear"/>
              <w:adjustRightInd w:val="0"/>
              <w:snapToGrid w:val="0"/>
              <w:spacing w:before="0" w:beforeAutospacing="0" w:after="0" w:afterAutospacing="0" w:line="440" w:lineRule="exact"/>
              <w:ind w:left="0" w:leftChars="0" w:right="0" w:firstLine="0" w:firstLineChars="0"/>
              <w:jc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设备要求</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0FEC140A">
            <w:pPr>
              <w:keepNext w:val="0"/>
              <w:keepLines w:val="0"/>
              <w:suppressLineNumbers w:val="0"/>
              <w:shd w:val="clear"/>
              <w:adjustRightInd w:val="0"/>
              <w:snapToGrid w:val="0"/>
              <w:spacing w:before="0" w:beforeAutospacing="0" w:after="0" w:afterAutospacing="0" w:line="440" w:lineRule="exact"/>
              <w:ind w:left="0" w:leftChars="0" w:right="0" w:firstLine="0" w:firstLineChars="0"/>
              <w:jc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单位</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71ADF5C7">
            <w:pPr>
              <w:keepNext w:val="0"/>
              <w:keepLines w:val="0"/>
              <w:suppressLineNumbers w:val="0"/>
              <w:shd w:val="clear"/>
              <w:adjustRightInd w:val="0"/>
              <w:snapToGrid w:val="0"/>
              <w:spacing w:before="0" w:beforeAutospacing="0" w:after="0" w:afterAutospacing="0" w:line="440" w:lineRule="exact"/>
              <w:ind w:left="0" w:leftChars="0" w:right="0" w:firstLine="0" w:firstLineChars="0"/>
              <w:jc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数量</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51582FE4">
            <w:pPr>
              <w:keepNext w:val="0"/>
              <w:keepLines w:val="0"/>
              <w:suppressLineNumbers w:val="0"/>
              <w:shd w:val="clear"/>
              <w:adjustRightInd w:val="0"/>
              <w:snapToGrid w:val="0"/>
              <w:spacing w:before="0" w:beforeAutospacing="0" w:after="0" w:afterAutospacing="0" w:line="440" w:lineRule="exact"/>
              <w:ind w:left="0" w:leftChars="0" w:right="0" w:firstLine="0" w:firstLineChars="0"/>
              <w:jc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备注</w:t>
            </w:r>
          </w:p>
        </w:tc>
      </w:tr>
      <w:tr w14:paraId="3772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1" w:type="pct"/>
            <w:tcBorders>
              <w:top w:val="single" w:color="auto" w:sz="4" w:space="0"/>
              <w:left w:val="single" w:color="auto" w:sz="4" w:space="0"/>
              <w:bottom w:val="single" w:color="auto" w:sz="4" w:space="0"/>
              <w:right w:val="single" w:color="auto" w:sz="4" w:space="0"/>
            </w:tcBorders>
            <w:noWrap w:val="0"/>
            <w:vAlign w:val="center"/>
          </w:tcPr>
          <w:p w14:paraId="4A58FEA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一</w:t>
            </w:r>
          </w:p>
          <w:p w14:paraId="17F45AD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体</w:t>
            </w:r>
          </w:p>
          <w:p w14:paraId="661DE61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化</w:t>
            </w:r>
          </w:p>
          <w:p w14:paraId="154EC9F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直</w:t>
            </w:r>
          </w:p>
          <w:p w14:paraId="0CFF5A8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饮</w:t>
            </w:r>
          </w:p>
          <w:p w14:paraId="757EB11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水</w:t>
            </w:r>
          </w:p>
          <w:p w14:paraId="5173385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供</w:t>
            </w:r>
          </w:p>
          <w:p w14:paraId="4622B54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水</w:t>
            </w:r>
          </w:p>
          <w:p w14:paraId="40137EC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设</w:t>
            </w:r>
          </w:p>
          <w:p w14:paraId="25540A5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备</w:t>
            </w:r>
          </w:p>
        </w:tc>
        <w:tc>
          <w:tcPr>
            <w:tcW w:w="3152" w:type="pct"/>
            <w:tcBorders>
              <w:top w:val="single" w:color="auto" w:sz="4" w:space="0"/>
              <w:left w:val="single" w:color="auto" w:sz="4" w:space="0"/>
              <w:bottom w:val="single" w:color="auto" w:sz="4" w:space="0"/>
              <w:right w:val="single" w:color="auto" w:sz="4" w:space="0"/>
            </w:tcBorders>
            <w:noWrap w:val="0"/>
            <w:vAlign w:val="center"/>
          </w:tcPr>
          <w:p w14:paraId="2EAEBA9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1.名称：一体化直饮水设备；</w:t>
            </w:r>
          </w:p>
          <w:p w14:paraId="292A867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宋体" w:hAnsi="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bidi="ar"/>
              </w:rPr>
              <w:t>2.设计参数：</w:t>
            </w:r>
            <w:r>
              <w:rPr>
                <w:rFonts w:hint="eastAsia" w:ascii="宋体" w:hAnsi="宋体" w:cs="宋体"/>
                <w:b w:val="0"/>
                <w:bCs/>
                <w:color w:val="auto"/>
                <w:kern w:val="0"/>
                <w:szCs w:val="21"/>
                <w:highlight w:val="none"/>
                <w:lang w:val="en-US" w:eastAsia="zh-CN" w:bidi="ar"/>
              </w:rPr>
              <w:t>0.25</w:t>
            </w:r>
            <w:r>
              <w:rPr>
                <w:rFonts w:hint="eastAsia" w:ascii="宋体" w:hAnsi="宋体" w:cs="宋体"/>
                <w:b w:val="0"/>
                <w:bCs/>
                <w:color w:val="auto"/>
                <w:kern w:val="0"/>
                <w:szCs w:val="21"/>
                <w:highlight w:val="none"/>
                <w:lang w:bidi="ar"/>
              </w:rPr>
              <w:t>T/h</w:t>
            </w:r>
            <w:r>
              <w:rPr>
                <w:rFonts w:hint="eastAsia" w:ascii="宋体" w:hAnsi="宋体" w:cs="宋体"/>
                <w:b w:val="0"/>
                <w:bCs/>
                <w:color w:val="auto"/>
                <w:kern w:val="0"/>
                <w:szCs w:val="21"/>
                <w:highlight w:val="none"/>
                <w:lang w:val="en-US" w:eastAsia="zh-CN" w:bidi="ar"/>
              </w:rPr>
              <w:t xml:space="preserve"> </w:t>
            </w:r>
          </w:p>
          <w:p w14:paraId="4109DE3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3.系统主要部件：</w:t>
            </w:r>
          </w:p>
          <w:p w14:paraId="4EE3C98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w:t>
            </w:r>
            <w:r>
              <w:rPr>
                <w:rFonts w:hint="eastAsia" w:ascii="宋体" w:hAnsi="宋体" w:cs="宋体"/>
                <w:b w:val="0"/>
                <w:bCs/>
                <w:color w:val="auto"/>
                <w:kern w:val="0"/>
                <w:szCs w:val="21"/>
                <w:highlight w:val="none"/>
                <w:lang w:bidi="ar"/>
              </w:rPr>
              <w:t>原水箱（</w:t>
            </w:r>
            <w:r>
              <w:rPr>
                <w:rFonts w:hint="eastAsia" w:ascii="宋体" w:hAnsi="宋体" w:cs="宋体"/>
                <w:b w:val="0"/>
                <w:bCs/>
                <w:color w:val="auto"/>
                <w:kern w:val="0"/>
                <w:szCs w:val="21"/>
                <w:highlight w:val="none"/>
                <w:lang w:val="en-US" w:eastAsia="zh-CN" w:bidi="ar"/>
              </w:rPr>
              <w:t>大于等于0.5</w:t>
            </w:r>
            <w:r>
              <w:rPr>
                <w:rFonts w:hint="eastAsia" w:ascii="宋体" w:hAnsi="宋体" w:cs="宋体"/>
                <w:b w:val="0"/>
                <w:bCs/>
                <w:color w:val="auto"/>
                <w:kern w:val="0"/>
                <w:szCs w:val="21"/>
                <w:highlight w:val="none"/>
                <w:lang w:bidi="ar"/>
              </w:rPr>
              <w:t>m3）</w:t>
            </w:r>
            <w:r>
              <w:rPr>
                <w:rFonts w:hint="eastAsia" w:ascii="宋体" w:hAnsi="宋体" w:cs="宋体"/>
                <w:b w:val="0"/>
                <w:bCs/>
                <w:color w:val="auto"/>
                <w:kern w:val="0"/>
                <w:szCs w:val="21"/>
                <w:highlight w:val="none"/>
                <w:lang w:bidi="ar"/>
              </w:rPr>
              <w:t>、净水箱（</w:t>
            </w:r>
            <w:r>
              <w:rPr>
                <w:rFonts w:hint="eastAsia" w:ascii="宋体" w:hAnsi="宋体" w:cs="宋体"/>
                <w:b w:val="0"/>
                <w:bCs/>
                <w:color w:val="auto"/>
                <w:kern w:val="0"/>
                <w:szCs w:val="21"/>
                <w:highlight w:val="none"/>
                <w:lang w:val="en-US" w:eastAsia="zh-CN" w:bidi="ar"/>
              </w:rPr>
              <w:t>1.0</w:t>
            </w:r>
            <w:r>
              <w:rPr>
                <w:rFonts w:hint="eastAsia" w:ascii="宋体" w:hAnsi="宋体" w:cs="宋体"/>
                <w:b w:val="0"/>
                <w:bCs/>
                <w:color w:val="auto"/>
                <w:kern w:val="0"/>
                <w:szCs w:val="21"/>
                <w:highlight w:val="none"/>
                <w:lang w:bidi="ar"/>
              </w:rPr>
              <w:t>m3）各1个；</w:t>
            </w:r>
          </w:p>
          <w:p w14:paraId="29611B1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（2）多介质过滤器、活性炭过滤器、精密过滤器、回水精密过滤器各1套；</w:t>
            </w:r>
          </w:p>
          <w:p w14:paraId="7297389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（3）原水泵1台、膜前增压泵1台、直饮水设备输送泵</w:t>
            </w:r>
            <w:r>
              <w:rPr>
                <w:rFonts w:hint="eastAsia" w:ascii="宋体" w:hAnsi="宋体" w:cs="宋体"/>
                <w:b w:val="0"/>
                <w:bCs/>
                <w:color w:val="auto"/>
                <w:kern w:val="0"/>
                <w:szCs w:val="21"/>
                <w:highlight w:val="none"/>
                <w:lang w:val="en-US" w:eastAsia="zh-CN" w:bidi="ar"/>
              </w:rPr>
              <w:t>2</w:t>
            </w:r>
            <w:r>
              <w:rPr>
                <w:rFonts w:hint="eastAsia" w:ascii="宋体" w:hAnsi="宋体" w:cs="宋体"/>
                <w:b w:val="0"/>
                <w:bCs/>
                <w:color w:val="auto"/>
                <w:kern w:val="0"/>
                <w:szCs w:val="21"/>
                <w:highlight w:val="none"/>
                <w:lang w:bidi="ar"/>
              </w:rPr>
              <w:t>台；</w:t>
            </w:r>
          </w:p>
          <w:p w14:paraId="588780C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（4）</w:t>
            </w:r>
            <w:r>
              <w:rPr>
                <w:rFonts w:hint="eastAsia" w:ascii="宋体" w:hAnsi="宋体" w:cs="宋体"/>
                <w:b w:val="0"/>
                <w:bCs/>
                <w:color w:val="auto"/>
                <w:kern w:val="0"/>
                <w:szCs w:val="21"/>
                <w:highlight w:val="none"/>
                <w:lang w:val="en-US" w:eastAsia="zh-CN" w:bidi="ar"/>
              </w:rPr>
              <w:t>在线</w:t>
            </w:r>
            <w:r>
              <w:rPr>
                <w:rFonts w:hint="eastAsia" w:ascii="宋体" w:hAnsi="宋体" w:cs="宋体"/>
                <w:b w:val="0"/>
                <w:bCs/>
                <w:color w:val="auto"/>
                <w:kern w:val="0"/>
                <w:szCs w:val="21"/>
                <w:highlight w:val="none"/>
                <w:lang w:bidi="ar"/>
              </w:rPr>
              <w:t>原水、产水、回水电导率监测仪各1套；</w:t>
            </w:r>
          </w:p>
          <w:p w14:paraId="63CCB81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（5）原水、产水流量计各1套；</w:t>
            </w:r>
          </w:p>
          <w:p w14:paraId="0E64F57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（6）产水系统一套，产水包含pH、浊度</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val="en-US" w:eastAsia="zh-CN" w:bidi="ar"/>
              </w:rPr>
              <w:t>余氯</w:t>
            </w:r>
            <w:r>
              <w:rPr>
                <w:rFonts w:hint="eastAsia" w:ascii="宋体" w:hAnsi="宋体" w:cs="宋体"/>
                <w:b w:val="0"/>
                <w:bCs/>
                <w:color w:val="auto"/>
                <w:kern w:val="0"/>
                <w:szCs w:val="21"/>
                <w:highlight w:val="none"/>
                <w:lang w:bidi="ar"/>
              </w:rPr>
              <w:t>实时水质监测功能；</w:t>
            </w:r>
          </w:p>
          <w:p w14:paraId="3164297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（7）产水消毒系统一套，要求紫外加臭氧方式；</w:t>
            </w:r>
          </w:p>
          <w:p w14:paraId="077D953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（8）智能控制系统1套，需具备分屏展示工艺、运行状态等功能。</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7936E17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套</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247FA3E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eastAsia="zh-CN" w:bidi="ar"/>
              </w:rPr>
            </w:pPr>
            <w:r>
              <w:rPr>
                <w:rFonts w:hint="eastAsia" w:ascii="宋体" w:hAnsi="宋体" w:cs="宋体"/>
                <w:b w:val="0"/>
                <w:bCs/>
                <w:color w:val="auto"/>
                <w:kern w:val="0"/>
                <w:szCs w:val="21"/>
                <w:highlight w:val="none"/>
                <w:lang w:val="en-US" w:eastAsia="zh-CN" w:bidi="ar"/>
              </w:rPr>
              <w:t>1</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5225B11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p>
        </w:tc>
      </w:tr>
      <w:tr w14:paraId="3063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1" w:type="pct"/>
            <w:tcBorders>
              <w:top w:val="single" w:color="auto" w:sz="4" w:space="0"/>
              <w:left w:val="single" w:color="auto" w:sz="4" w:space="0"/>
              <w:bottom w:val="single" w:color="auto" w:sz="4" w:space="0"/>
              <w:right w:val="single" w:color="auto" w:sz="4" w:space="0"/>
            </w:tcBorders>
            <w:noWrap w:val="0"/>
            <w:vAlign w:val="center"/>
          </w:tcPr>
          <w:p w14:paraId="35B11C5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val="en-US" w:eastAsia="zh-CN" w:bidi="ar"/>
              </w:rPr>
              <w:t>管道安装</w:t>
            </w:r>
          </w:p>
        </w:tc>
        <w:tc>
          <w:tcPr>
            <w:tcW w:w="3152" w:type="pct"/>
            <w:tcBorders>
              <w:top w:val="single" w:color="auto" w:sz="4" w:space="0"/>
              <w:left w:val="single" w:color="auto" w:sz="4" w:space="0"/>
              <w:bottom w:val="single" w:color="auto" w:sz="4" w:space="0"/>
              <w:right w:val="single" w:color="auto" w:sz="4" w:space="0"/>
            </w:tcBorders>
            <w:noWrap w:val="0"/>
            <w:vAlign w:val="center"/>
          </w:tcPr>
          <w:p w14:paraId="43E2D98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宋体" w:hAnsi="宋体" w:eastAsia="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val="en-US" w:eastAsia="zh-CN" w:bidi="ar"/>
              </w:rPr>
              <w:t>泵房口至地下车库接到管道井位置以及至每一层室内全部管道安装（含管道配件）</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F0EB12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val="en-US" w:eastAsia="zh-CN" w:bidi="ar"/>
              </w:rPr>
              <w:t>批</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7F8353D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val="en-US" w:eastAsia="zh-CN" w:bidi="ar"/>
              </w:rPr>
              <w:t>1</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43B7D06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val="en-US" w:eastAsia="zh-CN" w:bidi="ar"/>
              </w:rPr>
              <w:t>总价包干</w:t>
            </w:r>
          </w:p>
        </w:tc>
      </w:tr>
      <w:tr w14:paraId="09B0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1" w:type="pct"/>
            <w:tcBorders>
              <w:top w:val="single" w:color="auto" w:sz="4" w:space="0"/>
              <w:left w:val="single" w:color="auto" w:sz="4" w:space="0"/>
              <w:bottom w:val="single" w:color="auto" w:sz="4" w:space="0"/>
              <w:right w:val="single" w:color="auto" w:sz="4" w:space="0"/>
            </w:tcBorders>
            <w:noWrap w:val="0"/>
            <w:vAlign w:val="center"/>
          </w:tcPr>
          <w:p w14:paraId="6E39629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bidi="ar"/>
              </w:rPr>
            </w:pPr>
            <w:r>
              <w:rPr>
                <w:rFonts w:hint="eastAsia" w:ascii="宋体" w:hAnsi="宋体" w:eastAsia="宋体" w:cs="宋体"/>
                <w:b w:val="0"/>
                <w:bCs/>
                <w:color w:val="auto"/>
                <w:kern w:val="0"/>
                <w:szCs w:val="21"/>
                <w:highlight w:val="none"/>
                <w:lang w:val="en-US" w:eastAsia="zh-CN" w:bidi="ar"/>
              </w:rPr>
              <w:t>标准化</w:t>
            </w:r>
            <w:r>
              <w:rPr>
                <w:rFonts w:hint="eastAsia" w:ascii="宋体" w:hAnsi="宋体" w:eastAsia="宋体" w:cs="宋体"/>
                <w:b w:val="0"/>
                <w:bCs/>
                <w:color w:val="auto"/>
                <w:kern w:val="0"/>
                <w:szCs w:val="21"/>
                <w:highlight w:val="none"/>
                <w:lang w:bidi="ar"/>
              </w:rPr>
              <w:t>泵房</w:t>
            </w:r>
            <w:r>
              <w:rPr>
                <w:rFonts w:hint="eastAsia" w:ascii="宋体" w:hAnsi="宋体" w:eastAsia="宋体" w:cs="宋体"/>
                <w:b w:val="0"/>
                <w:bCs/>
                <w:color w:val="auto"/>
                <w:kern w:val="0"/>
                <w:szCs w:val="21"/>
                <w:highlight w:val="none"/>
                <w:lang w:val="en-US" w:eastAsia="zh-CN" w:bidi="ar"/>
              </w:rPr>
              <w:t>建设</w:t>
            </w:r>
          </w:p>
        </w:tc>
        <w:tc>
          <w:tcPr>
            <w:tcW w:w="3152" w:type="pct"/>
            <w:tcBorders>
              <w:top w:val="single" w:color="auto" w:sz="4" w:space="0"/>
              <w:left w:val="single" w:color="auto" w:sz="4" w:space="0"/>
              <w:bottom w:val="single" w:color="auto" w:sz="4" w:space="0"/>
              <w:right w:val="single" w:color="auto" w:sz="4" w:space="0"/>
            </w:tcBorders>
            <w:noWrap w:val="0"/>
            <w:vAlign w:val="center"/>
          </w:tcPr>
          <w:p w14:paraId="1738C36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bidi="ar"/>
              </w:rPr>
            </w:pPr>
            <w:r>
              <w:rPr>
                <w:rFonts w:hint="eastAsia" w:ascii="宋体" w:hAnsi="宋体" w:eastAsia="宋体" w:cs="宋体"/>
                <w:b w:val="0"/>
                <w:bCs/>
                <w:color w:val="auto"/>
                <w:kern w:val="0"/>
                <w:szCs w:val="21"/>
                <w:highlight w:val="none"/>
                <w:lang w:val="en-US" w:eastAsia="zh-CN" w:bidi="ar"/>
              </w:rPr>
              <w:t>含泵房内管道安装、泵房装修、门禁系统、泵房摄像头、监控系统、地面铺装、墙面装饰等；按标准化泵房标准实施。</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7DA7519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0"/>
                <w:szCs w:val="21"/>
                <w:highlight w:val="none"/>
                <w:lang w:val="en-US" w:eastAsia="zh-CN" w:bidi="ar"/>
              </w:rPr>
            </w:pPr>
            <w:r>
              <w:rPr>
                <w:rFonts w:hint="eastAsia" w:ascii="宋体" w:hAnsi="宋体" w:eastAsia="宋体" w:cs="宋体"/>
                <w:b w:val="0"/>
                <w:bCs/>
                <w:color w:val="auto"/>
                <w:kern w:val="0"/>
                <w:szCs w:val="21"/>
                <w:highlight w:val="none"/>
                <w:lang w:val="en-US" w:eastAsia="zh-CN" w:bidi="ar"/>
              </w:rPr>
              <w:t>项</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692A6EE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color w:val="auto"/>
                <w:kern w:val="0"/>
                <w:szCs w:val="21"/>
                <w:highlight w:val="none"/>
                <w:lang w:val="en-US" w:eastAsia="zh-CN" w:bidi="ar"/>
              </w:rPr>
            </w:pPr>
            <w:r>
              <w:rPr>
                <w:rFonts w:hint="eastAsia" w:ascii="宋体" w:hAnsi="宋体" w:eastAsia="宋体" w:cs="宋体"/>
                <w:b w:val="0"/>
                <w:bCs/>
                <w:color w:val="auto"/>
                <w:kern w:val="0"/>
                <w:szCs w:val="21"/>
                <w:highlight w:val="none"/>
                <w:lang w:val="en-US" w:eastAsia="zh-CN" w:bidi="ar"/>
              </w:rPr>
              <w:t>1</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610504D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val="en-US" w:eastAsia="zh-CN" w:bidi="ar"/>
              </w:rPr>
              <w:t>总价包干</w:t>
            </w:r>
          </w:p>
        </w:tc>
      </w:tr>
    </w:tbl>
    <w:p w14:paraId="067232CA">
      <w:pPr>
        <w:keepNext w:val="0"/>
        <w:keepLines w:val="0"/>
        <w:pageBreakBefore w:val="0"/>
        <w:numPr>
          <w:ilvl w:val="0"/>
          <w:numId w:val="30"/>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图纸</w:t>
      </w:r>
    </w:p>
    <w:p w14:paraId="0DF65A45">
      <w:pPr>
        <w:keepNext w:val="0"/>
        <w:keepLines w:val="0"/>
        <w:pageBreakBefore w:val="0"/>
        <w:shd w:val="clear"/>
        <w:kinsoku/>
        <w:wordWrap/>
        <w:overflowPunct/>
        <w:topLinePunct w:val="0"/>
        <w:autoSpaceDE/>
        <w:autoSpaceDN/>
        <w:bidi w:val="0"/>
        <w:spacing w:line="312" w:lineRule="auto"/>
        <w:ind w:firstLine="480" w:firstLineChars="200"/>
        <w:jc w:val="left"/>
        <w:textAlignment w:val="auto"/>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详见附件图纸。</w:t>
      </w:r>
    </w:p>
    <w:p w14:paraId="3F81437B">
      <w:pPr>
        <w:keepNext w:val="0"/>
        <w:keepLines w:val="0"/>
        <w:pageBreakBefore w:val="0"/>
        <w:numPr>
          <w:ilvl w:val="0"/>
          <w:numId w:val="30"/>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安装环境</w:t>
      </w:r>
    </w:p>
    <w:p w14:paraId="7004286A">
      <w:pPr>
        <w:keepNext w:val="0"/>
        <w:keepLines w:val="0"/>
        <w:pageBreakBefore w:val="0"/>
        <w:numPr>
          <w:ilvl w:val="0"/>
          <w:numId w:val="31"/>
        </w:numPr>
        <w:shd w:val="clear"/>
        <w:kinsoku/>
        <w:wordWrap/>
        <w:overflowPunct/>
        <w:topLinePunct w:val="0"/>
        <w:autoSpaceDE/>
        <w:autoSpaceDN/>
        <w:bidi w:val="0"/>
        <w:adjustRightInd/>
        <w:snapToGrid/>
        <w:spacing w:line="312" w:lineRule="auto"/>
        <w:ind w:left="0"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泵房</w:t>
      </w:r>
      <w:r>
        <w:rPr>
          <w:rFonts w:hint="eastAsia" w:ascii="宋体" w:hAnsi="宋体" w:cs="宋体"/>
          <w:color w:val="auto"/>
          <w:szCs w:val="21"/>
          <w:highlight w:val="none"/>
          <w:lang w:val="en-US" w:eastAsia="zh-CN"/>
        </w:rPr>
        <w:t>装修要求</w:t>
      </w:r>
      <w:r>
        <w:rPr>
          <w:rFonts w:hint="eastAsia" w:ascii="宋体" w:hAnsi="宋体" w:cs="宋体"/>
          <w:color w:val="auto"/>
          <w:szCs w:val="21"/>
          <w:highlight w:val="none"/>
        </w:rPr>
        <w:t>如下</w:t>
      </w:r>
      <w:r>
        <w:rPr>
          <w:rFonts w:hint="eastAsia" w:ascii="宋体" w:hAnsi="宋体" w:cs="宋体"/>
          <w:color w:val="auto"/>
          <w:szCs w:val="21"/>
          <w:highlight w:val="none"/>
          <w:lang w:eastAsia="zh-CN"/>
        </w:rPr>
        <w:t>：</w:t>
      </w:r>
    </w:p>
    <w:p w14:paraId="106B1872">
      <w:pPr>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尺寸：考虑周边的预留维修空间，整体泵房面积约</w:t>
      </w:r>
      <w:r>
        <w:rPr>
          <w:rFonts w:hint="eastAsia" w:ascii="宋体" w:hAnsi="宋体" w:cs="宋体"/>
          <w:color w:val="auto"/>
          <w:szCs w:val="21"/>
          <w:highlight w:val="none"/>
          <w:lang w:val="en-US" w:eastAsia="zh-CN"/>
        </w:rPr>
        <w:t>47.5</w:t>
      </w:r>
      <w:r>
        <w:rPr>
          <w:rFonts w:hint="eastAsia" w:ascii="宋体" w:hAnsi="宋体" w:cs="宋体"/>
          <w:color w:val="auto"/>
          <w:szCs w:val="21"/>
          <w:highlight w:val="none"/>
        </w:rPr>
        <w:t>平</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米，高度</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米</w:t>
      </w:r>
      <w:r>
        <w:rPr>
          <w:rFonts w:hint="eastAsia" w:ascii="宋体" w:hAnsi="宋体" w:cs="宋体"/>
          <w:color w:val="auto"/>
          <w:szCs w:val="21"/>
          <w:highlight w:val="none"/>
          <w:lang w:eastAsia="zh-CN"/>
        </w:rPr>
        <w:t>。</w:t>
      </w:r>
    </w:p>
    <w:p w14:paraId="0C76696B">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1.2</w:t>
      </w:r>
      <w:r>
        <w:rPr>
          <w:rFonts w:hint="eastAsia" w:ascii="宋体" w:hAnsi="宋体" w:eastAsia="宋体" w:cs="宋体"/>
          <w:color w:val="auto"/>
          <w:kern w:val="2"/>
          <w:szCs w:val="22"/>
          <w:highlight w:val="none"/>
          <w:lang w:eastAsia="zh-CN"/>
        </w:rPr>
        <w:t>机房墙面贴300*600mm白色釉面卫生瓷片至顶（</w:t>
      </w:r>
      <w:r>
        <w:rPr>
          <w:rFonts w:hint="eastAsia" w:ascii="宋体" w:hAnsi="宋体" w:eastAsia="宋体" w:cs="宋体"/>
          <w:color w:val="auto"/>
          <w:kern w:val="2"/>
          <w:szCs w:val="22"/>
          <w:highlight w:val="none"/>
          <w:lang w:val="en-US" w:eastAsia="zh-CN"/>
        </w:rPr>
        <w:t>推荐品牌：马可波罗、东鹏、诺贝尔或（经采购人认可）不低于以上品牌质量标准的品牌产品）</w:t>
      </w:r>
      <w:r>
        <w:rPr>
          <w:rFonts w:hint="eastAsia" w:ascii="宋体" w:hAnsi="宋体" w:eastAsia="宋体" w:cs="宋体"/>
          <w:color w:val="auto"/>
          <w:kern w:val="2"/>
          <w:szCs w:val="22"/>
          <w:highlight w:val="none"/>
          <w:lang w:eastAsia="zh-CN"/>
        </w:rPr>
        <w:t>。</w:t>
      </w:r>
    </w:p>
    <w:p w14:paraId="40AFC5BB">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1.3</w:t>
      </w:r>
      <w:r>
        <w:rPr>
          <w:rFonts w:hint="eastAsia" w:ascii="宋体" w:hAnsi="宋体" w:eastAsia="宋体" w:cs="宋体"/>
          <w:color w:val="auto"/>
          <w:kern w:val="2"/>
          <w:szCs w:val="22"/>
          <w:highlight w:val="none"/>
          <w:lang w:eastAsia="zh-CN"/>
        </w:rPr>
        <w:t>地面及基础上贴800*800mm灰色防滑地砖（</w:t>
      </w:r>
      <w:r>
        <w:rPr>
          <w:rFonts w:hint="eastAsia" w:ascii="宋体" w:hAnsi="宋体" w:eastAsia="宋体" w:cs="宋体"/>
          <w:color w:val="auto"/>
          <w:kern w:val="2"/>
          <w:szCs w:val="22"/>
          <w:highlight w:val="none"/>
          <w:lang w:val="en-US" w:eastAsia="zh-CN"/>
        </w:rPr>
        <w:t>推荐品牌：马可波罗、东鹏、诺贝尔或（经采购人认可）不低于以上品牌质量标准的品牌产品</w:t>
      </w:r>
      <w:r>
        <w:rPr>
          <w:rFonts w:hint="eastAsia" w:ascii="宋体" w:hAnsi="宋体" w:eastAsia="宋体" w:cs="宋体"/>
          <w:color w:val="auto"/>
          <w:kern w:val="2"/>
          <w:szCs w:val="22"/>
          <w:highlight w:val="none"/>
          <w:lang w:eastAsia="zh-CN"/>
        </w:rPr>
        <w:t>）。</w:t>
      </w:r>
    </w:p>
    <w:p w14:paraId="41DE62DD">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1.4</w:t>
      </w:r>
      <w:r>
        <w:rPr>
          <w:rFonts w:hint="eastAsia" w:ascii="宋体" w:hAnsi="宋体" w:eastAsia="宋体" w:cs="宋体"/>
          <w:color w:val="auto"/>
          <w:kern w:val="2"/>
          <w:szCs w:val="22"/>
          <w:highlight w:val="none"/>
          <w:lang w:eastAsia="zh-CN"/>
        </w:rPr>
        <w:t>所有直饮水设备房地面、立面应按照DBJ15-16-2006第4.4.1条规定，设1级防水聚合物水泥防水涂料2mm，水泥基渗透结晶型防水涂料0.8mm一道防水，立面防水地面上返1.4m。</w:t>
      </w:r>
    </w:p>
    <w:p w14:paraId="6AB686B6">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1.5</w:t>
      </w:r>
      <w:r>
        <w:rPr>
          <w:rFonts w:hint="eastAsia" w:ascii="宋体" w:hAnsi="宋体" w:eastAsia="宋体" w:cs="宋体"/>
          <w:color w:val="auto"/>
          <w:kern w:val="2"/>
          <w:szCs w:val="22"/>
          <w:highlight w:val="none"/>
          <w:lang w:eastAsia="zh-CN"/>
        </w:rPr>
        <w:t>排水沟宽度</w:t>
      </w:r>
      <w:r>
        <w:rPr>
          <w:rFonts w:hint="eastAsia" w:ascii="宋体" w:hAnsi="宋体" w:eastAsia="宋体" w:cs="宋体"/>
          <w:color w:val="auto"/>
          <w:kern w:val="2"/>
          <w:szCs w:val="22"/>
          <w:highlight w:val="none"/>
          <w:lang w:val="en-US" w:eastAsia="zh-CN"/>
        </w:rPr>
        <w:t>25</w:t>
      </w:r>
      <w:r>
        <w:rPr>
          <w:rFonts w:hint="eastAsia" w:ascii="宋体" w:hAnsi="宋体" w:eastAsia="宋体" w:cs="宋体"/>
          <w:color w:val="auto"/>
          <w:kern w:val="2"/>
          <w:szCs w:val="22"/>
          <w:highlight w:val="none"/>
          <w:lang w:eastAsia="zh-CN"/>
        </w:rPr>
        <w:t>0mm，</w:t>
      </w:r>
      <w:r>
        <w:rPr>
          <w:rFonts w:hint="eastAsia" w:ascii="宋体" w:hAnsi="宋体" w:eastAsia="宋体" w:cs="宋体"/>
          <w:color w:val="auto"/>
          <w:kern w:val="2"/>
          <w:szCs w:val="22"/>
          <w:highlight w:val="none"/>
          <w:lang w:eastAsia="zh-CN"/>
        </w:rPr>
        <w:t>起点深100mm，加设304不锈钢格栅盖板，沟壁和沟底贴白色瓷砖。</w:t>
      </w:r>
    </w:p>
    <w:p w14:paraId="0EA82520">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1.6</w:t>
      </w:r>
      <w:r>
        <w:rPr>
          <w:rFonts w:hint="eastAsia" w:ascii="宋体" w:hAnsi="宋体" w:eastAsia="宋体" w:cs="宋体"/>
          <w:color w:val="auto"/>
          <w:kern w:val="2"/>
          <w:szCs w:val="22"/>
          <w:highlight w:val="none"/>
          <w:lang w:eastAsia="zh-CN"/>
        </w:rPr>
        <w:t>净水机房大门为一扇双开不锈钢甲级防火门</w:t>
      </w:r>
      <w:r>
        <w:rPr>
          <w:rFonts w:hint="eastAsia" w:ascii="宋体" w:hAnsi="宋体" w:eastAsia="宋体" w:cs="宋体"/>
          <w:color w:val="auto"/>
          <w:kern w:val="2"/>
          <w:szCs w:val="22"/>
          <w:highlight w:val="none"/>
          <w:lang w:eastAsia="zh-CN"/>
        </w:rPr>
        <w:t>，</w:t>
      </w:r>
      <w:r>
        <w:rPr>
          <w:rFonts w:hint="eastAsia" w:ascii="宋体" w:hAnsi="宋体" w:eastAsia="宋体" w:cs="宋体"/>
          <w:color w:val="auto"/>
          <w:kern w:val="2"/>
          <w:szCs w:val="22"/>
          <w:highlight w:val="none"/>
          <w:lang w:val="en-US" w:eastAsia="zh-CN"/>
        </w:rPr>
        <w:t>进门处设置不锈钢防鼠挡板。</w:t>
      </w:r>
    </w:p>
    <w:p w14:paraId="53A1F1B9">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1.7</w:t>
      </w:r>
      <w:r>
        <w:rPr>
          <w:rFonts w:hint="eastAsia" w:ascii="宋体" w:hAnsi="宋体" w:eastAsia="宋体" w:cs="宋体"/>
          <w:color w:val="auto"/>
          <w:kern w:val="2"/>
          <w:szCs w:val="22"/>
          <w:highlight w:val="none"/>
          <w:lang w:eastAsia="zh-CN"/>
        </w:rPr>
        <w:t>净水机房的隔振防噪设计，应符合现行国家标准《民用建筑隔声设计规范》GB50118-2010的规定。</w:t>
      </w:r>
    </w:p>
    <w:p w14:paraId="396A740E">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1.8</w:t>
      </w:r>
      <w:r>
        <w:rPr>
          <w:rFonts w:hint="eastAsia" w:ascii="宋体" w:hAnsi="宋体" w:eastAsia="宋体" w:cs="宋体"/>
          <w:color w:val="auto"/>
          <w:kern w:val="2"/>
          <w:szCs w:val="22"/>
          <w:highlight w:val="none"/>
          <w:lang w:eastAsia="zh-CN"/>
        </w:rPr>
        <w:t>净水机房吊顶</w:t>
      </w:r>
      <w:r>
        <w:rPr>
          <w:rFonts w:hint="eastAsia" w:ascii="宋体" w:hAnsi="宋体" w:eastAsia="宋体" w:cs="宋体"/>
          <w:color w:val="auto"/>
          <w:kern w:val="2"/>
          <w:szCs w:val="22"/>
          <w:highlight w:val="none"/>
          <w:lang w:eastAsia="zh-CN"/>
        </w:rPr>
        <w:t>采用铝</w:t>
      </w:r>
      <w:r>
        <w:rPr>
          <w:rFonts w:hint="eastAsia" w:ascii="宋体" w:hAnsi="宋体" w:eastAsia="宋体" w:cs="宋体"/>
          <w:color w:val="auto"/>
          <w:kern w:val="2"/>
          <w:szCs w:val="22"/>
          <w:highlight w:val="none"/>
          <w:lang w:val="en-US" w:eastAsia="zh-CN"/>
        </w:rPr>
        <w:t>方通或铝合金天花</w:t>
      </w:r>
      <w:r>
        <w:rPr>
          <w:rFonts w:hint="eastAsia" w:ascii="宋体" w:hAnsi="宋体" w:eastAsia="宋体" w:cs="宋体"/>
          <w:color w:val="auto"/>
          <w:kern w:val="2"/>
          <w:szCs w:val="22"/>
          <w:highlight w:val="none"/>
          <w:lang w:eastAsia="zh-CN"/>
        </w:rPr>
        <w:t>，安装高度为距地完成面</w:t>
      </w:r>
      <w:r>
        <w:rPr>
          <w:rFonts w:hint="eastAsia" w:ascii="宋体" w:hAnsi="宋体" w:eastAsia="宋体" w:cs="宋体"/>
          <w:color w:val="auto"/>
          <w:kern w:val="2"/>
          <w:szCs w:val="22"/>
          <w:highlight w:val="none"/>
          <w:lang w:val="en-US" w:eastAsia="zh-CN"/>
        </w:rPr>
        <w:t>不小于3米</w:t>
      </w:r>
      <w:r>
        <w:rPr>
          <w:rFonts w:hint="eastAsia" w:ascii="宋体" w:hAnsi="宋体" w:eastAsia="宋体" w:cs="宋体"/>
          <w:color w:val="auto"/>
          <w:kern w:val="2"/>
          <w:szCs w:val="22"/>
          <w:highlight w:val="none"/>
          <w:lang w:eastAsia="zh-CN"/>
        </w:rPr>
        <w:t>。</w:t>
      </w:r>
    </w:p>
    <w:p w14:paraId="380281F1">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1.9</w:t>
      </w:r>
      <w:r>
        <w:rPr>
          <w:rFonts w:hint="eastAsia" w:ascii="宋体" w:hAnsi="宋体" w:eastAsia="宋体" w:cs="宋体"/>
          <w:color w:val="auto"/>
          <w:kern w:val="2"/>
          <w:szCs w:val="22"/>
          <w:highlight w:val="none"/>
          <w:lang w:eastAsia="zh-CN"/>
        </w:rPr>
        <w:t>室内照明采用LED灯盘，吸顶安装</w:t>
      </w:r>
      <w:r>
        <w:rPr>
          <w:rFonts w:hint="eastAsia" w:ascii="宋体" w:hAnsi="宋体" w:eastAsia="宋体" w:cs="宋体"/>
          <w:color w:val="auto"/>
          <w:kern w:val="2"/>
          <w:szCs w:val="22"/>
          <w:highlight w:val="none"/>
          <w:lang w:val="en-US" w:eastAsia="zh-CN"/>
        </w:rPr>
        <w:t>及应急灯安装。</w:t>
      </w:r>
    </w:p>
    <w:p w14:paraId="030E4E21">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1.10</w:t>
      </w:r>
      <w:r>
        <w:rPr>
          <w:rFonts w:hint="eastAsia" w:ascii="宋体" w:hAnsi="宋体" w:eastAsia="宋体" w:cs="宋体"/>
          <w:color w:val="auto"/>
          <w:kern w:val="2"/>
          <w:szCs w:val="22"/>
          <w:highlight w:val="none"/>
          <w:lang w:eastAsia="zh-CN"/>
        </w:rPr>
        <w:t>净水机房安装1x36W紫外灯若干,紫外灯应按1.5W/m3,紫外灯离地2米吊装。</w:t>
      </w:r>
    </w:p>
    <w:p w14:paraId="26F0A942">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1.11</w:t>
      </w:r>
      <w:r>
        <w:rPr>
          <w:rFonts w:hint="eastAsia" w:ascii="宋体" w:hAnsi="宋体" w:eastAsia="宋体" w:cs="宋体"/>
          <w:color w:val="auto"/>
          <w:kern w:val="2"/>
          <w:szCs w:val="22"/>
          <w:highlight w:val="none"/>
          <w:lang w:eastAsia="zh-CN"/>
        </w:rPr>
        <w:t>净水机房要求通风良好，通风换气次数不应小于8次/h，进风口应加装空气净化器，空气净化器附件不得有污染源。</w:t>
      </w:r>
    </w:p>
    <w:p w14:paraId="48425CC3">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1.11</w:t>
      </w:r>
      <w:r>
        <w:rPr>
          <w:rFonts w:hint="eastAsia" w:ascii="宋体" w:hAnsi="宋体" w:eastAsia="宋体" w:cs="宋体"/>
          <w:color w:val="auto"/>
          <w:kern w:val="2"/>
          <w:szCs w:val="22"/>
          <w:highlight w:val="none"/>
          <w:lang w:eastAsia="zh-CN"/>
        </w:rPr>
        <w:t>净水机房安装一台排气扇、</w:t>
      </w:r>
      <w:r>
        <w:rPr>
          <w:rFonts w:hint="eastAsia" w:ascii="宋体" w:hAnsi="宋体" w:eastAsia="宋体" w:cs="宋体"/>
          <w:color w:val="auto"/>
          <w:kern w:val="2"/>
          <w:szCs w:val="22"/>
          <w:highlight w:val="none"/>
          <w:lang w:val="en-US" w:eastAsia="zh-CN"/>
        </w:rPr>
        <w:t>除湿机、</w:t>
      </w:r>
      <w:r>
        <w:rPr>
          <w:rFonts w:hint="eastAsia" w:ascii="宋体" w:hAnsi="宋体" w:eastAsia="宋体" w:cs="宋体"/>
          <w:color w:val="auto"/>
          <w:kern w:val="2"/>
          <w:szCs w:val="22"/>
          <w:highlight w:val="none"/>
          <w:lang w:eastAsia="zh-CN"/>
        </w:rPr>
        <w:t>和一台</w:t>
      </w:r>
      <w:r>
        <w:rPr>
          <w:rFonts w:hint="eastAsia" w:ascii="宋体" w:hAnsi="宋体" w:eastAsia="宋体" w:cs="宋体"/>
          <w:color w:val="auto"/>
          <w:kern w:val="2"/>
          <w:szCs w:val="22"/>
          <w:highlight w:val="none"/>
          <w:lang w:val="en-US" w:eastAsia="zh-CN"/>
        </w:rPr>
        <w:t>2匹</w:t>
      </w:r>
      <w:r>
        <w:rPr>
          <w:rFonts w:hint="eastAsia" w:ascii="宋体" w:hAnsi="宋体" w:eastAsia="宋体" w:cs="宋体"/>
          <w:color w:val="auto"/>
          <w:kern w:val="2"/>
          <w:szCs w:val="22"/>
          <w:highlight w:val="none"/>
          <w:lang w:eastAsia="zh-CN"/>
        </w:rPr>
        <w:t>空调（</w:t>
      </w:r>
      <w:r>
        <w:rPr>
          <w:rFonts w:hint="eastAsia" w:ascii="宋体" w:hAnsi="宋体" w:eastAsia="宋体" w:cs="宋体"/>
          <w:color w:val="auto"/>
          <w:kern w:val="2"/>
          <w:szCs w:val="22"/>
          <w:highlight w:val="none"/>
          <w:lang w:val="en-US" w:eastAsia="zh-CN"/>
        </w:rPr>
        <w:t>推荐品牌:美的、格力、海尔或（经采购人认可）不低于以上品牌质量标准的品牌产品</w:t>
      </w:r>
      <w:r>
        <w:rPr>
          <w:rFonts w:hint="eastAsia" w:ascii="宋体" w:hAnsi="宋体" w:eastAsia="宋体" w:cs="宋体"/>
          <w:color w:val="auto"/>
          <w:kern w:val="2"/>
          <w:szCs w:val="22"/>
          <w:highlight w:val="none"/>
          <w:lang w:eastAsia="zh-CN"/>
        </w:rPr>
        <w:t>）。</w:t>
      </w:r>
    </w:p>
    <w:p w14:paraId="589458C6">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1.12</w:t>
      </w:r>
      <w:r>
        <w:rPr>
          <w:rFonts w:hint="eastAsia" w:ascii="宋体" w:hAnsi="宋体" w:eastAsia="宋体" w:cs="宋体"/>
          <w:color w:val="auto"/>
          <w:kern w:val="2"/>
          <w:szCs w:val="22"/>
          <w:highlight w:val="none"/>
          <w:lang w:eastAsia="zh-CN"/>
        </w:rPr>
        <w:t>净水机房安装插座若干,离地1.4米暗装。</w:t>
      </w:r>
    </w:p>
    <w:p w14:paraId="00AA1FF7">
      <w:pPr>
        <w:pStyle w:val="176"/>
        <w:keepNext w:val="0"/>
        <w:keepLines w:val="0"/>
        <w:pageBreakBefore w:val="0"/>
        <w:numPr>
          <w:ilvl w:val="0"/>
          <w:numId w:val="0"/>
        </w:numPr>
        <w:shd w:val="clear"/>
        <w:kinsoku/>
        <w:wordWrap/>
        <w:overflowPunct/>
        <w:topLinePunct w:val="0"/>
        <w:autoSpaceDE/>
        <w:autoSpaceDN/>
        <w:bidi w:val="0"/>
        <w:adjustRightInd/>
        <w:snapToGrid/>
        <w:spacing w:line="312" w:lineRule="auto"/>
        <w:ind w:leftChars="0" w:firstLine="480" w:firstLineChars="200"/>
        <w:textAlignment w:val="auto"/>
        <w:rPr>
          <w:rFonts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1.13</w:t>
      </w:r>
      <w:r>
        <w:rPr>
          <w:rFonts w:hint="eastAsia" w:ascii="宋体" w:hAnsi="宋体" w:eastAsia="宋体" w:cs="宋体"/>
          <w:color w:val="auto"/>
          <w:kern w:val="2"/>
          <w:szCs w:val="22"/>
          <w:highlight w:val="none"/>
          <w:lang w:eastAsia="zh-CN"/>
        </w:rPr>
        <w:t>排水沟通往室外处加防鼠设施。</w:t>
      </w:r>
    </w:p>
    <w:p w14:paraId="4BA6FB98">
      <w:pPr>
        <w:keepNext w:val="0"/>
        <w:keepLines w:val="0"/>
        <w:pageBreakBefore w:val="0"/>
        <w:shd w:val="clear"/>
        <w:kinsoku/>
        <w:wordWrap/>
        <w:overflowPunct/>
        <w:topLinePunct w:val="0"/>
        <w:autoSpaceDE/>
        <w:autoSpaceDN/>
        <w:bidi w:val="0"/>
        <w:spacing w:line="312" w:lineRule="auto"/>
        <w:jc w:val="left"/>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注：</w:t>
      </w:r>
      <w:r>
        <w:rPr>
          <w:rFonts w:hint="eastAsia" w:ascii="宋体" w:hAnsi="宋体" w:eastAsia="宋体" w:cs="宋体"/>
          <w:b/>
          <w:bCs/>
          <w:color w:val="auto"/>
          <w:kern w:val="2"/>
          <w:szCs w:val="22"/>
          <w:highlight w:val="none"/>
          <w:lang w:val="en-US" w:eastAsia="zh-CN"/>
        </w:rPr>
        <w:t>投标人若中标后须对泵房装修进行二次深化设计，经甲方认可后实施</w:t>
      </w:r>
      <w:r>
        <w:rPr>
          <w:rFonts w:hint="eastAsia" w:ascii="宋体" w:hAnsi="宋体" w:eastAsia="宋体" w:cs="宋体"/>
          <w:b/>
          <w:bCs/>
          <w:color w:val="auto"/>
          <w:kern w:val="2"/>
          <w:szCs w:val="22"/>
          <w:highlight w:val="none"/>
          <w:lang w:eastAsia="zh-CN"/>
        </w:rPr>
        <w:t>。</w:t>
      </w:r>
    </w:p>
    <w:p w14:paraId="164A2CB4">
      <w:pPr>
        <w:keepNext w:val="0"/>
        <w:keepLines w:val="0"/>
        <w:pageBreakBefore w:val="0"/>
        <w:numPr>
          <w:ilvl w:val="0"/>
          <w:numId w:val="0"/>
        </w:numPr>
        <w:shd w:val="clear"/>
        <w:kinsoku/>
        <w:wordWrap/>
        <w:overflowPunct/>
        <w:topLinePunct w:val="0"/>
        <w:autoSpaceDE/>
        <w:autoSpaceDN/>
        <w:bidi w:val="0"/>
        <w:spacing w:line="312" w:lineRule="auto"/>
        <w:ind w:firstLine="48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机房环境通用要求如下</w:t>
      </w:r>
      <w:r>
        <w:rPr>
          <w:rFonts w:hint="eastAsia" w:ascii="宋体" w:hAnsi="宋体" w:cs="宋体"/>
          <w:color w:val="auto"/>
          <w:szCs w:val="21"/>
          <w:highlight w:val="none"/>
          <w:lang w:eastAsia="zh-CN"/>
        </w:rPr>
        <w:t>：</w:t>
      </w:r>
    </w:p>
    <w:p w14:paraId="04DFD529">
      <w:pPr>
        <w:keepNext w:val="0"/>
        <w:keepLines w:val="0"/>
        <w:pageBreakBefore w:val="0"/>
        <w:shd w:val="clear"/>
        <w:kinsoku/>
        <w:wordWrap/>
        <w:overflowPunct/>
        <w:topLinePunct w:val="0"/>
        <w:autoSpaceDE/>
        <w:autoSpaceDN/>
        <w:bidi w:val="0"/>
        <w:spacing w:line="312" w:lineRule="auto"/>
        <w:ind w:firstLine="480" w:firstLineChars="200"/>
        <w:jc w:val="left"/>
        <w:textAlignment w:val="auto"/>
        <w:rPr>
          <w:rFonts w:hint="eastAsia"/>
          <w:color w:val="auto"/>
          <w:highlight w:val="none"/>
          <w:lang w:eastAsia="zh-CN"/>
        </w:rPr>
      </w:pPr>
      <w:r>
        <w:rPr>
          <w:rFonts w:hint="eastAsia" w:ascii="宋体" w:hAnsi="宋体" w:cs="宋体"/>
          <w:color w:val="auto"/>
          <w:szCs w:val="21"/>
          <w:highlight w:val="none"/>
        </w:rPr>
        <w:t>环境湿度 ≤90%（电控部分），环境温度-5～+50℃，电源380V×（1±10%），（50±2）HZ 。</w:t>
      </w:r>
    </w:p>
    <w:p w14:paraId="1005658E">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机房应保证通风良好，通风换气次数不应小于8次/h，进风口应远离污染源。</w:t>
      </w:r>
    </w:p>
    <w:p w14:paraId="27712D7D">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净水机房应独立、或与同类设备相对集中布置。</w:t>
      </w:r>
    </w:p>
    <w:p w14:paraId="6FB590A2">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机房上方不应设置卫生间、浴室、盥洗室、厨房、污水处理间等。</w:t>
      </w:r>
    </w:p>
    <w:p w14:paraId="2D364242">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除生活饮用水以外的其他管道不得进入净水机房。</w:t>
      </w:r>
    </w:p>
    <w:p w14:paraId="79299F89">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净水机房的隔振防噪设计，应符合现行国家标准《民用建筑隔声设计规范》GB50118的规定。</w:t>
      </w:r>
    </w:p>
    <w:p w14:paraId="7B7B201F">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净水机房应满足生产工艺的卫生要求，并应符合下列规定：</w:t>
      </w:r>
    </w:p>
    <w:p w14:paraId="214349CB">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地面、墙壁、吊顶应采用防水、防腐、防霉、易消毒、易清洗的材料铺设；</w:t>
      </w:r>
    </w:p>
    <w:p w14:paraId="37AC47D1">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地面应设置排水设施；</w:t>
      </w:r>
    </w:p>
    <w:p w14:paraId="2F307E46">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门窗应采用不变形、耐腐蚀材料制成，应有锁闭装置，并应设有防蚊蝇、防尘、防鼠等措施。</w:t>
      </w:r>
    </w:p>
    <w:p w14:paraId="355A6BC2">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净水机房应配备空气消毒装置。当采用紫外线空气消毒时，紫外线灯应按1.5W/m3吊装设置，距地面宜为2m。</w:t>
      </w:r>
    </w:p>
    <w:p w14:paraId="75110045">
      <w:pPr>
        <w:keepNext w:val="0"/>
        <w:keepLines w:val="0"/>
        <w:pageBreakBefore w:val="0"/>
        <w:widowControl/>
        <w:numPr>
          <w:ilvl w:val="0"/>
          <w:numId w:val="32"/>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净水机房内消毒设备采用臭氧消毒时，应设置臭氧尾气处理装置。</w:t>
      </w:r>
    </w:p>
    <w:p w14:paraId="16AC4F9C">
      <w:pPr>
        <w:keepNext w:val="0"/>
        <w:keepLines w:val="0"/>
        <w:pageBreakBefore w:val="0"/>
        <w:numPr>
          <w:ilvl w:val="0"/>
          <w:numId w:val="30"/>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制造标准</w:t>
      </w:r>
    </w:p>
    <w:p w14:paraId="49EE69CA">
      <w:pPr>
        <w:keepNext w:val="0"/>
        <w:keepLines w:val="0"/>
        <w:pageBreakBefore w:val="0"/>
        <w:shd w:val="clea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1.《建筑给水排水设计标准》GB50015-2019</w:t>
      </w:r>
    </w:p>
    <w:p w14:paraId="4CDD184A">
      <w:pPr>
        <w:keepNext w:val="0"/>
        <w:keepLines w:val="0"/>
        <w:pageBreakBefore w:val="0"/>
        <w:shd w:val="clea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2.《建筑与小区管道直饮水系统技术规程》CJJ/T110-2017</w:t>
      </w:r>
    </w:p>
    <w:p w14:paraId="08390595">
      <w:pPr>
        <w:keepNext w:val="0"/>
        <w:keepLines w:val="0"/>
        <w:pageBreakBefore w:val="0"/>
        <w:shd w:val="clea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3.《建筑管道直饮水工程》07SS604 </w:t>
      </w:r>
    </w:p>
    <w:p w14:paraId="6F9971C9">
      <w:pPr>
        <w:keepNext w:val="0"/>
        <w:keepLines w:val="0"/>
        <w:pageBreakBefore w:val="0"/>
        <w:shd w:val="clea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4.《直饮水水站安全技术要求》T∕CAQI 40-2018 </w:t>
      </w:r>
    </w:p>
    <w:p w14:paraId="273DF743">
      <w:pPr>
        <w:keepNext w:val="0"/>
        <w:keepLines w:val="0"/>
        <w:pageBreakBefore w:val="0"/>
        <w:shd w:val="clea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5.《健康直饮水水质标准》TBJWA001-2021</w:t>
      </w:r>
    </w:p>
    <w:p w14:paraId="4AB5582B">
      <w:pPr>
        <w:keepNext w:val="0"/>
        <w:keepLines w:val="0"/>
        <w:pageBreakBefore w:val="0"/>
        <w:shd w:val="clea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6.《生活饮用水卫生标准》GB5749-20</w:t>
      </w:r>
      <w:r>
        <w:rPr>
          <w:rFonts w:ascii="宋体" w:hAnsi="宋体" w:cs="宋体"/>
          <w:color w:val="auto"/>
          <w:szCs w:val="21"/>
          <w:highlight w:val="none"/>
        </w:rPr>
        <w:t>22</w:t>
      </w:r>
      <w:r>
        <w:rPr>
          <w:rFonts w:hint="eastAsia" w:ascii="宋体" w:hAnsi="宋体" w:cs="宋体"/>
          <w:color w:val="auto"/>
          <w:szCs w:val="21"/>
          <w:highlight w:val="none"/>
        </w:rPr>
        <w:t xml:space="preserve"> </w:t>
      </w:r>
    </w:p>
    <w:p w14:paraId="53F0B906">
      <w:pPr>
        <w:keepNext w:val="0"/>
        <w:keepLines w:val="0"/>
        <w:pageBreakBefore w:val="0"/>
        <w:shd w:val="clear"/>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7.《饮用净水水质标准》CJ94-2005</w:t>
      </w:r>
    </w:p>
    <w:p w14:paraId="59A3897D">
      <w:pPr>
        <w:pStyle w:val="21"/>
        <w:keepNext w:val="0"/>
        <w:keepLines w:val="0"/>
        <w:pageBreakBefore w:val="0"/>
        <w:numPr>
          <w:ilvl w:val="0"/>
          <w:numId w:val="29"/>
        </w:numPr>
        <w:shd w:val="clear"/>
        <w:kinsoku/>
        <w:wordWrap/>
        <w:overflowPunct/>
        <w:topLinePunct w:val="0"/>
        <w:autoSpaceDE/>
        <w:autoSpaceDN/>
        <w:bidi w:val="0"/>
        <w:spacing w:line="312" w:lineRule="auto"/>
        <w:ind w:firstLine="48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配置要求</w:t>
      </w:r>
    </w:p>
    <w:p w14:paraId="5DF29ED3">
      <w:pPr>
        <w:keepNext w:val="0"/>
        <w:keepLines w:val="0"/>
        <w:pageBreakBefore w:val="0"/>
        <w:numPr>
          <w:ilvl w:val="0"/>
          <w:numId w:val="33"/>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基本性能要求</w:t>
      </w:r>
    </w:p>
    <w:p w14:paraId="425B52DD">
      <w:pPr>
        <w:keepNext w:val="0"/>
        <w:keepLines w:val="0"/>
        <w:pageBreakBefore w:val="0"/>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直饮水设备主要部件包括：包括原水箱、原水增压泵、多介质过滤器、活性炭过滤器、保安过滤器、高压泵、紫外消毒系统、纳滤膜装置或反渗透膜装置、净水消毒系统、净水加压泵组、回水保安过滤装置、配套智能控制系统，具体要求见下表。</w:t>
      </w:r>
    </w:p>
    <w:tbl>
      <w:tblPr>
        <w:tblStyle w:val="41"/>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05"/>
        <w:gridCol w:w="6738"/>
      </w:tblGrid>
      <w:tr w14:paraId="58EE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04E7C21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序号</w:t>
            </w:r>
          </w:p>
        </w:tc>
        <w:tc>
          <w:tcPr>
            <w:tcW w:w="1905" w:type="dxa"/>
            <w:noWrap w:val="0"/>
            <w:vAlign w:val="center"/>
          </w:tcPr>
          <w:p w14:paraId="7345C9C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配件名称</w:t>
            </w:r>
          </w:p>
        </w:tc>
        <w:tc>
          <w:tcPr>
            <w:tcW w:w="6738" w:type="dxa"/>
            <w:noWrap w:val="0"/>
            <w:vAlign w:val="center"/>
          </w:tcPr>
          <w:p w14:paraId="28B375A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要求</w:t>
            </w:r>
          </w:p>
        </w:tc>
      </w:tr>
      <w:tr w14:paraId="2EAE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5" w:type="dxa"/>
            <w:noWrap w:val="0"/>
            <w:vAlign w:val="center"/>
          </w:tcPr>
          <w:p w14:paraId="620B896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w:t>
            </w:r>
          </w:p>
        </w:tc>
        <w:tc>
          <w:tcPr>
            <w:tcW w:w="1905" w:type="dxa"/>
            <w:noWrap w:val="0"/>
            <w:vAlign w:val="center"/>
          </w:tcPr>
          <w:p w14:paraId="2C8D3F9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原水箱</w:t>
            </w:r>
          </w:p>
        </w:tc>
        <w:tc>
          <w:tcPr>
            <w:tcW w:w="6738" w:type="dxa"/>
            <w:noWrap w:val="0"/>
            <w:vAlign w:val="center"/>
          </w:tcPr>
          <w:p w14:paraId="411C132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为保证水箱的密封性，需在水箱人孔口加设备食品级密封材料。</w:t>
            </w:r>
          </w:p>
        </w:tc>
      </w:tr>
      <w:tr w14:paraId="7CF3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5" w:type="dxa"/>
            <w:noWrap w:val="0"/>
            <w:vAlign w:val="center"/>
          </w:tcPr>
          <w:p w14:paraId="76CCDA0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2</w:t>
            </w:r>
          </w:p>
        </w:tc>
        <w:tc>
          <w:tcPr>
            <w:tcW w:w="1905" w:type="dxa"/>
            <w:noWrap w:val="0"/>
            <w:vAlign w:val="center"/>
          </w:tcPr>
          <w:p w14:paraId="70FEF84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原水泵</w:t>
            </w:r>
          </w:p>
        </w:tc>
        <w:tc>
          <w:tcPr>
            <w:tcW w:w="6738" w:type="dxa"/>
            <w:noWrap w:val="0"/>
            <w:vAlign w:val="center"/>
          </w:tcPr>
          <w:p w14:paraId="3027AB6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原水泵流量为产水量的3倍左右，出口压力达到0.3~0.35mpa</w:t>
            </w:r>
          </w:p>
        </w:tc>
      </w:tr>
      <w:tr w14:paraId="4814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35" w:type="dxa"/>
            <w:noWrap w:val="0"/>
            <w:vAlign w:val="center"/>
          </w:tcPr>
          <w:p w14:paraId="764A1B5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3</w:t>
            </w:r>
          </w:p>
        </w:tc>
        <w:tc>
          <w:tcPr>
            <w:tcW w:w="1905" w:type="dxa"/>
            <w:noWrap w:val="0"/>
            <w:vAlign w:val="center"/>
          </w:tcPr>
          <w:p w14:paraId="1020D74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多介质过滤器</w:t>
            </w:r>
          </w:p>
        </w:tc>
        <w:tc>
          <w:tcPr>
            <w:tcW w:w="6738" w:type="dxa"/>
            <w:noWrap w:val="0"/>
            <w:vAlign w:val="center"/>
          </w:tcPr>
          <w:p w14:paraId="0EE2257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过滤器滤料填充物从上到下依次为无烟煤、多介质。</w:t>
            </w:r>
          </w:p>
        </w:tc>
      </w:tr>
      <w:tr w14:paraId="534F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40BAC74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4</w:t>
            </w:r>
          </w:p>
        </w:tc>
        <w:tc>
          <w:tcPr>
            <w:tcW w:w="1905" w:type="dxa"/>
            <w:noWrap w:val="0"/>
            <w:vAlign w:val="center"/>
          </w:tcPr>
          <w:p w14:paraId="0ED300A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活性炭过滤器</w:t>
            </w:r>
          </w:p>
        </w:tc>
        <w:tc>
          <w:tcPr>
            <w:tcW w:w="6738" w:type="dxa"/>
            <w:noWrap w:val="0"/>
            <w:vAlign w:val="center"/>
          </w:tcPr>
          <w:p w14:paraId="47699956">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选用椰壳、果壳活性炭，碘值1000+。</w:t>
            </w:r>
          </w:p>
        </w:tc>
      </w:tr>
      <w:tr w14:paraId="1621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3DED543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5</w:t>
            </w:r>
          </w:p>
        </w:tc>
        <w:tc>
          <w:tcPr>
            <w:tcW w:w="1905" w:type="dxa"/>
            <w:noWrap w:val="0"/>
            <w:vAlign w:val="center"/>
          </w:tcPr>
          <w:p w14:paraId="64B1D6C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保安过滤器</w:t>
            </w:r>
          </w:p>
        </w:tc>
        <w:tc>
          <w:tcPr>
            <w:tcW w:w="6738" w:type="dxa"/>
            <w:noWrap w:val="0"/>
            <w:vAlign w:val="center"/>
          </w:tcPr>
          <w:p w14:paraId="0E8C0B1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保安过滤器的过滤孔径≤5微米。</w:t>
            </w:r>
          </w:p>
        </w:tc>
      </w:tr>
      <w:tr w14:paraId="61E8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7CE1D44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6</w:t>
            </w:r>
          </w:p>
        </w:tc>
        <w:tc>
          <w:tcPr>
            <w:tcW w:w="1905" w:type="dxa"/>
            <w:noWrap w:val="0"/>
            <w:vAlign w:val="center"/>
          </w:tcPr>
          <w:p w14:paraId="5C71CFB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增压部分</w:t>
            </w:r>
          </w:p>
        </w:tc>
        <w:tc>
          <w:tcPr>
            <w:tcW w:w="6738" w:type="dxa"/>
            <w:noWrap w:val="0"/>
            <w:vAlign w:val="center"/>
          </w:tcPr>
          <w:p w14:paraId="2444EDF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包含水泵、止回阀、压力传感器，水泵泵体及过流管道材质不低于SUS304材质。</w:t>
            </w:r>
          </w:p>
        </w:tc>
      </w:tr>
      <w:tr w14:paraId="7808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5" w:type="dxa"/>
            <w:noWrap w:val="0"/>
            <w:vAlign w:val="center"/>
          </w:tcPr>
          <w:p w14:paraId="436F3BB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7</w:t>
            </w:r>
          </w:p>
        </w:tc>
        <w:tc>
          <w:tcPr>
            <w:tcW w:w="1905" w:type="dxa"/>
            <w:noWrap w:val="0"/>
            <w:vAlign w:val="center"/>
          </w:tcPr>
          <w:p w14:paraId="27F9D9A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纳滤膜</w:t>
            </w:r>
          </w:p>
        </w:tc>
        <w:tc>
          <w:tcPr>
            <w:tcW w:w="6738" w:type="dxa"/>
            <w:noWrap w:val="0"/>
            <w:vAlign w:val="center"/>
          </w:tcPr>
          <w:p w14:paraId="045DC17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装置包含纳滤膜、纳滤膜壳、压力传感器、流量计。满足食品卫生需求。</w:t>
            </w:r>
          </w:p>
          <w:p w14:paraId="1C6468D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核心工艺如采用纳滤膜技术，NF膜采用芳香聚酰胺复合膜材料，平均脱盐率80-85%左右，纳滤膜的过滤孔径1纳米，既保证出水符合国家净水标准，去除水中的重金属、盐类物质、污染物、农药、细菌等有害物质，同时又适当保留部分有益的矿物质，改善口感；</w:t>
            </w:r>
          </w:p>
          <w:p w14:paraId="77B4FBD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eastAsia="zh-CN" w:bidi="ar"/>
              </w:rPr>
            </w:pPr>
            <w:r>
              <w:rPr>
                <w:rFonts w:hint="eastAsia" w:ascii="微软雅黑" w:hAnsi="微软雅黑" w:eastAsia="微软雅黑" w:cs="微软雅黑"/>
                <w:color w:val="auto"/>
                <w:kern w:val="0"/>
                <w:highlight w:val="none"/>
                <w:lang w:bidi="ar"/>
              </w:rPr>
              <w:t>▲</w:t>
            </w:r>
            <w:r>
              <w:rPr>
                <w:rFonts w:hint="eastAsia" w:hAnsi="宋体" w:cs="方正仿宋_GB2312"/>
                <w:color w:val="auto"/>
                <w:kern w:val="0"/>
                <w:highlight w:val="none"/>
                <w:lang w:bidi="ar"/>
              </w:rPr>
              <w:t>须提供涉水批件</w:t>
            </w:r>
            <w:r>
              <w:rPr>
                <w:rFonts w:hint="eastAsia" w:hAnsi="宋体" w:cs="方正仿宋_GB2312"/>
                <w:color w:val="auto"/>
                <w:kern w:val="0"/>
                <w:highlight w:val="none"/>
                <w:lang w:val="en-US" w:eastAsia="zh-CN" w:bidi="ar"/>
              </w:rPr>
              <w:t>扫描件</w:t>
            </w:r>
            <w:r>
              <w:rPr>
                <w:rFonts w:hint="eastAsia" w:hAnsi="宋体" w:cs="方正仿宋_GB2312"/>
                <w:color w:val="auto"/>
                <w:kern w:val="0"/>
                <w:highlight w:val="none"/>
                <w:lang w:eastAsia="zh-CN" w:bidi="ar"/>
              </w:rPr>
              <w:t>。</w:t>
            </w:r>
          </w:p>
        </w:tc>
      </w:tr>
      <w:tr w14:paraId="481C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7F3BD55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8</w:t>
            </w:r>
          </w:p>
        </w:tc>
        <w:tc>
          <w:tcPr>
            <w:tcW w:w="1905" w:type="dxa"/>
            <w:noWrap w:val="0"/>
            <w:vAlign w:val="center"/>
          </w:tcPr>
          <w:p w14:paraId="0143710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净水箱</w:t>
            </w:r>
          </w:p>
        </w:tc>
        <w:tc>
          <w:tcPr>
            <w:tcW w:w="6738" w:type="dxa"/>
            <w:noWrap w:val="0"/>
            <w:vAlign w:val="center"/>
          </w:tcPr>
          <w:p w14:paraId="7560891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水箱的密封性良好。禁止设计泄水阀，带通气装置。</w:t>
            </w:r>
          </w:p>
        </w:tc>
      </w:tr>
      <w:tr w14:paraId="2561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2361CDF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9</w:t>
            </w:r>
          </w:p>
        </w:tc>
        <w:tc>
          <w:tcPr>
            <w:tcW w:w="1905" w:type="dxa"/>
            <w:noWrap w:val="0"/>
            <w:vAlign w:val="center"/>
          </w:tcPr>
          <w:p w14:paraId="7882EC9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净水加压泵组</w:t>
            </w:r>
          </w:p>
        </w:tc>
        <w:tc>
          <w:tcPr>
            <w:tcW w:w="6738" w:type="dxa"/>
            <w:noWrap w:val="0"/>
            <w:vAlign w:val="center"/>
          </w:tcPr>
          <w:p w14:paraId="411B72F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净水加压泵组采用变频一对一方式，确保系统运行平稳，安全可靠。水泵参数满足使用要求，确保取水末端出水流量及压力满足使用要求。每套设备的水泵应一用一备</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val="en-US" w:eastAsia="zh-CN" w:bidi="ar"/>
              </w:rPr>
              <w:t>供水分两个区，一楼到七楼为低压区，七楼以上为高压区</w:t>
            </w:r>
            <w:r>
              <w:rPr>
                <w:rFonts w:hint="eastAsia" w:ascii="宋体" w:hAnsi="宋体" w:cs="宋体"/>
                <w:b w:val="0"/>
                <w:bCs/>
                <w:color w:val="auto"/>
                <w:kern w:val="0"/>
                <w:szCs w:val="21"/>
                <w:highlight w:val="none"/>
                <w:lang w:bidi="ar"/>
              </w:rPr>
              <w:t>。</w:t>
            </w:r>
          </w:p>
        </w:tc>
      </w:tr>
      <w:tr w14:paraId="6D33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3D2BD92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10</w:t>
            </w:r>
          </w:p>
        </w:tc>
        <w:tc>
          <w:tcPr>
            <w:tcW w:w="1905" w:type="dxa"/>
            <w:noWrap w:val="0"/>
            <w:vAlign w:val="center"/>
          </w:tcPr>
          <w:p w14:paraId="74F52FB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消毒器</w:t>
            </w:r>
          </w:p>
        </w:tc>
        <w:tc>
          <w:tcPr>
            <w:tcW w:w="6738" w:type="dxa"/>
            <w:noWrap w:val="0"/>
            <w:vAlign w:val="center"/>
          </w:tcPr>
          <w:p w14:paraId="72CB2B4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紫外线消毒器：应具有记录灯管运行时间、声光报警提示、灯管故障记录功能。臭氧发生器：臭氧浓度不小于3.5g/m3、臭氧产量不低于3g/h、耗电量小于35kW·h/kg、臭氧泄漏量小于0.15mg/m3。</w:t>
            </w:r>
          </w:p>
        </w:tc>
      </w:tr>
      <w:tr w14:paraId="3A53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5191CC7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11</w:t>
            </w:r>
          </w:p>
        </w:tc>
        <w:tc>
          <w:tcPr>
            <w:tcW w:w="1905" w:type="dxa"/>
            <w:noWrap w:val="0"/>
            <w:vAlign w:val="center"/>
          </w:tcPr>
          <w:p w14:paraId="0874930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回水系统</w:t>
            </w:r>
          </w:p>
        </w:tc>
        <w:tc>
          <w:tcPr>
            <w:tcW w:w="6738" w:type="dxa"/>
            <w:noWrap w:val="0"/>
            <w:vAlign w:val="center"/>
          </w:tcPr>
          <w:p w14:paraId="4F764F4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包含回水处理、回水过滤、回水杀菌功能。满足食品卫生需求。</w:t>
            </w:r>
          </w:p>
        </w:tc>
      </w:tr>
      <w:tr w14:paraId="2DB9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030029D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12</w:t>
            </w:r>
          </w:p>
        </w:tc>
        <w:tc>
          <w:tcPr>
            <w:tcW w:w="1905" w:type="dxa"/>
            <w:noWrap w:val="0"/>
            <w:vAlign w:val="center"/>
          </w:tcPr>
          <w:p w14:paraId="5F16C04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水质监测</w:t>
            </w:r>
          </w:p>
        </w:tc>
        <w:tc>
          <w:tcPr>
            <w:tcW w:w="6738" w:type="dxa"/>
            <w:noWrap w:val="0"/>
            <w:vAlign w:val="center"/>
          </w:tcPr>
          <w:p w14:paraId="59B29EF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eastAsia="zh-CN" w:bidi="ar"/>
              </w:rPr>
            </w:pPr>
            <w:r>
              <w:rPr>
                <w:rFonts w:hint="eastAsia" w:ascii="宋体" w:hAnsi="宋体" w:cs="宋体"/>
                <w:b w:val="0"/>
                <w:bCs/>
                <w:color w:val="auto"/>
                <w:kern w:val="0"/>
                <w:szCs w:val="21"/>
                <w:highlight w:val="none"/>
                <w:lang w:val="en-US" w:eastAsia="zh-CN" w:bidi="ar"/>
              </w:rPr>
              <w:t>1.</w:t>
            </w:r>
            <w:r>
              <w:rPr>
                <w:rFonts w:hint="eastAsia" w:ascii="宋体" w:hAnsi="宋体" w:cs="宋体"/>
                <w:b w:val="0"/>
                <w:bCs/>
                <w:color w:val="auto"/>
                <w:kern w:val="0"/>
                <w:szCs w:val="21"/>
                <w:highlight w:val="none"/>
                <w:lang w:bidi="ar"/>
              </w:rPr>
              <w:t>可实时监测产水的浊度，</w:t>
            </w:r>
            <w:r>
              <w:rPr>
                <w:rFonts w:hint="eastAsia" w:ascii="宋体" w:hAnsi="宋体" w:cs="宋体"/>
                <w:b w:val="0"/>
                <w:bCs/>
                <w:color w:val="auto"/>
                <w:kern w:val="0"/>
                <w:szCs w:val="21"/>
                <w:highlight w:val="none"/>
                <w:lang w:val="en-US" w:eastAsia="zh-CN" w:bidi="ar"/>
              </w:rPr>
              <w:t>p</w:t>
            </w:r>
            <w:r>
              <w:rPr>
                <w:rFonts w:hint="eastAsia" w:ascii="宋体" w:hAnsi="宋体" w:cs="宋体"/>
                <w:b w:val="0"/>
                <w:bCs/>
                <w:color w:val="auto"/>
                <w:kern w:val="0"/>
                <w:szCs w:val="21"/>
                <w:highlight w:val="none"/>
                <w:lang w:bidi="ar"/>
              </w:rPr>
              <w:t>H值，</w:t>
            </w:r>
            <w:r>
              <w:rPr>
                <w:rFonts w:hint="eastAsia" w:ascii="宋体" w:hAnsi="宋体" w:cs="宋体"/>
                <w:b w:val="0"/>
                <w:bCs/>
                <w:color w:val="auto"/>
                <w:kern w:val="0"/>
                <w:szCs w:val="21"/>
                <w:highlight w:val="none"/>
                <w:lang w:val="en-US" w:eastAsia="zh-CN" w:bidi="ar"/>
              </w:rPr>
              <w:t>余氯</w:t>
            </w:r>
            <w:r>
              <w:rPr>
                <w:rFonts w:hint="eastAsia" w:ascii="宋体" w:hAnsi="宋体" w:cs="宋体"/>
                <w:b w:val="0"/>
                <w:bCs/>
                <w:color w:val="auto"/>
                <w:kern w:val="0"/>
                <w:szCs w:val="21"/>
                <w:highlight w:val="none"/>
                <w:lang w:bidi="ar"/>
              </w:rPr>
              <w:t>功能</w:t>
            </w:r>
            <w:r>
              <w:rPr>
                <w:rFonts w:hint="eastAsia" w:ascii="宋体" w:hAnsi="宋体" w:cs="宋体"/>
                <w:b w:val="0"/>
                <w:bCs/>
                <w:color w:val="auto"/>
                <w:kern w:val="0"/>
                <w:szCs w:val="21"/>
                <w:highlight w:val="none"/>
                <w:lang w:eastAsia="zh-CN" w:bidi="ar"/>
              </w:rPr>
              <w:t>；</w:t>
            </w:r>
          </w:p>
          <w:p w14:paraId="57438D7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宋体" w:hAnsi="宋体" w:eastAsia="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bidi="ar"/>
              </w:rPr>
              <w:t>①满足pH测量范围0-14，精度≤0.05pH；②满足浊度采用90°散射法原理，光源LED；精度≤±1%FS，量程0-2NTU(可调)；③满足整体仪表采用485通讯协议，可实现平台对接并导出数据；</w:t>
            </w:r>
            <w:r>
              <w:rPr>
                <w:rFonts w:hint="eastAsia" w:ascii="宋体" w:hAnsi="宋体" w:cs="宋体"/>
                <w:b w:val="0"/>
                <w:bCs/>
                <w:color w:val="auto"/>
                <w:kern w:val="0"/>
                <w:szCs w:val="21"/>
                <w:highlight w:val="none"/>
                <w:lang w:val="en-US" w:eastAsia="zh-CN" w:bidi="ar"/>
              </w:rPr>
              <w:t>流量水质等参数须接入水务智慧平台系统。</w:t>
            </w:r>
          </w:p>
          <w:p w14:paraId="012F436D">
            <w:pPr>
              <w:pStyle w:val="39"/>
              <w:keepNext w:val="0"/>
              <w:keepLines w:val="0"/>
              <w:pageBreakBefore w:val="0"/>
              <w:widowControl w:val="0"/>
              <w:suppressLineNumbers w:val="0"/>
              <w:shd w:val="clear"/>
              <w:kinsoku/>
              <w:wordWrap/>
              <w:overflowPunct/>
              <w:topLinePunct w:val="0"/>
              <w:autoSpaceDE/>
              <w:autoSpaceDN/>
              <w:bidi w:val="0"/>
              <w:spacing w:before="0" w:beforeAutospacing="0" w:afterAutospacing="0" w:line="240" w:lineRule="auto"/>
              <w:ind w:left="0" w:leftChars="0" w:right="0" w:firstLine="0" w:firstLineChars="0"/>
              <w:jc w:val="left"/>
              <w:textAlignment w:val="auto"/>
              <w:rPr>
                <w:rFonts w:hint="eastAsia"/>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要求设备系统具有在线监测水质变化的监测功能，包括但不限于</w:t>
            </w:r>
            <w:r>
              <w:rPr>
                <w:rFonts w:hint="eastAsia" w:ascii="宋体" w:hAnsi="宋体" w:cs="宋体"/>
                <w:b/>
                <w:bCs/>
                <w:color w:val="auto"/>
                <w:sz w:val="24"/>
                <w:highlight w:val="none"/>
                <w:u w:val="single"/>
              </w:rPr>
              <w:t>原水电导率（TDS）、直饮水电导率（TDS）、直饮水供水余臭氧、浊度、</w:t>
            </w:r>
            <w:r>
              <w:rPr>
                <w:rFonts w:hint="eastAsia" w:ascii="宋体" w:hAnsi="宋体" w:cs="宋体"/>
                <w:b/>
                <w:bCs/>
                <w:color w:val="auto"/>
                <w:sz w:val="24"/>
                <w:highlight w:val="none"/>
                <w:u w:val="single"/>
                <w:lang w:val="en-US" w:eastAsia="zh-CN"/>
              </w:rPr>
              <w:t>余氯、</w:t>
            </w:r>
            <w:r>
              <w:rPr>
                <w:rFonts w:hint="eastAsia" w:ascii="宋体" w:hAnsi="宋体" w:cs="宋体"/>
                <w:b/>
                <w:bCs/>
                <w:color w:val="auto"/>
                <w:sz w:val="24"/>
                <w:highlight w:val="none"/>
                <w:u w:val="single"/>
              </w:rPr>
              <w:t>PH值监测</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流量</w:t>
            </w:r>
            <w:r>
              <w:rPr>
                <w:rFonts w:hint="eastAsia" w:ascii="宋体" w:hAnsi="宋体" w:cs="宋体"/>
                <w:color w:val="auto"/>
                <w:sz w:val="24"/>
                <w:highlight w:val="none"/>
              </w:rPr>
              <w:t>等，在线检测水质指标应在设备电控柜触摸屏及通过平台实现用户手机端实时查看。</w:t>
            </w:r>
          </w:p>
        </w:tc>
      </w:tr>
      <w:tr w14:paraId="1E83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11897A5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13</w:t>
            </w:r>
          </w:p>
        </w:tc>
        <w:tc>
          <w:tcPr>
            <w:tcW w:w="1905" w:type="dxa"/>
            <w:noWrap w:val="0"/>
            <w:vAlign w:val="center"/>
          </w:tcPr>
          <w:p w14:paraId="101D1F4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控制系统</w:t>
            </w:r>
          </w:p>
        </w:tc>
        <w:tc>
          <w:tcPr>
            <w:tcW w:w="6738" w:type="dxa"/>
            <w:noWrap w:val="0"/>
            <w:vAlign w:val="center"/>
          </w:tcPr>
          <w:p w14:paraId="76A054A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控制系统需具备运行状态、水质在线监测，故障报警，远程管理等功能，同时具有远程监控</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val="en-US" w:eastAsia="zh-CN" w:bidi="ar"/>
              </w:rPr>
              <w:t>控制调节</w:t>
            </w:r>
            <w:r>
              <w:rPr>
                <w:rFonts w:hint="eastAsia" w:ascii="宋体" w:hAnsi="宋体" w:cs="宋体"/>
                <w:b w:val="0"/>
                <w:bCs/>
                <w:color w:val="auto"/>
                <w:kern w:val="0"/>
                <w:szCs w:val="21"/>
                <w:highlight w:val="none"/>
                <w:lang w:bidi="ar"/>
              </w:rPr>
              <w:t>功能</w:t>
            </w:r>
            <w:r>
              <w:rPr>
                <w:rFonts w:hint="eastAsia" w:ascii="宋体" w:hAnsi="宋体" w:cs="宋体"/>
                <w:b w:val="0"/>
                <w:bCs/>
                <w:color w:val="auto"/>
                <w:kern w:val="0"/>
                <w:szCs w:val="21"/>
                <w:highlight w:val="none"/>
                <w:lang w:val="en-US" w:eastAsia="zh-CN" w:bidi="ar"/>
              </w:rPr>
              <w:t>，</w:t>
            </w:r>
            <w:r>
              <w:rPr>
                <w:rFonts w:hint="eastAsia" w:ascii="宋体" w:hAnsi="宋体" w:cs="宋体"/>
                <w:b w:val="0"/>
                <w:bCs/>
                <w:color w:val="auto"/>
                <w:kern w:val="0"/>
                <w:szCs w:val="21"/>
                <w:highlight w:val="none"/>
                <w:lang w:val="en-US" w:eastAsia="zh-CN" w:bidi="ar"/>
              </w:rPr>
              <w:t>能远程调节供水压力</w:t>
            </w:r>
            <w:r>
              <w:rPr>
                <w:rFonts w:hint="eastAsia" w:ascii="宋体" w:hAnsi="宋体" w:cs="宋体"/>
                <w:b w:val="0"/>
                <w:bCs/>
                <w:color w:val="auto"/>
                <w:kern w:val="0"/>
                <w:szCs w:val="21"/>
                <w:highlight w:val="none"/>
                <w:lang w:bidi="ar"/>
              </w:rPr>
              <w:t>。系统具有在不同工作环境下可靠运行，并设有相应参数自动保护系统。设备实时在线检测水质信息可通过现场设备所配备的触摸屏显示、可通过远程网络监控系统传输至电脑端和手机客户端。采用10寸高清液晶触摸屏，应有电源、电流、电压显示；控制面板应有水泵启、停显示；控制箱应有压力设定、实际压力、水泵频率、电导率显示。</w:t>
            </w:r>
          </w:p>
        </w:tc>
      </w:tr>
      <w:tr w14:paraId="7FED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637A430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14</w:t>
            </w:r>
          </w:p>
        </w:tc>
        <w:tc>
          <w:tcPr>
            <w:tcW w:w="1905" w:type="dxa"/>
            <w:noWrap w:val="0"/>
            <w:vAlign w:val="center"/>
          </w:tcPr>
          <w:p w14:paraId="1BF80F2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计量</w:t>
            </w:r>
          </w:p>
        </w:tc>
        <w:tc>
          <w:tcPr>
            <w:tcW w:w="6738" w:type="dxa"/>
            <w:noWrap w:val="0"/>
            <w:vAlign w:val="center"/>
          </w:tcPr>
          <w:p w14:paraId="1CBB154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采用</w:t>
            </w:r>
            <w:r>
              <w:rPr>
                <w:rFonts w:hint="eastAsia" w:ascii="宋体" w:hAnsi="宋体" w:cs="宋体"/>
                <w:b w:val="0"/>
                <w:bCs/>
                <w:color w:val="auto"/>
                <w:kern w:val="0"/>
                <w:szCs w:val="21"/>
                <w:highlight w:val="none"/>
                <w:lang w:val="en-US" w:eastAsia="zh-CN" w:bidi="ar"/>
              </w:rPr>
              <w:t>直饮水不锈钢</w:t>
            </w:r>
            <w:r>
              <w:rPr>
                <w:rFonts w:hint="eastAsia" w:ascii="宋体" w:hAnsi="宋体" w:cs="宋体"/>
                <w:b w:val="0"/>
                <w:bCs/>
                <w:color w:val="auto"/>
                <w:kern w:val="0"/>
                <w:szCs w:val="21"/>
                <w:highlight w:val="none"/>
                <w:lang w:bidi="ar"/>
              </w:rPr>
              <w:t>远传水表</w:t>
            </w:r>
            <w:r>
              <w:rPr>
                <w:rFonts w:hint="eastAsia" w:ascii="宋体" w:hAnsi="宋体" w:cs="宋体"/>
                <w:b w:val="0"/>
                <w:bCs/>
                <w:color w:val="auto"/>
                <w:kern w:val="0"/>
                <w:szCs w:val="21"/>
                <w:highlight w:val="none"/>
                <w:lang w:bidi="ar"/>
              </w:rPr>
              <w:t>，</w:t>
            </w:r>
            <w:r>
              <w:rPr>
                <w:rFonts w:hint="eastAsia" w:ascii="宋体" w:hAnsi="宋体" w:cs="宋体"/>
                <w:b w:val="0"/>
                <w:bCs/>
                <w:color w:val="auto"/>
                <w:kern w:val="0"/>
                <w:szCs w:val="21"/>
                <w:highlight w:val="none"/>
                <w:lang w:val="en-US" w:eastAsia="zh-CN" w:bidi="ar"/>
              </w:rPr>
              <w:t>按层计量（进水管与回水管均须安装远传水表），</w:t>
            </w:r>
            <w:r>
              <w:rPr>
                <w:rFonts w:hint="eastAsia" w:ascii="宋体" w:hAnsi="宋体" w:cs="宋体"/>
                <w:b w:val="0"/>
                <w:bCs/>
                <w:color w:val="auto"/>
                <w:kern w:val="0"/>
                <w:szCs w:val="21"/>
                <w:highlight w:val="none"/>
                <w:lang w:bidi="ar"/>
              </w:rPr>
              <w:t>可以实现线上抄表功能。</w:t>
            </w:r>
          </w:p>
        </w:tc>
      </w:tr>
      <w:tr w14:paraId="42D0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14:paraId="3462947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15</w:t>
            </w:r>
          </w:p>
        </w:tc>
        <w:tc>
          <w:tcPr>
            <w:tcW w:w="1905" w:type="dxa"/>
            <w:noWrap w:val="0"/>
            <w:vAlign w:val="center"/>
          </w:tcPr>
          <w:p w14:paraId="5B7F165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外观</w:t>
            </w:r>
          </w:p>
        </w:tc>
        <w:tc>
          <w:tcPr>
            <w:tcW w:w="6738" w:type="dxa"/>
            <w:noWrap w:val="0"/>
            <w:vAlign w:val="center"/>
          </w:tcPr>
          <w:p w14:paraId="6681C70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制水设备拥有集成美观的整体外壳。所有设备焊接处的焊缝应均匀、牢固，不允许有气孔、夹渣、裂纹或烧穿等缺陷。喷塑和喷漆部位不应有脱落、剥离、起泡、留痕等缺陷。</w:t>
            </w:r>
          </w:p>
        </w:tc>
      </w:tr>
    </w:tbl>
    <w:p w14:paraId="30CF6FFB">
      <w:pPr>
        <w:keepNext w:val="0"/>
        <w:keepLines w:val="0"/>
        <w:pageBreakBefore w:val="0"/>
        <w:widowControl w:val="0"/>
        <w:numPr>
          <w:ilvl w:val="0"/>
          <w:numId w:val="33"/>
        </w:numPr>
        <w:shd w:val="clear"/>
        <w:kinsoku/>
        <w:wordWrap/>
        <w:overflowPunct/>
        <w:topLinePunct w:val="0"/>
        <w:autoSpaceDE/>
        <w:autoSpaceDN/>
        <w:bidi w:val="0"/>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功能要求</w:t>
      </w:r>
    </w:p>
    <w:p w14:paraId="17600AE3">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设备具有手动控制和自动控制功能：手动控制应能对设备的各个部分进行独立控制，自动控制功能应能使机主自动启动并投入正常运行。</w:t>
      </w:r>
    </w:p>
    <w:p w14:paraId="36FC4F1A">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自动维护功能：设备应能对前置系统中的过滤、吸附、软化装置及主机的水处理装置进行定期的自动维护，自动维护时间可设定。</w:t>
      </w:r>
    </w:p>
    <w:p w14:paraId="69BCECE1">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无水自动停机、有水自动开机功能：设备在原水水源无水时，应能无水自动停机保护，并具有自动报警功能，水源恢复后应能自动启动。</w:t>
      </w:r>
    </w:p>
    <w:p w14:paraId="350AE79E">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自动待机和自动开机：设备在净水水满时应能够使主机及前置系统自动待机，水位降低到一定值时自动开机。</w:t>
      </w:r>
    </w:p>
    <w:p w14:paraId="0E45D963">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出水压力控制精度：设备设定出水压力与实际出水压力的偏差以及对于不同压力扰动的重复性偏差均不应超过设定压力</w:t>
      </w:r>
      <w:r>
        <w:rPr>
          <w:rFonts w:hint="eastAsia" w:ascii="宋体" w:hAnsi="宋体" w:cs="宋体"/>
          <w:color w:val="auto"/>
          <w:szCs w:val="21"/>
          <w:highlight w:val="none"/>
        </w:rPr>
        <w:object>
          <v:shape id="_x0000_i1025" o:spt="75" type="#_x0000_t75" style="height:11.6pt;width:10.85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cs="宋体"/>
          <w:color w:val="auto"/>
          <w:szCs w:val="21"/>
          <w:highlight w:val="none"/>
        </w:rPr>
        <w:t>0.01MPa。</w:t>
      </w:r>
    </w:p>
    <w:p w14:paraId="319A7493">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水泵自动切换功能：设备配套水泵应能自动切换运行，且水泵切换设定的时间误差不超过±30S，切换运行的时间可调整。</w:t>
      </w:r>
    </w:p>
    <w:p w14:paraId="34E1781C">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设备应有保护功能：设备应具有电源过压、欠压、缺项、短路、过流等故障报警及自动保护功能。对可恢复的故障应能自动或手动消除，恢复正常运行。</w:t>
      </w:r>
    </w:p>
    <w:p w14:paraId="4D6ED104">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远程监控功能：控制系统运行安全可靠，具有中文系统的人机操作界面，能显示各运行参数，设置故障报警、故障停机，实现无人值守、自动运行。</w:t>
      </w:r>
    </w:p>
    <w:p w14:paraId="5A95383A">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设备抗干扰功能：设备应具有较强的抗干扰能力，在一定负荷的用电设备干扰下应能稳定正常工作，不应出现压力振荡、仪表干扰或停机保护现象。</w:t>
      </w:r>
    </w:p>
    <w:p w14:paraId="40C57464">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产水能力：正常状态下设备的产水量不应小于设备标牌中标定的数值。</w:t>
      </w:r>
    </w:p>
    <w:p w14:paraId="0D45AA2C">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水箱液位：净水箱和原水箱液位数值可以在控制面板设置。</w:t>
      </w:r>
    </w:p>
    <w:p w14:paraId="217024A2">
      <w:pPr>
        <w:numPr>
          <w:ilvl w:val="0"/>
          <w:numId w:val="0"/>
        </w:numPr>
        <w:shd w:val="clear"/>
        <w:adjustRightInd w:val="0"/>
        <w:snapToGrid w:val="0"/>
        <w:spacing w:line="500" w:lineRule="exact"/>
        <w:ind w:left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lang w:eastAsia="zh-CN"/>
        </w:rPr>
        <w:t>）</w:t>
      </w:r>
      <w:r>
        <w:rPr>
          <w:rFonts w:hint="eastAsia" w:ascii="宋体" w:hAnsi="宋体" w:cs="宋体"/>
          <w:color w:val="auto"/>
          <w:szCs w:val="21"/>
          <w:highlight w:val="none"/>
        </w:rPr>
        <w:t>材质品牌要求</w:t>
      </w:r>
    </w:p>
    <w:tbl>
      <w:tblPr>
        <w:tblStyle w:val="41"/>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00"/>
        <w:gridCol w:w="6750"/>
      </w:tblGrid>
      <w:tr w14:paraId="1718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3D33AE3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序号</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1F6EFB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名称</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28896BE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品牌信息清单</w:t>
            </w:r>
          </w:p>
        </w:tc>
      </w:tr>
      <w:tr w14:paraId="06F1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66E958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63B557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多介质过滤器</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5BAD7E7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过流面材质不低于SUS304，阀头采用国内知名品牌（推荐润新、阿图祖、富莱克）</w:t>
            </w:r>
          </w:p>
        </w:tc>
      </w:tr>
      <w:tr w14:paraId="2DCC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5AD0169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2</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ABB586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活性炭过滤器</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17AA640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过流面材质不低于SUS304，阀头采用国内知名品牌（推荐润新、阿图祖、富莱克）</w:t>
            </w:r>
          </w:p>
        </w:tc>
      </w:tr>
      <w:tr w14:paraId="2E2B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C224CC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D0486E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精密过滤器</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624CF0D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过流面材质不低于SUS304</w:t>
            </w:r>
          </w:p>
        </w:tc>
      </w:tr>
      <w:tr w14:paraId="7294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noWrap w:val="0"/>
            <w:vAlign w:val="center"/>
          </w:tcPr>
          <w:p w14:paraId="698DF5D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4</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4E81A6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增压部分</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7285270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cs="宋体"/>
                <w:b w:val="0"/>
                <w:bCs/>
                <w:color w:val="auto"/>
                <w:kern w:val="0"/>
                <w:szCs w:val="21"/>
                <w:highlight w:val="none"/>
                <w:lang w:bidi="ar"/>
              </w:rPr>
              <w:t>包含水泵（推荐</w:t>
            </w:r>
            <w:r>
              <w:rPr>
                <w:rFonts w:hint="eastAsia" w:ascii="宋体" w:hAnsi="宋体" w:cs="宋体"/>
                <w:b w:val="0"/>
                <w:bCs/>
                <w:color w:val="auto"/>
                <w:kern w:val="0"/>
                <w:szCs w:val="21"/>
                <w:highlight w:val="none"/>
                <w:lang w:bidi="ar"/>
              </w:rPr>
              <w:t>格兰富</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val="en-US" w:eastAsia="zh-CN" w:bidi="ar"/>
              </w:rPr>
              <w:t>凯士比、三利</w:t>
            </w:r>
            <w:r>
              <w:rPr>
                <w:rFonts w:hint="eastAsia"/>
                <w:color w:val="auto"/>
                <w:sz w:val="24"/>
                <w:szCs w:val="24"/>
                <w:highlight w:val="none"/>
                <w:lang w:val="en-US" w:eastAsia="zh-CN"/>
              </w:rPr>
              <w:t>或（经采购人认可）不低于以上品牌质量标准的品牌产品</w:t>
            </w:r>
            <w:r>
              <w:rPr>
                <w:rFonts w:hint="eastAsia" w:ascii="宋体" w:hAnsi="宋体" w:cs="宋体"/>
                <w:b w:val="0"/>
                <w:bCs/>
                <w:color w:val="auto"/>
                <w:kern w:val="0"/>
                <w:szCs w:val="21"/>
                <w:highlight w:val="none"/>
                <w:lang w:bidi="ar"/>
              </w:rPr>
              <w:t>）、止回阀</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bidi="ar"/>
              </w:rPr>
              <w:t>推荐</w:t>
            </w:r>
            <w:r>
              <w:rPr>
                <w:rFonts w:hint="eastAsia" w:ascii="宋体" w:hAnsi="宋体" w:eastAsia="宋体" w:cs="宋体"/>
                <w:color w:val="auto"/>
                <w:kern w:val="2"/>
                <w:sz w:val="24"/>
                <w:szCs w:val="24"/>
                <w:highlight w:val="none"/>
                <w:lang w:val="en-US" w:eastAsia="zh-CN" w:bidi="ar"/>
              </w:rPr>
              <w:t>阀安格水处理系统(太仓)有限公司的VAG牌、AVK阀门(安徽)有限公司的AVK牌、上海冠龙</w:t>
            </w:r>
          </w:p>
          <w:p w14:paraId="2D0F4A4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eastAsia="宋体" w:cs="宋体"/>
                <w:color w:val="auto"/>
                <w:kern w:val="2"/>
                <w:sz w:val="24"/>
                <w:szCs w:val="24"/>
                <w:highlight w:val="none"/>
                <w:lang w:val="en-US" w:eastAsia="zh-CN" w:bidi="ar"/>
              </w:rPr>
              <w:t>(KARON)牌</w:t>
            </w:r>
            <w:r>
              <w:rPr>
                <w:rFonts w:hint="eastAsia" w:ascii="宋体" w:hAnsi="宋体" w:cs="宋体"/>
                <w:b w:val="0"/>
                <w:bCs/>
                <w:color w:val="auto"/>
                <w:kern w:val="0"/>
                <w:szCs w:val="21"/>
                <w:highlight w:val="none"/>
                <w:lang w:eastAsia="zh-CN" w:bidi="ar"/>
              </w:rPr>
              <w:t>）</w:t>
            </w:r>
            <w:r>
              <w:rPr>
                <w:rFonts w:hint="eastAsia"/>
                <w:color w:val="auto"/>
                <w:sz w:val="24"/>
                <w:szCs w:val="24"/>
                <w:highlight w:val="none"/>
                <w:lang w:val="en-US" w:eastAsia="zh-CN"/>
              </w:rPr>
              <w:t>或（经采购人认可）不低于以上品牌质量标准的品牌产品</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bidi="ar"/>
              </w:rPr>
              <w:t>、压力传感器，过流体材质不低于SUS304</w:t>
            </w:r>
          </w:p>
        </w:tc>
      </w:tr>
      <w:tr w14:paraId="3F1A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noWrap w:val="0"/>
            <w:vAlign w:val="center"/>
          </w:tcPr>
          <w:p w14:paraId="6E0FE53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5</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477D19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纳滤膜部分</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0601CEC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bidi="ar"/>
              </w:rPr>
              <w:t>包含</w:t>
            </w:r>
            <w:r>
              <w:rPr>
                <w:rFonts w:hint="eastAsia" w:ascii="宋体" w:hAnsi="宋体" w:cs="宋体"/>
                <w:b w:val="0"/>
                <w:bCs/>
                <w:color w:val="auto"/>
                <w:kern w:val="0"/>
                <w:szCs w:val="21"/>
                <w:highlight w:val="none"/>
                <w:lang w:bidi="ar"/>
              </w:rPr>
              <w:t>纳滤膜、纳滤膜壳均采用国内知名品牌</w:t>
            </w:r>
            <w:r>
              <w:rPr>
                <w:rFonts w:hint="eastAsia" w:ascii="宋体" w:hAnsi="宋体" w:cs="宋体"/>
                <w:b w:val="0"/>
                <w:bCs/>
                <w:color w:val="auto"/>
                <w:kern w:val="0"/>
                <w:szCs w:val="21"/>
                <w:highlight w:val="none"/>
                <w:lang w:bidi="ar"/>
              </w:rPr>
              <w:t>，</w:t>
            </w:r>
            <w:r>
              <w:rPr>
                <w:rFonts w:hint="eastAsia" w:ascii="宋体" w:hAnsi="宋体" w:cs="宋体"/>
                <w:b w:val="0"/>
                <w:bCs/>
                <w:color w:val="auto"/>
                <w:kern w:val="0"/>
                <w:szCs w:val="21"/>
                <w:highlight w:val="none"/>
                <w:lang w:val="en-US" w:eastAsia="zh-CN" w:bidi="ar"/>
              </w:rPr>
              <w:t>推荐品牌：杜邦、苏伊士、东丽</w:t>
            </w:r>
            <w:r>
              <w:rPr>
                <w:rFonts w:hint="eastAsia" w:ascii="宋体" w:hAnsi="宋体" w:eastAsia="宋体" w:cs="宋体"/>
                <w:b w:val="0"/>
                <w:bCs w:val="0"/>
                <w:color w:val="auto"/>
                <w:kern w:val="0"/>
                <w:szCs w:val="21"/>
                <w:highlight w:val="none"/>
                <w:u w:val="none"/>
                <w:lang w:val="en-US" w:eastAsia="zh-CN" w:bidi="ar"/>
              </w:rPr>
              <w:t>或（</w:t>
            </w:r>
            <w:r>
              <w:rPr>
                <w:rFonts w:hint="eastAsia" w:ascii="宋体" w:hAnsi="宋体" w:cs="宋体"/>
                <w:b w:val="0"/>
                <w:bCs w:val="0"/>
                <w:color w:val="auto"/>
                <w:kern w:val="0"/>
                <w:szCs w:val="21"/>
                <w:highlight w:val="none"/>
                <w:u w:val="none"/>
                <w:lang w:val="en-US" w:eastAsia="zh-CN" w:bidi="ar"/>
              </w:rPr>
              <w:t>经采购人认可</w:t>
            </w:r>
            <w:r>
              <w:rPr>
                <w:rFonts w:hint="eastAsia" w:ascii="宋体" w:hAnsi="宋体" w:eastAsia="宋体" w:cs="宋体"/>
                <w:b w:val="0"/>
                <w:bCs w:val="0"/>
                <w:color w:val="auto"/>
                <w:kern w:val="0"/>
                <w:szCs w:val="21"/>
                <w:highlight w:val="none"/>
                <w:u w:val="none"/>
                <w:lang w:val="en-US" w:eastAsia="zh-CN" w:bidi="ar"/>
              </w:rPr>
              <w:t>）不低于以上品牌质量标准的品牌产品</w:t>
            </w:r>
            <w:r>
              <w:rPr>
                <w:rFonts w:hint="eastAsia" w:ascii="宋体" w:hAnsi="宋体" w:cs="宋体"/>
                <w:b w:val="0"/>
                <w:bCs w:val="0"/>
                <w:color w:val="auto"/>
                <w:kern w:val="0"/>
                <w:szCs w:val="21"/>
                <w:highlight w:val="none"/>
                <w:u w:val="none"/>
                <w:lang w:val="en-US" w:eastAsia="zh-CN" w:bidi="ar"/>
              </w:rPr>
              <w:t>；</w:t>
            </w:r>
          </w:p>
          <w:p w14:paraId="25F0B55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压力传感器（推荐丹弗斯、威卡、E+H、罗斯蒙特</w:t>
            </w:r>
            <w:r>
              <w:rPr>
                <w:rFonts w:hint="eastAsia"/>
                <w:color w:val="auto"/>
                <w:sz w:val="24"/>
                <w:szCs w:val="24"/>
                <w:highlight w:val="none"/>
                <w:lang w:val="en-US" w:eastAsia="zh-CN"/>
              </w:rPr>
              <w:t>或（经采购人认可）不低于以上品牌质量标准的品牌产品</w:t>
            </w:r>
            <w:r>
              <w:rPr>
                <w:rFonts w:hint="eastAsia" w:ascii="宋体" w:hAnsi="宋体" w:cs="宋体"/>
                <w:b w:val="0"/>
                <w:bCs/>
                <w:color w:val="auto"/>
                <w:kern w:val="0"/>
                <w:szCs w:val="21"/>
                <w:highlight w:val="none"/>
                <w:lang w:bidi="ar"/>
              </w:rPr>
              <w:t>）、</w:t>
            </w:r>
            <w:r>
              <w:rPr>
                <w:rFonts w:hint="eastAsia" w:ascii="宋体" w:hAnsi="宋体" w:cs="宋体"/>
                <w:b w:val="0"/>
                <w:bCs/>
                <w:color w:val="auto"/>
                <w:kern w:val="0"/>
                <w:szCs w:val="21"/>
                <w:highlight w:val="none"/>
                <w:lang w:bidi="ar"/>
              </w:rPr>
              <w:t>流量计</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val="en-US" w:eastAsia="zh-CN" w:bidi="ar"/>
              </w:rPr>
              <w:t>推荐</w:t>
            </w:r>
            <w:r>
              <w:rPr>
                <w:rFonts w:hint="default"/>
                <w:color w:val="auto"/>
                <w:sz w:val="24"/>
                <w:szCs w:val="24"/>
                <w:highlight w:val="none"/>
              </w:rPr>
              <w:t>科隆、西门子、ABB</w:t>
            </w:r>
            <w:r>
              <w:rPr>
                <w:rFonts w:hint="eastAsia"/>
                <w:color w:val="auto"/>
                <w:sz w:val="24"/>
                <w:szCs w:val="24"/>
                <w:highlight w:val="none"/>
                <w:lang w:val="en-US" w:eastAsia="zh-CN"/>
              </w:rPr>
              <w:t>或（经采购人认可）不低于以上品牌质量标准的品牌产品</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bidi="ar"/>
              </w:rPr>
              <w:t>，过流面材质不低于SUS304</w:t>
            </w:r>
          </w:p>
        </w:tc>
      </w:tr>
      <w:tr w14:paraId="7716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18D18B7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6</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59A9AE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无菌水箱</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4BFA512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材质SUS304</w:t>
            </w:r>
          </w:p>
        </w:tc>
      </w:tr>
      <w:tr w14:paraId="2F56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1958606">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7</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1E7F830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紫外线消毒器</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79A9712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紫外线消毒器灯管采用知名品牌（飞利浦、Light-Source、贺利氏、申星</w:t>
            </w:r>
            <w:r>
              <w:rPr>
                <w:rFonts w:hint="eastAsia"/>
                <w:color w:val="auto"/>
                <w:sz w:val="24"/>
                <w:szCs w:val="24"/>
                <w:highlight w:val="none"/>
                <w:lang w:val="en-US" w:eastAsia="zh-CN"/>
              </w:rPr>
              <w:t>或（经采购人认可）不低于以上品牌质量标准的品牌产品</w:t>
            </w:r>
            <w:r>
              <w:rPr>
                <w:rFonts w:hint="eastAsia" w:ascii="宋体" w:hAnsi="宋体" w:cs="宋体"/>
                <w:b w:val="0"/>
                <w:bCs/>
                <w:color w:val="auto"/>
                <w:kern w:val="0"/>
                <w:szCs w:val="21"/>
                <w:highlight w:val="none"/>
                <w:lang w:bidi="ar"/>
              </w:rPr>
              <w:t>）、配套的紫外线杀菌器应具有记录灯管运行时间、声光报警提示、灯管故障记录功能。</w:t>
            </w:r>
          </w:p>
        </w:tc>
      </w:tr>
      <w:tr w14:paraId="502A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D7C84B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8</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44598EE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臭氧发生器</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5F07A83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bidi="ar"/>
              </w:rPr>
              <w:t>配套的臭氧发生器臭氧浓度不小于3.5g/m3、臭氧产量不低于3g/h、耗电量小于35kW·h/kg、臭氧泄漏量小于0.15mg/m3。</w:t>
            </w:r>
            <w:r>
              <w:rPr>
                <w:rFonts w:hint="eastAsia" w:ascii="宋体" w:hAnsi="宋体" w:cs="宋体"/>
                <w:b w:val="0"/>
                <w:bCs/>
                <w:color w:val="auto"/>
                <w:kern w:val="0"/>
                <w:szCs w:val="21"/>
                <w:highlight w:val="none"/>
                <w:lang w:val="en-US" w:eastAsia="zh-CN" w:bidi="ar"/>
              </w:rPr>
              <w:t>推荐品牌：</w:t>
            </w:r>
            <w:r>
              <w:rPr>
                <w:rFonts w:hint="eastAsia" w:ascii="宋体" w:hAnsi="宋体" w:cs="宋体"/>
                <w:b w:val="0"/>
                <w:bCs/>
                <w:color w:val="auto"/>
                <w:kern w:val="0"/>
                <w:szCs w:val="21"/>
                <w:highlight w:val="none"/>
                <w:lang w:val="en-US" w:eastAsia="zh-CN" w:bidi="ar"/>
              </w:rPr>
              <w:t>青岛国林、新大陆、威德高</w:t>
            </w:r>
            <w:r>
              <w:rPr>
                <w:rFonts w:hint="eastAsia"/>
                <w:color w:val="auto"/>
                <w:sz w:val="24"/>
                <w:szCs w:val="24"/>
                <w:highlight w:val="none"/>
                <w:lang w:val="en-US" w:eastAsia="zh-CN"/>
              </w:rPr>
              <w:t>或（经采购人认可）不低于以上品牌质量标准的品牌产品</w:t>
            </w:r>
          </w:p>
        </w:tc>
      </w:tr>
      <w:tr w14:paraId="5638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3380633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9</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41B2668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回水过滤器</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3AE81A1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过流面材质不低于SUS304</w:t>
            </w:r>
          </w:p>
        </w:tc>
      </w:tr>
      <w:tr w14:paraId="27A2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460DF10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10</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C67F62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纯水加压部分</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1FFE6B6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过流体材质不低于SUS304，水泵采用知</w:t>
            </w:r>
            <w:r>
              <w:rPr>
                <w:rFonts w:hint="eastAsia" w:ascii="宋体" w:hAnsi="宋体" w:cs="宋体"/>
                <w:b w:val="0"/>
                <w:bCs/>
                <w:color w:val="auto"/>
                <w:kern w:val="0"/>
                <w:szCs w:val="21"/>
                <w:highlight w:val="none"/>
                <w:lang w:bidi="ar"/>
              </w:rPr>
              <w:t>名品牌（</w:t>
            </w:r>
            <w:r>
              <w:rPr>
                <w:rFonts w:hint="eastAsia" w:ascii="宋体" w:hAnsi="宋体" w:cs="宋体"/>
                <w:b w:val="0"/>
                <w:bCs/>
                <w:color w:val="auto"/>
                <w:kern w:val="0"/>
                <w:szCs w:val="21"/>
                <w:highlight w:val="none"/>
                <w:lang w:bidi="ar"/>
              </w:rPr>
              <w:t>推荐</w:t>
            </w:r>
            <w:r>
              <w:rPr>
                <w:rFonts w:hint="eastAsia" w:ascii="宋体" w:hAnsi="宋体" w:cs="宋体"/>
                <w:b w:val="0"/>
                <w:bCs/>
                <w:color w:val="auto"/>
                <w:kern w:val="0"/>
                <w:szCs w:val="21"/>
                <w:highlight w:val="none"/>
                <w:lang w:bidi="ar"/>
              </w:rPr>
              <w:t>格兰富</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val="en-US" w:eastAsia="zh-CN" w:bidi="ar"/>
              </w:rPr>
              <w:t>凯士比、三利</w:t>
            </w:r>
            <w:r>
              <w:rPr>
                <w:rFonts w:hint="eastAsia"/>
                <w:color w:val="auto"/>
                <w:sz w:val="24"/>
                <w:szCs w:val="24"/>
                <w:highlight w:val="none"/>
                <w:lang w:val="en-US" w:eastAsia="zh-CN"/>
              </w:rPr>
              <w:t>或（经采购人认可）不低于以上品牌质量标准的品牌产品</w:t>
            </w:r>
            <w:r>
              <w:rPr>
                <w:rFonts w:hint="eastAsia" w:ascii="宋体" w:hAnsi="宋体" w:cs="宋体"/>
                <w:b w:val="0"/>
                <w:bCs/>
                <w:color w:val="auto"/>
                <w:kern w:val="0"/>
                <w:szCs w:val="21"/>
                <w:highlight w:val="none"/>
                <w:lang w:bidi="ar"/>
              </w:rPr>
              <w:t>）</w:t>
            </w:r>
          </w:p>
        </w:tc>
      </w:tr>
      <w:tr w14:paraId="01DC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14:paraId="0E6ECDA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96BBE8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水质监测</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46DAFBE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宋体" w:hAnsi="宋体" w:cs="宋体"/>
                <w:b w:val="0"/>
                <w:bCs/>
                <w:color w:val="auto"/>
                <w:kern w:val="0"/>
                <w:szCs w:val="21"/>
                <w:highlight w:val="none"/>
                <w:lang w:val="en-US" w:bidi="ar"/>
              </w:rPr>
            </w:pPr>
            <w:r>
              <w:rPr>
                <w:rFonts w:hint="eastAsia" w:ascii="宋体" w:hAnsi="宋体" w:cs="宋体"/>
                <w:b/>
                <w:bCs/>
                <w:color w:val="auto"/>
                <w:sz w:val="24"/>
                <w:highlight w:val="none"/>
                <w:u w:val="none"/>
              </w:rPr>
              <w:t>原水电导率（TDS）、直饮水电导率（TDS）、直饮水供水余臭氧、浊度、</w:t>
            </w:r>
            <w:r>
              <w:rPr>
                <w:rFonts w:hint="eastAsia" w:ascii="宋体" w:hAnsi="宋体" w:cs="宋体"/>
                <w:b/>
                <w:bCs/>
                <w:color w:val="auto"/>
                <w:sz w:val="24"/>
                <w:highlight w:val="none"/>
                <w:u w:val="none"/>
                <w:lang w:val="en-US" w:eastAsia="zh-CN"/>
              </w:rPr>
              <w:t>余氯、</w:t>
            </w:r>
            <w:r>
              <w:rPr>
                <w:rFonts w:hint="eastAsia" w:ascii="宋体" w:hAnsi="宋体" w:cs="宋体"/>
                <w:b/>
                <w:bCs/>
                <w:color w:val="auto"/>
                <w:sz w:val="24"/>
                <w:highlight w:val="none"/>
                <w:u w:val="none"/>
              </w:rPr>
              <w:t>PH值监测</w:t>
            </w:r>
            <w:r>
              <w:rPr>
                <w:rFonts w:hint="eastAsia" w:ascii="宋体" w:hAnsi="宋体" w:cs="宋体"/>
                <w:b/>
                <w:bCs/>
                <w:color w:val="auto"/>
                <w:sz w:val="24"/>
                <w:highlight w:val="none"/>
                <w:u w:val="none"/>
                <w:lang w:val="en-US" w:eastAsia="zh-CN"/>
              </w:rPr>
              <w:t>等水质</w:t>
            </w:r>
            <w:r>
              <w:rPr>
                <w:rFonts w:hint="eastAsia" w:ascii="宋体" w:hAnsi="宋体" w:cs="宋体"/>
                <w:b w:val="0"/>
                <w:bCs w:val="0"/>
                <w:color w:val="auto"/>
                <w:sz w:val="24"/>
                <w:highlight w:val="none"/>
                <w:u w:val="none"/>
                <w:lang w:val="en-US" w:eastAsia="zh-CN"/>
              </w:rPr>
              <w:t>仪表</w:t>
            </w:r>
            <w:r>
              <w:rPr>
                <w:rFonts w:hint="eastAsia" w:ascii="宋体" w:hAnsi="宋体" w:cs="宋体"/>
                <w:b w:val="0"/>
                <w:bCs w:val="0"/>
                <w:color w:val="auto"/>
                <w:kern w:val="0"/>
                <w:szCs w:val="21"/>
                <w:highlight w:val="none"/>
                <w:u w:val="none"/>
                <w:lang w:val="en-US" w:eastAsia="zh-CN" w:bidi="ar"/>
              </w:rPr>
              <w:t>推荐品牌为</w:t>
            </w:r>
            <w:r>
              <w:rPr>
                <w:rFonts w:hint="eastAsia" w:ascii="宋体" w:hAnsi="宋体" w:eastAsia="宋体" w:cs="宋体"/>
                <w:b w:val="0"/>
                <w:bCs w:val="0"/>
                <w:color w:val="auto"/>
                <w:kern w:val="0"/>
                <w:szCs w:val="21"/>
                <w:highlight w:val="none"/>
                <w:u w:val="none"/>
                <w:lang w:val="en-US" w:eastAsia="zh-CN" w:bidi="ar"/>
              </w:rPr>
              <w:t>：E+H、斯旺、WTW，</w:t>
            </w:r>
            <w:r>
              <w:rPr>
                <w:rFonts w:hint="eastAsia" w:ascii="宋体" w:hAnsi="宋体" w:cs="宋体"/>
                <w:b w:val="0"/>
                <w:bCs w:val="0"/>
                <w:color w:val="auto"/>
                <w:kern w:val="0"/>
                <w:szCs w:val="21"/>
                <w:highlight w:val="none"/>
                <w:u w:val="none"/>
                <w:lang w:val="en-US" w:eastAsia="zh-CN" w:bidi="ar"/>
              </w:rPr>
              <w:t>哈希、</w:t>
            </w:r>
            <w:r>
              <w:rPr>
                <w:rFonts w:hint="eastAsia" w:ascii="宋体" w:hAnsi="宋体" w:eastAsia="宋体" w:cs="宋体"/>
                <w:b w:val="0"/>
                <w:bCs w:val="0"/>
                <w:color w:val="auto"/>
                <w:kern w:val="0"/>
                <w:szCs w:val="21"/>
                <w:highlight w:val="none"/>
                <w:u w:val="none"/>
                <w:lang w:val="en-US" w:eastAsia="zh-CN" w:bidi="ar"/>
              </w:rPr>
              <w:t>熊猫或（</w:t>
            </w:r>
            <w:r>
              <w:rPr>
                <w:rFonts w:hint="eastAsia" w:ascii="宋体" w:hAnsi="宋体" w:cs="宋体"/>
                <w:b w:val="0"/>
                <w:bCs w:val="0"/>
                <w:color w:val="auto"/>
                <w:kern w:val="0"/>
                <w:szCs w:val="21"/>
                <w:highlight w:val="none"/>
                <w:u w:val="none"/>
                <w:lang w:val="en-US" w:eastAsia="zh-CN" w:bidi="ar"/>
              </w:rPr>
              <w:t>经采购人认可</w:t>
            </w:r>
            <w:r>
              <w:rPr>
                <w:rFonts w:hint="eastAsia" w:ascii="宋体" w:hAnsi="宋体" w:eastAsia="宋体" w:cs="宋体"/>
                <w:b w:val="0"/>
                <w:bCs w:val="0"/>
                <w:color w:val="auto"/>
                <w:kern w:val="0"/>
                <w:szCs w:val="21"/>
                <w:highlight w:val="none"/>
                <w:u w:val="none"/>
                <w:lang w:val="en-US" w:eastAsia="zh-CN" w:bidi="ar"/>
              </w:rPr>
              <w:t>）不低于以上品牌质量标准的品牌产品）</w:t>
            </w:r>
          </w:p>
        </w:tc>
      </w:tr>
      <w:tr w14:paraId="4389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noWrap w:val="0"/>
            <w:vAlign w:val="center"/>
          </w:tcPr>
          <w:p w14:paraId="2428CDD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12</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168E3C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控制系统</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7671D51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除软件部分外，控制柜内所有电器元器件均采用知名一线品牌产品（推荐</w:t>
            </w:r>
            <w:r>
              <w:rPr>
                <w:rFonts w:hint="eastAsia" w:ascii="宋体" w:hAnsi="宋体" w:cs="宋体"/>
                <w:b w:val="0"/>
                <w:bCs/>
                <w:color w:val="auto"/>
                <w:kern w:val="0"/>
                <w:szCs w:val="21"/>
                <w:highlight w:val="none"/>
                <w:lang w:val="en-US" w:eastAsia="zh-CN" w:bidi="ar"/>
              </w:rPr>
              <w:t>ABB、施耐德、西门子、AB</w:t>
            </w:r>
            <w:r>
              <w:rPr>
                <w:rFonts w:hint="eastAsia"/>
                <w:color w:val="auto"/>
                <w:sz w:val="24"/>
                <w:szCs w:val="24"/>
                <w:highlight w:val="none"/>
                <w:lang w:val="en-US" w:eastAsia="zh-CN"/>
              </w:rPr>
              <w:t>等</w:t>
            </w:r>
            <w:r>
              <w:rPr>
                <w:rFonts w:hint="eastAsia" w:ascii="宋体" w:hAnsi="宋体" w:cs="宋体"/>
                <w:b w:val="0"/>
                <w:bCs/>
                <w:color w:val="auto"/>
                <w:kern w:val="0"/>
                <w:szCs w:val="21"/>
                <w:highlight w:val="none"/>
                <w:lang w:bidi="ar"/>
              </w:rPr>
              <w:t>）。</w:t>
            </w:r>
          </w:p>
        </w:tc>
      </w:tr>
      <w:tr w14:paraId="67A0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op w:val="single" w:color="auto" w:sz="4" w:space="0"/>
              <w:left w:val="single" w:color="auto" w:sz="4" w:space="0"/>
              <w:bottom w:val="single" w:color="auto" w:sz="4" w:space="0"/>
              <w:right w:val="single" w:color="auto" w:sz="4" w:space="0"/>
            </w:tcBorders>
            <w:noWrap w:val="0"/>
            <w:vAlign w:val="center"/>
          </w:tcPr>
          <w:p w14:paraId="61F6488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color w:val="auto"/>
                <w:kern w:val="0"/>
                <w:szCs w:val="21"/>
                <w:highlight w:val="none"/>
                <w:lang w:eastAsia="zh-CN" w:bidi="ar"/>
              </w:rPr>
            </w:pPr>
            <w:r>
              <w:rPr>
                <w:rFonts w:hint="eastAsia" w:ascii="宋体" w:hAnsi="宋体" w:cs="宋体"/>
                <w:b w:val="0"/>
                <w:bCs/>
                <w:color w:val="auto"/>
                <w:kern w:val="0"/>
                <w:szCs w:val="21"/>
                <w:highlight w:val="none"/>
                <w:lang w:bidi="ar"/>
              </w:rPr>
              <w:t>13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1D1804C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0"/>
                <w:szCs w:val="21"/>
                <w:highlight w:val="none"/>
                <w:lang w:val="en-US" w:eastAsia="zh-CN" w:bidi="ar"/>
              </w:rPr>
            </w:pPr>
            <w:r>
              <w:rPr>
                <w:rFonts w:hint="eastAsia" w:ascii="宋体" w:hAnsi="宋体" w:eastAsia="宋体" w:cs="宋体"/>
                <w:b w:val="0"/>
                <w:bCs/>
                <w:color w:val="auto"/>
                <w:kern w:val="0"/>
                <w:szCs w:val="21"/>
                <w:highlight w:val="none"/>
                <w:lang w:val="zh-CN" w:bidi="ar"/>
              </w:rPr>
              <w:t>水泵</w:t>
            </w:r>
            <w:r>
              <w:rPr>
                <w:rFonts w:hint="eastAsia" w:ascii="宋体" w:hAnsi="宋体" w:cs="宋体"/>
                <w:b w:val="0"/>
                <w:bCs/>
                <w:color w:val="auto"/>
                <w:kern w:val="0"/>
                <w:szCs w:val="21"/>
                <w:highlight w:val="none"/>
                <w:lang w:val="en-US" w:eastAsia="zh-CN" w:bidi="ar"/>
              </w:rPr>
              <w:t>要求</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4699690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val="zh-CN" w:bidi="ar"/>
              </w:rPr>
            </w:pPr>
            <w:r>
              <w:rPr>
                <w:rFonts w:hint="eastAsia" w:ascii="宋体" w:hAnsi="宋体" w:eastAsia="宋体" w:cs="宋体"/>
                <w:b w:val="0"/>
                <w:bCs/>
                <w:color w:val="auto"/>
                <w:kern w:val="0"/>
                <w:szCs w:val="21"/>
                <w:highlight w:val="none"/>
                <w:lang w:bidi="ar"/>
              </w:rPr>
              <w:t>水泵</w:t>
            </w:r>
            <w:r>
              <w:rPr>
                <w:rFonts w:hint="eastAsia" w:ascii="宋体" w:hAnsi="宋体" w:eastAsia="宋体" w:cs="宋体"/>
                <w:b w:val="0"/>
                <w:bCs/>
                <w:color w:val="auto"/>
                <w:kern w:val="0"/>
                <w:szCs w:val="21"/>
                <w:highlight w:val="none"/>
                <w:lang w:val="zh-CN" w:bidi="ar"/>
              </w:rPr>
              <w:t>叶轮：材质</w:t>
            </w:r>
            <w:r>
              <w:rPr>
                <w:rFonts w:hint="eastAsia" w:ascii="宋体" w:hAnsi="宋体" w:eastAsia="宋体" w:cs="宋体"/>
                <w:b w:val="0"/>
                <w:bCs/>
                <w:color w:val="auto"/>
                <w:kern w:val="0"/>
                <w:szCs w:val="21"/>
                <w:highlight w:val="none"/>
                <w:lang w:bidi="ar"/>
              </w:rPr>
              <w:t>不低于</w:t>
            </w:r>
            <w:r>
              <w:rPr>
                <w:rFonts w:hint="eastAsia" w:ascii="宋体" w:hAnsi="宋体" w:eastAsia="宋体" w:cs="宋体"/>
                <w:b w:val="0"/>
                <w:bCs/>
                <w:color w:val="auto"/>
                <w:kern w:val="0"/>
                <w:szCs w:val="21"/>
                <w:highlight w:val="none"/>
                <w:lang w:val="zh-CN" w:bidi="ar"/>
              </w:rPr>
              <w:t>SUS304不锈钢材质。</w:t>
            </w:r>
          </w:p>
          <w:p w14:paraId="213AF63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bidi="ar"/>
              </w:rPr>
            </w:pPr>
            <w:r>
              <w:rPr>
                <w:rFonts w:hint="eastAsia" w:ascii="宋体" w:hAnsi="宋体" w:eastAsia="宋体" w:cs="宋体"/>
                <w:b w:val="0"/>
                <w:bCs/>
                <w:color w:val="auto"/>
                <w:kern w:val="0"/>
                <w:szCs w:val="21"/>
                <w:highlight w:val="none"/>
                <w:lang w:val="zh-CN" w:bidi="ar"/>
              </w:rPr>
              <w:t>水泵泵轴：采用</w:t>
            </w:r>
            <w:r>
              <w:rPr>
                <w:rFonts w:hint="eastAsia" w:ascii="宋体" w:hAnsi="宋体" w:eastAsia="宋体" w:cs="宋体"/>
                <w:b w:val="0"/>
                <w:bCs/>
                <w:color w:val="auto"/>
                <w:kern w:val="0"/>
                <w:szCs w:val="21"/>
                <w:highlight w:val="none"/>
                <w:lang w:bidi="ar"/>
              </w:rPr>
              <w:t>SUS304不锈钢</w:t>
            </w:r>
          </w:p>
          <w:p w14:paraId="472FA51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bidi="ar"/>
              </w:rPr>
            </w:pPr>
            <w:r>
              <w:rPr>
                <w:rFonts w:hint="eastAsia" w:ascii="宋体" w:hAnsi="宋体" w:eastAsia="宋体" w:cs="宋体"/>
                <w:b w:val="0"/>
                <w:bCs/>
                <w:color w:val="auto"/>
                <w:kern w:val="0"/>
                <w:szCs w:val="21"/>
                <w:highlight w:val="none"/>
                <w:lang w:bidi="ar"/>
              </w:rPr>
              <w:t>水泵所用螺栓、螺母：采用SUS304不锈钢件。</w:t>
            </w:r>
          </w:p>
          <w:p w14:paraId="716A6B9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bidi="ar"/>
              </w:rPr>
            </w:pPr>
            <w:r>
              <w:rPr>
                <w:rFonts w:hint="eastAsia" w:ascii="宋体" w:hAnsi="宋体" w:eastAsia="宋体" w:cs="宋体"/>
                <w:b w:val="0"/>
                <w:bCs/>
                <w:color w:val="auto"/>
                <w:kern w:val="0"/>
                <w:szCs w:val="21"/>
                <w:highlight w:val="none"/>
                <w:lang w:bidi="ar"/>
              </w:rPr>
              <w:t>泵头、泵座外表面必须经过电覆预处理，以防生锈；</w:t>
            </w:r>
          </w:p>
          <w:p w14:paraId="4CB3D5D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bidi="ar"/>
              </w:rPr>
            </w:pPr>
            <w:r>
              <w:rPr>
                <w:rFonts w:hint="eastAsia" w:ascii="宋体" w:hAnsi="宋体" w:eastAsia="宋体" w:cs="宋体"/>
                <w:b w:val="0"/>
                <w:bCs/>
                <w:color w:val="auto"/>
                <w:kern w:val="0"/>
                <w:szCs w:val="21"/>
                <w:highlight w:val="none"/>
                <w:lang w:bidi="ar"/>
              </w:rPr>
              <w:t>轴承</w:t>
            </w:r>
            <w:r>
              <w:rPr>
                <w:rFonts w:hint="eastAsia" w:ascii="宋体" w:hAnsi="宋体" w:eastAsia="宋体" w:cs="宋体"/>
                <w:b w:val="0"/>
                <w:bCs/>
                <w:color w:val="auto"/>
                <w:kern w:val="0"/>
                <w:szCs w:val="21"/>
                <w:highlight w:val="none"/>
                <w:lang w:val="zh-CN" w:bidi="ar"/>
              </w:rPr>
              <w:t>采用</w:t>
            </w:r>
            <w:r>
              <w:rPr>
                <w:rFonts w:hint="eastAsia" w:ascii="宋体" w:hAnsi="宋体" w:eastAsia="宋体" w:cs="宋体"/>
                <w:b w:val="0"/>
                <w:bCs/>
                <w:color w:val="auto"/>
                <w:kern w:val="0"/>
                <w:szCs w:val="21"/>
                <w:highlight w:val="none"/>
                <w:lang w:bidi="ar"/>
              </w:rPr>
              <w:t>知名一线</w:t>
            </w:r>
            <w:r>
              <w:rPr>
                <w:rFonts w:hint="eastAsia" w:ascii="宋体" w:hAnsi="宋体" w:eastAsia="宋体" w:cs="宋体"/>
                <w:b w:val="0"/>
                <w:bCs/>
                <w:color w:val="auto"/>
                <w:kern w:val="0"/>
                <w:szCs w:val="21"/>
                <w:highlight w:val="none"/>
                <w:lang w:val="zh-CN" w:bidi="ar"/>
              </w:rPr>
              <w:t>品牌</w:t>
            </w:r>
            <w:r>
              <w:rPr>
                <w:rFonts w:hint="eastAsia" w:ascii="宋体" w:hAnsi="宋体" w:eastAsia="宋体" w:cs="宋体"/>
                <w:b w:val="0"/>
                <w:bCs/>
                <w:color w:val="auto"/>
                <w:kern w:val="0"/>
                <w:szCs w:val="21"/>
                <w:highlight w:val="none"/>
                <w:lang w:bidi="ar"/>
              </w:rPr>
              <w:t>，</w:t>
            </w:r>
            <w:r>
              <w:rPr>
                <w:rFonts w:hint="eastAsia" w:ascii="宋体" w:hAnsi="宋体" w:eastAsia="宋体" w:cs="宋体"/>
                <w:b w:val="0"/>
                <w:bCs/>
                <w:color w:val="auto"/>
                <w:kern w:val="0"/>
                <w:szCs w:val="21"/>
                <w:highlight w:val="none"/>
                <w:lang w:bidi="ar"/>
              </w:rPr>
              <w:t>轴承的使用寿命不得低于8万小时，轴承均用润滑油脂润滑，保证轴承工作时最高温度不超过70℃或轴承温升不超过35℃。</w:t>
            </w:r>
            <w:r>
              <w:rPr>
                <w:rFonts w:hint="eastAsia" w:ascii="宋体" w:hAnsi="宋体" w:eastAsia="宋体" w:cs="宋体"/>
                <w:b w:val="0"/>
                <w:bCs/>
                <w:color w:val="auto"/>
                <w:kern w:val="0"/>
                <w:szCs w:val="21"/>
                <w:highlight w:val="none"/>
                <w:lang w:val="zh-CN" w:bidi="ar"/>
              </w:rPr>
              <w:t>集成式</w:t>
            </w:r>
            <w:r>
              <w:rPr>
                <w:rFonts w:hint="eastAsia" w:ascii="宋体" w:hAnsi="宋体" w:eastAsia="宋体" w:cs="宋体"/>
                <w:b w:val="0"/>
                <w:bCs/>
                <w:color w:val="auto"/>
                <w:kern w:val="0"/>
                <w:szCs w:val="21"/>
                <w:highlight w:val="none"/>
                <w:lang w:bidi="ar"/>
              </w:rPr>
              <w:t>机械密封采用知名一线</w:t>
            </w:r>
            <w:r>
              <w:rPr>
                <w:rFonts w:hint="eastAsia" w:ascii="宋体" w:hAnsi="宋体" w:eastAsia="宋体" w:cs="宋体"/>
                <w:b w:val="0"/>
                <w:bCs/>
                <w:color w:val="auto"/>
                <w:kern w:val="0"/>
                <w:szCs w:val="21"/>
                <w:highlight w:val="none"/>
                <w:lang w:val="zh-CN" w:bidi="ar"/>
              </w:rPr>
              <w:t>品牌</w:t>
            </w:r>
            <w:r>
              <w:rPr>
                <w:rFonts w:hint="eastAsia" w:ascii="宋体" w:hAnsi="宋体" w:eastAsia="宋体" w:cs="宋体"/>
                <w:b w:val="0"/>
                <w:bCs/>
                <w:color w:val="auto"/>
                <w:kern w:val="0"/>
                <w:szCs w:val="21"/>
                <w:highlight w:val="none"/>
                <w:lang w:bidi="ar"/>
              </w:rPr>
              <w:t>，</w:t>
            </w:r>
            <w:r>
              <w:rPr>
                <w:rFonts w:hint="eastAsia" w:ascii="宋体" w:hAnsi="宋体" w:eastAsia="宋体" w:cs="宋体"/>
                <w:b w:val="0"/>
                <w:bCs/>
                <w:color w:val="auto"/>
                <w:kern w:val="0"/>
                <w:szCs w:val="21"/>
                <w:highlight w:val="none"/>
                <w:lang w:bidi="ar"/>
              </w:rPr>
              <w:t>机械密封寿命应达25000小时。</w:t>
            </w:r>
          </w:p>
          <w:p w14:paraId="6501ABA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bidi="ar"/>
              </w:rPr>
            </w:pPr>
            <w:r>
              <w:rPr>
                <w:rFonts w:hint="eastAsia" w:ascii="微软雅黑" w:hAnsi="微软雅黑" w:eastAsia="微软雅黑" w:cs="微软雅黑"/>
                <w:color w:val="auto"/>
                <w:kern w:val="0"/>
                <w:highlight w:val="none"/>
                <w:lang w:bidi="ar"/>
              </w:rPr>
              <w:t>▲</w:t>
            </w:r>
            <w:r>
              <w:rPr>
                <w:rFonts w:hint="eastAsia" w:ascii="宋体" w:hAnsi="宋体" w:eastAsia="宋体" w:cs="宋体"/>
                <w:b w:val="0"/>
                <w:bCs/>
                <w:color w:val="auto"/>
                <w:kern w:val="0"/>
                <w:szCs w:val="21"/>
                <w:highlight w:val="none"/>
                <w:lang w:bidi="ar"/>
              </w:rPr>
              <w:t>所选水泵需</w:t>
            </w:r>
            <w:r>
              <w:rPr>
                <w:rFonts w:hint="eastAsia" w:ascii="宋体" w:hAnsi="宋体" w:cs="宋体"/>
                <w:b w:val="0"/>
                <w:bCs/>
                <w:color w:val="auto"/>
                <w:kern w:val="0"/>
                <w:szCs w:val="21"/>
                <w:highlight w:val="none"/>
                <w:lang w:val="en-US" w:eastAsia="zh-CN" w:bidi="ar"/>
              </w:rPr>
              <w:t>满足国家二级及以上能效标准并提供国家</w:t>
            </w:r>
            <w:r>
              <w:rPr>
                <w:rFonts w:hint="eastAsia" w:ascii="宋体" w:hAnsi="宋体" w:eastAsia="宋体" w:cs="宋体"/>
                <w:b w:val="0"/>
                <w:bCs/>
                <w:color w:val="auto"/>
                <w:kern w:val="0"/>
                <w:szCs w:val="21"/>
                <w:highlight w:val="none"/>
                <w:lang w:bidi="ar"/>
              </w:rPr>
              <w:t>节能产品认证及国家泵类产品质量监督检验中心出具的检验报告。</w:t>
            </w:r>
          </w:p>
          <w:p w14:paraId="7F874FF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0"/>
                <w:szCs w:val="21"/>
                <w:highlight w:val="none"/>
                <w:lang w:val="en-US" w:eastAsia="zh-CN" w:bidi="ar"/>
              </w:rPr>
            </w:pPr>
            <w:r>
              <w:rPr>
                <w:rFonts w:hint="eastAsia" w:ascii="宋体" w:hAnsi="宋体" w:eastAsia="宋体" w:cs="宋体"/>
                <w:b w:val="0"/>
                <w:bCs/>
                <w:color w:val="auto"/>
                <w:kern w:val="0"/>
                <w:szCs w:val="21"/>
                <w:highlight w:val="none"/>
                <w:lang w:bidi="ar"/>
              </w:rPr>
              <w:t>电机所用绝缘纸、绝缘套管的绝缘等级必须达到H级及以上；电磁线采用耐温200度及以上的铜漆包线；电机转子必须进行动平衡试验，动平衡精度不低于ISO940G1.0级要求。</w:t>
            </w:r>
          </w:p>
        </w:tc>
      </w:tr>
    </w:tbl>
    <w:p w14:paraId="4AB669AD">
      <w:pPr>
        <w:keepNext w:val="0"/>
        <w:keepLines w:val="0"/>
        <w:pageBreakBefore w:val="0"/>
        <w:widowControl w:val="0"/>
        <w:numPr>
          <w:ilvl w:val="0"/>
          <w:numId w:val="33"/>
        </w:numPr>
        <w:shd w:val="clea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直饮水设备间要求</w:t>
      </w:r>
    </w:p>
    <w:p w14:paraId="059F14D1">
      <w:pPr>
        <w:keepNext w:val="0"/>
        <w:keepLines w:val="0"/>
        <w:pageBreakBefore w:val="0"/>
        <w:widowControl w:val="0"/>
        <w:numPr>
          <w:ilvl w:val="0"/>
          <w:numId w:val="35"/>
        </w:numPr>
        <w:shd w:val="clear"/>
        <w:kinsoku/>
        <w:wordWrap/>
        <w:overflowPunct/>
        <w:topLinePunct w:val="0"/>
        <w:autoSpaceDE/>
        <w:autoSpaceDN/>
        <w:bidi w:val="0"/>
        <w:adjustRightInd/>
        <w:snapToGrid/>
        <w:spacing w:line="312"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硬件要求</w:t>
      </w:r>
    </w:p>
    <w:p w14:paraId="6E224220">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每个直饮水设备间需配置视频监控系统和门禁系统，视频门禁不许另设IP地址。视频监控系统需配置视频监控软件、摄像头、录像机、红外探测器等。门禁系统：需配置电磁锁、读卡器、开门按钮、门禁软件系统等。</w:t>
      </w:r>
    </w:p>
    <w:p w14:paraId="201DCBCA">
      <w:pPr>
        <w:shd w:val="clear"/>
        <w:spacing w:line="500" w:lineRule="exact"/>
        <w:ind w:left="0" w:leftChars="0" w:firstLine="0" w:firstLineChars="0"/>
        <w:jc w:val="center"/>
        <w:rPr>
          <w:rFonts w:hint="eastAsia" w:ascii="宋体" w:hAnsi="宋体" w:cs="宋体"/>
          <w:color w:val="auto"/>
          <w:szCs w:val="21"/>
          <w:highlight w:val="none"/>
        </w:rPr>
      </w:pPr>
      <w:r>
        <w:rPr>
          <w:rFonts w:hint="eastAsia" w:ascii="宋体" w:hAnsi="宋体" w:cs="宋体"/>
          <w:b/>
          <w:bCs/>
          <w:color w:val="auto"/>
          <w:szCs w:val="21"/>
          <w:highlight w:val="none"/>
        </w:rPr>
        <w:t>直饮水设备间信息化建设硬件配置要求表</w:t>
      </w:r>
    </w:p>
    <w:tbl>
      <w:tblPr>
        <w:tblStyle w:val="41"/>
        <w:tblW w:w="9027" w:type="dxa"/>
        <w:jc w:val="center"/>
        <w:tblLayout w:type="fixed"/>
        <w:tblCellMar>
          <w:top w:w="0" w:type="dxa"/>
          <w:left w:w="108" w:type="dxa"/>
          <w:bottom w:w="0" w:type="dxa"/>
          <w:right w:w="108" w:type="dxa"/>
        </w:tblCellMar>
      </w:tblPr>
      <w:tblGrid>
        <w:gridCol w:w="709"/>
        <w:gridCol w:w="1656"/>
        <w:gridCol w:w="6662"/>
      </w:tblGrid>
      <w:tr w14:paraId="1B4E2C1B">
        <w:tblPrEx>
          <w:tblCellMar>
            <w:top w:w="0" w:type="dxa"/>
            <w:left w:w="108" w:type="dxa"/>
            <w:bottom w:w="0" w:type="dxa"/>
            <w:right w:w="108" w:type="dxa"/>
          </w:tblCellMar>
        </w:tblPrEx>
        <w:trPr>
          <w:cantSplit/>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ECEDA7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序号</w:t>
            </w:r>
          </w:p>
        </w:tc>
        <w:tc>
          <w:tcPr>
            <w:tcW w:w="1656" w:type="dxa"/>
            <w:tcBorders>
              <w:top w:val="single" w:color="auto" w:sz="4" w:space="0"/>
              <w:left w:val="nil"/>
              <w:bottom w:val="single" w:color="auto" w:sz="4" w:space="0"/>
              <w:right w:val="single" w:color="auto" w:sz="4" w:space="0"/>
            </w:tcBorders>
            <w:noWrap w:val="0"/>
            <w:vAlign w:val="center"/>
          </w:tcPr>
          <w:p w14:paraId="52638D9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名称</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D3A0FF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功能要求</w:t>
            </w:r>
          </w:p>
        </w:tc>
      </w:tr>
      <w:tr w14:paraId="6AA40516">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E8CEA3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5EE31C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网络控制模块</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A15A70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控制箱柜体定制，柜体尺寸不小于600 mm *500 mm *1700mm，喷塑立柜，防尘防水，配备通风散热扇；</w:t>
            </w:r>
          </w:p>
          <w:p w14:paraId="00409F4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电气、电子元件应符合各自相应的要求；控制箱内各接线点应牢固，布线应符合设计图样及相应国家现行标准的要求。</w:t>
            </w:r>
          </w:p>
          <w:p w14:paraId="4B2D2C56">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控制箱的防护等级应符合GB4208的要求，且不应低于IP30；控制面板采用10寸高清液晶触摸屏，控制面板应有水泵启、停显示；控制箱应有压力设定、实际压力、水泵频率、电导率显示。</w:t>
            </w:r>
          </w:p>
        </w:tc>
      </w:tr>
      <w:tr w14:paraId="4E56FDA4">
        <w:tblPrEx>
          <w:tblCellMar>
            <w:top w:w="0" w:type="dxa"/>
            <w:left w:w="108" w:type="dxa"/>
            <w:bottom w:w="0" w:type="dxa"/>
            <w:right w:w="108" w:type="dxa"/>
          </w:tblCellMar>
        </w:tblPrEx>
        <w:trPr>
          <w:cantSplit/>
          <w:trHeight w:val="54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B5ECA9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2</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1BC7CC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烟雾传感器</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76BBF9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抗电磁干扰；防尘、防虫、抗白光干扰设计；</w:t>
            </w:r>
          </w:p>
        </w:tc>
      </w:tr>
      <w:tr w14:paraId="79B131CD">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70FBC0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3</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3213D4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水淹报警开关</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C49914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电极式，控制器为干节点NO/NC输出</w:t>
            </w:r>
          </w:p>
        </w:tc>
      </w:tr>
      <w:tr w14:paraId="34821D11">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C91ECB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4</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727D43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温湿度传感器</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696E8F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输出信号：RS485/RS232，湿度±1%RH；温度±0.1℃，供电：DC24V</w:t>
            </w:r>
          </w:p>
        </w:tc>
      </w:tr>
      <w:tr w14:paraId="657B461D">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0631DD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5</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0C3B1F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门禁系统</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5E4240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 xml:space="preserve">含门禁控制器（含后备电池）、刷卡器、磁力锁、闭门器、出门按钮（磁力锁250KG级以上）(支持Ehome协议) </w:t>
            </w:r>
          </w:p>
        </w:tc>
      </w:tr>
      <w:tr w14:paraId="28B79D9C">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1D6DC6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6</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C6EB5F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红外对射报警</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C1878F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抗白光干扰，抗射频干，报警输出NC/NO可选择，报警延时可选择(3秒/30秒可选)，探测距离：12m，探测角度：110度，工作电压：DC12-24V</w:t>
            </w:r>
          </w:p>
        </w:tc>
      </w:tr>
      <w:tr w14:paraId="689A48A3">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2E7F3D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7</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5267DB6">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红外网络球机</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A0B673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val="en-US" w:eastAsia="zh-CN" w:bidi="ar"/>
              </w:rPr>
              <w:t>400</w:t>
            </w:r>
            <w:r>
              <w:rPr>
                <w:rFonts w:hint="eastAsia" w:ascii="宋体" w:hAnsi="宋体" w:cs="宋体"/>
                <w:b w:val="0"/>
                <w:bCs/>
                <w:color w:val="auto"/>
                <w:kern w:val="0"/>
                <w:szCs w:val="21"/>
                <w:highlight w:val="none"/>
                <w:lang w:bidi="ar"/>
              </w:rPr>
              <w:t>万像素</w:t>
            </w:r>
            <w:r>
              <w:rPr>
                <w:rFonts w:hint="eastAsia" w:ascii="宋体" w:hAnsi="宋体" w:cs="宋体"/>
                <w:b w:val="0"/>
                <w:bCs/>
                <w:color w:val="auto"/>
                <w:kern w:val="0"/>
                <w:szCs w:val="21"/>
                <w:highlight w:val="none"/>
                <w:lang w:bidi="ar"/>
              </w:rPr>
              <w:t>，1080p ，20倍变倍，夜视150米(支持Ehome协议) ；支持最大1920×1080@30fps高清画面输出；防雷、防浪涌、防突波，IP66防护等级</w:t>
            </w:r>
          </w:p>
        </w:tc>
      </w:tr>
      <w:tr w14:paraId="53DDE017">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35AF99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8</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846719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视频存储器</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623F08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宋体" w:hAnsi="宋体" w:eastAsia="宋体" w:cs="宋体"/>
                <w:b w:val="0"/>
                <w:bCs/>
                <w:color w:val="auto"/>
                <w:kern w:val="0"/>
                <w:szCs w:val="21"/>
                <w:highlight w:val="none"/>
                <w:lang w:val="en-US" w:eastAsia="zh-CN" w:bidi="ar"/>
              </w:rPr>
            </w:pPr>
            <w:r>
              <w:rPr>
                <w:rFonts w:hint="eastAsia" w:ascii="宋体" w:hAnsi="宋体" w:cs="宋体"/>
                <w:b w:val="0"/>
                <w:bCs/>
                <w:color w:val="auto"/>
                <w:kern w:val="0"/>
                <w:szCs w:val="21"/>
                <w:highlight w:val="none"/>
                <w:lang w:bidi="ar"/>
              </w:rPr>
              <w:t>128G或以上本地存储视频信息</w:t>
            </w:r>
            <w:r>
              <w:rPr>
                <w:rFonts w:hint="eastAsia" w:ascii="宋体" w:hAnsi="宋体" w:cs="宋体"/>
                <w:b w:val="0"/>
                <w:bCs/>
                <w:color w:val="auto"/>
                <w:kern w:val="0"/>
                <w:szCs w:val="21"/>
                <w:highlight w:val="none"/>
                <w:lang w:eastAsia="zh-CN" w:bidi="ar"/>
              </w:rPr>
              <w:t>，</w:t>
            </w:r>
            <w:r>
              <w:rPr>
                <w:rFonts w:hint="eastAsia" w:ascii="宋体" w:hAnsi="宋体" w:cs="宋体"/>
                <w:b w:val="0"/>
                <w:bCs/>
                <w:color w:val="auto"/>
                <w:kern w:val="0"/>
                <w:szCs w:val="21"/>
                <w:highlight w:val="none"/>
                <w:lang w:val="en-US" w:eastAsia="zh-CN" w:bidi="ar"/>
              </w:rPr>
              <w:t>存储时间可保存3个月及以上。</w:t>
            </w:r>
          </w:p>
        </w:tc>
      </w:tr>
      <w:tr w14:paraId="4A3DE6EB">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9D451E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9</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7D1DFBE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专业拾音器</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6BF75D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滤除杂音，收集泵房声音，实现网络远程对讲</w:t>
            </w:r>
          </w:p>
        </w:tc>
      </w:tr>
      <w:tr w14:paraId="58A40599">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2CBD36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10</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F280A3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专业有源音柱</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5CB164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cs="宋体"/>
                <w:b w:val="0"/>
                <w:bCs/>
                <w:color w:val="auto"/>
                <w:kern w:val="0"/>
                <w:szCs w:val="21"/>
                <w:highlight w:val="none"/>
                <w:lang w:bidi="ar"/>
              </w:rPr>
            </w:pPr>
            <w:r>
              <w:rPr>
                <w:rFonts w:hint="eastAsia" w:ascii="宋体" w:hAnsi="宋体" w:cs="宋体"/>
                <w:b w:val="0"/>
                <w:bCs/>
                <w:color w:val="auto"/>
                <w:kern w:val="0"/>
                <w:szCs w:val="21"/>
                <w:highlight w:val="none"/>
                <w:lang w:bidi="ar"/>
              </w:rPr>
              <w:t>播放声音，实现网络远程对讲</w:t>
            </w:r>
          </w:p>
        </w:tc>
      </w:tr>
    </w:tbl>
    <w:p w14:paraId="686C75BE">
      <w:pPr>
        <w:keepNext w:val="0"/>
        <w:keepLines w:val="0"/>
        <w:pageBreakBefore w:val="0"/>
        <w:widowControl w:val="0"/>
        <w:numPr>
          <w:ilvl w:val="0"/>
          <w:numId w:val="33"/>
        </w:numPr>
        <w:shd w:val="clear"/>
        <w:kinsoku/>
        <w:wordWrap/>
        <w:overflowPunct/>
        <w:topLinePunct w:val="0"/>
        <w:autoSpaceDE/>
        <w:autoSpaceDN/>
        <w:bidi w:val="0"/>
        <w:adjustRightInd/>
        <w:snapToGrid/>
        <w:spacing w:line="312" w:lineRule="auto"/>
        <w:ind w:leftChars="0" w:right="0" w:rightChars="0"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直饮水管理平台基本功能要求</w:t>
      </w:r>
    </w:p>
    <w:p w14:paraId="4D19E4D0">
      <w:pPr>
        <w:keepNext w:val="0"/>
        <w:keepLines w:val="0"/>
        <w:pageBreakBefore w:val="0"/>
        <w:widowControl/>
        <w:numPr>
          <w:ilvl w:val="0"/>
          <w:numId w:val="36"/>
        </w:numPr>
        <w:shd w:val="clear"/>
        <w:kinsoku/>
        <w:wordWrap/>
        <w:overflowPunct/>
        <w:topLinePunct w:val="0"/>
        <w:autoSpaceDE/>
        <w:autoSpaceDN/>
        <w:bidi w:val="0"/>
        <w:adjustRightInd/>
        <w:snapToGrid/>
        <w:spacing w:line="312" w:lineRule="auto"/>
        <w:ind w:leftChars="0" w:right="0" w:rightChars="0" w:firstLine="480" w:firstLineChars="200"/>
        <w:jc w:val="left"/>
        <w:textAlignment w:val="auto"/>
        <w:rPr>
          <w:rFonts w:hint="eastAsia" w:ascii="宋体" w:hAnsi="宋体" w:eastAsia="宋体" w:cs="宋体"/>
          <w:color w:val="auto"/>
          <w:kern w:val="0"/>
          <w:szCs w:val="21"/>
          <w:highlight w:val="none"/>
          <w:lang w:bidi="ar"/>
        </w:rPr>
      </w:pPr>
      <w:bookmarkStart w:id="711" w:name="_Toc526093874"/>
      <w:bookmarkStart w:id="712" w:name="_Toc2746_WPSOffice_Level2"/>
      <w:bookmarkStart w:id="713" w:name="_Toc526093317"/>
      <w:r>
        <w:rPr>
          <w:rFonts w:hint="eastAsia" w:ascii="宋体" w:hAnsi="宋体" w:eastAsia="宋体" w:cs="宋体"/>
          <w:color w:val="auto"/>
          <w:kern w:val="0"/>
          <w:szCs w:val="21"/>
          <w:highlight w:val="none"/>
          <w:lang w:bidi="ar"/>
        </w:rPr>
        <w:t>为满足智慧化管理的需求，该项目需配置管理软件有以下要求</w:t>
      </w:r>
    </w:p>
    <w:p w14:paraId="1F34937F">
      <w:pPr>
        <w:keepNext w:val="0"/>
        <w:keepLines w:val="0"/>
        <w:pageBreakBefore w:val="0"/>
        <w:widowControl/>
        <w:numPr>
          <w:ilvl w:val="0"/>
          <w:numId w:val="36"/>
        </w:numPr>
        <w:shd w:val="clear"/>
        <w:kinsoku/>
        <w:wordWrap/>
        <w:overflowPunct/>
        <w:topLinePunct w:val="0"/>
        <w:autoSpaceDE/>
        <w:autoSpaceDN/>
        <w:bidi w:val="0"/>
        <w:adjustRightInd/>
        <w:snapToGrid/>
        <w:spacing w:line="312" w:lineRule="auto"/>
        <w:ind w:leftChars="0" w:right="0" w:rightChars="0" w:firstLine="48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PC端和手机端均需配备。</w:t>
      </w:r>
    </w:p>
    <w:p w14:paraId="7D874345">
      <w:pPr>
        <w:keepNext w:val="0"/>
        <w:keepLines w:val="0"/>
        <w:pageBreakBefore w:val="0"/>
        <w:widowControl/>
        <w:numPr>
          <w:ilvl w:val="0"/>
          <w:numId w:val="36"/>
        </w:numPr>
        <w:shd w:val="clear"/>
        <w:kinsoku/>
        <w:wordWrap/>
        <w:overflowPunct/>
        <w:topLinePunct w:val="0"/>
        <w:autoSpaceDE/>
        <w:autoSpaceDN/>
        <w:bidi w:val="0"/>
        <w:adjustRightInd/>
        <w:snapToGrid/>
        <w:spacing w:line="312" w:lineRule="auto"/>
        <w:ind w:leftChars="0" w:right="0" w:rightChars="0" w:firstLine="48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功能实现：①运行参数实时监控②故障统计③运维管理④远传水表远程抄表并可以导出数据⑤耗材更换提醒等便于后勤管理的功能。</w:t>
      </w:r>
    </w:p>
    <w:p w14:paraId="5E833584">
      <w:pPr>
        <w:keepNext w:val="0"/>
        <w:keepLines w:val="0"/>
        <w:pageBreakBefore w:val="0"/>
        <w:widowControl/>
        <w:numPr>
          <w:ilvl w:val="0"/>
          <w:numId w:val="36"/>
        </w:numPr>
        <w:shd w:val="clear"/>
        <w:kinsoku/>
        <w:wordWrap/>
        <w:overflowPunct/>
        <w:topLinePunct w:val="0"/>
        <w:autoSpaceDE/>
        <w:autoSpaceDN/>
        <w:bidi w:val="0"/>
        <w:adjustRightInd/>
        <w:snapToGrid/>
        <w:spacing w:line="312" w:lineRule="auto"/>
        <w:ind w:leftChars="0" w:right="0" w:rightChars="0" w:firstLine="48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数据传输频次：秒级传输。</w:t>
      </w:r>
    </w:p>
    <w:p w14:paraId="009F6AEB">
      <w:pPr>
        <w:keepNext w:val="0"/>
        <w:keepLines w:val="0"/>
        <w:pageBreakBefore w:val="0"/>
        <w:widowControl/>
        <w:numPr>
          <w:ilvl w:val="0"/>
          <w:numId w:val="36"/>
        </w:numPr>
        <w:shd w:val="clear"/>
        <w:kinsoku/>
        <w:wordWrap/>
        <w:overflowPunct/>
        <w:topLinePunct w:val="0"/>
        <w:autoSpaceDE/>
        <w:autoSpaceDN/>
        <w:bidi w:val="0"/>
        <w:adjustRightInd/>
        <w:snapToGrid/>
        <w:spacing w:line="312" w:lineRule="auto"/>
        <w:ind w:leftChars="0" w:right="0" w:rightChars="0" w:firstLine="480" w:firstLineChars="200"/>
        <w:jc w:val="left"/>
        <w:textAlignment w:val="auto"/>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管理平台功能须满足采购人要求。</w:t>
      </w:r>
    </w:p>
    <w:bookmarkEnd w:id="711"/>
    <w:bookmarkEnd w:id="712"/>
    <w:bookmarkEnd w:id="713"/>
    <w:p w14:paraId="4EE07C92">
      <w:pPr>
        <w:keepNext w:val="0"/>
        <w:keepLines w:val="0"/>
        <w:pageBreakBefore w:val="0"/>
        <w:shd w:val="clear"/>
        <w:kinsoku/>
        <w:wordWrap/>
        <w:overflowPunct/>
        <w:topLinePunct w:val="0"/>
        <w:autoSpaceDE/>
        <w:autoSpaceDN/>
        <w:bidi w:val="0"/>
        <w:spacing w:line="312" w:lineRule="auto"/>
        <w:ind w:leftChars="0" w:firstLine="482" w:firstLineChars="200"/>
        <w:textAlignment w:val="auto"/>
        <w:outlineLvl w:val="1"/>
        <w:rPr>
          <w:rFonts w:hint="eastAsia" w:ascii="宋体" w:hAnsi="宋体" w:cs="宋体"/>
          <w:b/>
          <w:bCs/>
          <w:color w:val="auto"/>
          <w:sz w:val="24"/>
          <w:highlight w:val="none"/>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lang w:val="en-US" w:eastAsia="zh-CN"/>
        </w:rPr>
        <w:t>、商务要求</w:t>
      </w:r>
      <w:bookmarkEnd w:id="668"/>
    </w:p>
    <w:p w14:paraId="37A74E45">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（一）报价要求</w:t>
      </w:r>
    </w:p>
    <w:p w14:paraId="1A17276D">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ascii="宋体" w:cs="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投标报价以人民币填列。</w:t>
      </w:r>
    </w:p>
    <w:p w14:paraId="59C9C75F">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ascii="宋体" w:cs="仿宋_GB2312"/>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投标人的报价应包括</w:t>
      </w:r>
      <w:r>
        <w:rPr>
          <w:rFonts w:hint="eastAsia" w:ascii="宋体" w:hAnsi="宋体" w:cs="仿宋_GB2312"/>
          <w:color w:val="auto"/>
          <w:sz w:val="24"/>
          <w:szCs w:val="24"/>
          <w:highlight w:val="none"/>
        </w:rPr>
        <w:t>：设备主机及附件（供电、管道等）、运输费、运输保险费、装卸费、安装调试费及其他应有的费用并分别单列。投标人所报价格为货到现场安装调试完成的最终优惠价格。</w:t>
      </w:r>
    </w:p>
    <w:p w14:paraId="110889A8">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（二）工期</w:t>
      </w:r>
    </w:p>
    <w:p w14:paraId="11149837">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接采购人通知后且具备安装条件后</w:t>
      </w:r>
      <w:r>
        <w:rPr>
          <w:rFonts w:hint="eastAsia" w:ascii="宋体" w:hAnsi="宋体" w:cs="宋体"/>
          <w:color w:val="auto"/>
          <w:kern w:val="2"/>
          <w:sz w:val="24"/>
          <w:szCs w:val="24"/>
          <w:highlight w:val="none"/>
          <w:lang w:val="en-US" w:eastAsia="zh-CN" w:bidi="ar-SA"/>
        </w:rPr>
        <w:t>60</w:t>
      </w:r>
      <w:r>
        <w:rPr>
          <w:rFonts w:hint="eastAsia" w:ascii="宋体" w:hAnsi="宋体" w:eastAsia="宋体" w:cs="宋体"/>
          <w:color w:val="auto"/>
          <w:kern w:val="2"/>
          <w:sz w:val="24"/>
          <w:szCs w:val="24"/>
          <w:highlight w:val="none"/>
          <w:lang w:val="en-US" w:eastAsia="zh-CN" w:bidi="ar-SA"/>
        </w:rPr>
        <w:t>日历天</w:t>
      </w:r>
      <w:r>
        <w:rPr>
          <w:rFonts w:hint="eastAsia" w:ascii="宋体" w:hAnsi="宋体" w:eastAsia="宋体" w:cs="宋体"/>
          <w:color w:val="auto"/>
          <w:kern w:val="2"/>
          <w:sz w:val="24"/>
          <w:szCs w:val="24"/>
          <w:highlight w:val="none"/>
          <w:lang w:val="en-US" w:eastAsia="zh-CN" w:bidi="ar-SA"/>
        </w:rPr>
        <w:t>内货到采购人指定地点并完成全部安装调试且经采购人验收合格。</w:t>
      </w:r>
    </w:p>
    <w:p w14:paraId="0FD24C2A">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（三）付款方式</w:t>
      </w:r>
    </w:p>
    <w:p w14:paraId="3F757843">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合同签订后7天内采购人向中标人支付货物总价款的30%作为预付款（提供等额预付款保函），</w:t>
      </w:r>
      <w:r>
        <w:rPr>
          <w:rFonts w:hint="eastAsia" w:ascii="宋体" w:hAnsi="宋体" w:eastAsia="宋体" w:cs="宋体"/>
          <w:color w:val="auto"/>
          <w:kern w:val="2"/>
          <w:sz w:val="24"/>
          <w:szCs w:val="24"/>
          <w:highlight w:val="none"/>
          <w:lang w:val="en-US" w:eastAsia="zh-CN" w:bidi="ar"/>
        </w:rPr>
        <w:t>设备安装调试完毕且终验合格并投入试运行六个月后15日内支付货物总价款的</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0%</w:t>
      </w:r>
      <w:r>
        <w:rPr>
          <w:rFonts w:hint="eastAsia" w:ascii="宋体" w:hAnsi="宋体" w:cs="宋体"/>
          <w:color w:val="auto"/>
          <w:kern w:val="2"/>
          <w:sz w:val="24"/>
          <w:szCs w:val="24"/>
          <w:highlight w:val="none"/>
          <w:lang w:val="en-US" w:eastAsia="zh-CN" w:bidi="ar"/>
        </w:rPr>
        <w:t>，自质保期为一年后7个工作日支付合同价的6%，以此类推，质保期满后一次性付清</w:t>
      </w:r>
      <w:r>
        <w:rPr>
          <w:rFonts w:hint="eastAsia" w:ascii="宋体" w:hAnsi="宋体" w:eastAsia="宋体" w:cs="宋体"/>
          <w:color w:val="auto"/>
          <w:kern w:val="2"/>
          <w:sz w:val="24"/>
          <w:szCs w:val="24"/>
          <w:highlight w:val="none"/>
          <w:lang w:val="en-US" w:eastAsia="zh-CN" w:bidi="ar"/>
        </w:rPr>
        <w:t>。</w:t>
      </w:r>
    </w:p>
    <w:p w14:paraId="303881CF">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注：中标人必须提供增值税专用发票。</w:t>
      </w:r>
    </w:p>
    <w:p w14:paraId="09557790">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售后服务</w:t>
      </w:r>
    </w:p>
    <w:p w14:paraId="79941988">
      <w:pPr>
        <w:keepNext w:val="0"/>
        <w:keepLines w:val="0"/>
        <w:pageBreakBefore w:val="0"/>
        <w:shd w:val="clear"/>
        <w:kinsoku/>
        <w:wordWrap/>
        <w:overflowPunct/>
        <w:topLinePunct w:val="0"/>
        <w:autoSpaceDE/>
        <w:autoSpaceDN/>
        <w:bidi w:val="0"/>
        <w:spacing w:line="312" w:lineRule="auto"/>
        <w:ind w:leftChars="0"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1、质保期：从验收合格之日起</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w:t>
      </w:r>
      <w:r>
        <w:rPr>
          <w:rFonts w:hint="eastAsia" w:ascii="宋体" w:hAnsi="宋体" w:cs="宋体"/>
          <w:b/>
          <w:bCs/>
          <w:color w:val="auto"/>
          <w:sz w:val="24"/>
          <w:highlight w:val="none"/>
        </w:rPr>
        <w:t>；质保期内的维修费用（包括材料）全部由中标</w:t>
      </w:r>
      <w:r>
        <w:rPr>
          <w:rFonts w:hint="eastAsia" w:ascii="宋体" w:hAnsi="宋体" w:cs="宋体"/>
          <w:b/>
          <w:bCs/>
          <w:color w:val="auto"/>
          <w:sz w:val="24"/>
          <w:highlight w:val="none"/>
          <w:lang w:val="en-US" w:eastAsia="zh-CN"/>
        </w:rPr>
        <w:t>人</w:t>
      </w:r>
      <w:r>
        <w:rPr>
          <w:rFonts w:hint="eastAsia" w:ascii="宋体" w:hAnsi="宋体" w:cs="宋体"/>
          <w:b/>
          <w:bCs/>
          <w:color w:val="auto"/>
          <w:sz w:val="24"/>
          <w:highlight w:val="none"/>
        </w:rPr>
        <w:t>负责；超过质保期的，维修时只收部件成本费；</w:t>
      </w:r>
    </w:p>
    <w:p w14:paraId="4C5F0F37">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2、质保期内的维修费用（包括配件）全部由供货方负责；</w:t>
      </w:r>
    </w:p>
    <w:p w14:paraId="7E114DC5">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3、技术支持要求：质保期内出现问题，1小时内响应，2小时内到达现场，4小时内解决问题，对于现场解决不了的故障，</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应提供采购人同型号、同规格的备用设备使用，直至故障设备修复；</w:t>
      </w:r>
    </w:p>
    <w:p w14:paraId="45206FA1">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4、在保修期内供方必须不得以任何理由影响用户的正常使用。投标方必须对所供产品实行终身维修，配件按市场价格收取；</w:t>
      </w:r>
    </w:p>
    <w:p w14:paraId="6A4BF78F">
      <w:pPr>
        <w:keepNext w:val="0"/>
        <w:keepLines w:val="0"/>
        <w:pageBreakBefore w:val="0"/>
        <w:widowControl/>
        <w:numPr>
          <w:ilvl w:val="0"/>
          <w:numId w:val="0"/>
        </w:numPr>
        <w:shd w:val="clear"/>
        <w:kinsoku/>
        <w:wordWrap/>
        <w:overflowPunct/>
        <w:topLinePunct w:val="0"/>
        <w:autoSpaceDE/>
        <w:autoSpaceDN/>
        <w:bidi w:val="0"/>
        <w:adjustRightInd/>
        <w:snapToGrid/>
        <w:spacing w:line="312" w:lineRule="auto"/>
        <w:ind w:leftChars="0" w:right="0" w:rightChars="0" w:firstLine="480" w:firstLineChars="200"/>
        <w:jc w:val="left"/>
        <w:textAlignment w:val="auto"/>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具备24小时报修制度。凡遇到因不明原因水质突然恶化、水源性疾病暴发、水质例行检测不合格、设备故障等各种突发事件等原因，造成用户直饮水水质无法完全保证安全的情况，应立即启动应急预案，维保人员须在2小时内到达现场，并及时采取措施解决问题，同时第一时间报告给甲方。</w:t>
      </w:r>
    </w:p>
    <w:p w14:paraId="7E4C9ABD">
      <w:pPr>
        <w:keepNext w:val="0"/>
        <w:keepLines w:val="0"/>
        <w:pageBreakBefore w:val="0"/>
        <w:widowControl/>
        <w:numPr>
          <w:ilvl w:val="0"/>
          <w:numId w:val="0"/>
        </w:numPr>
        <w:shd w:val="clear"/>
        <w:kinsoku/>
        <w:wordWrap/>
        <w:overflowPunct/>
        <w:topLinePunct w:val="0"/>
        <w:autoSpaceDE/>
        <w:autoSpaceDN/>
        <w:bidi w:val="0"/>
        <w:adjustRightInd/>
        <w:snapToGrid/>
        <w:spacing w:line="312" w:lineRule="auto"/>
        <w:ind w:leftChars="0" w:right="0" w:rightChars="0" w:firstLine="48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建立用户服务专人负责制度，</w:t>
      </w:r>
      <w:r>
        <w:rPr>
          <w:rFonts w:hint="eastAsia" w:ascii="宋体" w:hAnsi="宋体" w:cs="宋体"/>
          <w:color w:val="auto"/>
          <w:sz w:val="24"/>
          <w:highlight w:val="none"/>
        </w:rPr>
        <w:t>每</w:t>
      </w:r>
      <w:r>
        <w:rPr>
          <w:rFonts w:hint="eastAsia" w:ascii="宋体" w:hAnsi="宋体" w:cs="宋体"/>
          <w:color w:val="auto"/>
          <w:sz w:val="24"/>
          <w:highlight w:val="none"/>
          <w:lang w:val="en-US" w:eastAsia="zh-CN"/>
        </w:rPr>
        <w:t>月</w:t>
      </w:r>
      <w:r>
        <w:rPr>
          <w:rFonts w:hint="eastAsia" w:ascii="宋体" w:hAnsi="宋体" w:cs="宋体"/>
          <w:color w:val="auto"/>
          <w:sz w:val="24"/>
          <w:highlight w:val="none"/>
        </w:rPr>
        <w:t>应（不少于一次）</w:t>
      </w:r>
      <w:r>
        <w:rPr>
          <w:rFonts w:hint="eastAsia" w:ascii="宋体" w:hAnsi="宋体" w:eastAsia="宋体" w:cs="宋体"/>
          <w:color w:val="auto"/>
          <w:kern w:val="0"/>
          <w:szCs w:val="21"/>
          <w:highlight w:val="none"/>
          <w:lang w:bidi="ar"/>
        </w:rPr>
        <w:t>定时巡检设备</w:t>
      </w:r>
      <w:r>
        <w:rPr>
          <w:rFonts w:hint="eastAsia" w:ascii="宋体" w:hAnsi="宋体" w:eastAsia="宋体" w:cs="宋体"/>
          <w:color w:val="auto"/>
          <w:kern w:val="0"/>
          <w:szCs w:val="21"/>
          <w:highlight w:val="none"/>
          <w:lang w:eastAsia="zh-CN" w:bidi="ar"/>
        </w:rPr>
        <w:t>、</w:t>
      </w:r>
      <w:r>
        <w:rPr>
          <w:rFonts w:hint="eastAsia" w:ascii="宋体" w:hAnsi="宋体" w:cs="宋体"/>
          <w:color w:val="auto"/>
          <w:sz w:val="24"/>
          <w:highlight w:val="none"/>
        </w:rPr>
        <w:t>设备保养</w:t>
      </w:r>
      <w:r>
        <w:rPr>
          <w:rFonts w:hint="eastAsia" w:ascii="宋体" w:hAnsi="宋体" w:cs="宋体"/>
          <w:color w:val="auto"/>
          <w:sz w:val="24"/>
          <w:highlight w:val="none"/>
          <w:lang w:val="en-US" w:eastAsia="zh-CN"/>
        </w:rPr>
        <w:t>以及</w:t>
      </w:r>
      <w:r>
        <w:rPr>
          <w:rFonts w:hint="eastAsia" w:ascii="宋体" w:hAnsi="宋体" w:cs="宋体"/>
          <w:color w:val="auto"/>
          <w:sz w:val="24"/>
          <w:highlight w:val="none"/>
        </w:rPr>
        <w:t>检修</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售后人员通过后台随时监测设备运行状态、水质状况，一旦发现故障，设备自动停止产水，只使用净水罐储存的水，在净水罐的水未使用完之前赶到现场处理故障，在保障水质的同时保证用户用水。</w:t>
      </w:r>
    </w:p>
    <w:p w14:paraId="6D039592">
      <w:pPr>
        <w:keepNext w:val="0"/>
        <w:keepLines w:val="0"/>
        <w:pageBreakBefore w:val="0"/>
        <w:shd w:val="clear"/>
        <w:kinsoku/>
        <w:wordWrap/>
        <w:overflowPunct/>
        <w:topLinePunct w:val="0"/>
        <w:autoSpaceDE/>
        <w:autoSpaceDN/>
        <w:bidi w:val="0"/>
        <w:adjustRightInd w:val="0"/>
        <w:snapToGrid w:val="0"/>
        <w:spacing w:line="312" w:lineRule="auto"/>
        <w:ind w:leftChars="0" w:firstLine="482" w:firstLineChars="200"/>
        <w:textAlignment w:val="auto"/>
        <w:rPr>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rPr>
        <w:t>、培训要求：</w:t>
      </w:r>
      <w:r>
        <w:rPr>
          <w:rFonts w:hint="eastAsia" w:ascii="宋体" w:hAnsi="宋体" w:cs="宋体"/>
          <w:color w:val="auto"/>
          <w:sz w:val="24"/>
          <w:highlight w:val="none"/>
        </w:rPr>
        <w:t>安装调试后，供应商须向使用方人员做好所供产品日常保养、使用、管理的现场实地培训，直至会熟练使用。</w:t>
      </w:r>
    </w:p>
    <w:p w14:paraId="66C8F51E">
      <w:pPr>
        <w:pStyle w:val="39"/>
        <w:shd w:val="clear"/>
        <w:ind w:left="0" w:leftChars="0" w:firstLine="0" w:firstLineChars="0"/>
        <w:rPr>
          <w:rFonts w:hint="eastAsia"/>
          <w:color w:val="auto"/>
          <w:highlight w:val="none"/>
        </w:rPr>
      </w:pPr>
    </w:p>
    <w:p w14:paraId="09D6DC49">
      <w:pPr>
        <w:pStyle w:val="39"/>
        <w:shd w:val="clear"/>
        <w:ind w:left="0" w:leftChars="0" w:firstLine="0" w:firstLineChars="0"/>
        <w:rPr>
          <w:rFonts w:hint="eastAsia"/>
          <w:color w:val="auto"/>
          <w:highlight w:val="none"/>
        </w:rPr>
      </w:pPr>
    </w:p>
    <w:p w14:paraId="6A96B2C9">
      <w:pPr>
        <w:pStyle w:val="39"/>
        <w:shd w:val="clear"/>
        <w:ind w:left="0" w:leftChars="0" w:firstLine="0" w:firstLineChars="0"/>
        <w:rPr>
          <w:rFonts w:hint="eastAsia"/>
          <w:color w:val="auto"/>
          <w:highlight w:val="none"/>
        </w:rPr>
      </w:pPr>
    </w:p>
    <w:p w14:paraId="0FF897AE">
      <w:pPr>
        <w:pStyle w:val="39"/>
        <w:shd w:val="clear"/>
        <w:ind w:left="0" w:leftChars="0" w:firstLine="0" w:firstLineChars="0"/>
        <w:rPr>
          <w:rFonts w:hint="eastAsia"/>
          <w:color w:val="auto"/>
          <w:highlight w:val="none"/>
        </w:rPr>
      </w:pPr>
    </w:p>
    <w:p w14:paraId="26FD62A3">
      <w:pPr>
        <w:pStyle w:val="39"/>
        <w:shd w:val="clear"/>
        <w:ind w:left="0" w:leftChars="0" w:firstLine="0" w:firstLineChars="0"/>
        <w:rPr>
          <w:rFonts w:hint="eastAsia"/>
          <w:color w:val="auto"/>
          <w:highlight w:val="none"/>
        </w:rPr>
      </w:pPr>
    </w:p>
    <w:p w14:paraId="793C7E8C">
      <w:pPr>
        <w:pStyle w:val="3"/>
        <w:numPr>
          <w:ilvl w:val="0"/>
          <w:numId w:val="0"/>
        </w:numPr>
        <w:shd w:val="clear"/>
        <w:spacing w:before="312" w:after="312"/>
        <w:ind w:firstLine="2530" w:firstLineChars="700"/>
        <w:jc w:val="both"/>
        <w:rPr>
          <w:rFonts w:hint="eastAsia" w:ascii="宋体" w:hAnsi="宋体" w:eastAsia="宋体" w:cs="宋体"/>
          <w:color w:val="auto"/>
          <w:highlight w:val="none"/>
          <w:lang w:val="zh-CN"/>
        </w:rPr>
      </w:pPr>
      <w:bookmarkStart w:id="714" w:name="_Toc9334"/>
      <w:r>
        <w:rPr>
          <w:rFonts w:hint="eastAsia" w:ascii="宋体" w:hAnsi="宋体" w:eastAsia="宋体" w:cs="宋体"/>
          <w:color w:val="auto"/>
          <w:highlight w:val="none"/>
        </w:rPr>
        <w:t xml:space="preserve">第四章 </w:t>
      </w:r>
      <w:r>
        <w:rPr>
          <w:rFonts w:hint="eastAsia" w:ascii="宋体" w:hAnsi="宋体" w:eastAsia="宋体" w:cs="宋体"/>
          <w:color w:val="auto"/>
          <w:highlight w:val="none"/>
          <w:lang w:val="zh-CN"/>
        </w:rPr>
        <w:t>评标办法及评分标准</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714"/>
      <w:bookmarkStart w:id="715" w:name="_Toc12892"/>
      <w:bookmarkStart w:id="716" w:name="_Toc356371472"/>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715"/>
    <w:bookmarkEnd w:id="716"/>
    <w:p w14:paraId="5A1485A7">
      <w:pPr>
        <w:widowControl/>
        <w:shd w:val="clear"/>
        <w:spacing w:line="312" w:lineRule="auto"/>
        <w:ind w:firstLine="482"/>
        <w:outlineLvl w:val="1"/>
        <w:rPr>
          <w:rFonts w:hint="eastAsia" w:ascii="宋体" w:hAnsi="宋体" w:eastAsia="宋体" w:cs="宋体"/>
          <w:b/>
          <w:bCs/>
          <w:color w:val="auto"/>
          <w:highlight w:val="none"/>
        </w:rPr>
      </w:pPr>
      <w:bookmarkStart w:id="717" w:name="_Toc20606"/>
      <w:bookmarkStart w:id="718" w:name="_Toc19049"/>
      <w:bookmarkStart w:id="719" w:name="_Toc4678"/>
      <w:bookmarkStart w:id="720" w:name="_Toc25687"/>
      <w:bookmarkStart w:id="721" w:name="_Toc18561"/>
      <w:bookmarkStart w:id="722" w:name="_Toc6681"/>
      <w:bookmarkStart w:id="723" w:name="_Toc23405"/>
      <w:bookmarkStart w:id="724" w:name="_Toc24769"/>
      <w:bookmarkStart w:id="725" w:name="_Toc10787"/>
      <w:bookmarkStart w:id="726" w:name="_Toc16005"/>
      <w:bookmarkStart w:id="727" w:name="_Toc13896"/>
      <w:bookmarkStart w:id="728" w:name="_Toc18192"/>
      <w:bookmarkStart w:id="729" w:name="_Toc25369"/>
      <w:bookmarkStart w:id="730" w:name="_Toc13528"/>
      <w:bookmarkStart w:id="731" w:name="_Toc317671872"/>
      <w:bookmarkStart w:id="732" w:name="_Toc8768"/>
      <w:bookmarkStart w:id="733" w:name="_Toc17310"/>
      <w:bookmarkStart w:id="734" w:name="_Toc24093"/>
      <w:bookmarkStart w:id="735" w:name="_Toc642"/>
      <w:bookmarkStart w:id="736" w:name="_Toc4125"/>
      <w:bookmarkStart w:id="737" w:name="_Toc10661"/>
      <w:bookmarkStart w:id="738" w:name="_Toc27764"/>
      <w:bookmarkStart w:id="739" w:name="_Toc27779"/>
      <w:bookmarkStart w:id="740" w:name="_Toc150404637"/>
      <w:bookmarkStart w:id="741" w:name="_Toc11090"/>
      <w:bookmarkStart w:id="742" w:name="_Toc7153"/>
      <w:bookmarkStart w:id="743" w:name="_Toc23253"/>
      <w:bookmarkStart w:id="744" w:name="_Toc27760"/>
      <w:bookmarkStart w:id="745" w:name="_Toc23629"/>
      <w:bookmarkStart w:id="746" w:name="_Toc2268"/>
      <w:bookmarkStart w:id="747" w:name="_Toc9653"/>
      <w:bookmarkStart w:id="748" w:name="_Toc17848"/>
      <w:bookmarkStart w:id="749" w:name="_Toc6078"/>
      <w:bookmarkStart w:id="750" w:name="_Toc16212"/>
      <w:bookmarkStart w:id="751" w:name="_Toc27554"/>
      <w:bookmarkStart w:id="752" w:name="_Toc16765"/>
      <w:bookmarkStart w:id="753" w:name="_Toc32546"/>
      <w:bookmarkStart w:id="754" w:name="_Toc32429"/>
      <w:bookmarkStart w:id="755" w:name="_Toc2839"/>
      <w:bookmarkStart w:id="756" w:name="_Toc26376"/>
      <w:bookmarkStart w:id="757" w:name="_Toc32485"/>
      <w:bookmarkStart w:id="758" w:name="_Toc13104"/>
      <w:bookmarkStart w:id="759" w:name="_Toc16260"/>
      <w:bookmarkStart w:id="760" w:name="_Toc4752"/>
      <w:bookmarkStart w:id="761" w:name="_Toc12737"/>
      <w:bookmarkStart w:id="762" w:name="_Toc7869"/>
      <w:bookmarkStart w:id="763" w:name="_Toc25138"/>
      <w:bookmarkStart w:id="764" w:name="_Toc25648"/>
      <w:bookmarkStart w:id="765" w:name="_Toc344208599"/>
      <w:bookmarkStart w:id="766" w:name="_Toc18027"/>
      <w:bookmarkStart w:id="767" w:name="_Toc21988"/>
      <w:bookmarkStart w:id="768" w:name="_Toc32666"/>
      <w:bookmarkStart w:id="769" w:name="_Toc25940"/>
      <w:bookmarkStart w:id="770" w:name="_Toc7475"/>
      <w:bookmarkStart w:id="771" w:name="_Toc434"/>
      <w:bookmarkStart w:id="772" w:name="_Toc12706"/>
      <w:bookmarkStart w:id="773" w:name="_Toc18789"/>
      <w:bookmarkStart w:id="774" w:name="_Toc6732"/>
      <w:bookmarkStart w:id="775" w:name="_Toc15196"/>
      <w:bookmarkStart w:id="776" w:name="_Toc599"/>
      <w:bookmarkStart w:id="777" w:name="_Toc17852"/>
      <w:bookmarkStart w:id="778" w:name="_Toc23856"/>
      <w:bookmarkStart w:id="779" w:name="_Toc26937"/>
      <w:bookmarkStart w:id="780" w:name="_Toc25720"/>
      <w:bookmarkStart w:id="781" w:name="_Toc22538"/>
      <w:bookmarkStart w:id="782" w:name="_Toc5861"/>
      <w:bookmarkStart w:id="783" w:name="_Toc21158"/>
      <w:bookmarkStart w:id="784" w:name="_Toc4470"/>
      <w:bookmarkStart w:id="785" w:name="_Toc9754"/>
      <w:bookmarkStart w:id="786" w:name="_Toc10747"/>
      <w:bookmarkStart w:id="787" w:name="_Toc2393"/>
      <w:bookmarkStart w:id="788" w:name="_Toc15322"/>
      <w:bookmarkStart w:id="789" w:name="_Toc22934"/>
      <w:bookmarkStart w:id="790" w:name="_Toc6901"/>
      <w:bookmarkStart w:id="791" w:name="_Toc22689"/>
      <w:bookmarkStart w:id="792" w:name="_Toc19997"/>
      <w:bookmarkStart w:id="793" w:name="_Toc8527"/>
      <w:bookmarkStart w:id="794" w:name="_Toc17851"/>
      <w:bookmarkStart w:id="795" w:name="_Toc24868"/>
      <w:bookmarkStart w:id="796" w:name="_Toc14588"/>
      <w:bookmarkStart w:id="797" w:name="_Toc25353"/>
      <w:bookmarkStart w:id="798" w:name="_Toc11538"/>
      <w:bookmarkStart w:id="799" w:name="_Toc7653"/>
      <w:bookmarkStart w:id="800" w:name="_Toc22407"/>
      <w:bookmarkStart w:id="801" w:name="_Toc22791"/>
      <w:bookmarkStart w:id="802" w:name="_Toc11262"/>
      <w:bookmarkStart w:id="803" w:name="_Toc18392"/>
      <w:bookmarkStart w:id="804" w:name="_Toc11499"/>
      <w:bookmarkStart w:id="805" w:name="_Toc31419"/>
      <w:r>
        <w:rPr>
          <w:rFonts w:hint="eastAsia" w:ascii="宋体" w:hAnsi="宋体" w:eastAsia="宋体" w:cs="宋体"/>
          <w:b/>
          <w:bCs/>
          <w:color w:val="auto"/>
          <w:highlight w:val="none"/>
        </w:rPr>
        <w:t>一、总 则</w:t>
      </w:r>
      <w:bookmarkEnd w:id="717"/>
      <w:bookmarkEnd w:id="718"/>
      <w:bookmarkEnd w:id="719"/>
      <w:bookmarkEnd w:id="720"/>
      <w:bookmarkEnd w:id="721"/>
      <w:bookmarkEnd w:id="722"/>
      <w:bookmarkEnd w:id="723"/>
      <w:bookmarkEnd w:id="724"/>
      <w:bookmarkEnd w:id="725"/>
      <w:bookmarkEnd w:id="726"/>
      <w:bookmarkEnd w:id="727"/>
      <w:bookmarkEnd w:id="728"/>
    </w:p>
    <w:p w14:paraId="1615668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1.为公正、公平、科学地选择</w:t>
      </w:r>
      <w:r>
        <w:rPr>
          <w:rFonts w:hint="eastAsia" w:ascii="宋体" w:hAnsi="宋体" w:cs="宋体"/>
          <w:color w:val="auto"/>
          <w:highlight w:val="none"/>
          <w:lang w:eastAsia="zh-CN"/>
        </w:rPr>
        <w:t>中标人</w:t>
      </w:r>
      <w:r>
        <w:rPr>
          <w:rFonts w:hint="eastAsia" w:ascii="宋体" w:hAnsi="宋体" w:eastAsia="宋体" w:cs="宋体"/>
          <w:color w:val="auto"/>
          <w:highlight w:val="none"/>
        </w:rPr>
        <w:t>，参照《中华人民共和国政府采购法》《中华人民共和国政府采购法实施条例》以及政府采购有关规定，并结合本项目的实际情况，制定本办法。</w:t>
      </w:r>
    </w:p>
    <w:p w14:paraId="6E9B8AD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2.评标工作由采购组织机构负责组织，具体评标事务由评标委员会负责。</w:t>
      </w:r>
    </w:p>
    <w:p w14:paraId="332A22A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评标委员会评价投标文件的响应性，对于供应商而言，除评标委员会要求其澄清、说明或者更正而提供的资料外，仅依据投标文件本身的内容，不寻求其他外部证据。如供应商提交的资质证明或其他内容不齐全，由此造成的后果由供应商自己负责。</w:t>
      </w:r>
    </w:p>
    <w:p w14:paraId="42C1FBBD">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4.本项目评标采用不公开方式进行，评标过程独立、保密。供应商非法干预评标过程的行为将导致其投标文件作为无效处理。</w:t>
      </w:r>
    </w:p>
    <w:p w14:paraId="0685C11B">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5.本项目评标采用不公开方式进行。</w:t>
      </w:r>
    </w:p>
    <w:p w14:paraId="7C8D05E6">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6.本项目评审采用综合评分法。</w:t>
      </w:r>
    </w:p>
    <w:p w14:paraId="0852A0B7">
      <w:pPr>
        <w:widowControl/>
        <w:shd w:val="clear"/>
        <w:spacing w:line="312" w:lineRule="auto"/>
        <w:ind w:firstLine="482"/>
        <w:outlineLvl w:val="1"/>
        <w:rPr>
          <w:rFonts w:hint="eastAsia" w:ascii="宋体" w:hAnsi="宋体" w:eastAsia="宋体" w:cs="宋体"/>
          <w:b/>
          <w:bCs/>
          <w:color w:val="auto"/>
          <w:highlight w:val="none"/>
        </w:rPr>
      </w:pPr>
      <w:bookmarkStart w:id="806" w:name="_Toc7240"/>
      <w:bookmarkStart w:id="807" w:name="_Toc14481"/>
      <w:bookmarkStart w:id="808" w:name="_Toc2845"/>
      <w:bookmarkStart w:id="809" w:name="_Toc32218"/>
      <w:bookmarkStart w:id="810" w:name="_Toc30301"/>
      <w:bookmarkStart w:id="811" w:name="_Toc16025"/>
      <w:bookmarkStart w:id="812" w:name="_Toc21394"/>
      <w:bookmarkStart w:id="813" w:name="_Toc27915"/>
      <w:bookmarkStart w:id="814" w:name="_Toc18973"/>
      <w:bookmarkStart w:id="815" w:name="_Toc6888"/>
      <w:bookmarkStart w:id="816" w:name="_Toc16072"/>
      <w:bookmarkStart w:id="817" w:name="_Toc11305"/>
      <w:bookmarkStart w:id="818" w:name="_Toc10564"/>
      <w:r>
        <w:rPr>
          <w:rFonts w:hint="eastAsia" w:ascii="宋体" w:hAnsi="宋体" w:eastAsia="宋体" w:cs="宋体"/>
          <w:b/>
          <w:bCs/>
          <w:color w:val="auto"/>
          <w:highlight w:val="none"/>
        </w:rPr>
        <w:t>二、组建评标委员会</w:t>
      </w:r>
      <w:bookmarkEnd w:id="806"/>
      <w:bookmarkEnd w:id="807"/>
      <w:bookmarkEnd w:id="808"/>
      <w:bookmarkEnd w:id="809"/>
      <w:bookmarkEnd w:id="810"/>
      <w:bookmarkEnd w:id="811"/>
      <w:bookmarkEnd w:id="812"/>
      <w:bookmarkEnd w:id="813"/>
      <w:bookmarkEnd w:id="814"/>
      <w:bookmarkEnd w:id="815"/>
      <w:bookmarkEnd w:id="816"/>
      <w:bookmarkEnd w:id="817"/>
      <w:bookmarkEnd w:id="818"/>
    </w:p>
    <w:p w14:paraId="08706B2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1.采购人将根据相关规定和采购项目的特点由采购人和技术、经济等方面专家组成评标委员会，评标委员会成员人数见供应商须知前附表。</w:t>
      </w:r>
    </w:p>
    <w:p w14:paraId="3D0D2B2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2.除依法组建的评标委员会成员以外，其他任何人不得参加或者替代评审。</w:t>
      </w:r>
    </w:p>
    <w:p w14:paraId="60736126">
      <w:pPr>
        <w:widowControl/>
        <w:shd w:val="clear"/>
        <w:spacing w:line="312" w:lineRule="auto"/>
        <w:ind w:firstLine="482"/>
        <w:outlineLvl w:val="1"/>
        <w:rPr>
          <w:rFonts w:hint="eastAsia" w:ascii="宋体" w:hAnsi="宋体" w:eastAsia="宋体" w:cs="宋体"/>
          <w:b/>
          <w:bCs/>
          <w:color w:val="auto"/>
          <w:highlight w:val="none"/>
        </w:rPr>
      </w:pPr>
      <w:bookmarkStart w:id="819" w:name="_Toc11552"/>
      <w:bookmarkStart w:id="820" w:name="_Toc435"/>
      <w:bookmarkStart w:id="821" w:name="_Toc14557"/>
      <w:bookmarkStart w:id="822" w:name="_Toc26976"/>
      <w:bookmarkStart w:id="823" w:name="_Toc6178"/>
      <w:bookmarkStart w:id="824" w:name="_Toc22938"/>
      <w:bookmarkStart w:id="825" w:name="_Toc11485"/>
      <w:bookmarkStart w:id="826" w:name="_Toc14489"/>
      <w:bookmarkStart w:id="827" w:name="_Toc9591"/>
      <w:bookmarkStart w:id="828" w:name="_Toc26856"/>
      <w:bookmarkStart w:id="829" w:name="_Toc28668"/>
      <w:bookmarkStart w:id="830" w:name="_Toc32382"/>
      <w:bookmarkStart w:id="831" w:name="_Toc32495"/>
      <w:r>
        <w:rPr>
          <w:rFonts w:hint="eastAsia" w:ascii="宋体" w:hAnsi="宋体" w:eastAsia="宋体" w:cs="宋体"/>
          <w:b/>
          <w:bCs/>
          <w:color w:val="auto"/>
          <w:highlight w:val="none"/>
        </w:rPr>
        <w:t>三、评标原则</w:t>
      </w:r>
      <w:bookmarkEnd w:id="819"/>
      <w:bookmarkEnd w:id="820"/>
      <w:bookmarkEnd w:id="821"/>
      <w:bookmarkEnd w:id="822"/>
      <w:bookmarkEnd w:id="823"/>
      <w:bookmarkEnd w:id="824"/>
      <w:bookmarkEnd w:id="825"/>
      <w:bookmarkEnd w:id="826"/>
      <w:bookmarkEnd w:id="827"/>
      <w:bookmarkEnd w:id="828"/>
      <w:bookmarkEnd w:id="829"/>
      <w:bookmarkEnd w:id="830"/>
      <w:bookmarkEnd w:id="831"/>
    </w:p>
    <w:p w14:paraId="1B2271A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1.公正、客观、审慎的原则。</w:t>
      </w:r>
    </w:p>
    <w:p w14:paraId="1BB6215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2.严格保密原则。评标委员会及有关工作人员不得私下与供应商接触。采购人或采购组织机构对评审结果不作任何说明和解释，也不回答任何提问。</w:t>
      </w:r>
    </w:p>
    <w:p w14:paraId="3D4D71A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3.独立评审原则。任何单位和个人不得干扰、影响评审的正常进行。</w:t>
      </w:r>
    </w:p>
    <w:p w14:paraId="7AF94A8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4.严格遵守评标方法。根据采购文件规定的评审程序、评审方法进行评审，不带任何倾向性和启发性。</w:t>
      </w:r>
    </w:p>
    <w:p w14:paraId="3EC0793A">
      <w:pPr>
        <w:widowControl/>
        <w:shd w:val="clear"/>
        <w:spacing w:line="312" w:lineRule="auto"/>
        <w:ind w:firstLine="482"/>
        <w:outlineLvl w:val="1"/>
        <w:rPr>
          <w:rFonts w:hint="eastAsia" w:ascii="宋体" w:hAnsi="宋体" w:eastAsia="宋体" w:cs="宋体"/>
          <w:b/>
          <w:bCs/>
          <w:color w:val="auto"/>
          <w:highlight w:val="none"/>
        </w:rPr>
      </w:pPr>
      <w:bookmarkStart w:id="832" w:name="_Toc32118"/>
      <w:bookmarkStart w:id="833" w:name="_Toc3494"/>
      <w:bookmarkStart w:id="834" w:name="_Toc27639"/>
      <w:bookmarkStart w:id="835" w:name="_Toc12137"/>
      <w:bookmarkStart w:id="836" w:name="_Toc27983"/>
      <w:bookmarkStart w:id="837" w:name="_Toc21797"/>
      <w:bookmarkStart w:id="838" w:name="_Toc29039"/>
      <w:bookmarkStart w:id="839" w:name="_Toc11868"/>
      <w:bookmarkStart w:id="840" w:name="_Toc10524"/>
      <w:bookmarkStart w:id="841" w:name="_Toc1774"/>
      <w:bookmarkStart w:id="842" w:name="_Toc3166"/>
      <w:bookmarkStart w:id="843" w:name="_Toc19314"/>
      <w:bookmarkStart w:id="844" w:name="_Toc4890"/>
      <w:r>
        <w:rPr>
          <w:rFonts w:hint="eastAsia" w:ascii="宋体" w:hAnsi="宋体" w:eastAsia="宋体" w:cs="宋体"/>
          <w:b/>
          <w:bCs/>
          <w:color w:val="auto"/>
          <w:highlight w:val="none"/>
        </w:rPr>
        <w:t>四、评标委员会履行下列职责</w:t>
      </w:r>
      <w:bookmarkEnd w:id="832"/>
      <w:bookmarkEnd w:id="833"/>
      <w:bookmarkEnd w:id="834"/>
      <w:bookmarkEnd w:id="835"/>
      <w:bookmarkEnd w:id="836"/>
      <w:bookmarkEnd w:id="837"/>
      <w:bookmarkEnd w:id="838"/>
      <w:bookmarkEnd w:id="839"/>
      <w:bookmarkEnd w:id="840"/>
      <w:bookmarkEnd w:id="841"/>
      <w:bookmarkEnd w:id="842"/>
      <w:bookmarkEnd w:id="843"/>
      <w:bookmarkEnd w:id="844"/>
    </w:p>
    <w:p w14:paraId="1442027D">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1.熟悉和理解招标文件；</w:t>
      </w:r>
    </w:p>
    <w:p w14:paraId="7A091BBB">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2.审查供应商投标文件等是否满足招标文件要求，并作出评价；</w:t>
      </w:r>
    </w:p>
    <w:p w14:paraId="2957793C">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3.根据需要要求采购人对招标文件作出解释；根据需要要求供应商对投标文件有关事项作出澄清、说明或者更正；</w:t>
      </w:r>
    </w:p>
    <w:p w14:paraId="580FC53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4.推荐中标候选人，或者受采购人委托确定</w:t>
      </w:r>
      <w:r>
        <w:rPr>
          <w:rFonts w:hint="eastAsia" w:ascii="宋体" w:hAnsi="宋体" w:cs="宋体"/>
          <w:color w:val="auto"/>
          <w:highlight w:val="none"/>
          <w:lang w:eastAsia="zh-CN"/>
        </w:rPr>
        <w:t>中标人</w:t>
      </w:r>
      <w:r>
        <w:rPr>
          <w:rFonts w:hint="eastAsia" w:ascii="宋体" w:hAnsi="宋体" w:eastAsia="宋体" w:cs="宋体"/>
          <w:color w:val="auto"/>
          <w:highlight w:val="none"/>
        </w:rPr>
        <w:t>；</w:t>
      </w:r>
    </w:p>
    <w:p w14:paraId="25A0E0C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5.起草评标报告并进行签署；</w:t>
      </w:r>
    </w:p>
    <w:p w14:paraId="435A2386">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6.向采购人、监督部门报告非法干预评标工作的行为；</w:t>
      </w:r>
    </w:p>
    <w:p w14:paraId="3C9FE7E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法律法规</w:t>
      </w:r>
      <w:r>
        <w:rPr>
          <w:rFonts w:hint="eastAsia" w:ascii="宋体" w:hAnsi="宋体" w:eastAsia="宋体" w:cs="宋体"/>
          <w:color w:val="auto"/>
          <w:highlight w:val="none"/>
        </w:rPr>
        <w:t>和规章规定的其他职责。</w:t>
      </w:r>
    </w:p>
    <w:p w14:paraId="6E0EA852">
      <w:pPr>
        <w:widowControl/>
        <w:shd w:val="clear"/>
        <w:spacing w:line="312" w:lineRule="auto"/>
        <w:ind w:firstLine="482"/>
        <w:outlineLvl w:val="1"/>
        <w:rPr>
          <w:rFonts w:hint="eastAsia" w:ascii="宋体" w:hAnsi="宋体" w:eastAsia="宋体" w:cs="宋体"/>
          <w:b/>
          <w:bCs/>
          <w:color w:val="auto"/>
          <w:highlight w:val="none"/>
        </w:rPr>
      </w:pPr>
      <w:bookmarkStart w:id="845" w:name="_Toc29136"/>
      <w:bookmarkStart w:id="846" w:name="_Toc7255"/>
      <w:bookmarkStart w:id="847" w:name="_Toc24565"/>
      <w:bookmarkStart w:id="848" w:name="_Toc2770"/>
      <w:bookmarkStart w:id="849" w:name="_Toc6044"/>
      <w:bookmarkStart w:id="850" w:name="_Toc6486"/>
      <w:bookmarkStart w:id="851" w:name="_Toc26645"/>
      <w:bookmarkStart w:id="852" w:name="_Toc11071"/>
      <w:bookmarkStart w:id="853" w:name="_Toc23156"/>
      <w:bookmarkStart w:id="854" w:name="_Toc20990"/>
      <w:bookmarkStart w:id="855" w:name="_Toc25544"/>
      <w:bookmarkStart w:id="856" w:name="_Toc8164"/>
      <w:bookmarkStart w:id="857" w:name="_Toc22119"/>
      <w:r>
        <w:rPr>
          <w:rFonts w:hint="eastAsia" w:ascii="宋体" w:hAnsi="宋体" w:eastAsia="宋体" w:cs="宋体"/>
          <w:b/>
          <w:bCs/>
          <w:color w:val="auto"/>
          <w:highlight w:val="none"/>
        </w:rPr>
        <w:t>五、评标工作纪律</w:t>
      </w:r>
      <w:bookmarkEnd w:id="845"/>
      <w:bookmarkEnd w:id="846"/>
      <w:bookmarkEnd w:id="847"/>
      <w:bookmarkEnd w:id="848"/>
      <w:bookmarkEnd w:id="849"/>
      <w:bookmarkEnd w:id="850"/>
      <w:bookmarkEnd w:id="851"/>
      <w:bookmarkEnd w:id="852"/>
      <w:bookmarkEnd w:id="853"/>
      <w:bookmarkEnd w:id="854"/>
      <w:bookmarkEnd w:id="855"/>
      <w:bookmarkEnd w:id="856"/>
      <w:bookmarkEnd w:id="857"/>
    </w:p>
    <w:p w14:paraId="65BC7F2D">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评标委员会成员要严格遵守评标纪律、保密、回避等相关规定，依法独立履行评标职责，客观、公正、审慎参与评标工作；</w:t>
      </w:r>
    </w:p>
    <w:p w14:paraId="649BDB5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1.严格遵守评标时间，因突发情况确实不能按时参加评标的，应事先告知招标组织机构；</w:t>
      </w:r>
    </w:p>
    <w:p w14:paraId="143BD57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2.服从招标组织机构的现场管理，主动出示身份证明，进入评标区域后应主动寄存移动通讯工具；</w:t>
      </w:r>
    </w:p>
    <w:p w14:paraId="3FF47603">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3.与供应商或评标委员会其他成员存在利害关系的，要主动回避，自觉签订《国企采购评审人员廉洁自律承诺书》；</w:t>
      </w:r>
    </w:p>
    <w:p w14:paraId="3BEB080B">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709D0CCB">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5.自觉遵守职业道德，尊重采购人代表和供应商代表，配合招标组织机构回答供应商代表提出的有关异议；</w:t>
      </w:r>
    </w:p>
    <w:p w14:paraId="10A8B64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6.不得将评标过程、结果和供应商的商业秘密透露给任何单位和个人。未公告评标结果前不准泄露评标结果，不准将评标资料带出会场；</w:t>
      </w:r>
    </w:p>
    <w:p w14:paraId="464B7BB4">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7.评标过程中，</w:t>
      </w:r>
      <w:r>
        <w:rPr>
          <w:rFonts w:hint="eastAsia" w:ascii="宋体" w:hAnsi="宋体" w:eastAsia="宋体" w:cs="宋体"/>
          <w:color w:val="auto"/>
          <w:highlight w:val="none"/>
          <w:lang w:eastAsia="zh-CN"/>
        </w:rPr>
        <w:t>涉及相关</w:t>
      </w:r>
      <w:r>
        <w:rPr>
          <w:rFonts w:hint="eastAsia" w:ascii="宋体" w:hAnsi="宋体" w:eastAsia="宋体" w:cs="宋体"/>
          <w:color w:val="auto"/>
          <w:highlight w:val="none"/>
        </w:rPr>
        <w:t>法律法规不清楚之处的，由采购监管部门或请示权威部门作出法定解释，</w:t>
      </w:r>
      <w:r>
        <w:rPr>
          <w:rFonts w:hint="eastAsia" w:ascii="宋体" w:hAnsi="宋体" w:eastAsia="宋体" w:cs="宋体"/>
          <w:color w:val="auto"/>
          <w:highlight w:val="none"/>
          <w:lang w:eastAsia="zh-CN"/>
        </w:rPr>
        <w:t>涉及</w:t>
      </w:r>
      <w:r>
        <w:rPr>
          <w:rFonts w:hint="eastAsia" w:ascii="宋体" w:hAnsi="宋体" w:eastAsia="宋体" w:cs="宋体"/>
          <w:color w:val="auto"/>
          <w:highlight w:val="none"/>
        </w:rPr>
        <w:t>招标文件的由采购人和采购代理机构负责解释。</w:t>
      </w:r>
    </w:p>
    <w:p w14:paraId="5F88CBEE">
      <w:pPr>
        <w:widowControl/>
        <w:shd w:val="clear"/>
        <w:spacing w:line="312" w:lineRule="auto"/>
        <w:ind w:firstLine="482"/>
        <w:outlineLvl w:val="1"/>
        <w:rPr>
          <w:rFonts w:hint="eastAsia" w:ascii="宋体" w:hAnsi="宋体" w:eastAsia="宋体" w:cs="宋体"/>
          <w:b/>
          <w:bCs/>
          <w:color w:val="auto"/>
          <w:highlight w:val="none"/>
        </w:rPr>
      </w:pPr>
      <w:bookmarkStart w:id="858" w:name="_Toc28642"/>
      <w:bookmarkStart w:id="859" w:name="_Toc4430"/>
      <w:bookmarkStart w:id="860" w:name="_Toc32561"/>
      <w:bookmarkStart w:id="861" w:name="_Toc21047"/>
      <w:bookmarkStart w:id="862" w:name="_Toc19074"/>
      <w:bookmarkStart w:id="863" w:name="_Toc5264"/>
      <w:bookmarkStart w:id="864" w:name="_Toc28348"/>
      <w:bookmarkStart w:id="865" w:name="_Toc24507"/>
      <w:bookmarkStart w:id="866" w:name="_Toc13291"/>
      <w:bookmarkStart w:id="867" w:name="_Toc19330"/>
      <w:bookmarkStart w:id="868" w:name="_Toc274"/>
      <w:bookmarkStart w:id="869" w:name="_Toc1409"/>
      <w:bookmarkStart w:id="870" w:name="_Toc20282"/>
      <w:r>
        <w:rPr>
          <w:rFonts w:hint="eastAsia" w:ascii="宋体" w:hAnsi="宋体" w:eastAsia="宋体" w:cs="宋体"/>
          <w:b/>
          <w:bCs/>
          <w:color w:val="auto"/>
          <w:highlight w:val="none"/>
        </w:rPr>
        <w:t>六、评标程序</w:t>
      </w:r>
      <w:bookmarkEnd w:id="858"/>
      <w:bookmarkEnd w:id="859"/>
      <w:bookmarkEnd w:id="860"/>
      <w:bookmarkEnd w:id="861"/>
      <w:bookmarkEnd w:id="862"/>
      <w:bookmarkEnd w:id="863"/>
      <w:bookmarkEnd w:id="864"/>
      <w:bookmarkEnd w:id="865"/>
      <w:bookmarkEnd w:id="866"/>
      <w:bookmarkEnd w:id="867"/>
      <w:bookmarkEnd w:id="868"/>
      <w:bookmarkEnd w:id="869"/>
      <w:bookmarkEnd w:id="870"/>
    </w:p>
    <w:p w14:paraId="7E27E21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1.推选评标委员会组长，优先资深专家担任组长，采购人代表不得担任组长。</w:t>
      </w:r>
    </w:p>
    <w:p w14:paraId="661B110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2.评标委员会正式评审前，应当对采购文件进行熟悉和理解，内容主要包括采购文件中供应商资格</w:t>
      </w:r>
      <w:r>
        <w:rPr>
          <w:rFonts w:hint="eastAsia" w:ascii="宋体" w:hAnsi="宋体" w:eastAsia="宋体" w:cs="宋体"/>
          <w:color w:val="auto"/>
          <w:highlight w:val="none"/>
          <w:lang w:eastAsia="zh-CN"/>
        </w:rPr>
        <w:t>资质</w:t>
      </w:r>
      <w:r>
        <w:rPr>
          <w:rFonts w:hint="eastAsia" w:ascii="宋体" w:hAnsi="宋体" w:eastAsia="宋体" w:cs="宋体"/>
          <w:color w:val="auto"/>
          <w:highlight w:val="none"/>
        </w:rPr>
        <w:t>要求、采购项目技术、服务和商务要求、评审方法以及可能涉及签订采购合同的内容等。</w:t>
      </w:r>
    </w:p>
    <w:p w14:paraId="01F260A3">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3.评标程序：资格性审查→符合性审查→资信技术评审→报价评审→得分汇总→编写评审报告。</w:t>
      </w:r>
    </w:p>
    <w:p w14:paraId="4523D413">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4.资格性审查</w:t>
      </w:r>
    </w:p>
    <w:p w14:paraId="3E35408E">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4.1.评标委员会应依据法律法规和本招标文件的规定对供应商资格进行审查。审查内容包</w:t>
      </w:r>
    </w:p>
    <w:p w14:paraId="0F95B79E">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括：</w:t>
      </w:r>
    </w:p>
    <w:p w14:paraId="4C7598A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(1)是否属于禁止参加投标的供应商；</w:t>
      </w:r>
    </w:p>
    <w:p w14:paraId="1F1D0ED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(2)是否按照规定要求提供资格性证明材料；</w:t>
      </w:r>
    </w:p>
    <w:p w14:paraId="1E120C1C">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(3)法律法规规定的其他资格条件。</w:t>
      </w:r>
    </w:p>
    <w:p w14:paraId="60C9405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4.2.经资格审查不符合招标文件要求的投标文件，即终止其参与投标资格。不符合的理由由供应商在系统里确认，供应商拒绝确认的不影响评标委员会作出的不合格裁定。</w:t>
      </w:r>
    </w:p>
    <w:p w14:paraId="47DBC776">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5.符合性审查</w:t>
      </w:r>
    </w:p>
    <w:p w14:paraId="374897F3">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5.1.评标委员会根据本招标文件的规定，对资格符合供应商的投标文件进行审查，以认定其是否满足本招标文件的实质性要求。符合性审查事项仅限于本招标文件的明确规定，评标委员会不得臆测符合性审查事项。经符合性审查未实质性响应招标文件要求，以投标无效处理。</w:t>
      </w:r>
    </w:p>
    <w:p w14:paraId="2814D242">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未实质性响应的理由由供应商在系统里确认。供应商拒绝确认的不影响评标委员会作出的不合格裁定。评标委员会不再进行后续评审。</w:t>
      </w:r>
    </w:p>
    <w:p w14:paraId="3544E07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5.2.如果确定供应商无资格履行合同，其投标将被拒绝。</w:t>
      </w:r>
    </w:p>
    <w:p w14:paraId="350BA61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6.投标文件评审</w:t>
      </w:r>
    </w:p>
    <w:p w14:paraId="32F836A6">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评标委员会应当按照本招标文件中规定的评标方法和评分标准，对有效的投标文件进行技术、服务、商务等方面评估，综合比较与评价。详见本章第十条。</w:t>
      </w:r>
    </w:p>
    <w:p w14:paraId="27A28520">
      <w:pPr>
        <w:widowControl/>
        <w:shd w:val="clear"/>
        <w:spacing w:line="312" w:lineRule="auto"/>
        <w:ind w:firstLine="482"/>
        <w:jc w:val="left"/>
        <w:outlineLvl w:val="1"/>
        <w:rPr>
          <w:rFonts w:hint="eastAsia" w:ascii="宋体" w:hAnsi="宋体" w:eastAsia="宋体" w:cs="宋体"/>
          <w:b/>
          <w:bCs/>
          <w:color w:val="auto"/>
          <w:highlight w:val="none"/>
        </w:rPr>
      </w:pPr>
      <w:bookmarkStart w:id="871" w:name="_Toc30298"/>
      <w:bookmarkStart w:id="872" w:name="_Toc31575"/>
      <w:bookmarkStart w:id="873" w:name="_Toc10554"/>
      <w:bookmarkStart w:id="874" w:name="_Toc15643"/>
      <w:bookmarkStart w:id="875" w:name="_Toc5576"/>
      <w:bookmarkStart w:id="876" w:name="_Toc16982"/>
      <w:bookmarkStart w:id="877" w:name="_Toc21780"/>
      <w:bookmarkStart w:id="878" w:name="_Toc8858"/>
      <w:bookmarkStart w:id="879" w:name="_Toc22269"/>
      <w:bookmarkStart w:id="880" w:name="_Toc26135"/>
      <w:bookmarkStart w:id="881" w:name="_Toc723"/>
      <w:bookmarkStart w:id="882" w:name="_Toc19913"/>
      <w:bookmarkStart w:id="883" w:name="_Toc5244"/>
      <w:r>
        <w:rPr>
          <w:rFonts w:hint="eastAsia" w:ascii="宋体" w:hAnsi="宋体" w:eastAsia="宋体" w:cs="宋体"/>
          <w:b/>
          <w:bCs/>
          <w:color w:val="auto"/>
          <w:highlight w:val="none"/>
        </w:rPr>
        <w:t>七、澄清、说明或修正</w:t>
      </w:r>
      <w:bookmarkEnd w:id="871"/>
      <w:bookmarkEnd w:id="872"/>
      <w:bookmarkEnd w:id="873"/>
      <w:bookmarkEnd w:id="874"/>
      <w:bookmarkEnd w:id="875"/>
      <w:bookmarkEnd w:id="876"/>
      <w:bookmarkEnd w:id="877"/>
      <w:bookmarkEnd w:id="878"/>
      <w:bookmarkEnd w:id="879"/>
      <w:bookmarkEnd w:id="880"/>
      <w:bookmarkEnd w:id="881"/>
      <w:bookmarkEnd w:id="882"/>
      <w:bookmarkEnd w:id="883"/>
    </w:p>
    <w:p w14:paraId="4A39921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在评审过程中，投标文件实质性符合招标文件要求的前提下，评标委员会对投标文件中含义不明确、同类问题表述不一致或者有明显文字和计算错误的内容，评标委员会可以要求相关供应商作出必要的澄清、说明或修正。但不得超出招标文件的范围，不得以此让供应商实质改变投标文件的内容，不得影响公平竞争和投标文件的效力。澄清、说明或修正内容是投标文件的组成部分。</w:t>
      </w:r>
    </w:p>
    <w:p w14:paraId="10B22AA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2.投标文件报价出现前后不一致的，按照下列规定修正：</w:t>
      </w:r>
    </w:p>
    <w:p w14:paraId="3A60E132">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2.1.开标时，投标文件中</w:t>
      </w:r>
      <w:r>
        <w:rPr>
          <w:rFonts w:hint="eastAsia" w:ascii="宋体" w:hAnsi="宋体" w:eastAsia="宋体" w:cs="宋体"/>
          <w:color w:val="auto"/>
          <w:highlight w:val="none"/>
          <w:lang w:eastAsia="zh-CN"/>
        </w:rPr>
        <w:t>开标一览表</w:t>
      </w:r>
      <w:r>
        <w:rPr>
          <w:rFonts w:hint="eastAsia" w:ascii="宋体" w:hAnsi="宋体" w:eastAsia="宋体" w:cs="宋体"/>
          <w:color w:val="auto"/>
          <w:highlight w:val="none"/>
        </w:rPr>
        <w:t>内容与投标文件中明细表内容不一致的，以</w:t>
      </w:r>
      <w:r>
        <w:rPr>
          <w:rFonts w:hint="eastAsia" w:ascii="宋体" w:hAnsi="宋体" w:eastAsia="宋体" w:cs="宋体"/>
          <w:color w:val="auto"/>
          <w:highlight w:val="none"/>
          <w:lang w:eastAsia="zh-CN"/>
        </w:rPr>
        <w:t>开标一览表</w:t>
      </w:r>
      <w:r>
        <w:rPr>
          <w:rFonts w:hint="eastAsia" w:ascii="宋体" w:hAnsi="宋体" w:eastAsia="宋体" w:cs="宋体"/>
          <w:color w:val="auto"/>
          <w:highlight w:val="none"/>
        </w:rPr>
        <w:t>为准；</w:t>
      </w:r>
    </w:p>
    <w:p w14:paraId="29FF0A2F">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2.2投标文件的大写金额和小写金额不一致的，以大写金额为准；</w:t>
      </w:r>
    </w:p>
    <w:p w14:paraId="6F446F0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2.3单价金额小数点或百分比有明显错位的，以</w:t>
      </w:r>
      <w:r>
        <w:rPr>
          <w:rFonts w:hint="eastAsia" w:ascii="宋体" w:hAnsi="宋体" w:eastAsia="宋体" w:cs="宋体"/>
          <w:color w:val="auto"/>
          <w:highlight w:val="none"/>
          <w:lang w:eastAsia="zh-CN"/>
        </w:rPr>
        <w:t>开标一览表</w:t>
      </w:r>
      <w:r>
        <w:rPr>
          <w:rFonts w:hint="eastAsia" w:ascii="宋体" w:hAnsi="宋体" w:eastAsia="宋体" w:cs="宋体"/>
          <w:color w:val="auto"/>
          <w:highlight w:val="none"/>
        </w:rPr>
        <w:t>的总价为准，并修改单价；</w:t>
      </w:r>
    </w:p>
    <w:p w14:paraId="623F8A3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2.4总价金额与按单价汇总金额不一致的，以单价金额计算结果为准；同时出现两种以上不一致的，按照前款规定的顺序修正，修正后的报价应经供应商书面确认，供应商不予确认的，其投标无效。</w:t>
      </w:r>
    </w:p>
    <w:p w14:paraId="07F4F28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2.5.对不同语言文本投标文件的解释发生异议的，以中文文本为准。</w:t>
      </w:r>
    </w:p>
    <w:p w14:paraId="7920879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66AD8C7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3.澄清说明答复函须由供应商法定代表人或授权代理人签字和盖章。如果供应商不接受对其错误的更正，其投标将被拒绝。</w:t>
      </w:r>
    </w:p>
    <w:p w14:paraId="6D308DF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请供应商在评审期间保持电话畅通，如未及时接听电话，视为放弃澄清、说明或补正的权利，视同默认采购结果，事后不得对采购相关人员、采购过程及结果提出异议。放弃澄清、说明或补正的责任由供应商自行负担。</w:t>
      </w:r>
    </w:p>
    <w:p w14:paraId="508A62FD">
      <w:pPr>
        <w:widowControl/>
        <w:shd w:val="clear"/>
        <w:spacing w:line="312" w:lineRule="auto"/>
        <w:ind w:firstLine="482" w:firstLineChars="0"/>
        <w:jc w:val="left"/>
        <w:outlineLvl w:val="1"/>
        <w:rPr>
          <w:rFonts w:hint="eastAsia" w:ascii="宋体" w:hAnsi="宋体" w:eastAsia="宋体" w:cs="宋体"/>
          <w:b/>
          <w:bCs/>
          <w:color w:val="auto"/>
          <w:highlight w:val="none"/>
        </w:rPr>
      </w:pPr>
      <w:bookmarkStart w:id="884" w:name="_Toc26721"/>
      <w:bookmarkStart w:id="885" w:name="_Toc31038"/>
      <w:bookmarkStart w:id="886" w:name="_Toc1660"/>
      <w:bookmarkStart w:id="887" w:name="_Toc30210"/>
      <w:bookmarkStart w:id="888" w:name="_Toc28123"/>
      <w:bookmarkStart w:id="889" w:name="_Toc27480"/>
      <w:bookmarkStart w:id="890" w:name="_Toc9990"/>
      <w:bookmarkStart w:id="891" w:name="_Toc14326"/>
      <w:bookmarkStart w:id="892" w:name="_Toc16185"/>
      <w:bookmarkStart w:id="893" w:name="_Toc1500"/>
      <w:bookmarkStart w:id="894" w:name="_Toc15675"/>
      <w:bookmarkStart w:id="895" w:name="_Toc613"/>
      <w:r>
        <w:rPr>
          <w:rFonts w:hint="eastAsia" w:ascii="宋体" w:hAnsi="宋体" w:eastAsia="宋体" w:cs="宋体"/>
          <w:b/>
          <w:bCs/>
          <w:color w:val="auto"/>
          <w:highlight w:val="none"/>
        </w:rPr>
        <w:t>八、推荐中标候选人</w:t>
      </w:r>
      <w:bookmarkEnd w:id="884"/>
      <w:bookmarkEnd w:id="885"/>
      <w:bookmarkEnd w:id="886"/>
      <w:bookmarkEnd w:id="887"/>
      <w:bookmarkEnd w:id="888"/>
      <w:bookmarkEnd w:id="889"/>
      <w:bookmarkEnd w:id="890"/>
      <w:bookmarkEnd w:id="891"/>
      <w:bookmarkEnd w:id="892"/>
      <w:bookmarkEnd w:id="893"/>
      <w:bookmarkEnd w:id="894"/>
      <w:bookmarkEnd w:id="895"/>
    </w:p>
    <w:p w14:paraId="116F2F3B">
      <w:pPr>
        <w:widowControl/>
        <w:shd w:val="clear"/>
        <w:spacing w:line="312" w:lineRule="auto"/>
        <w:ind w:firstLine="480"/>
        <w:outlineLvl w:val="1"/>
        <w:rPr>
          <w:rFonts w:hint="eastAsia" w:ascii="宋体" w:hAnsi="宋体" w:eastAsia="宋体" w:cs="宋体"/>
          <w:color w:val="auto"/>
          <w:highlight w:val="none"/>
        </w:rPr>
      </w:pPr>
      <w:bookmarkStart w:id="896" w:name="_Toc1659"/>
      <w:bookmarkStart w:id="897" w:name="_Toc29690"/>
      <w:bookmarkStart w:id="898" w:name="_Toc5151"/>
      <w:bookmarkStart w:id="899" w:name="_Toc6555"/>
      <w:bookmarkStart w:id="900" w:name="_Toc27042"/>
      <w:bookmarkStart w:id="901" w:name="_Toc16899"/>
      <w:bookmarkStart w:id="902" w:name="_Toc27231"/>
      <w:bookmarkStart w:id="903" w:name="_Toc30774"/>
      <w:bookmarkStart w:id="904" w:name="_Toc6621"/>
      <w:bookmarkStart w:id="905" w:name="_Toc29148"/>
      <w:bookmarkStart w:id="906" w:name="_Toc26474"/>
      <w:bookmarkStart w:id="907" w:name="_Toc23166"/>
      <w:bookmarkStart w:id="908" w:name="_Toc421"/>
      <w:r>
        <w:rPr>
          <w:rFonts w:hint="eastAsia" w:ascii="宋体" w:hAnsi="宋体" w:eastAsia="宋体" w:cs="宋体"/>
          <w:color w:val="auto"/>
          <w:highlight w:val="none"/>
        </w:rPr>
        <w:t>按照供应商</w:t>
      </w:r>
      <w:r>
        <w:rPr>
          <w:rFonts w:hint="eastAsia" w:ascii="宋体" w:hAnsi="宋体" w:eastAsia="宋体" w:cs="宋体"/>
          <w:color w:val="auto"/>
          <w:highlight w:val="none"/>
          <w:lang w:val="en-US" w:eastAsia="zh-CN"/>
        </w:rPr>
        <w:t>综合</w:t>
      </w:r>
      <w:r>
        <w:rPr>
          <w:rFonts w:hint="eastAsia" w:ascii="宋体" w:hAnsi="宋体" w:eastAsia="宋体" w:cs="宋体"/>
          <w:color w:val="auto"/>
          <w:highlight w:val="none"/>
        </w:rPr>
        <w:t>得分由高到低顺序排列推荐中标候选人。综合得分相同者，以报价低者作为中标候选人；综合得分相同且报价相同，以技术指标优劣决定中标候选人；以上均相同则摇号确定。</w:t>
      </w:r>
      <w:bookmarkEnd w:id="896"/>
      <w:bookmarkEnd w:id="897"/>
      <w:bookmarkEnd w:id="898"/>
      <w:bookmarkEnd w:id="899"/>
      <w:bookmarkEnd w:id="900"/>
      <w:bookmarkEnd w:id="901"/>
      <w:bookmarkEnd w:id="902"/>
      <w:bookmarkEnd w:id="903"/>
      <w:bookmarkEnd w:id="904"/>
      <w:bookmarkEnd w:id="905"/>
      <w:bookmarkEnd w:id="906"/>
      <w:bookmarkEnd w:id="907"/>
      <w:bookmarkEnd w:id="908"/>
    </w:p>
    <w:p w14:paraId="6329DF21">
      <w:pPr>
        <w:widowControl/>
        <w:shd w:val="clear"/>
        <w:spacing w:line="312" w:lineRule="auto"/>
        <w:ind w:firstLine="482"/>
        <w:jc w:val="left"/>
        <w:outlineLvl w:val="1"/>
        <w:rPr>
          <w:rFonts w:hint="eastAsia" w:ascii="宋体" w:hAnsi="宋体" w:eastAsia="宋体" w:cs="宋体"/>
          <w:b/>
          <w:bCs/>
          <w:color w:val="auto"/>
          <w:highlight w:val="none"/>
        </w:rPr>
      </w:pPr>
      <w:bookmarkStart w:id="909" w:name="_Toc28343"/>
      <w:bookmarkStart w:id="910" w:name="_Toc21893"/>
      <w:bookmarkStart w:id="911" w:name="_Toc23850"/>
      <w:bookmarkStart w:id="912" w:name="_Toc10194"/>
      <w:bookmarkStart w:id="913" w:name="_Toc21653"/>
      <w:bookmarkStart w:id="914" w:name="_Toc6952"/>
      <w:bookmarkStart w:id="915" w:name="_Toc496"/>
      <w:bookmarkStart w:id="916" w:name="_Toc11673"/>
      <w:bookmarkStart w:id="917" w:name="_Toc5568"/>
      <w:bookmarkStart w:id="918" w:name="_Toc31388"/>
      <w:bookmarkStart w:id="919" w:name="_Toc17600"/>
      <w:bookmarkStart w:id="920" w:name="_Toc30514"/>
      <w:bookmarkStart w:id="921" w:name="_Toc28577"/>
      <w:r>
        <w:rPr>
          <w:rFonts w:hint="eastAsia" w:ascii="宋体" w:hAnsi="宋体" w:eastAsia="宋体" w:cs="宋体"/>
          <w:b/>
          <w:bCs/>
          <w:color w:val="auto"/>
          <w:highlight w:val="none"/>
        </w:rPr>
        <w:t>九、评审报告</w:t>
      </w:r>
      <w:bookmarkEnd w:id="909"/>
      <w:bookmarkEnd w:id="910"/>
      <w:bookmarkEnd w:id="911"/>
      <w:bookmarkEnd w:id="912"/>
      <w:bookmarkEnd w:id="913"/>
      <w:bookmarkEnd w:id="914"/>
      <w:bookmarkEnd w:id="915"/>
      <w:bookmarkEnd w:id="916"/>
      <w:bookmarkEnd w:id="917"/>
      <w:bookmarkEnd w:id="918"/>
      <w:bookmarkEnd w:id="919"/>
      <w:bookmarkEnd w:id="920"/>
      <w:bookmarkEnd w:id="921"/>
    </w:p>
    <w:p w14:paraId="08CD547F">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评标委员会编写评标报告，并提出</w:t>
      </w:r>
      <w:r>
        <w:rPr>
          <w:rFonts w:hint="eastAsia" w:ascii="宋体" w:hAnsi="宋体" w:eastAsia="宋体" w:cs="宋体"/>
          <w:color w:val="auto"/>
          <w:highlight w:val="none"/>
          <w:lang w:val="en-US" w:eastAsia="zh-CN"/>
        </w:rPr>
        <w:t>综合</w:t>
      </w:r>
      <w:r>
        <w:rPr>
          <w:rFonts w:hint="eastAsia" w:ascii="宋体" w:hAnsi="宋体" w:eastAsia="宋体" w:cs="宋体"/>
          <w:color w:val="auto"/>
          <w:highlight w:val="none"/>
        </w:rPr>
        <w:t>得分由高到低排序名单及理由，评标报告由评标委员会成员签字。</w:t>
      </w:r>
    </w:p>
    <w:p w14:paraId="7BB9E204">
      <w:pPr>
        <w:widowControl/>
        <w:shd w:val="clear"/>
        <w:spacing w:line="312" w:lineRule="auto"/>
        <w:ind w:firstLine="482"/>
        <w:outlineLvl w:val="1"/>
        <w:rPr>
          <w:rFonts w:hint="eastAsia" w:ascii="宋体" w:hAnsi="宋体" w:eastAsia="宋体" w:cs="宋体"/>
          <w:color w:val="auto"/>
          <w:highlight w:val="none"/>
        </w:rPr>
      </w:pPr>
      <w:bookmarkStart w:id="922" w:name="_Toc10943"/>
      <w:bookmarkStart w:id="923" w:name="_Toc22099"/>
      <w:bookmarkStart w:id="924" w:name="_Toc23070"/>
      <w:bookmarkStart w:id="925" w:name="_Toc32742"/>
      <w:bookmarkStart w:id="926" w:name="_Toc29832"/>
      <w:bookmarkStart w:id="927" w:name="_Toc19481"/>
      <w:bookmarkStart w:id="928" w:name="_Toc26525"/>
      <w:bookmarkStart w:id="929" w:name="_Toc2725"/>
      <w:bookmarkStart w:id="930" w:name="_Toc27030"/>
      <w:bookmarkStart w:id="931" w:name="_Toc14318"/>
      <w:bookmarkStart w:id="932" w:name="_Toc17445"/>
      <w:bookmarkStart w:id="933" w:name="_Toc16043"/>
      <w:bookmarkStart w:id="934" w:name="_Toc10667"/>
      <w:r>
        <w:rPr>
          <w:rFonts w:hint="eastAsia" w:ascii="宋体" w:hAnsi="宋体" w:eastAsia="宋体" w:cs="宋体"/>
          <w:b/>
          <w:bCs/>
          <w:color w:val="auto"/>
          <w:highlight w:val="none"/>
        </w:rPr>
        <w:t>十、评标细则及标准</w:t>
      </w:r>
      <w:bookmarkEnd w:id="922"/>
      <w:bookmarkEnd w:id="923"/>
      <w:bookmarkEnd w:id="924"/>
      <w:bookmarkEnd w:id="925"/>
      <w:bookmarkEnd w:id="926"/>
      <w:bookmarkEnd w:id="927"/>
      <w:bookmarkEnd w:id="928"/>
      <w:bookmarkEnd w:id="929"/>
      <w:bookmarkEnd w:id="930"/>
      <w:bookmarkEnd w:id="931"/>
      <w:bookmarkEnd w:id="932"/>
      <w:bookmarkEnd w:id="933"/>
      <w:bookmarkEnd w:id="934"/>
    </w:p>
    <w:p w14:paraId="605593AB">
      <w:pPr>
        <w:widowControl/>
        <w:shd w:val="clear"/>
        <w:spacing w:line="312" w:lineRule="auto"/>
        <w:ind w:firstLine="480"/>
        <w:outlineLvl w:val="1"/>
        <w:rPr>
          <w:rFonts w:hint="eastAsia" w:ascii="宋体" w:hAnsi="宋体" w:eastAsia="宋体" w:cs="宋体"/>
          <w:color w:val="auto"/>
          <w:highlight w:val="none"/>
        </w:rPr>
      </w:pPr>
      <w:bookmarkStart w:id="935" w:name="_Toc27516"/>
      <w:bookmarkStart w:id="936" w:name="_Toc19256"/>
      <w:bookmarkStart w:id="937" w:name="_Toc3842"/>
      <w:bookmarkStart w:id="938" w:name="_Toc23204"/>
      <w:bookmarkStart w:id="939" w:name="_Toc20443"/>
      <w:bookmarkStart w:id="940" w:name="_Toc8159"/>
      <w:bookmarkStart w:id="941" w:name="_Toc18818"/>
      <w:bookmarkStart w:id="942" w:name="_Toc8512"/>
      <w:bookmarkStart w:id="943" w:name="_Toc17002"/>
      <w:bookmarkStart w:id="944" w:name="_Toc14619"/>
      <w:bookmarkStart w:id="945" w:name="_Toc6647"/>
      <w:bookmarkStart w:id="946" w:name="_Toc22648"/>
      <w:bookmarkStart w:id="947" w:name="_Toc7210"/>
      <w:r>
        <w:rPr>
          <w:rFonts w:hint="eastAsia" w:ascii="宋体" w:hAnsi="宋体" w:eastAsia="宋体" w:cs="宋体"/>
          <w:color w:val="auto"/>
          <w:highlight w:val="none"/>
        </w:rPr>
        <w:t>1.评标委员会成员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bookmarkEnd w:id="935"/>
      <w:bookmarkEnd w:id="936"/>
      <w:bookmarkEnd w:id="937"/>
      <w:bookmarkEnd w:id="938"/>
      <w:bookmarkEnd w:id="939"/>
      <w:bookmarkEnd w:id="940"/>
      <w:bookmarkEnd w:id="941"/>
      <w:bookmarkEnd w:id="942"/>
      <w:bookmarkEnd w:id="943"/>
      <w:bookmarkEnd w:id="944"/>
      <w:bookmarkEnd w:id="945"/>
      <w:bookmarkEnd w:id="946"/>
      <w:bookmarkEnd w:id="947"/>
    </w:p>
    <w:p w14:paraId="77E0FFDE">
      <w:pPr>
        <w:widowControl/>
        <w:shd w:val="clear"/>
        <w:spacing w:line="312" w:lineRule="auto"/>
        <w:ind w:right="120"/>
        <w:rPr>
          <w:rFonts w:hint="eastAsia" w:ascii="宋体" w:hAnsi="宋体" w:eastAsia="宋体" w:cs="宋体"/>
          <w:color w:val="auto"/>
          <w:highlight w:val="none"/>
        </w:rPr>
      </w:pPr>
      <w:r>
        <w:rPr>
          <w:rFonts w:hint="eastAsia" w:ascii="宋体" w:hAnsi="宋体" w:eastAsia="宋体" w:cs="宋体"/>
          <w:color w:val="auto"/>
          <w:highlight w:val="none"/>
        </w:rPr>
        <w:t>2.加权汇总每项评分因素的得分，得出每个有效供应商的总分。供应商</w:t>
      </w:r>
      <w:r>
        <w:rPr>
          <w:rFonts w:hint="eastAsia" w:ascii="宋体" w:hAnsi="宋体" w:eastAsia="宋体" w:cs="宋体"/>
          <w:color w:val="auto"/>
          <w:highlight w:val="none"/>
          <w:lang w:val="en-US" w:eastAsia="zh-CN"/>
        </w:rPr>
        <w:t>资信</w:t>
      </w:r>
      <w:r>
        <w:rPr>
          <w:rFonts w:hint="eastAsia" w:ascii="宋体" w:hAnsi="宋体" w:eastAsia="宋体" w:cs="宋体"/>
          <w:color w:val="auto"/>
          <w:highlight w:val="none"/>
        </w:rPr>
        <w:t>商务技术部分最终得分为各成员的有效评分的算术平均值。计算时保留小数二位（第三位四舍五入）。</w:t>
      </w:r>
    </w:p>
    <w:p w14:paraId="2F5496B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3.综合评分明细表    </w:t>
      </w:r>
    </w:p>
    <w:tbl>
      <w:tblPr>
        <w:tblStyle w:val="41"/>
        <w:tblW w:w="5267" w:type="pc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85" w:type="dxa"/>
          <w:left w:w="85" w:type="dxa"/>
          <w:bottom w:w="85" w:type="dxa"/>
          <w:right w:w="85" w:type="dxa"/>
        </w:tblCellMar>
      </w:tblPr>
      <w:tblGrid>
        <w:gridCol w:w="1057"/>
        <w:gridCol w:w="1260"/>
        <w:gridCol w:w="7165"/>
        <w:gridCol w:w="1023"/>
      </w:tblGrid>
      <w:tr w14:paraId="5F55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c>
          <w:tcPr>
            <w:tcW w:w="2317"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6E8E5EC">
            <w:pPr>
              <w:keepNext w:val="0"/>
              <w:keepLines w:val="0"/>
              <w:pageBreakBefore w:val="0"/>
              <w:widowControl w:val="0"/>
              <w:suppressLineNumbers w:val="0"/>
              <w:shd w:val="clear"/>
              <w:wordWrap/>
              <w:overflowPunct w:val="0"/>
              <w:topLinePunct w:val="0"/>
              <w:autoSpaceDE/>
              <w:autoSpaceDN w:val="0"/>
              <w:bidi w:val="0"/>
              <w:adjustRightInd w:val="0"/>
              <w:snapToGrid w:val="0"/>
              <w:spacing w:before="0" w:beforeAutospacing="0" w:after="0" w:afterAutospacing="0" w:line="240" w:lineRule="auto"/>
              <w:ind w:left="0" w:right="0" w:firstLine="48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评分项目</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97F47FE">
            <w:pPr>
              <w:keepNext w:val="0"/>
              <w:keepLines w:val="0"/>
              <w:pageBreakBefore w:val="0"/>
              <w:widowControl w:val="0"/>
              <w:suppressLineNumbers w:val="0"/>
              <w:shd w:val="clear"/>
              <w:wordWrap/>
              <w:overflowPunct w:val="0"/>
              <w:topLinePunct w:val="0"/>
              <w:autoSpaceDE/>
              <w:autoSpaceDN w:val="0"/>
              <w:bidi w:val="0"/>
              <w:adjustRightInd w:val="0"/>
              <w:snapToGrid w:val="0"/>
              <w:spacing w:before="0" w:beforeAutospacing="0" w:after="0" w:afterAutospacing="0" w:line="240" w:lineRule="auto"/>
              <w:ind w:left="0" w:right="0" w:firstLine="482"/>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评分细则</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5ADBD29">
            <w:pPr>
              <w:keepNext w:val="0"/>
              <w:keepLines w:val="0"/>
              <w:pageBreakBefore w:val="0"/>
              <w:widowControl w:val="0"/>
              <w:suppressLineNumbers w:val="0"/>
              <w:shd w:val="clear"/>
              <w:wordWrap/>
              <w:overflowPunct w:val="0"/>
              <w:topLinePunct w:val="0"/>
              <w:autoSpaceDE/>
              <w:autoSpaceDN w:val="0"/>
              <w:bidi w:val="0"/>
              <w:adjustRightInd w:val="0"/>
              <w:snapToGrid w:val="0"/>
              <w:spacing w:before="0" w:beforeAutospacing="0" w:after="0" w:afterAutospacing="0" w:line="240" w:lineRule="auto"/>
              <w:ind w:left="0" w:right="0"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分值</w:t>
            </w:r>
          </w:p>
        </w:tc>
      </w:tr>
      <w:tr w14:paraId="5665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1766" w:hRule="atLeast"/>
        </w:trPr>
        <w:tc>
          <w:tcPr>
            <w:tcW w:w="2317"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764BBFA">
            <w:pPr>
              <w:keepNext w:val="0"/>
              <w:keepLines w:val="0"/>
              <w:pageBreakBefore w:val="0"/>
              <w:widowControl w:val="0"/>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商务报价</w:t>
            </w:r>
          </w:p>
          <w:p w14:paraId="071B0A81">
            <w:pPr>
              <w:keepNext w:val="0"/>
              <w:keepLines w:val="0"/>
              <w:pageBreakBefore w:val="0"/>
              <w:widowControl w:val="0"/>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40</w:t>
            </w:r>
            <w:r>
              <w:rPr>
                <w:rFonts w:hint="eastAsia" w:ascii="宋体" w:hAnsi="宋体" w:eastAsia="宋体" w:cs="宋体"/>
                <w:color w:val="auto"/>
                <w:kern w:val="2"/>
                <w:sz w:val="21"/>
                <w:szCs w:val="21"/>
                <w:highlight w:val="none"/>
                <w:lang w:val="en-US" w:eastAsia="zh-CN" w:bidi="ar"/>
              </w:rPr>
              <w:t>分）</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BFB3C33">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本项目最高限价：人民币</w:t>
            </w:r>
            <w:r>
              <w:rPr>
                <w:rFonts w:hint="eastAsia" w:ascii="宋体" w:hAnsi="宋体" w:cs="宋体"/>
                <w:color w:val="auto"/>
                <w:kern w:val="2"/>
                <w:sz w:val="21"/>
                <w:szCs w:val="21"/>
                <w:highlight w:val="none"/>
                <w:lang w:val="en-US" w:eastAsia="zh-CN" w:bidi="ar"/>
              </w:rPr>
              <w:t>1750000元</w:t>
            </w:r>
            <w:r>
              <w:rPr>
                <w:rFonts w:hint="eastAsia" w:ascii="宋体" w:hAnsi="宋体" w:eastAsia="宋体" w:cs="宋体"/>
                <w:color w:val="auto"/>
                <w:kern w:val="2"/>
                <w:sz w:val="21"/>
                <w:szCs w:val="21"/>
                <w:highlight w:val="none"/>
                <w:lang w:val="en-US" w:eastAsia="zh-CN" w:bidi="ar"/>
              </w:rPr>
              <w:t>，满足招标文件要求,各有效投标人的投标报价中最低报价为评标基准价。投标报价得分＝评标基准价/投标报价×</w:t>
            </w:r>
            <w:r>
              <w:rPr>
                <w:rFonts w:hint="eastAsia" w:ascii="宋体" w:hAnsi="宋体" w:cs="宋体"/>
                <w:color w:val="auto"/>
                <w:kern w:val="2"/>
                <w:sz w:val="21"/>
                <w:szCs w:val="21"/>
                <w:highlight w:val="none"/>
                <w:lang w:val="en-US" w:eastAsia="zh-CN" w:bidi="ar"/>
              </w:rPr>
              <w:t>40</w:t>
            </w:r>
            <w:r>
              <w:rPr>
                <w:rFonts w:hint="eastAsia" w:ascii="宋体" w:hAnsi="宋体" w:eastAsia="宋体" w:cs="宋体"/>
                <w:color w:val="auto"/>
                <w:kern w:val="2"/>
                <w:sz w:val="21"/>
                <w:szCs w:val="21"/>
                <w:highlight w:val="none"/>
                <w:lang w:val="en-US" w:eastAsia="zh-CN" w:bidi="ar"/>
              </w:rPr>
              <w:t>（保留小数二位，第三位四舍五入），报价高于最高限价的，为无效投标文件。</w:t>
            </w:r>
          </w:p>
          <w:p w14:paraId="2EDF4BC3">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对于小型和微型企业（监狱或戒毒企业、残疾人福利性单位）的报价给予10%的扣除，用扣除后的价格参与评审。小型和微型企业应提供《中小企业声明函》；监狱或戒毒企业应提供监狱或戒毒企业声明函；残疾人福利性单位应提供残疾人福利性单位声明函。以上材料未提供不享受报价优惠）。</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5690408">
            <w:pPr>
              <w:keepNext w:val="0"/>
              <w:keepLines w:val="0"/>
              <w:pageBreakBefore w:val="0"/>
              <w:widowControl w:val="0"/>
              <w:suppressLineNumbers w:val="0"/>
              <w:shd w:val="clear"/>
              <w:wordWrap/>
              <w:topLinePunct w:val="0"/>
              <w:autoSpaceDE/>
              <w:autoSpaceDN w:val="0"/>
              <w:bidi w:val="0"/>
              <w:adjustRightInd w:val="0"/>
              <w:snapToGrid w:val="0"/>
              <w:spacing w:before="0" w:beforeAutospacing="0" w:after="0" w:afterAutospacing="0" w:line="240" w:lineRule="auto"/>
              <w:ind w:left="0" w:right="0" w:firstLine="0" w:firstLineChars="0"/>
              <w:jc w:val="center"/>
              <w:rPr>
                <w:rFonts w:hint="default" w:ascii="宋体" w:hAnsi="宋体" w:eastAsia="宋体" w:cs="宋体"/>
                <w:color w:val="auto"/>
                <w:kern w:val="2"/>
                <w:sz w:val="21"/>
                <w:szCs w:val="21"/>
                <w:highlight w:val="none"/>
                <w:lang w:val="en-US"/>
              </w:rPr>
            </w:pPr>
            <w:r>
              <w:rPr>
                <w:rFonts w:hint="eastAsia" w:ascii="宋体" w:hAnsi="宋体" w:cs="宋体"/>
                <w:color w:val="auto"/>
                <w:kern w:val="2"/>
                <w:sz w:val="21"/>
                <w:szCs w:val="21"/>
                <w:highlight w:val="none"/>
                <w:lang w:val="en-US" w:eastAsia="zh-CN" w:bidi="ar"/>
              </w:rPr>
              <w:t>40</w:t>
            </w:r>
          </w:p>
        </w:tc>
      </w:tr>
      <w:tr w14:paraId="06F4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551" w:hRule="atLeast"/>
        </w:trPr>
        <w:tc>
          <w:tcPr>
            <w:tcW w:w="1057" w:type="dxa"/>
            <w:vMerge w:val="restart"/>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2E17380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资信技术部分</w:t>
            </w:r>
          </w:p>
          <w:p w14:paraId="1FCE9C7C">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0分）</w:t>
            </w: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63FB8AA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类似业绩</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601C0F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投标人自202</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年1月1日至今（时间以合同签订时间为准）承担过类似管道集中式直饮水采购业绩的，每个业绩得</w:t>
            </w:r>
            <w:r>
              <w:rPr>
                <w:rFonts w:hint="eastAsia" w:ascii="宋体" w:hAnsi="宋体" w:cs="宋体"/>
                <w:color w:val="auto"/>
                <w:kern w:val="2"/>
                <w:sz w:val="21"/>
                <w:szCs w:val="21"/>
                <w:highlight w:val="none"/>
                <w:lang w:val="en-US" w:eastAsia="zh-CN" w:bidi="ar"/>
              </w:rPr>
              <w:t>0.5</w:t>
            </w:r>
            <w:r>
              <w:rPr>
                <w:rFonts w:hint="eastAsia" w:ascii="宋体" w:hAnsi="宋体" w:eastAsia="宋体" w:cs="宋体"/>
                <w:color w:val="auto"/>
                <w:kern w:val="2"/>
                <w:sz w:val="21"/>
                <w:szCs w:val="21"/>
                <w:highlight w:val="none"/>
                <w:lang w:val="en-US" w:eastAsia="zh-CN" w:bidi="ar"/>
              </w:rPr>
              <w:t>分</w:t>
            </w:r>
            <w:r>
              <w:rPr>
                <w:rFonts w:hint="eastAsia" w:ascii="宋体" w:hAnsi="宋体" w:eastAsia="宋体" w:cs="宋体"/>
                <w:color w:val="auto"/>
                <w:kern w:val="2"/>
                <w:sz w:val="21"/>
                <w:szCs w:val="21"/>
                <w:highlight w:val="none"/>
                <w:lang w:val="en-US" w:eastAsia="zh-CN" w:bidi="ar"/>
              </w:rPr>
              <w:t>，本项最高得</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分；</w:t>
            </w:r>
          </w:p>
          <w:p w14:paraId="3554069F">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注：须提供合同及中标通知书原件扫描件，未提供不得分。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2475A96">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w:t>
            </w:r>
          </w:p>
        </w:tc>
      </w:tr>
      <w:tr w14:paraId="1884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837"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26BE97CF">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1163D51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体系认证</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1F8559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投标人具有有效的ISO9001系列质量体系认证、ISO14001环境管理体系认证、OHSAS18001系列职业健康安全管理体系认证的，每个得1分，最高得3分；</w:t>
            </w:r>
          </w:p>
          <w:p w14:paraId="468F1C9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注：提供有效期内的证书复印件加盖公章或扫描件加盖公章及全国认证认可信息公共服务平台网站（http://www.cnca.gov.cn/）查询页面截图扫描件加盖公章，否则不得分。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0E49EA1C">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r>
      <w:tr w14:paraId="50B0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837"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7B84C449">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left w:val="single" w:color="auto" w:sz="4" w:space="0"/>
              <w:right w:val="single" w:color="auto" w:sz="4" w:space="0"/>
            </w:tcBorders>
            <w:shd w:val="clear" w:color="auto" w:fill="auto"/>
            <w:tcMar>
              <w:left w:w="113" w:type="dxa"/>
              <w:right w:w="113" w:type="dxa"/>
            </w:tcMar>
            <w:vAlign w:val="center"/>
          </w:tcPr>
          <w:p w14:paraId="58A4197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Hans" w:bidi="ar"/>
              </w:rPr>
              <w:t>标准制定</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376A277">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Hans" w:bidi="ar"/>
              </w:rPr>
            </w:pPr>
            <w:r>
              <w:rPr>
                <w:rFonts w:hint="eastAsia" w:ascii="宋体" w:hAnsi="宋体" w:eastAsia="宋体" w:cs="宋体"/>
                <w:color w:val="auto"/>
                <w:kern w:val="2"/>
                <w:sz w:val="21"/>
                <w:szCs w:val="21"/>
                <w:highlight w:val="none"/>
                <w:lang w:val="en-US" w:eastAsia="zh-Hans" w:bidi="ar"/>
              </w:rPr>
              <w:t>企业参与直饮水或膜处理相关标准的制定：每起草或参编</w:t>
            </w:r>
            <w:r>
              <w:rPr>
                <w:rFonts w:hint="eastAsia" w:ascii="宋体" w:hAnsi="宋体" w:cs="宋体"/>
                <w:color w:val="auto"/>
                <w:kern w:val="2"/>
                <w:sz w:val="21"/>
                <w:szCs w:val="21"/>
                <w:highlight w:val="none"/>
                <w:lang w:val="en-US" w:eastAsia="zh-CN" w:bidi="ar"/>
              </w:rPr>
              <w:t>国标或行标</w:t>
            </w:r>
            <w:r>
              <w:rPr>
                <w:rFonts w:hint="eastAsia" w:ascii="宋体" w:hAnsi="宋体" w:eastAsia="宋体" w:cs="宋体"/>
                <w:color w:val="auto"/>
                <w:kern w:val="2"/>
                <w:sz w:val="21"/>
                <w:szCs w:val="21"/>
                <w:highlight w:val="none"/>
                <w:lang w:val="en-US" w:eastAsia="zh-Hans" w:bidi="ar"/>
              </w:rPr>
              <w:t>一项直饮水或膜处理相关标准得2分，</w:t>
            </w:r>
            <w:r>
              <w:rPr>
                <w:rFonts w:hint="eastAsia" w:ascii="宋体" w:hAnsi="宋体" w:eastAsia="宋体" w:cs="宋体"/>
                <w:color w:val="auto"/>
                <w:kern w:val="2"/>
                <w:sz w:val="21"/>
                <w:szCs w:val="21"/>
                <w:highlight w:val="none"/>
                <w:lang w:val="en-US" w:eastAsia="zh-CN" w:bidi="ar"/>
              </w:rPr>
              <w:t>最高得</w:t>
            </w:r>
            <w:r>
              <w:rPr>
                <w:rFonts w:hint="eastAsia" w:ascii="宋体" w:hAnsi="宋体" w:eastAsia="宋体" w:cs="宋体"/>
                <w:color w:val="auto"/>
                <w:kern w:val="2"/>
                <w:sz w:val="21"/>
                <w:szCs w:val="21"/>
                <w:highlight w:val="none"/>
                <w:lang w:val="en-US" w:eastAsia="zh-Hans" w:bidi="ar"/>
              </w:rPr>
              <w:t>4分。</w:t>
            </w:r>
          </w:p>
          <w:p w14:paraId="52E64E89">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w:t>
            </w:r>
            <w:r>
              <w:rPr>
                <w:rFonts w:hint="eastAsia" w:ascii="宋体" w:hAnsi="宋体" w:eastAsia="宋体" w:cs="宋体"/>
                <w:color w:val="auto"/>
                <w:kern w:val="2"/>
                <w:sz w:val="21"/>
                <w:szCs w:val="21"/>
                <w:highlight w:val="none"/>
                <w:lang w:val="en-US" w:eastAsia="zh-Hans" w:bidi="ar"/>
              </w:rPr>
              <w:t>须提供证明材料</w:t>
            </w:r>
            <w:r>
              <w:rPr>
                <w:rFonts w:hint="eastAsia" w:ascii="宋体" w:hAnsi="宋体" w:eastAsia="宋体" w:cs="宋体"/>
                <w:color w:val="auto"/>
                <w:kern w:val="2"/>
                <w:sz w:val="21"/>
                <w:szCs w:val="21"/>
                <w:highlight w:val="none"/>
                <w:lang w:val="en-US" w:eastAsia="zh-CN" w:bidi="ar"/>
              </w:rPr>
              <w:t>扫描件加盖公章</w:t>
            </w:r>
            <w:r>
              <w:rPr>
                <w:rFonts w:hint="eastAsia" w:ascii="宋体" w:hAnsi="宋体" w:eastAsia="宋体" w:cs="宋体"/>
                <w:color w:val="auto"/>
                <w:kern w:val="2"/>
                <w:sz w:val="21"/>
                <w:szCs w:val="21"/>
                <w:highlight w:val="none"/>
                <w:lang w:val="en-US" w:eastAsia="zh-Hans" w:bidi="ar"/>
              </w:rPr>
              <w:t>，不提供不得分</w:t>
            </w:r>
            <w:r>
              <w:rPr>
                <w:rFonts w:hint="eastAsia" w:ascii="宋体" w:hAnsi="宋体" w:eastAsia="宋体" w:cs="宋体"/>
                <w:color w:val="auto"/>
                <w:kern w:val="2"/>
                <w:sz w:val="21"/>
                <w:szCs w:val="21"/>
                <w:highlight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75FC9E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p>
        </w:tc>
      </w:tr>
      <w:tr w14:paraId="6044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837"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62007A1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left w:val="single" w:color="auto" w:sz="4" w:space="0"/>
              <w:right w:val="single" w:color="auto" w:sz="4" w:space="0"/>
            </w:tcBorders>
            <w:shd w:val="clear" w:color="auto" w:fill="auto"/>
            <w:tcMar>
              <w:left w:w="113" w:type="dxa"/>
              <w:right w:w="113" w:type="dxa"/>
            </w:tcMar>
            <w:vAlign w:val="center"/>
          </w:tcPr>
          <w:p w14:paraId="25B3572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企业资质</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00EF74D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投标人或设备厂家具有机电工程施工总承包三级及以上或建筑机电安装工程专业承包三级及以上或电子与智能化工程专业承包三级及以上证书的得2分</w:t>
            </w:r>
          </w:p>
          <w:p w14:paraId="48E0ABB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，没有得不得分。</w:t>
            </w:r>
          </w:p>
          <w:p w14:paraId="6C4C329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left"/>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w:t>
            </w:r>
            <w:r>
              <w:rPr>
                <w:rFonts w:hint="eastAsia" w:ascii="宋体" w:hAnsi="宋体" w:eastAsia="宋体" w:cs="宋体"/>
                <w:color w:val="auto"/>
                <w:kern w:val="2"/>
                <w:sz w:val="21"/>
                <w:szCs w:val="21"/>
                <w:highlight w:val="none"/>
                <w:lang w:val="en-US" w:eastAsia="zh-Hans" w:bidi="ar"/>
              </w:rPr>
              <w:t>须提供</w:t>
            </w:r>
            <w:r>
              <w:rPr>
                <w:rFonts w:hint="eastAsia" w:ascii="宋体" w:hAnsi="宋体" w:eastAsia="宋体" w:cs="宋体"/>
                <w:color w:val="auto"/>
                <w:kern w:val="2"/>
                <w:sz w:val="21"/>
                <w:szCs w:val="21"/>
                <w:highlight w:val="none"/>
                <w:lang w:val="en-US" w:eastAsia="zh-CN" w:bidi="ar"/>
              </w:rPr>
              <w:t>证书扫描件加盖公章</w:t>
            </w:r>
            <w:r>
              <w:rPr>
                <w:rFonts w:hint="eastAsia" w:ascii="宋体" w:hAnsi="宋体" w:eastAsia="宋体" w:cs="宋体"/>
                <w:color w:val="auto"/>
                <w:kern w:val="2"/>
                <w:sz w:val="21"/>
                <w:szCs w:val="21"/>
                <w:highlight w:val="none"/>
                <w:lang w:val="en-US" w:eastAsia="zh-Hans" w:bidi="ar"/>
              </w:rPr>
              <w:t>，不提供不得分</w:t>
            </w:r>
            <w:r>
              <w:rPr>
                <w:rFonts w:hint="eastAsia" w:ascii="宋体" w:hAnsi="宋体" w:eastAsia="宋体" w:cs="宋体"/>
                <w:color w:val="auto"/>
                <w:kern w:val="2"/>
                <w:sz w:val="21"/>
                <w:szCs w:val="21"/>
                <w:highlight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AA998C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2</w:t>
            </w:r>
          </w:p>
        </w:tc>
      </w:tr>
      <w:tr w14:paraId="4634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247"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3761559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left w:val="single" w:color="auto" w:sz="4" w:space="0"/>
              <w:right w:val="single" w:color="auto" w:sz="4" w:space="0"/>
            </w:tcBorders>
            <w:shd w:val="clear" w:color="auto" w:fill="auto"/>
            <w:tcMar>
              <w:left w:w="113" w:type="dxa"/>
              <w:right w:w="113" w:type="dxa"/>
            </w:tcMar>
            <w:vAlign w:val="center"/>
          </w:tcPr>
          <w:p w14:paraId="02DC483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Hans" w:bidi="ar"/>
              </w:rPr>
              <w:t>技术团队</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top"/>
          </w:tcPr>
          <w:p w14:paraId="7C8D071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Hans" w:bidi="ar"/>
              </w:rPr>
            </w:pPr>
            <w:r>
              <w:rPr>
                <w:rFonts w:hint="eastAsia" w:ascii="宋体" w:hAnsi="宋体" w:eastAsia="宋体" w:cs="宋体"/>
                <w:color w:val="auto"/>
                <w:kern w:val="2"/>
                <w:sz w:val="21"/>
                <w:szCs w:val="21"/>
                <w:highlight w:val="none"/>
                <w:lang w:val="en-US" w:eastAsia="zh-Hans" w:bidi="ar"/>
              </w:rPr>
              <w:t>1、拟派</w:t>
            </w:r>
            <w:r>
              <w:rPr>
                <w:rFonts w:hint="eastAsia" w:ascii="宋体" w:hAnsi="宋体" w:eastAsia="宋体" w:cs="宋体"/>
                <w:color w:val="auto"/>
                <w:kern w:val="2"/>
                <w:sz w:val="21"/>
                <w:szCs w:val="21"/>
                <w:highlight w:val="none"/>
                <w:lang w:val="en-US" w:eastAsia="zh-CN" w:bidi="ar"/>
              </w:rPr>
              <w:t>项目</w:t>
            </w:r>
            <w:r>
              <w:rPr>
                <w:rFonts w:hint="eastAsia" w:ascii="宋体" w:hAnsi="宋体" w:eastAsia="宋体" w:cs="宋体"/>
                <w:color w:val="auto"/>
                <w:kern w:val="2"/>
                <w:sz w:val="21"/>
                <w:szCs w:val="21"/>
                <w:highlight w:val="none"/>
                <w:lang w:val="en-US" w:eastAsia="zh-Hans" w:bidi="ar"/>
              </w:rPr>
              <w:t>负责人具有相关专业</w:t>
            </w:r>
            <w:r>
              <w:rPr>
                <w:rFonts w:hint="eastAsia" w:ascii="宋体" w:hAnsi="宋体" w:eastAsia="宋体" w:cs="宋体"/>
                <w:color w:val="auto"/>
                <w:kern w:val="2"/>
                <w:sz w:val="21"/>
                <w:szCs w:val="21"/>
                <w:highlight w:val="none"/>
                <w:lang w:val="en-US" w:eastAsia="zh-CN" w:bidi="ar"/>
              </w:rPr>
              <w:t>高级</w:t>
            </w:r>
            <w:r>
              <w:rPr>
                <w:rFonts w:hint="eastAsia" w:ascii="宋体" w:hAnsi="宋体" w:eastAsia="宋体" w:cs="宋体"/>
                <w:color w:val="auto"/>
                <w:kern w:val="2"/>
                <w:sz w:val="21"/>
                <w:szCs w:val="21"/>
                <w:highlight w:val="none"/>
                <w:lang w:val="en-US" w:eastAsia="zh-Hans" w:bidi="ar"/>
              </w:rPr>
              <w:t>技术职称证书</w:t>
            </w:r>
            <w:r>
              <w:rPr>
                <w:rFonts w:hint="eastAsia" w:ascii="宋体" w:hAnsi="宋体" w:eastAsia="宋体" w:cs="宋体"/>
                <w:color w:val="auto"/>
                <w:kern w:val="2"/>
                <w:sz w:val="21"/>
                <w:szCs w:val="21"/>
                <w:highlight w:val="none"/>
                <w:lang w:val="en-US" w:eastAsia="zh-CN" w:bidi="ar"/>
              </w:rPr>
              <w:t>的得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w:t>
            </w:r>
            <w:r>
              <w:rPr>
                <w:rFonts w:hint="eastAsia" w:ascii="宋体" w:hAnsi="宋体" w:eastAsia="宋体" w:cs="宋体"/>
                <w:color w:val="auto"/>
                <w:kern w:val="2"/>
                <w:sz w:val="21"/>
                <w:szCs w:val="21"/>
                <w:highlight w:val="none"/>
                <w:lang w:val="en-US" w:eastAsia="zh-Hans" w:bidi="ar"/>
              </w:rPr>
              <w:t>具有相关专业中级技术职称证书的得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Hans" w:bidi="ar"/>
              </w:rPr>
              <w:t>分，</w:t>
            </w:r>
            <w:r>
              <w:rPr>
                <w:rFonts w:hint="eastAsia" w:ascii="宋体" w:hAnsi="宋体" w:eastAsia="宋体" w:cs="宋体"/>
                <w:color w:val="auto"/>
                <w:kern w:val="2"/>
                <w:sz w:val="21"/>
                <w:szCs w:val="21"/>
                <w:highlight w:val="none"/>
                <w:lang w:val="en-US" w:eastAsia="zh-CN" w:bidi="ar"/>
              </w:rPr>
              <w:t>其他不得分。</w:t>
            </w:r>
            <w:r>
              <w:rPr>
                <w:rFonts w:hint="eastAsia" w:ascii="宋体" w:hAnsi="宋体" w:eastAsia="宋体" w:cs="宋体"/>
                <w:color w:val="auto"/>
                <w:kern w:val="2"/>
                <w:sz w:val="21"/>
                <w:szCs w:val="21"/>
                <w:highlight w:val="none"/>
                <w:lang w:val="en-US" w:eastAsia="zh-Hans" w:bidi="ar"/>
              </w:rPr>
              <w:t>(相关专业：机电工程或</w:t>
            </w:r>
            <w:r>
              <w:rPr>
                <w:rFonts w:hint="eastAsia" w:ascii="宋体" w:hAnsi="宋体" w:cs="宋体"/>
                <w:color w:val="auto"/>
                <w:kern w:val="2"/>
                <w:sz w:val="21"/>
                <w:szCs w:val="21"/>
                <w:highlight w:val="none"/>
                <w:lang w:val="en-US" w:eastAsia="zh-CN" w:bidi="ar"/>
              </w:rPr>
              <w:t>安装</w:t>
            </w:r>
            <w:r>
              <w:rPr>
                <w:rFonts w:hint="eastAsia" w:ascii="宋体" w:hAnsi="宋体" w:eastAsia="宋体" w:cs="宋体"/>
                <w:color w:val="auto"/>
                <w:kern w:val="2"/>
                <w:sz w:val="21"/>
                <w:szCs w:val="21"/>
                <w:highlight w:val="none"/>
                <w:lang w:val="en-US" w:eastAsia="zh-Hans" w:bidi="ar"/>
              </w:rPr>
              <w:t>工程或自动化或给排水专业)。</w:t>
            </w:r>
          </w:p>
          <w:p w14:paraId="35BEAF2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Hans" w:bidi="ar"/>
              </w:rPr>
            </w:pPr>
            <w:r>
              <w:rPr>
                <w:rFonts w:hint="eastAsia" w:ascii="宋体" w:hAnsi="宋体" w:eastAsia="宋体" w:cs="宋体"/>
                <w:color w:val="auto"/>
                <w:kern w:val="2"/>
                <w:sz w:val="21"/>
                <w:szCs w:val="21"/>
                <w:highlight w:val="none"/>
                <w:lang w:val="en-US" w:eastAsia="zh-Hans" w:bidi="ar"/>
              </w:rPr>
              <w:t>2、拟派项目组其他专业人员（不包含项目负责人）具有相关专业中级技术职称证书的</w:t>
            </w:r>
            <w:r>
              <w:rPr>
                <w:rFonts w:hint="eastAsia" w:ascii="宋体" w:hAnsi="宋体" w:eastAsia="宋体" w:cs="宋体"/>
                <w:color w:val="auto"/>
                <w:kern w:val="2"/>
                <w:sz w:val="21"/>
                <w:szCs w:val="21"/>
                <w:highlight w:val="none"/>
                <w:lang w:val="en-US" w:eastAsia="zh-CN" w:bidi="ar"/>
              </w:rPr>
              <w:t>，每提供</w:t>
            </w:r>
            <w:r>
              <w:rPr>
                <w:rFonts w:hint="eastAsia" w:ascii="宋体" w:hAnsi="宋体" w:eastAsia="宋体" w:cs="宋体"/>
                <w:color w:val="auto"/>
                <w:kern w:val="2"/>
                <w:sz w:val="21"/>
                <w:szCs w:val="21"/>
                <w:highlight w:val="none"/>
                <w:lang w:val="en-US" w:eastAsia="zh-Hans" w:bidi="ar"/>
              </w:rPr>
              <w:t>1个得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Hans" w:bidi="ar"/>
              </w:rPr>
              <w:t>分</w:t>
            </w:r>
            <w:r>
              <w:rPr>
                <w:rFonts w:hint="eastAsia" w:ascii="宋体" w:hAnsi="宋体" w:eastAsia="宋体" w:cs="宋体"/>
                <w:color w:val="auto"/>
                <w:kern w:val="2"/>
                <w:sz w:val="21"/>
                <w:szCs w:val="21"/>
                <w:highlight w:val="none"/>
                <w:lang w:val="en-US" w:eastAsia="zh-CN" w:bidi="ar"/>
              </w:rPr>
              <w:t>，最高得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w:t>
            </w:r>
            <w:r>
              <w:rPr>
                <w:rFonts w:hint="eastAsia" w:ascii="宋体" w:hAnsi="宋体" w:eastAsia="宋体" w:cs="宋体"/>
                <w:color w:val="auto"/>
                <w:kern w:val="2"/>
                <w:sz w:val="21"/>
                <w:szCs w:val="21"/>
                <w:highlight w:val="none"/>
                <w:lang w:val="en-US" w:eastAsia="zh-Hans" w:bidi="ar"/>
              </w:rPr>
              <w:t>(相关专业：机电工程或</w:t>
            </w:r>
            <w:r>
              <w:rPr>
                <w:rFonts w:hint="eastAsia" w:ascii="宋体" w:hAnsi="宋体" w:cs="宋体"/>
                <w:color w:val="auto"/>
                <w:kern w:val="2"/>
                <w:sz w:val="21"/>
                <w:szCs w:val="21"/>
                <w:highlight w:val="none"/>
                <w:lang w:val="en-US" w:eastAsia="zh-CN" w:bidi="ar"/>
              </w:rPr>
              <w:t>安装</w:t>
            </w:r>
            <w:r>
              <w:rPr>
                <w:rFonts w:hint="eastAsia" w:ascii="宋体" w:hAnsi="宋体" w:eastAsia="宋体" w:cs="宋体"/>
                <w:color w:val="auto"/>
                <w:kern w:val="2"/>
                <w:sz w:val="21"/>
                <w:szCs w:val="21"/>
                <w:highlight w:val="none"/>
                <w:lang w:val="en-US" w:eastAsia="zh-Hans" w:bidi="ar"/>
              </w:rPr>
              <w:t>工程或自动化或给排水专业)。</w:t>
            </w:r>
          </w:p>
          <w:p w14:paraId="2A3BB43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Hans" w:bidi="ar"/>
              </w:rPr>
              <w:t>注：须提供以上人员职称证书的证明材料彩色扫描件</w:t>
            </w:r>
            <w:r>
              <w:rPr>
                <w:rFonts w:hint="eastAsia" w:ascii="宋体" w:hAnsi="宋体" w:eastAsia="宋体" w:cs="宋体"/>
                <w:color w:val="auto"/>
                <w:kern w:val="2"/>
                <w:sz w:val="21"/>
                <w:szCs w:val="21"/>
                <w:highlight w:val="none"/>
                <w:lang w:val="en-US" w:eastAsia="zh-CN" w:bidi="ar"/>
              </w:rPr>
              <w:t>及近3个月内的社保证明扫描件</w:t>
            </w:r>
            <w:r>
              <w:rPr>
                <w:rFonts w:hint="eastAsia" w:ascii="宋体" w:hAnsi="宋体" w:eastAsia="宋体" w:cs="宋体"/>
                <w:color w:val="auto"/>
                <w:kern w:val="2"/>
                <w:sz w:val="21"/>
                <w:szCs w:val="21"/>
                <w:highlight w:val="none"/>
                <w:lang w:val="en-US" w:eastAsia="zh-Hans" w:bidi="ar"/>
              </w:rPr>
              <w:t>加盖投标人公章，未提供或提供不符合要求不得分。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28D13F3">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w:t>
            </w:r>
          </w:p>
        </w:tc>
      </w:tr>
      <w:tr w14:paraId="2BE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2254"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7E6035E3">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left w:val="single" w:color="auto" w:sz="4" w:space="0"/>
              <w:right w:val="single" w:color="auto" w:sz="4" w:space="0"/>
            </w:tcBorders>
            <w:shd w:val="clear" w:color="auto" w:fill="auto"/>
            <w:tcMar>
              <w:left w:w="113" w:type="dxa"/>
              <w:right w:w="113" w:type="dxa"/>
            </w:tcMar>
            <w:vAlign w:val="center"/>
          </w:tcPr>
          <w:p w14:paraId="55CAADA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Hans" w:bidi="ar"/>
              </w:rPr>
              <w:t>设备整体性能</w:t>
            </w:r>
          </w:p>
        </w:tc>
        <w:tc>
          <w:tcPr>
            <w:tcW w:w="7165" w:type="dxa"/>
            <w:tcBorders>
              <w:top w:val="single" w:color="auto" w:sz="4" w:space="0"/>
              <w:left w:val="single" w:color="auto" w:sz="4" w:space="0"/>
              <w:right w:val="single" w:color="auto" w:sz="4" w:space="0"/>
            </w:tcBorders>
            <w:shd w:val="clear" w:color="auto" w:fill="auto"/>
            <w:tcMar>
              <w:left w:w="113" w:type="dxa"/>
              <w:right w:w="113" w:type="dxa"/>
            </w:tcMar>
            <w:vAlign w:val="top"/>
          </w:tcPr>
          <w:p w14:paraId="0EAF3771">
            <w:pPr>
              <w:keepNext w:val="0"/>
              <w:keepLines w:val="0"/>
              <w:pageBreakBefore w:val="0"/>
              <w:widowControl/>
              <w:numPr>
                <w:ilvl w:val="0"/>
                <w:numId w:val="37"/>
              </w:numPr>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Hans" w:bidi="ar"/>
              </w:rPr>
            </w:pPr>
            <w:r>
              <w:rPr>
                <w:rFonts w:hint="eastAsia" w:ascii="宋体" w:hAnsi="宋体" w:eastAsia="宋体" w:cs="宋体"/>
                <w:color w:val="auto"/>
                <w:kern w:val="2"/>
                <w:sz w:val="21"/>
                <w:szCs w:val="21"/>
                <w:highlight w:val="none"/>
                <w:lang w:val="en-US" w:eastAsia="zh-Hans" w:bidi="ar"/>
              </w:rPr>
              <w:t>投标人或投标产品制造商PC端的直饮水管理平台需要具备以下功能①实时数据展示②历史数据分析③耗材监控④分析故障预警⑤水质监测数据展示。管理平台需具备至少以上5个功能，完全具有得</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Hans" w:bidi="ar"/>
              </w:rPr>
              <w:t>分，不具有或少具有不得分。</w:t>
            </w:r>
          </w:p>
          <w:p w14:paraId="2C012A7A">
            <w:pPr>
              <w:keepNext w:val="0"/>
              <w:keepLines w:val="0"/>
              <w:pageBreakBefore w:val="0"/>
              <w:widowControl/>
              <w:numPr>
                <w:ilvl w:val="0"/>
                <w:numId w:val="0"/>
              </w:numPr>
              <w:suppressLineNumbers w:val="0"/>
              <w:shd w:val="clear"/>
              <w:wordWrap/>
              <w:topLinePunct w:val="0"/>
              <w:autoSpaceDE/>
              <w:autoSpaceDN w:val="0"/>
              <w:bidi w:val="0"/>
              <w:adjustRightInd w:val="0"/>
              <w:snapToGrid w:val="0"/>
              <w:spacing w:before="0" w:beforeAutospacing="0" w:after="0" w:afterAutospacing="0" w:line="240" w:lineRule="auto"/>
              <w:ind w:left="0" w:leftChars="0" w:right="0" w:right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Hans" w:bidi="ar"/>
              </w:rPr>
              <w:t>为了保证膜的过滤效率和处理量能完全满足设计和使用要求，在配置膜的数量和规格时，</w:t>
            </w:r>
            <w:r>
              <w:rPr>
                <w:rFonts w:hint="eastAsia" w:ascii="宋体" w:hAnsi="宋体" w:eastAsia="宋体" w:cs="宋体"/>
                <w:color w:val="auto"/>
                <w:kern w:val="2"/>
                <w:sz w:val="21"/>
                <w:szCs w:val="21"/>
                <w:highlight w:val="none"/>
                <w:lang w:val="en-US" w:eastAsia="zh-CN" w:bidi="ar"/>
              </w:rPr>
              <w:t>承诺加</w:t>
            </w:r>
            <w:r>
              <w:rPr>
                <w:rFonts w:hint="eastAsia" w:ascii="宋体" w:hAnsi="宋体" w:eastAsia="宋体" w:cs="宋体"/>
                <w:color w:val="auto"/>
                <w:kern w:val="2"/>
                <w:sz w:val="21"/>
                <w:szCs w:val="21"/>
                <w:highlight w:val="none"/>
                <w:lang w:val="en-US" w:eastAsia="zh-Hans" w:bidi="ar"/>
              </w:rPr>
              <w:t>一组备用膜</w:t>
            </w:r>
            <w:r>
              <w:rPr>
                <w:rFonts w:hint="eastAsia" w:ascii="宋体" w:hAnsi="宋体" w:eastAsia="宋体" w:cs="宋体"/>
                <w:color w:val="auto"/>
                <w:kern w:val="2"/>
                <w:sz w:val="21"/>
                <w:szCs w:val="21"/>
                <w:highlight w:val="none"/>
                <w:lang w:val="en-US" w:eastAsia="zh-CN" w:bidi="ar"/>
              </w:rPr>
              <w:t>的得3分，否则不得分。</w:t>
            </w:r>
          </w:p>
          <w:p w14:paraId="7401E12B">
            <w:pPr>
              <w:keepNext w:val="0"/>
              <w:keepLines w:val="0"/>
              <w:pageBreakBefore w:val="0"/>
              <w:widowControl/>
              <w:numPr>
                <w:ilvl w:val="0"/>
                <w:numId w:val="38"/>
              </w:numPr>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Hans" w:bidi="ar"/>
              </w:rPr>
              <w:t>由评委根据设备配置清单、设备材质、</w:t>
            </w:r>
            <w:r>
              <w:rPr>
                <w:rFonts w:hint="eastAsia" w:ascii="宋体" w:hAnsi="宋体" w:eastAsia="宋体" w:cs="宋体"/>
                <w:color w:val="auto"/>
                <w:kern w:val="2"/>
                <w:sz w:val="21"/>
                <w:szCs w:val="21"/>
                <w:highlight w:val="none"/>
                <w:lang w:val="en-US" w:eastAsia="zh-CN" w:bidi="ar"/>
              </w:rPr>
              <w:t>以及技术指标是否满足招标文件的情况及材料设备品牌的响应性</w:t>
            </w:r>
            <w:r>
              <w:rPr>
                <w:rFonts w:hint="default" w:ascii="宋体" w:hAnsi="宋体" w:eastAsia="宋体" w:cs="宋体"/>
                <w:color w:val="auto"/>
                <w:kern w:val="2"/>
                <w:sz w:val="21"/>
                <w:szCs w:val="21"/>
                <w:highlight w:val="none"/>
                <w:lang w:val="en-US" w:eastAsia="zh-CN" w:bidi="ar"/>
              </w:rPr>
              <w:t>进行综合评分</w:t>
            </w:r>
            <w:r>
              <w:rPr>
                <w:rFonts w:hint="eastAsia" w:ascii="宋体" w:hAnsi="宋体" w:eastAsia="宋体" w:cs="宋体"/>
                <w:color w:val="auto"/>
                <w:kern w:val="2"/>
                <w:sz w:val="21"/>
                <w:szCs w:val="21"/>
                <w:highlight w:val="none"/>
                <w:lang w:val="en-US" w:eastAsia="zh-CN" w:bidi="ar"/>
              </w:rPr>
              <w:t>（0-1</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分）</w:t>
            </w:r>
            <w:r>
              <w:rPr>
                <w:rFonts w:hint="default" w:ascii="宋体" w:hAnsi="宋体" w:eastAsia="宋体" w:cs="宋体"/>
                <w:color w:val="auto"/>
                <w:kern w:val="2"/>
                <w:sz w:val="21"/>
                <w:szCs w:val="21"/>
                <w:highlight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8FBB0C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18</w:t>
            </w:r>
          </w:p>
        </w:tc>
      </w:tr>
      <w:tr w14:paraId="0B36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1054"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13A5D57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left w:val="single" w:color="auto" w:sz="4" w:space="0"/>
              <w:right w:val="single" w:color="auto" w:sz="4" w:space="0"/>
            </w:tcBorders>
            <w:shd w:val="clear" w:color="auto" w:fill="auto"/>
            <w:tcMar>
              <w:left w:w="113" w:type="dxa"/>
              <w:right w:w="113" w:type="dxa"/>
            </w:tcMar>
            <w:vAlign w:val="center"/>
          </w:tcPr>
          <w:p w14:paraId="0EB57487">
            <w:pPr>
              <w:keepNext w:val="0"/>
              <w:keepLines w:val="0"/>
              <w:pageBreakBefore w:val="0"/>
              <w:widowControl/>
              <w:numPr>
                <w:ilvl w:val="0"/>
                <w:numId w:val="0"/>
              </w:numPr>
              <w:suppressLineNumbers w:val="0"/>
              <w:shd w:val="clear"/>
              <w:wordWrap/>
              <w:topLinePunct w:val="0"/>
              <w:autoSpaceDE/>
              <w:autoSpaceDN w:val="0"/>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Hans" w:bidi="ar"/>
              </w:rPr>
              <w:t>不合格</w:t>
            </w:r>
            <w:r>
              <w:rPr>
                <w:rFonts w:hint="eastAsia" w:ascii="宋体" w:hAnsi="宋体" w:eastAsia="宋体" w:cs="宋体"/>
                <w:color w:val="auto"/>
                <w:kern w:val="2"/>
                <w:sz w:val="21"/>
                <w:szCs w:val="21"/>
                <w:highlight w:val="none"/>
                <w:lang w:val="en-US" w:eastAsia="zh-CN" w:bidi="ar"/>
              </w:rPr>
              <w:t>水</w:t>
            </w:r>
            <w:r>
              <w:rPr>
                <w:rFonts w:hint="eastAsia" w:ascii="宋体" w:hAnsi="宋体" w:eastAsia="宋体" w:cs="宋体"/>
                <w:color w:val="auto"/>
                <w:kern w:val="2"/>
                <w:sz w:val="21"/>
                <w:szCs w:val="21"/>
                <w:highlight w:val="none"/>
                <w:lang w:val="en-US" w:eastAsia="zh-Hans" w:bidi="ar"/>
              </w:rPr>
              <w:t>排放</w:t>
            </w:r>
          </w:p>
        </w:tc>
        <w:tc>
          <w:tcPr>
            <w:tcW w:w="7165" w:type="dxa"/>
            <w:tcBorders>
              <w:top w:val="single" w:color="auto" w:sz="4" w:space="0"/>
              <w:left w:val="single" w:color="auto" w:sz="4" w:space="0"/>
              <w:right w:val="single" w:color="auto" w:sz="4" w:space="0"/>
            </w:tcBorders>
            <w:shd w:val="clear" w:color="auto" w:fill="auto"/>
            <w:tcMar>
              <w:left w:w="113" w:type="dxa"/>
              <w:right w:w="113" w:type="dxa"/>
            </w:tcMar>
            <w:vAlign w:val="top"/>
          </w:tcPr>
          <w:p w14:paraId="4D21DCA6">
            <w:pPr>
              <w:keepNext w:val="0"/>
              <w:keepLines w:val="0"/>
              <w:pageBreakBefore w:val="0"/>
              <w:widowControl/>
              <w:numPr>
                <w:ilvl w:val="0"/>
                <w:numId w:val="0"/>
              </w:numPr>
              <w:suppressLineNumbers w:val="0"/>
              <w:shd w:val="clear"/>
              <w:wordWrap/>
              <w:topLinePunct w:val="0"/>
              <w:autoSpaceDE/>
              <w:autoSpaceDN w:val="0"/>
              <w:bidi w:val="0"/>
              <w:adjustRightInd w:val="0"/>
              <w:snapToGrid w:val="0"/>
              <w:spacing w:before="0" w:beforeAutospacing="0" w:after="0" w:afterAutospacing="0" w:line="240" w:lineRule="auto"/>
              <w:ind w:left="0" w:leftChars="0" w:right="0" w:rightChars="0"/>
              <w:jc w:val="both"/>
              <w:textAlignment w:val="center"/>
              <w:rPr>
                <w:rFonts w:hint="eastAsia" w:ascii="宋体" w:hAnsi="宋体" w:eastAsia="宋体" w:cs="宋体"/>
                <w:color w:val="auto"/>
                <w:kern w:val="2"/>
                <w:sz w:val="21"/>
                <w:szCs w:val="21"/>
                <w:highlight w:val="none"/>
                <w:lang w:val="en-US" w:eastAsia="zh-Hans" w:bidi="ar"/>
              </w:rPr>
            </w:pPr>
            <w:r>
              <w:rPr>
                <w:rFonts w:hint="eastAsia" w:ascii="宋体" w:hAnsi="宋体" w:eastAsia="宋体" w:cs="宋体"/>
                <w:color w:val="auto"/>
                <w:kern w:val="2"/>
                <w:sz w:val="21"/>
                <w:szCs w:val="21"/>
                <w:highlight w:val="none"/>
                <w:lang w:val="en-US" w:eastAsia="zh-Hans" w:bidi="ar"/>
              </w:rPr>
              <w:t>投标人或投标产品需具备——当检测到不合格回水</w:t>
            </w:r>
            <w:r>
              <w:rPr>
                <w:rFonts w:hint="eastAsia" w:ascii="宋体" w:hAnsi="宋体" w:eastAsia="宋体" w:cs="宋体"/>
                <w:color w:val="auto"/>
                <w:kern w:val="2"/>
                <w:sz w:val="21"/>
                <w:szCs w:val="21"/>
                <w:highlight w:val="none"/>
                <w:lang w:val="en-US" w:eastAsia="zh-CN" w:bidi="ar"/>
              </w:rPr>
              <w:t>及进水</w:t>
            </w:r>
            <w:r>
              <w:rPr>
                <w:rFonts w:hint="eastAsia" w:ascii="宋体" w:hAnsi="宋体" w:eastAsia="宋体" w:cs="宋体"/>
                <w:color w:val="auto"/>
                <w:kern w:val="2"/>
                <w:sz w:val="21"/>
                <w:szCs w:val="21"/>
                <w:highlight w:val="none"/>
                <w:lang w:val="en-US" w:eastAsia="zh-Hans" w:bidi="ar"/>
              </w:rPr>
              <w:t>时，设备可自动排放的功能，避免不合格的水回流到净水箱中，污染供水水质，并在平台进行报警以便售后及时处理。系统具备该功能得5分，否则不得分。</w:t>
            </w:r>
          </w:p>
          <w:p w14:paraId="688DE3BD">
            <w:pPr>
              <w:keepNext w:val="0"/>
              <w:keepLines w:val="0"/>
              <w:pageBreakBefore w:val="0"/>
              <w:widowControl/>
              <w:numPr>
                <w:ilvl w:val="0"/>
                <w:numId w:val="0"/>
              </w:numPr>
              <w:suppressLineNumbers w:val="0"/>
              <w:shd w:val="clear"/>
              <w:wordWrap/>
              <w:topLinePunct w:val="0"/>
              <w:autoSpaceDE/>
              <w:autoSpaceDN w:val="0"/>
              <w:bidi w:val="0"/>
              <w:adjustRightInd w:val="0"/>
              <w:snapToGrid w:val="0"/>
              <w:spacing w:before="0" w:beforeAutospacing="0" w:after="0" w:afterAutospacing="0" w:line="240" w:lineRule="auto"/>
              <w:ind w:left="0" w:leftChars="0" w:right="0" w:rightChars="0"/>
              <w:jc w:val="both"/>
              <w:textAlignment w:val="center"/>
              <w:rPr>
                <w:rFonts w:hint="eastAsia" w:ascii="宋体" w:hAnsi="宋体" w:eastAsia="宋体" w:cs="宋体"/>
                <w:color w:val="auto"/>
                <w:kern w:val="2"/>
                <w:sz w:val="21"/>
                <w:szCs w:val="21"/>
                <w:highlight w:val="none"/>
                <w:lang w:val="en-US" w:eastAsia="zh-Hans" w:bidi="ar"/>
              </w:rPr>
            </w:pPr>
            <w:r>
              <w:rPr>
                <w:rFonts w:hint="eastAsia" w:ascii="宋体" w:hAnsi="宋体" w:eastAsia="宋体" w:cs="宋体"/>
                <w:color w:val="auto"/>
                <w:kern w:val="2"/>
                <w:sz w:val="21"/>
                <w:szCs w:val="21"/>
                <w:highlight w:val="none"/>
                <w:lang w:val="en-US" w:eastAsia="zh-CN" w:bidi="ar"/>
              </w:rPr>
              <w:t>注：</w:t>
            </w:r>
            <w:r>
              <w:rPr>
                <w:rFonts w:hint="eastAsia" w:ascii="宋体" w:hAnsi="宋体" w:eastAsia="宋体" w:cs="宋体"/>
                <w:color w:val="auto"/>
                <w:kern w:val="2"/>
                <w:sz w:val="21"/>
                <w:szCs w:val="21"/>
                <w:highlight w:val="none"/>
                <w:lang w:val="en-US" w:eastAsia="zh-Hans" w:bidi="ar"/>
              </w:rPr>
              <w:t>须提供证明材料</w:t>
            </w:r>
            <w:r>
              <w:rPr>
                <w:rFonts w:hint="eastAsia" w:ascii="宋体" w:hAnsi="宋体" w:eastAsia="宋体" w:cs="宋体"/>
                <w:color w:val="auto"/>
                <w:kern w:val="2"/>
                <w:sz w:val="21"/>
                <w:szCs w:val="21"/>
                <w:highlight w:val="none"/>
                <w:lang w:val="en-US" w:eastAsia="zh-CN" w:bidi="ar"/>
              </w:rPr>
              <w:t>扫描件</w:t>
            </w:r>
            <w:r>
              <w:rPr>
                <w:rFonts w:hint="eastAsia" w:ascii="宋体" w:hAnsi="宋体" w:eastAsia="宋体" w:cs="宋体"/>
                <w:color w:val="auto"/>
                <w:kern w:val="2"/>
                <w:sz w:val="21"/>
                <w:szCs w:val="21"/>
                <w:highlight w:val="none"/>
                <w:lang w:val="en-US" w:eastAsia="zh-Hans" w:bidi="ar"/>
              </w:rPr>
              <w:t>，并加盖公章，不提供不得分。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BBDF5A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p>
        </w:tc>
      </w:tr>
      <w:tr w14:paraId="05F0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1896"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1D553AB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1D3EC0C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Hans" w:bidi="ar"/>
              </w:rPr>
              <w:t>技术方案</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FCBF5A7">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Hans"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Hans" w:bidi="ar"/>
              </w:rPr>
              <w:t>提供详细、合理、可操作性的切近本项目实际情况的、设备深化设计图纸包括不限于：工艺流程图、设备平面布置图、电控系统PID图纸、电控柜二次接线图纸，逻辑控制图等方案图纸。（优得</w:t>
            </w:r>
            <w:r>
              <w:rPr>
                <w:rFonts w:hint="eastAsia" w:ascii="宋体" w:hAnsi="宋体" w:cs="宋体"/>
                <w:color w:val="auto"/>
                <w:kern w:val="2"/>
                <w:sz w:val="21"/>
                <w:szCs w:val="21"/>
                <w:highlight w:val="none"/>
                <w:lang w:val="en-US" w:eastAsia="zh-CN" w:bidi="ar"/>
              </w:rPr>
              <w:t>3.1</w:t>
            </w:r>
            <w:r>
              <w:rPr>
                <w:rFonts w:hint="eastAsia" w:ascii="宋体" w:hAnsi="宋体" w:eastAsia="宋体" w:cs="宋体"/>
                <w:color w:val="auto"/>
                <w:kern w:val="2"/>
                <w:sz w:val="21"/>
                <w:szCs w:val="21"/>
                <w:highlight w:val="none"/>
                <w:lang w:val="en-US" w:eastAsia="zh-Hans" w:bidi="ar"/>
              </w:rPr>
              <w:t>-</w:t>
            </w: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Hans" w:bidi="ar"/>
              </w:rPr>
              <w:t>分；有图纸，但不全、不详细、得</w:t>
            </w:r>
            <w:r>
              <w:rPr>
                <w:rFonts w:hint="eastAsia" w:ascii="宋体" w:hAnsi="宋体" w:cs="宋体"/>
                <w:color w:val="auto"/>
                <w:kern w:val="2"/>
                <w:sz w:val="21"/>
                <w:szCs w:val="21"/>
                <w:highlight w:val="none"/>
                <w:lang w:val="en-US" w:eastAsia="zh-CN" w:bidi="ar"/>
              </w:rPr>
              <w:t>2.1</w:t>
            </w:r>
            <w:r>
              <w:rPr>
                <w:rFonts w:hint="eastAsia" w:ascii="宋体" w:hAnsi="宋体" w:eastAsia="宋体" w:cs="宋体"/>
                <w:color w:val="auto"/>
                <w:kern w:val="2"/>
                <w:sz w:val="21"/>
                <w:szCs w:val="21"/>
                <w:highlight w:val="none"/>
                <w:lang w:val="en-US" w:eastAsia="zh-Hans" w:bidi="ar"/>
              </w:rPr>
              <w:t>-</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Hans" w:bidi="ar"/>
              </w:rPr>
              <w:t>分；有图纸，但不全、不详细、不够合理或专业性不足的得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Hans" w:bidi="ar"/>
              </w:rPr>
              <w:t>-</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Hans" w:bidi="ar"/>
              </w:rPr>
              <w:t>分；无方案图纸得0分。）</w:t>
            </w:r>
          </w:p>
          <w:p w14:paraId="21D080C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Hans" w:bidi="ar"/>
              </w:rPr>
              <w:t>2</w:t>
            </w:r>
            <w:r>
              <w:rPr>
                <w:rFonts w:hint="eastAsia" w:ascii="宋体" w:hAnsi="宋体" w:eastAsia="宋体" w:cs="宋体"/>
                <w:color w:val="auto"/>
                <w:kern w:val="2"/>
                <w:sz w:val="21"/>
                <w:szCs w:val="21"/>
                <w:highlight w:val="none"/>
                <w:lang w:val="en-US" w:eastAsia="zh-Hans" w:bidi="ar"/>
              </w:rPr>
              <w:t>、</w:t>
            </w:r>
            <w:r>
              <w:rPr>
                <w:rFonts w:hint="eastAsia" w:ascii="宋体" w:hAnsi="宋体" w:eastAsia="宋体" w:cs="宋体"/>
                <w:color w:val="auto"/>
                <w:kern w:val="2"/>
                <w:sz w:val="21"/>
                <w:szCs w:val="21"/>
                <w:highlight w:val="none"/>
                <w:lang w:val="en-US" w:eastAsia="zh-CN" w:bidi="ar"/>
              </w:rPr>
              <w:t>投标人</w:t>
            </w:r>
            <w:r>
              <w:rPr>
                <w:rFonts w:hint="eastAsia" w:ascii="宋体" w:hAnsi="宋体" w:cs="宋体"/>
                <w:color w:val="auto"/>
                <w:kern w:val="2"/>
                <w:sz w:val="21"/>
                <w:szCs w:val="21"/>
                <w:highlight w:val="none"/>
                <w:lang w:val="en-US" w:eastAsia="zh-CN" w:bidi="ar"/>
              </w:rPr>
              <w:t>须</w:t>
            </w:r>
            <w:r>
              <w:rPr>
                <w:rFonts w:hint="eastAsia" w:ascii="宋体" w:hAnsi="宋体" w:eastAsia="宋体" w:cs="宋体"/>
                <w:color w:val="auto"/>
                <w:kern w:val="2"/>
                <w:sz w:val="21"/>
                <w:szCs w:val="21"/>
                <w:highlight w:val="none"/>
                <w:lang w:val="en-US" w:eastAsia="zh-Hans" w:bidi="ar"/>
              </w:rPr>
              <w:t>采用臭氧和紫外线组合消毒工艺</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Hans" w:bidi="ar"/>
              </w:rPr>
              <w:t>提供工艺原理图得1分</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Hans" w:bidi="ar"/>
              </w:rPr>
              <w:t>提供装配的紫外线消毒装置证明材料（检测报告或专利）得1分。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3F4CB0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7</w:t>
            </w:r>
          </w:p>
        </w:tc>
      </w:tr>
      <w:tr w14:paraId="3819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770"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343228E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left w:val="single" w:color="auto" w:sz="4" w:space="0"/>
              <w:bottom w:val="single" w:color="auto" w:sz="4" w:space="0"/>
              <w:right w:val="single" w:color="auto" w:sz="4" w:space="0"/>
            </w:tcBorders>
            <w:shd w:val="clear" w:color="auto" w:fill="auto"/>
            <w:tcMar>
              <w:left w:w="113" w:type="dxa"/>
              <w:right w:w="113" w:type="dxa"/>
            </w:tcMar>
            <w:vAlign w:val="center"/>
          </w:tcPr>
          <w:p w14:paraId="6AAE304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Hans" w:bidi="ar"/>
              </w:rPr>
              <w:t>施工方案</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950AC7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根据</w:t>
            </w:r>
            <w:r>
              <w:rPr>
                <w:rFonts w:hint="eastAsia" w:ascii="宋体" w:hAnsi="宋体" w:eastAsia="宋体" w:cs="宋体"/>
                <w:color w:val="auto"/>
                <w:kern w:val="2"/>
                <w:sz w:val="21"/>
                <w:szCs w:val="21"/>
                <w:highlight w:val="none"/>
                <w:lang w:val="en-US" w:eastAsia="zh-Hans" w:bidi="ar"/>
              </w:rPr>
              <w:t>投标人组织施工方案的科学性、合理性、规范性和可操作性</w:t>
            </w:r>
            <w:r>
              <w:rPr>
                <w:rFonts w:hint="eastAsia" w:ascii="宋体" w:hAnsi="宋体" w:eastAsia="宋体" w:cs="宋体"/>
                <w:color w:val="auto"/>
                <w:kern w:val="2"/>
                <w:sz w:val="21"/>
                <w:szCs w:val="21"/>
                <w:highlight w:val="none"/>
                <w:lang w:val="en-US" w:eastAsia="zh-CN" w:bidi="ar"/>
              </w:rPr>
              <w:t>由评委在分值范围内打分，包含产品</w:t>
            </w:r>
            <w:r>
              <w:rPr>
                <w:rFonts w:hint="eastAsia" w:ascii="宋体" w:hAnsi="宋体" w:eastAsia="宋体" w:cs="宋体"/>
                <w:color w:val="auto"/>
                <w:kern w:val="2"/>
                <w:sz w:val="21"/>
                <w:szCs w:val="21"/>
                <w:highlight w:val="none"/>
                <w:lang w:val="en-US" w:eastAsia="zh-Hans" w:bidi="ar"/>
              </w:rPr>
              <w:t>供货、验货、组装就位、关键步骤的思路和要点</w:t>
            </w:r>
            <w:r>
              <w:rPr>
                <w:rFonts w:hint="eastAsia" w:ascii="宋体" w:hAnsi="宋体" w:eastAsia="宋体" w:cs="宋体"/>
                <w:color w:val="auto"/>
                <w:kern w:val="2"/>
                <w:sz w:val="21"/>
                <w:szCs w:val="21"/>
                <w:highlight w:val="none"/>
                <w:lang w:val="en-US" w:eastAsia="zh-CN" w:bidi="ar"/>
              </w:rPr>
              <w:t>、管道及设备的施工组织方案以及高空作业的等特殊专项方案等。</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7A3378F">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p>
        </w:tc>
      </w:tr>
      <w:tr w14:paraId="0C3E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62"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6BE69CC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p w14:paraId="1D8F72A6">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51B14A5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质保期</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EA330F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质保期</w:t>
            </w:r>
            <w:r>
              <w:rPr>
                <w:rFonts w:hint="eastAsia" w:ascii="宋体" w:hAnsi="宋体" w:eastAsia="宋体" w:cs="宋体"/>
                <w:color w:val="auto"/>
                <w:kern w:val="2"/>
                <w:sz w:val="21"/>
                <w:szCs w:val="21"/>
                <w:highlight w:val="none"/>
                <w:lang w:val="en-US" w:eastAsia="zh-CN" w:bidi="ar"/>
              </w:rPr>
              <w:t>满足采购要求</w:t>
            </w: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年的，不得分，每增加一年加1分，最高得3分。</w:t>
            </w:r>
          </w:p>
          <w:p w14:paraId="5CFD805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注：提供承诺函加盖公章，格式自拟，不提供不得分。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060EBA36">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p>
        </w:tc>
      </w:tr>
      <w:tr w14:paraId="1A88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669"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3A95170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507ABF3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售后服务</w:t>
            </w:r>
          </w:p>
        </w:tc>
        <w:tc>
          <w:tcPr>
            <w:tcW w:w="7165"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19C1C6A3">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根据投标人针对本项目设备要求，合理制定运行维护保养工作方案</w:t>
            </w:r>
            <w:r>
              <w:rPr>
                <w:rFonts w:hint="eastAsia" w:ascii="宋体" w:hAnsi="宋体" w:cs="宋体"/>
                <w:color w:val="auto"/>
                <w:kern w:val="2"/>
                <w:sz w:val="21"/>
                <w:szCs w:val="21"/>
                <w:highlight w:val="none"/>
                <w:lang w:val="en-US" w:eastAsia="zh-CN" w:bidi="ar"/>
              </w:rPr>
              <w:t>以及</w:t>
            </w:r>
            <w:r>
              <w:rPr>
                <w:rFonts w:hint="eastAsia" w:asciiTheme="minorEastAsia" w:hAnsiTheme="minorEastAsia" w:eastAsiaTheme="minorEastAsia" w:cstheme="minorEastAsia"/>
                <w:color w:val="auto"/>
                <w:sz w:val="21"/>
                <w:szCs w:val="21"/>
                <w:highlight w:val="none"/>
              </w:rPr>
              <w:t>根据售后服务体系的完善性和真实性、售后服务体系的保障性（包括故障响应时间、故障修复承诺时间、应急服务措施、售后服务人员配置，并能提供完整售后服务记录、用户证明）</w:t>
            </w:r>
            <w:r>
              <w:rPr>
                <w:rFonts w:hint="eastAsia" w:ascii="宋体" w:hAnsi="宋体" w:eastAsia="宋体" w:cs="宋体"/>
                <w:color w:val="auto"/>
                <w:kern w:val="2"/>
                <w:sz w:val="21"/>
                <w:szCs w:val="21"/>
                <w:highlight w:val="none"/>
                <w:lang w:val="en-US" w:eastAsia="zh-CN" w:bidi="ar"/>
              </w:rPr>
              <w:t>由评委在分值范围内打分。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4C6830C">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p>
        </w:tc>
      </w:tr>
      <w:tr w14:paraId="2795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c>
          <w:tcPr>
            <w:tcW w:w="9482" w:type="dxa"/>
            <w:gridSpan w:val="3"/>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2F1C30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合  计</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30995E4">
            <w:pPr>
              <w:keepNext/>
              <w:keepLines/>
              <w:pageBreakBefore w:val="0"/>
              <w:widowControl w:val="0"/>
              <w:suppressLineNumbers w:val="0"/>
              <w:shd w:val="clear"/>
              <w:kinsoku w:val="0"/>
              <w:wordWrap/>
              <w:overflowPunct w:val="0"/>
              <w:topLinePunct w:val="0"/>
              <w:autoSpaceDE/>
              <w:autoSpaceDN w:val="0"/>
              <w:bidi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0-100分</w:t>
            </w:r>
          </w:p>
        </w:tc>
      </w:tr>
      <w:bookmarkEnd w:id="698"/>
      <w:bookmarkEnd w:id="699"/>
      <w:bookmarkEnd w:id="700"/>
      <w:bookmarkEnd w:id="701"/>
      <w:bookmarkEnd w:id="702"/>
      <w:bookmarkEnd w:id="703"/>
      <w:bookmarkEnd w:id="704"/>
      <w:bookmarkEnd w:id="705"/>
      <w:bookmarkEnd w:id="706"/>
      <w:bookmarkEnd w:id="707"/>
      <w:bookmarkEnd w:id="708"/>
      <w:bookmarkEnd w:id="709"/>
      <w:bookmarkEnd w:id="710"/>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tbl>
    <w:p w14:paraId="7910310A">
      <w:pPr>
        <w:widowControl/>
        <w:numPr>
          <w:ilvl w:val="0"/>
          <w:numId w:val="0"/>
        </w:numPr>
        <w:shd w:val="clear"/>
        <w:spacing w:line="312" w:lineRule="auto"/>
        <w:ind w:left="432" w:leftChars="0"/>
        <w:outlineLvl w:val="1"/>
        <w:rPr>
          <w:rFonts w:hint="eastAsia" w:ascii="宋体" w:hAnsi="宋体" w:eastAsia="宋体" w:cs="宋体"/>
          <w:color w:val="auto"/>
          <w:highlight w:val="none"/>
        </w:rPr>
      </w:pPr>
      <w:bookmarkStart w:id="948" w:name="_Toc12295"/>
      <w:bookmarkStart w:id="949" w:name="_Toc23988"/>
      <w:bookmarkStart w:id="950" w:name="_Toc28717"/>
      <w:bookmarkStart w:id="951" w:name="_Toc12891"/>
      <w:bookmarkStart w:id="952" w:name="_Toc9400"/>
      <w:bookmarkStart w:id="953" w:name="_Toc676"/>
      <w:bookmarkStart w:id="954" w:name="_Toc29819"/>
      <w:bookmarkStart w:id="955" w:name="_Toc19763"/>
      <w:bookmarkStart w:id="956" w:name="_Toc21134"/>
      <w:bookmarkStart w:id="957" w:name="_Toc1518"/>
      <w:bookmarkStart w:id="958" w:name="_Toc23144"/>
      <w:bookmarkStart w:id="959" w:name="_Toc29904"/>
      <w:bookmarkStart w:id="960" w:name="_Toc21281"/>
      <w:bookmarkStart w:id="961" w:name="_Toc7272"/>
      <w:bookmarkStart w:id="962" w:name="_Toc20999"/>
      <w:bookmarkStart w:id="963" w:name="_Toc16468"/>
      <w:bookmarkStart w:id="964" w:name="_Toc2114"/>
      <w:bookmarkStart w:id="965" w:name="_Toc13063"/>
      <w:bookmarkStart w:id="966" w:name="_Toc22478"/>
      <w:bookmarkStart w:id="967" w:name="_Toc15014"/>
      <w:bookmarkStart w:id="968" w:name="_Toc5433"/>
      <w:bookmarkStart w:id="969" w:name="_Toc29100"/>
      <w:bookmarkStart w:id="970" w:name="_Toc11337"/>
      <w:bookmarkStart w:id="971" w:name="_Toc3721"/>
      <w:bookmarkStart w:id="972" w:name="_Toc1170"/>
      <w:bookmarkStart w:id="973" w:name="_Toc30669"/>
      <w:bookmarkStart w:id="974" w:name="_Toc7339"/>
      <w:bookmarkStart w:id="975" w:name="_Toc19280"/>
      <w:bookmarkStart w:id="976" w:name="_Toc24157"/>
      <w:bookmarkStart w:id="977" w:name="_Toc4993"/>
      <w:bookmarkStart w:id="978" w:name="_Toc18889"/>
      <w:bookmarkStart w:id="979" w:name="_Toc11297"/>
      <w:bookmarkStart w:id="980" w:name="_Toc18665"/>
      <w:bookmarkStart w:id="981" w:name="_Toc23997"/>
      <w:bookmarkStart w:id="982" w:name="_Toc21063"/>
      <w:bookmarkStart w:id="983" w:name="_Toc5485"/>
      <w:bookmarkStart w:id="984" w:name="_Toc9996"/>
      <w:bookmarkStart w:id="985" w:name="_Toc2034"/>
      <w:bookmarkStart w:id="986" w:name="_Toc1181"/>
      <w:bookmarkStart w:id="987" w:name="_Toc7613"/>
      <w:bookmarkStart w:id="988" w:name="_Toc23598"/>
      <w:bookmarkStart w:id="989" w:name="_Toc31129"/>
      <w:bookmarkStart w:id="990" w:name="_Toc6020"/>
      <w:bookmarkStart w:id="991" w:name="_Toc32294"/>
      <w:bookmarkStart w:id="992" w:name="_Toc4505"/>
      <w:bookmarkStart w:id="993" w:name="_Toc29206"/>
      <w:bookmarkStart w:id="994" w:name="_Toc19057"/>
      <w:bookmarkStart w:id="995" w:name="_Toc30259"/>
      <w:bookmarkStart w:id="996" w:name="_Toc16940"/>
      <w:bookmarkStart w:id="997" w:name="_Toc391298964"/>
      <w:bookmarkStart w:id="998" w:name="_Toc347443768"/>
      <w:r>
        <w:rPr>
          <w:rFonts w:hint="eastAsia" w:ascii="宋体" w:hAnsi="宋体" w:cs="宋体"/>
          <w:b/>
          <w:bCs/>
          <w:color w:val="auto"/>
          <w:highlight w:val="none"/>
          <w:lang w:val="en-US" w:eastAsia="zh-CN"/>
        </w:rPr>
        <w:t>十一、</w:t>
      </w:r>
      <w:r>
        <w:rPr>
          <w:rFonts w:hint="eastAsia" w:ascii="宋体" w:hAnsi="宋体" w:eastAsia="宋体" w:cs="宋体"/>
          <w:b/>
          <w:bCs/>
          <w:color w:val="auto"/>
          <w:highlight w:val="none"/>
        </w:rPr>
        <w:t>供应商不得有下列情形</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6071D74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供应商有下列情形之一的，处以采购项目中标金额千分之五以上千分之十以下的罚款，列入不良行为记录名单，在一至三年内禁止参加采购活动，并予以公告，有违法所得的，并处没收违法所得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情节严重的，由市场监督管理机关吊销营业执照，构成犯罪的，依法追究刑事责任。同时将取消中标资格或者认定中标无效。</w:t>
      </w:r>
    </w:p>
    <w:p w14:paraId="66BD288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1.提供虚假材料谋取中标；</w:t>
      </w:r>
    </w:p>
    <w:p w14:paraId="1535B40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2.采取不正当手段诋毁、排挤其他供应商；</w:t>
      </w:r>
    </w:p>
    <w:p w14:paraId="72428562">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3.与采购人、其他供应商恶意串通；</w:t>
      </w:r>
    </w:p>
    <w:p w14:paraId="7D5DC424">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4.向采购人、评标小组成员行贿或者提供其他不正当利益；</w:t>
      </w:r>
    </w:p>
    <w:p w14:paraId="16E2E17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5.在招标过程中与采购人进行协商谈判；</w:t>
      </w:r>
    </w:p>
    <w:p w14:paraId="11E76B34">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中标人</w:t>
      </w:r>
      <w:r>
        <w:rPr>
          <w:rFonts w:hint="eastAsia" w:ascii="宋体" w:hAnsi="宋体" w:eastAsia="宋体" w:cs="宋体"/>
          <w:color w:val="auto"/>
          <w:highlight w:val="none"/>
        </w:rPr>
        <w:t>无正当理由拖延或者不与采购人签订采购合同；</w:t>
      </w:r>
    </w:p>
    <w:p w14:paraId="561751F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7.未按照采购文件确定的事项签订采购合同；</w:t>
      </w:r>
    </w:p>
    <w:p w14:paraId="519461A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8.将采购合同转包或者违规分包；</w:t>
      </w:r>
    </w:p>
    <w:p w14:paraId="1199D24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9.提供假冒伪劣产品；</w:t>
      </w:r>
    </w:p>
    <w:p w14:paraId="19698213">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10.擅自变更、中止或者终止采购合同；</w:t>
      </w:r>
    </w:p>
    <w:p w14:paraId="7B07EE1F">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11.拒绝有关部门的监督检查或者向监督检查部门提供虚假情况；</w:t>
      </w:r>
    </w:p>
    <w:p w14:paraId="45D1D174">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12.法律法规规定的其他情形。</w:t>
      </w:r>
    </w:p>
    <w:p w14:paraId="59F812EA">
      <w:pPr>
        <w:widowControl/>
        <w:shd w:val="clear"/>
        <w:spacing w:line="312" w:lineRule="auto"/>
        <w:ind w:firstLine="482"/>
        <w:outlineLvl w:val="1"/>
        <w:rPr>
          <w:rFonts w:hint="eastAsia" w:ascii="宋体" w:hAnsi="宋体" w:eastAsia="宋体" w:cs="宋体"/>
          <w:b/>
          <w:bCs/>
          <w:color w:val="auto"/>
          <w:highlight w:val="none"/>
        </w:rPr>
      </w:pPr>
      <w:bookmarkStart w:id="999" w:name="_Toc24586"/>
      <w:bookmarkStart w:id="1000" w:name="_Toc7292"/>
      <w:bookmarkStart w:id="1001" w:name="_Toc13406"/>
      <w:bookmarkStart w:id="1002" w:name="_Toc29580"/>
      <w:bookmarkStart w:id="1003" w:name="_Toc8750"/>
      <w:bookmarkStart w:id="1004" w:name="_Toc10181"/>
      <w:bookmarkStart w:id="1005" w:name="_Toc6024"/>
      <w:bookmarkStart w:id="1006" w:name="_Toc16037"/>
      <w:bookmarkStart w:id="1007" w:name="_Toc6548"/>
      <w:bookmarkStart w:id="1008" w:name="_Toc20449"/>
      <w:bookmarkStart w:id="1009" w:name="_Toc2473"/>
      <w:bookmarkStart w:id="1010" w:name="_Toc17389"/>
      <w:bookmarkStart w:id="1011" w:name="_Toc20072"/>
      <w:bookmarkStart w:id="1012" w:name="_Toc29636"/>
      <w:bookmarkStart w:id="1013" w:name="_Toc20638"/>
      <w:bookmarkStart w:id="1014" w:name="_Toc12829"/>
      <w:bookmarkStart w:id="1015" w:name="_Toc4873"/>
      <w:bookmarkStart w:id="1016" w:name="_Toc27647"/>
      <w:bookmarkStart w:id="1017" w:name="_Toc9039"/>
      <w:bookmarkStart w:id="1018" w:name="_Toc32341"/>
      <w:bookmarkStart w:id="1019" w:name="_Toc2041"/>
      <w:bookmarkStart w:id="1020" w:name="_Toc20601"/>
      <w:bookmarkStart w:id="1021" w:name="_Toc25321"/>
      <w:bookmarkStart w:id="1022" w:name="_Toc31870"/>
      <w:bookmarkStart w:id="1023" w:name="_Toc6048"/>
      <w:bookmarkStart w:id="1024" w:name="_Toc18036"/>
      <w:bookmarkStart w:id="1025" w:name="_Toc552"/>
      <w:bookmarkStart w:id="1026" w:name="_Toc22989"/>
      <w:bookmarkStart w:id="1027" w:name="_Toc32296"/>
      <w:bookmarkStart w:id="1028" w:name="_Toc11628"/>
      <w:bookmarkStart w:id="1029" w:name="_Toc16516"/>
      <w:bookmarkStart w:id="1030" w:name="_Toc26266"/>
      <w:bookmarkStart w:id="1031" w:name="_Toc4296"/>
      <w:bookmarkStart w:id="1032" w:name="_Toc9063"/>
      <w:bookmarkStart w:id="1033" w:name="_Toc21651"/>
      <w:bookmarkStart w:id="1034" w:name="_Toc15843"/>
      <w:bookmarkStart w:id="1035" w:name="_Toc11211"/>
      <w:bookmarkStart w:id="1036" w:name="_Toc19558"/>
      <w:bookmarkStart w:id="1037" w:name="_Toc6728"/>
      <w:bookmarkStart w:id="1038" w:name="_Toc21777"/>
      <w:bookmarkStart w:id="1039" w:name="_Toc4226"/>
      <w:bookmarkStart w:id="1040" w:name="_Toc23017"/>
      <w:bookmarkStart w:id="1041" w:name="_Toc16522"/>
      <w:bookmarkStart w:id="1042" w:name="_Toc14056"/>
      <w:bookmarkStart w:id="1043" w:name="_Toc22553"/>
      <w:bookmarkStart w:id="1044" w:name="_Toc8601"/>
      <w:bookmarkStart w:id="1045" w:name="_Toc30885"/>
      <w:bookmarkStart w:id="1046" w:name="_Toc7226"/>
      <w:bookmarkStart w:id="1047" w:name="_Toc21968"/>
      <w:bookmarkStart w:id="1048" w:name="_Toc19855"/>
      <w:bookmarkStart w:id="1049" w:name="_Toc4304"/>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、串通投标情形</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6EB8513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招标采购中，有下列情形之一的，视为供应商串通投标，其投标无效：</w:t>
      </w:r>
    </w:p>
    <w:p w14:paraId="7B72C202">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1.不同供应商的投标文件由同一单位或者个人编制；</w:t>
      </w:r>
    </w:p>
    <w:p w14:paraId="23A0FE8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2.不同供应商委托同一单位或者个人办理投标事宜；</w:t>
      </w:r>
    </w:p>
    <w:p w14:paraId="1249C21F">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3.不同供应商的投标文件载明的项目管理成员或者联系人员为同一人；</w:t>
      </w:r>
    </w:p>
    <w:p w14:paraId="74D14CA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4.不同供应商的投标文件异常一致或者投标报价呈规律性差异；</w:t>
      </w:r>
    </w:p>
    <w:p w14:paraId="00E7FD1A">
      <w:pPr>
        <w:widowControl/>
        <w:shd w:val="clear"/>
        <w:spacing w:line="312"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5.不同供应商的投标文件相互</w:t>
      </w:r>
      <w:r>
        <w:rPr>
          <w:rFonts w:hint="eastAsia" w:ascii="宋体" w:hAnsi="宋体" w:eastAsia="宋体" w:cs="宋体"/>
          <w:color w:val="auto"/>
          <w:highlight w:val="none"/>
          <w:lang w:val="en-US" w:eastAsia="zh-CN"/>
        </w:rPr>
        <w:t>上传</w:t>
      </w:r>
      <w:r>
        <w:rPr>
          <w:rFonts w:hint="eastAsia" w:ascii="宋体" w:hAnsi="宋体" w:eastAsia="宋体" w:cs="宋体"/>
          <w:color w:val="auto"/>
          <w:highlight w:val="none"/>
        </w:rPr>
        <w:t>。</w:t>
      </w:r>
      <w:bookmarkEnd w:id="997"/>
      <w:bookmarkEnd w:id="998"/>
      <w:bookmarkStart w:id="1050" w:name="_Toc12079"/>
      <w:bookmarkStart w:id="1051" w:name="_Toc14386"/>
      <w:bookmarkStart w:id="1052" w:name="_Toc22692"/>
      <w:bookmarkStart w:id="1053" w:name="_Toc11540"/>
      <w:bookmarkStart w:id="1054" w:name="_Toc18870"/>
      <w:bookmarkStart w:id="1055" w:name="_Toc27434"/>
      <w:bookmarkStart w:id="1056" w:name="_Toc10388"/>
      <w:bookmarkStart w:id="1057" w:name="_Toc21055"/>
      <w:bookmarkStart w:id="1058" w:name="_Toc25156"/>
      <w:bookmarkStart w:id="1059" w:name="_Toc21613"/>
      <w:bookmarkStart w:id="1060" w:name="_Toc29233"/>
      <w:bookmarkStart w:id="1061" w:name="_Toc9891"/>
      <w:bookmarkStart w:id="1062" w:name="_Toc21350"/>
      <w:bookmarkStart w:id="1063" w:name="_Toc6998"/>
      <w:bookmarkStart w:id="1064" w:name="_Toc10123"/>
      <w:bookmarkStart w:id="1065" w:name="_Toc22487"/>
      <w:bookmarkStart w:id="1066" w:name="_Toc20951"/>
      <w:bookmarkStart w:id="1067" w:name="_Toc11472"/>
      <w:bookmarkStart w:id="1068" w:name="_Toc19268"/>
      <w:bookmarkStart w:id="1069" w:name="_Toc15963"/>
      <w:bookmarkStart w:id="1070" w:name="_Toc13948"/>
      <w:bookmarkStart w:id="1071" w:name="_Toc10740"/>
      <w:bookmarkStart w:id="1072" w:name="_Toc4116"/>
      <w:bookmarkStart w:id="1073" w:name="_Toc22259"/>
      <w:bookmarkStart w:id="1074" w:name="_Toc9181"/>
      <w:bookmarkStart w:id="1075" w:name="_Toc32471"/>
      <w:bookmarkStart w:id="1076" w:name="_Toc8221"/>
      <w:bookmarkStart w:id="1077" w:name="_Toc2753"/>
      <w:bookmarkStart w:id="1078" w:name="_Toc30553"/>
      <w:bookmarkStart w:id="1079" w:name="_Toc3409"/>
      <w:bookmarkStart w:id="1080" w:name="_Toc29727"/>
      <w:bookmarkStart w:id="1081" w:name="_Toc15825"/>
      <w:bookmarkStart w:id="1082" w:name="_Toc3385"/>
      <w:bookmarkStart w:id="1083" w:name="_Toc7563"/>
      <w:bookmarkStart w:id="1084" w:name="_Toc10"/>
      <w:bookmarkStart w:id="1085" w:name="_Toc3583"/>
      <w:bookmarkStart w:id="1086" w:name="_Toc2605"/>
      <w:bookmarkStart w:id="1087" w:name="_Toc12338"/>
      <w:bookmarkStart w:id="1088" w:name="_Toc12019"/>
      <w:bookmarkStart w:id="1089" w:name="_Toc5424"/>
      <w:bookmarkStart w:id="1090" w:name="_Toc18455"/>
      <w:bookmarkStart w:id="1091" w:name="_Toc24952"/>
      <w:bookmarkStart w:id="1092" w:name="_Toc18436"/>
      <w:bookmarkStart w:id="1093" w:name="_Toc6786"/>
      <w:bookmarkStart w:id="1094" w:name="_Toc27395"/>
      <w:bookmarkStart w:id="1095" w:name="_Toc19009"/>
      <w:bookmarkStart w:id="1096" w:name="_Toc2346"/>
      <w:bookmarkStart w:id="1097" w:name="_Toc6811"/>
      <w:bookmarkStart w:id="1098" w:name="_Toc19304"/>
      <w:bookmarkStart w:id="1099" w:name="_Toc6295"/>
      <w:bookmarkStart w:id="1100" w:name="_Toc11924"/>
      <w:bookmarkStart w:id="1101" w:name="_Toc21758"/>
      <w:bookmarkStart w:id="1102" w:name="_Toc31476"/>
      <w:bookmarkStart w:id="1103" w:name="_Toc10485"/>
      <w:bookmarkStart w:id="1104" w:name="_Toc19257"/>
      <w:bookmarkStart w:id="1105" w:name="_Toc23764"/>
      <w:bookmarkStart w:id="1106" w:name="_Toc3502"/>
      <w:bookmarkStart w:id="1107" w:name="_Toc7009"/>
      <w:bookmarkStart w:id="1108" w:name="_Toc3375"/>
      <w:bookmarkStart w:id="1109" w:name="_Toc1556"/>
      <w:bookmarkStart w:id="1110" w:name="_Toc15295"/>
      <w:bookmarkStart w:id="1111" w:name="_Toc10670"/>
      <w:bookmarkStart w:id="1112" w:name="_Toc32257"/>
      <w:bookmarkStart w:id="1113" w:name="_Toc245"/>
      <w:bookmarkStart w:id="1114" w:name="_Toc11107"/>
      <w:bookmarkStart w:id="1115" w:name="_Toc9609"/>
      <w:bookmarkStart w:id="1116" w:name="_Toc25656"/>
      <w:bookmarkStart w:id="1117" w:name="_Toc26456"/>
      <w:bookmarkStart w:id="1118" w:name="_Toc662"/>
      <w:bookmarkStart w:id="1119" w:name="_Toc23998"/>
      <w:bookmarkStart w:id="1120" w:name="_Toc16056"/>
      <w:bookmarkStart w:id="1121" w:name="_Toc391298965"/>
    </w:p>
    <w:p w14:paraId="7E261200">
      <w:pPr>
        <w:pStyle w:val="3"/>
        <w:numPr>
          <w:ilvl w:val="0"/>
          <w:numId w:val="0"/>
        </w:numPr>
        <w:shd w:val="clear"/>
        <w:spacing w:before="312" w:after="312"/>
        <w:jc w:val="both"/>
        <w:rPr>
          <w:rFonts w:hint="eastAsia" w:ascii="宋体" w:hAnsi="宋体" w:eastAsia="宋体" w:cs="宋体"/>
          <w:color w:val="auto"/>
          <w:highlight w:val="none"/>
          <w:lang w:val="zh-CN"/>
        </w:rPr>
      </w:pPr>
      <w:bookmarkStart w:id="1122" w:name="_Toc16839"/>
      <w:bookmarkStart w:id="1123" w:name="_Toc9705"/>
      <w:bookmarkStart w:id="1124" w:name="_Toc31801"/>
    </w:p>
    <w:p w14:paraId="3C907045">
      <w:pPr>
        <w:shd w:val="clear"/>
        <w:rPr>
          <w:rFonts w:hint="eastAsia"/>
          <w:color w:val="auto"/>
          <w:highlight w:val="none"/>
          <w:lang w:val="zh-CN"/>
        </w:rPr>
      </w:pPr>
    </w:p>
    <w:p w14:paraId="3702C34B">
      <w:pPr>
        <w:pStyle w:val="3"/>
        <w:numPr>
          <w:ilvl w:val="0"/>
          <w:numId w:val="0"/>
        </w:numPr>
        <w:shd w:val="clear"/>
        <w:spacing w:before="312" w:after="312"/>
        <w:jc w:val="both"/>
        <w:rPr>
          <w:rFonts w:hint="eastAsia" w:ascii="宋体" w:hAnsi="宋体" w:eastAsia="宋体" w:cs="宋体"/>
          <w:color w:val="auto"/>
          <w:highlight w:val="none"/>
          <w:lang w:val="zh-CN"/>
        </w:rPr>
      </w:pPr>
    </w:p>
    <w:p w14:paraId="5D1F7583">
      <w:pPr>
        <w:shd w:val="clear"/>
        <w:rPr>
          <w:rFonts w:hint="eastAsia" w:ascii="宋体" w:hAnsi="宋体" w:eastAsia="宋体" w:cs="宋体"/>
          <w:color w:val="auto"/>
          <w:highlight w:val="none"/>
          <w:lang w:val="zh-CN"/>
        </w:rPr>
      </w:pPr>
    </w:p>
    <w:p w14:paraId="7ACA3BA2">
      <w:pPr>
        <w:pStyle w:val="18"/>
        <w:shd w:val="clear"/>
        <w:rPr>
          <w:rFonts w:hint="eastAsia" w:ascii="宋体" w:hAnsi="宋体" w:eastAsia="宋体" w:cs="宋体"/>
          <w:color w:val="auto"/>
          <w:highlight w:val="none"/>
          <w:lang w:val="zh-CN"/>
        </w:rPr>
      </w:pPr>
    </w:p>
    <w:p w14:paraId="0C2803B5">
      <w:pPr>
        <w:shd w:val="clear"/>
        <w:rPr>
          <w:rFonts w:hint="eastAsia" w:ascii="宋体" w:hAnsi="宋体" w:eastAsia="宋体" w:cs="宋体"/>
          <w:color w:val="auto"/>
          <w:highlight w:val="none"/>
          <w:lang w:val="zh-CN"/>
        </w:rPr>
      </w:pPr>
    </w:p>
    <w:p w14:paraId="2D686814">
      <w:pPr>
        <w:pStyle w:val="18"/>
        <w:shd w:val="clear"/>
        <w:rPr>
          <w:rFonts w:hint="eastAsia"/>
          <w:color w:val="auto"/>
          <w:highlight w:val="none"/>
          <w:lang w:val="zh-CN"/>
        </w:rPr>
      </w:pPr>
    </w:p>
    <w:p w14:paraId="2C88FC8D">
      <w:pPr>
        <w:shd w:val="clear"/>
        <w:rPr>
          <w:rFonts w:hint="eastAsia"/>
          <w:color w:val="auto"/>
          <w:highlight w:val="none"/>
          <w:lang w:val="zh-CN"/>
        </w:rPr>
      </w:pPr>
    </w:p>
    <w:p w14:paraId="19A62278">
      <w:pPr>
        <w:pStyle w:val="3"/>
        <w:numPr>
          <w:ilvl w:val="0"/>
          <w:numId w:val="0"/>
        </w:numPr>
        <w:shd w:val="clear"/>
        <w:spacing w:before="312" w:after="312"/>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第五章  </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Start w:id="1125" w:name="_Toc25963"/>
      <w:bookmarkStart w:id="1126" w:name="_Toc10276"/>
      <w:bookmarkStart w:id="1127" w:name="_Toc6903"/>
      <w:bookmarkStart w:id="1128" w:name="_Toc12950"/>
      <w:bookmarkStart w:id="1129" w:name="_Toc29250"/>
      <w:bookmarkStart w:id="1130" w:name="_Toc24583"/>
      <w:bookmarkStart w:id="1131" w:name="_Toc32577"/>
      <w:bookmarkStart w:id="1132" w:name="_Toc12620"/>
      <w:bookmarkStart w:id="1133" w:name="_Toc10444"/>
      <w:bookmarkStart w:id="1134" w:name="_Toc17425"/>
      <w:bookmarkStart w:id="1135" w:name="_Toc32036"/>
      <w:bookmarkStart w:id="1136" w:name="_Toc20389"/>
      <w:bookmarkStart w:id="1137" w:name="_Toc19483"/>
      <w:bookmarkStart w:id="1138" w:name="_Toc20673"/>
      <w:bookmarkStart w:id="1139" w:name="_Toc7962"/>
      <w:bookmarkStart w:id="1140" w:name="_Toc9250"/>
      <w:bookmarkStart w:id="1141" w:name="_Toc8633"/>
      <w:bookmarkStart w:id="1142" w:name="_Toc17266"/>
      <w:bookmarkStart w:id="1143" w:name="_Toc3065"/>
      <w:bookmarkStart w:id="1144" w:name="_Toc7361"/>
      <w:bookmarkStart w:id="1145" w:name="_Toc11201"/>
      <w:r>
        <w:rPr>
          <w:rFonts w:hint="eastAsia" w:ascii="宋体" w:hAnsi="宋体" w:eastAsia="宋体" w:cs="宋体"/>
          <w:color w:val="auto"/>
          <w:highlight w:val="none"/>
          <w:lang w:val="zh-CN"/>
        </w:rPr>
        <w:t>合同条款及格式</w:t>
      </w:r>
      <w:bookmarkEnd w:id="1106"/>
      <w:bookmarkEnd w:id="1122"/>
      <w:bookmarkEnd w:id="1123"/>
      <w:bookmarkEnd w:id="1124"/>
    </w:p>
    <w:p w14:paraId="0D92349E">
      <w:pPr>
        <w:pStyle w:val="3"/>
        <w:numPr>
          <w:ilvl w:val="255"/>
          <w:numId w:val="0"/>
        </w:numPr>
        <w:shd w:val="clear"/>
        <w:spacing w:before="312" w:after="312"/>
        <w:jc w:val="both"/>
        <w:outlineLvl w:val="9"/>
        <w:rPr>
          <w:rFonts w:hint="eastAsia"/>
          <w:color w:val="auto"/>
          <w:sz w:val="72"/>
          <w:szCs w:val="72"/>
          <w:highlight w:val="none"/>
        </w:rPr>
      </w:pPr>
      <w:bookmarkStart w:id="1146" w:name="_Toc7462"/>
      <w:bookmarkStart w:id="1147" w:name="_Toc310"/>
      <w:bookmarkStart w:id="1148" w:name="_Toc20445"/>
      <w:bookmarkStart w:id="1149" w:name="_Toc18205"/>
      <w:bookmarkStart w:id="1150" w:name="_Toc20014"/>
      <w:bookmarkStart w:id="1151" w:name="_Toc10223"/>
      <w:bookmarkStart w:id="1152" w:name="_Toc30463"/>
      <w:bookmarkStart w:id="1153" w:name="_Toc18785"/>
      <w:bookmarkStart w:id="1154" w:name="_Toc6502"/>
      <w:bookmarkStart w:id="1155" w:name="_Toc16627"/>
      <w:bookmarkStart w:id="1156" w:name="_Toc9100"/>
      <w:bookmarkStart w:id="1157" w:name="_Toc7230"/>
      <w:bookmarkStart w:id="1158" w:name="_Toc2988"/>
      <w:bookmarkStart w:id="1159" w:name="_Toc13985"/>
      <w:bookmarkStart w:id="1160" w:name="_Toc28685"/>
      <w:bookmarkStart w:id="1161" w:name="_Toc25691"/>
      <w:bookmarkStart w:id="1162" w:name="_Toc31326"/>
      <w:bookmarkStart w:id="1163" w:name="_Toc84325982"/>
      <w:bookmarkStart w:id="1164" w:name="_Toc2375"/>
      <w:bookmarkStart w:id="1165" w:name="_Toc16586"/>
      <w:bookmarkStart w:id="1166" w:name="_Toc25530"/>
      <w:bookmarkStart w:id="1167" w:name="_Toc6249"/>
      <w:bookmarkStart w:id="1168" w:name="_Toc31703"/>
      <w:bookmarkStart w:id="1169" w:name="_Toc80157776"/>
      <w:bookmarkStart w:id="1170" w:name="_Toc22009"/>
      <w:bookmarkStart w:id="1171" w:name="_Toc18678"/>
      <w:bookmarkStart w:id="1172" w:name="_Toc5287"/>
      <w:bookmarkStart w:id="1173" w:name="_Toc11132"/>
      <w:bookmarkStart w:id="1174" w:name="_Toc9121"/>
      <w:bookmarkStart w:id="1175" w:name="_Toc9086"/>
      <w:bookmarkStart w:id="1176" w:name="_Toc5891"/>
      <w:bookmarkStart w:id="1177" w:name="_Toc3667"/>
      <w:bookmarkStart w:id="1178" w:name="_Toc81372788"/>
      <w:bookmarkStart w:id="1179" w:name="_Toc24158"/>
      <w:bookmarkStart w:id="1180" w:name="_Toc81372965"/>
      <w:bookmarkStart w:id="1181" w:name="_Toc30991"/>
      <w:bookmarkStart w:id="1182" w:name="_Toc8199"/>
      <w:bookmarkStart w:id="1183" w:name="_Toc28792"/>
    </w:p>
    <w:p w14:paraId="346BBF71">
      <w:pPr>
        <w:pStyle w:val="3"/>
        <w:numPr>
          <w:ilvl w:val="255"/>
          <w:numId w:val="0"/>
        </w:numPr>
        <w:shd w:val="clear"/>
        <w:spacing w:before="312" w:after="312"/>
        <w:outlineLvl w:val="1"/>
        <w:rPr>
          <w:color w:val="auto"/>
          <w:sz w:val="72"/>
          <w:szCs w:val="72"/>
          <w:highlight w:val="none"/>
        </w:rPr>
      </w:pPr>
      <w:bookmarkStart w:id="1184" w:name="_Toc31945"/>
      <w:bookmarkStart w:id="1185" w:name="_Toc6776"/>
      <w:bookmarkStart w:id="1186" w:name="_Toc29702"/>
      <w:r>
        <w:rPr>
          <w:rFonts w:hint="eastAsia"/>
          <w:color w:val="auto"/>
          <w:sz w:val="72"/>
          <w:szCs w:val="72"/>
          <w:highlight w:val="none"/>
        </w:rPr>
        <w:t>采 购 合 同</w:t>
      </w:r>
      <w:bookmarkEnd w:id="1146"/>
      <w:bookmarkEnd w:id="1147"/>
      <w:bookmarkEnd w:id="1148"/>
      <w:bookmarkEnd w:id="1149"/>
      <w:bookmarkEnd w:id="1184"/>
      <w:bookmarkEnd w:id="1185"/>
      <w:bookmarkEnd w:id="1186"/>
    </w:p>
    <w:p w14:paraId="5D2DAA5F">
      <w:pPr>
        <w:shd w:val="clear"/>
        <w:ind w:firstLine="482"/>
        <w:rPr>
          <w:rFonts w:ascii="宋体" w:hAnsi="宋体"/>
          <w:color w:val="auto"/>
          <w:highlight w:val="none"/>
        </w:rPr>
      </w:pPr>
      <w:r>
        <w:rPr>
          <w:rFonts w:hint="eastAsia" w:ascii="宋体" w:hAnsi="宋体"/>
          <w:b/>
          <w:color w:val="auto"/>
          <w:highlight w:val="none"/>
        </w:rPr>
        <w:t xml:space="preserve"> </w:t>
      </w:r>
    </w:p>
    <w:p w14:paraId="7EB357FF">
      <w:pPr>
        <w:shd w:val="clear"/>
        <w:ind w:firstLine="482"/>
        <w:rPr>
          <w:rFonts w:ascii="宋体" w:hAnsi="宋体"/>
          <w:color w:val="auto"/>
          <w:highlight w:val="none"/>
        </w:rPr>
      </w:pPr>
      <w:r>
        <w:rPr>
          <w:rFonts w:hint="eastAsia" w:ascii="宋体" w:hAnsi="宋体"/>
          <w:b/>
          <w:color w:val="auto"/>
          <w:highlight w:val="none"/>
        </w:rPr>
        <w:t xml:space="preserve">               </w:t>
      </w:r>
    </w:p>
    <w:p w14:paraId="237A0D74">
      <w:pPr>
        <w:shd w:val="clear"/>
        <w:ind w:firstLine="482"/>
        <w:rPr>
          <w:rFonts w:ascii="宋体" w:hAnsi="宋体"/>
          <w:color w:val="auto"/>
          <w:highlight w:val="none"/>
        </w:rPr>
      </w:pPr>
      <w:r>
        <w:rPr>
          <w:rFonts w:hint="eastAsia" w:ascii="宋体" w:hAnsi="宋体"/>
          <w:b/>
          <w:color w:val="auto"/>
          <w:highlight w:val="none"/>
        </w:rPr>
        <w:t xml:space="preserve">                                            合同编号：</w:t>
      </w:r>
      <w:r>
        <w:rPr>
          <w:rFonts w:hint="eastAsia" w:ascii="宋体" w:hAnsi="宋体"/>
          <w:b/>
          <w:color w:val="auto"/>
          <w:highlight w:val="none"/>
          <w:u w:val="single"/>
        </w:rPr>
        <w:t xml:space="preserve">             </w:t>
      </w:r>
    </w:p>
    <w:p w14:paraId="2CCFE88D">
      <w:pPr>
        <w:shd w:val="clear"/>
        <w:ind w:firstLine="480"/>
        <w:rPr>
          <w:rFonts w:ascii="宋体" w:hAnsi="宋体"/>
          <w:color w:val="auto"/>
          <w:highlight w:val="none"/>
        </w:rPr>
      </w:pPr>
    </w:p>
    <w:p w14:paraId="2DADA579">
      <w:pPr>
        <w:shd w:val="clear"/>
        <w:ind w:firstLine="480"/>
        <w:rPr>
          <w:rFonts w:ascii="宋体" w:hAnsi="宋体"/>
          <w:color w:val="auto"/>
          <w:highlight w:val="none"/>
        </w:rPr>
      </w:pPr>
    </w:p>
    <w:p w14:paraId="46DEF376">
      <w:pPr>
        <w:shd w:val="clear"/>
        <w:ind w:firstLine="960" w:firstLineChars="40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p>
    <w:p w14:paraId="0E2C0659">
      <w:pPr>
        <w:shd w:val="clea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14AEA0EC">
      <w:pPr>
        <w:shd w:val="clear"/>
        <w:snapToGrid w:val="0"/>
        <w:spacing w:before="119" w:line="272" w:lineRule="atLeast"/>
        <w:ind w:firstLine="0" w:firstLineChars="0"/>
        <w:rPr>
          <w:rFonts w:ascii="宋体" w:hAnsi="宋体"/>
          <w:color w:val="auto"/>
          <w:highlight w:val="none"/>
        </w:rPr>
      </w:pPr>
    </w:p>
    <w:p w14:paraId="68AE7AD1">
      <w:pPr>
        <w:shd w:val="clear"/>
        <w:snapToGrid w:val="0"/>
        <w:spacing w:before="119" w:line="272" w:lineRule="atLeast"/>
        <w:ind w:firstLine="0" w:firstLineChars="0"/>
        <w:rPr>
          <w:rFonts w:ascii="宋体" w:hAnsi="宋体"/>
          <w:color w:val="auto"/>
          <w:highlight w:val="none"/>
        </w:rPr>
      </w:pPr>
    </w:p>
    <w:p w14:paraId="3C482C62">
      <w:pPr>
        <w:shd w:val="clear"/>
        <w:snapToGrid w:val="0"/>
        <w:spacing w:before="119" w:line="272" w:lineRule="atLeast"/>
        <w:ind w:firstLine="480"/>
        <w:rPr>
          <w:rFonts w:ascii="宋体" w:hAnsi="宋体"/>
          <w:color w:val="auto"/>
          <w:highlight w:val="none"/>
        </w:rPr>
      </w:pPr>
    </w:p>
    <w:p w14:paraId="2EF46145">
      <w:pPr>
        <w:shd w:val="clea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rPr>
        <w:t>采购人：</w:t>
      </w:r>
      <w:r>
        <w:rPr>
          <w:rFonts w:hint="eastAsia" w:ascii="宋体" w:hAnsi="宋体"/>
          <w:color w:val="auto"/>
          <w:highlight w:val="none"/>
          <w:u w:val="single"/>
        </w:rPr>
        <w:t xml:space="preserve">                                  </w:t>
      </w:r>
      <w:r>
        <w:rPr>
          <w:rFonts w:hint="eastAsia" w:ascii="宋体" w:hAnsi="宋体"/>
          <w:color w:val="auto"/>
          <w:highlight w:val="none"/>
        </w:rPr>
        <w:t>（以下称甲方）　</w:t>
      </w:r>
    </w:p>
    <w:p w14:paraId="23C97613">
      <w:pPr>
        <w:shd w:val="clea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4554185D">
      <w:pPr>
        <w:shd w:val="clea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lang w:eastAsia="zh-CN"/>
        </w:rPr>
        <w:t>中标人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 xml:space="preserve">（以下称乙方）　  　     </w:t>
      </w:r>
    </w:p>
    <w:p w14:paraId="436371D6">
      <w:pPr>
        <w:shd w:val="clear"/>
        <w:snapToGrid w:val="0"/>
        <w:spacing w:before="119" w:line="272" w:lineRule="atLeast"/>
        <w:ind w:left="958" w:firstLine="480"/>
        <w:jc w:val="center"/>
        <w:rPr>
          <w:rFonts w:ascii="宋体" w:hAnsi="宋体"/>
          <w:color w:val="auto"/>
          <w:highlight w:val="none"/>
        </w:rPr>
      </w:pPr>
    </w:p>
    <w:p w14:paraId="6D28831E">
      <w:pPr>
        <w:pStyle w:val="33"/>
        <w:shd w:val="clear"/>
        <w:ind w:left="0"/>
        <w:rPr>
          <w:color w:val="auto"/>
          <w:highlight w:val="none"/>
        </w:rPr>
      </w:pPr>
    </w:p>
    <w:p w14:paraId="17D56FE1">
      <w:pPr>
        <w:shd w:val="clear"/>
        <w:ind w:left="0" w:leftChars="0" w:firstLine="0" w:firstLineChars="0"/>
        <w:rPr>
          <w:color w:val="auto"/>
          <w:highlight w:val="none"/>
        </w:rPr>
      </w:pPr>
    </w:p>
    <w:p w14:paraId="30537277">
      <w:pPr>
        <w:shd w:val="clear"/>
        <w:ind w:left="0" w:leftChars="0" w:firstLine="0" w:firstLineChars="0"/>
        <w:rPr>
          <w:color w:val="auto"/>
          <w:highlight w:val="none"/>
        </w:rPr>
      </w:pPr>
    </w:p>
    <w:p w14:paraId="4EC1F7E3">
      <w:pPr>
        <w:shd w:val="clear"/>
        <w:snapToGrid w:val="0"/>
        <w:spacing w:before="119" w:line="272" w:lineRule="atLeast"/>
        <w:ind w:left="958" w:firstLine="480"/>
        <w:jc w:val="center"/>
        <w:rPr>
          <w:rFonts w:ascii="宋体" w:hAnsi="宋体"/>
          <w:color w:val="auto"/>
          <w:highlight w:val="none"/>
        </w:rPr>
      </w:pPr>
    </w:p>
    <w:p w14:paraId="73AD5781">
      <w:pPr>
        <w:pStyle w:val="40"/>
        <w:shd w:val="clear"/>
        <w:ind w:left="480"/>
        <w:rPr>
          <w:rFonts w:hint="default"/>
          <w:color w:val="auto"/>
          <w:highlight w:val="none"/>
        </w:rPr>
      </w:pPr>
    </w:p>
    <w:p w14:paraId="0DF7EF08">
      <w:pPr>
        <w:shd w:val="clear"/>
        <w:snapToGrid w:val="0"/>
        <w:spacing w:before="119" w:line="272" w:lineRule="atLeast"/>
        <w:ind w:firstLine="1200" w:firstLineChars="500"/>
        <w:rPr>
          <w:rFonts w:ascii="宋体" w:hAnsi="宋体"/>
          <w:color w:val="auto"/>
          <w:highlight w:val="none"/>
        </w:rPr>
      </w:pPr>
      <w:r>
        <w:rPr>
          <w:rFonts w:hint="eastAsia" w:ascii="宋体" w:hAnsi="宋体"/>
          <w:color w:val="auto"/>
          <w:highlight w:val="none"/>
        </w:rPr>
        <w:t>签署地点：</w:t>
      </w:r>
      <w:r>
        <w:rPr>
          <w:rFonts w:hint="eastAsia" w:ascii="宋体" w:hAnsi="宋体"/>
          <w:color w:val="auto"/>
          <w:highlight w:val="none"/>
          <w:u w:val="single"/>
        </w:rPr>
        <w:t xml:space="preserve">                                         </w:t>
      </w:r>
    </w:p>
    <w:p w14:paraId="7FB3A54A">
      <w:pPr>
        <w:shd w:val="clear"/>
        <w:snapToGrid w:val="0"/>
        <w:spacing w:before="119" w:line="272" w:lineRule="atLeast"/>
        <w:ind w:left="958" w:firstLine="480"/>
        <w:rPr>
          <w:rFonts w:ascii="宋体" w:hAnsi="宋体"/>
          <w:color w:val="auto"/>
          <w:highlight w:val="none"/>
        </w:rPr>
      </w:pPr>
    </w:p>
    <w:p w14:paraId="057C7ACD">
      <w:pPr>
        <w:shd w:val="clear"/>
        <w:snapToGrid w:val="0"/>
        <w:spacing w:before="119" w:line="272" w:lineRule="atLeast"/>
        <w:ind w:firstLine="1200" w:firstLineChars="500"/>
        <w:rPr>
          <w:rFonts w:hint="eastAsia" w:ascii="宋体" w:hAnsi="宋体" w:eastAsia="宋体" w:cs="宋体"/>
          <w:b/>
          <w:bCs/>
          <w:color w:val="auto"/>
          <w:sz w:val="32"/>
          <w:szCs w:val="32"/>
          <w:highlight w:val="none"/>
        </w:rPr>
      </w:pPr>
      <w:r>
        <w:rPr>
          <w:rFonts w:hint="eastAsia" w:ascii="宋体" w:hAnsi="宋体"/>
          <w:color w:val="auto"/>
          <w:highlight w:val="none"/>
        </w:rPr>
        <w:t>签署日期：</w:t>
      </w:r>
      <w:r>
        <w:rPr>
          <w:rFonts w:hint="eastAsia" w:ascii="宋体" w:hAnsi="宋体"/>
          <w:color w:val="auto"/>
          <w:highlight w:val="none"/>
          <w:u w:val="single"/>
        </w:rPr>
        <w:t xml:space="preserve">                                         </w:t>
      </w:r>
    </w:p>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14:paraId="3ABBA5DA">
      <w:pPr>
        <w:keepNext w:val="0"/>
        <w:keepLines w:val="0"/>
        <w:widowControl/>
        <w:suppressLineNumbers w:val="0"/>
        <w:shd w:val="clear"/>
        <w:spacing w:before="0" w:beforeLines="0" w:beforeAutospacing="0" w:after="0" w:afterLines="0" w:afterAutospacing="0" w:line="312" w:lineRule="auto"/>
        <w:ind w:left="0" w:right="0" w:firstLine="0" w:firstLineChars="0"/>
        <w:jc w:val="center"/>
        <w:outlineLvl w:val="1"/>
        <w:rPr>
          <w:rFonts w:hint="eastAsia" w:ascii="宋体" w:hAnsi="宋体" w:cs="宋体"/>
          <w:b/>
          <w:bCs/>
          <w:color w:val="auto"/>
          <w:sz w:val="32"/>
          <w:szCs w:val="32"/>
          <w:highlight w:val="none"/>
          <w:lang w:val="en-US" w:eastAsia="zh-CN" w:bidi="ar"/>
        </w:rPr>
      </w:pPr>
      <w:bookmarkStart w:id="1187" w:name="_Toc276"/>
      <w:bookmarkStart w:id="1188" w:name="_Toc7173"/>
      <w:bookmarkStart w:id="1189" w:name="_Toc15978"/>
      <w:bookmarkStart w:id="1190" w:name="_Toc29297"/>
      <w:bookmarkStart w:id="1191" w:name="_Toc25708"/>
      <w:bookmarkStart w:id="1192" w:name="_Toc13586"/>
      <w:bookmarkStart w:id="1193" w:name="_Toc2689"/>
      <w:bookmarkStart w:id="1194" w:name="_Toc29433"/>
      <w:bookmarkStart w:id="1195" w:name="_Toc24484"/>
      <w:bookmarkStart w:id="1196" w:name="_Toc21987"/>
    </w:p>
    <w:p w14:paraId="3AE65875">
      <w:pPr>
        <w:keepNext w:val="0"/>
        <w:keepLines w:val="0"/>
        <w:widowControl/>
        <w:suppressLineNumbers w:val="0"/>
        <w:shd w:val="clear"/>
        <w:spacing w:before="0" w:beforeLines="0" w:beforeAutospacing="0" w:after="0" w:afterLines="0" w:afterAutospacing="0" w:line="312" w:lineRule="auto"/>
        <w:ind w:left="0" w:right="0" w:firstLine="0" w:firstLineChars="0"/>
        <w:jc w:val="center"/>
        <w:outlineLvl w:val="1"/>
        <w:rPr>
          <w:rFonts w:hint="eastAsia" w:ascii="宋体" w:hAnsi="宋体" w:eastAsia="宋体" w:cs="宋体"/>
          <w:b/>
          <w:bCs/>
          <w:color w:val="auto"/>
          <w:sz w:val="32"/>
          <w:szCs w:val="32"/>
          <w:highlight w:val="none"/>
          <w:lang w:val="en-US" w:eastAsia="zh-CN" w:bidi="ar"/>
        </w:rPr>
      </w:pPr>
      <w:r>
        <w:rPr>
          <w:rFonts w:hint="eastAsia" w:ascii="宋体" w:hAnsi="宋体" w:cs="宋体"/>
          <w:b/>
          <w:bCs/>
          <w:color w:val="auto"/>
          <w:sz w:val="32"/>
          <w:szCs w:val="32"/>
          <w:highlight w:val="none"/>
          <w:lang w:val="en-US" w:eastAsia="zh-CN" w:bidi="ar"/>
        </w:rPr>
        <w:t>金融大厦直饮水项目</w:t>
      </w:r>
      <w:r>
        <w:rPr>
          <w:rFonts w:hint="eastAsia" w:ascii="宋体" w:hAnsi="宋体" w:eastAsia="宋体" w:cs="宋体"/>
          <w:b/>
          <w:bCs/>
          <w:color w:val="auto"/>
          <w:sz w:val="32"/>
          <w:szCs w:val="32"/>
          <w:highlight w:val="none"/>
          <w:lang w:val="en-US" w:eastAsia="zh-CN" w:bidi="ar"/>
        </w:rPr>
        <w:t>合同</w:t>
      </w:r>
      <w:bookmarkEnd w:id="1187"/>
      <w:bookmarkEnd w:id="1188"/>
      <w:bookmarkEnd w:id="1189"/>
      <w:bookmarkEnd w:id="1190"/>
    </w:p>
    <w:p w14:paraId="68D5570E">
      <w:pPr>
        <w:keepNext w:val="0"/>
        <w:keepLines w:val="0"/>
        <w:widowControl/>
        <w:suppressLineNumbers w:val="0"/>
        <w:shd w:val="clear"/>
        <w:spacing w:before="0" w:beforeLines="0" w:beforeAutospacing="0" w:after="0" w:afterLines="0" w:afterAutospacing="0" w:line="24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甲方：</w:t>
      </w:r>
      <w:r>
        <w:rPr>
          <w:rFonts w:hint="eastAsia" w:ascii="宋体" w:hAnsi="宋体" w:eastAsia="宋体" w:cs="宋体"/>
          <w:color w:val="auto"/>
          <w:kern w:val="0"/>
          <w:sz w:val="24"/>
          <w:szCs w:val="24"/>
          <w:highlight w:val="none"/>
          <w:u w:val="single"/>
          <w:lang w:val="en-US" w:eastAsia="zh-CN" w:bidi="ar"/>
        </w:rPr>
        <w:t xml:space="preserve">                </w:t>
      </w:r>
    </w:p>
    <w:p w14:paraId="07982C33">
      <w:pPr>
        <w:keepNext w:val="0"/>
        <w:keepLines w:val="0"/>
        <w:widowControl/>
        <w:suppressLineNumbers w:val="0"/>
        <w:shd w:val="clear"/>
        <w:spacing w:before="0" w:beforeLines="0" w:beforeAutospacing="0" w:after="0" w:afterLines="0" w:afterAutospacing="0" w:line="240" w:lineRule="auto"/>
        <w:ind w:left="0" w:right="0" w:firstLine="480" w:firstLineChars="2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u w:val="single"/>
          <w:lang w:val="en-US" w:eastAsia="zh-CN" w:bidi="ar"/>
        </w:rPr>
        <w:t xml:space="preserve">                </w:t>
      </w:r>
    </w:p>
    <w:p w14:paraId="1FA79280">
      <w:pPr>
        <w:keepNext w:val="0"/>
        <w:keepLines w:val="0"/>
        <w:widowControl/>
        <w:suppressLineNumbers w:val="0"/>
        <w:shd w:val="clear"/>
        <w:spacing w:before="0" w:beforeLines="0" w:beforeAutospacing="0" w:after="0" w:afterLines="0" w:afterAutospacing="0" w:line="24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0"/>
          <w:sz w:val="24"/>
          <w:szCs w:val="24"/>
          <w:highlight w:val="none"/>
          <w:u w:val="single"/>
          <w:lang w:val="en-US" w:eastAsia="zh-CN" w:bidi="ar"/>
        </w:rPr>
        <w:t xml:space="preserve">   （采购人）   </w:t>
      </w:r>
      <w:r>
        <w:rPr>
          <w:rFonts w:hint="eastAsia" w:ascii="宋体" w:hAnsi="宋体" w:eastAsia="宋体" w:cs="宋体"/>
          <w:color w:val="auto"/>
          <w:kern w:val="0"/>
          <w:sz w:val="24"/>
          <w:szCs w:val="24"/>
          <w:highlight w:val="none"/>
          <w:lang w:val="en-US" w:eastAsia="zh-CN" w:bidi="ar"/>
        </w:rPr>
        <w:t>以</w:t>
      </w:r>
      <w:r>
        <w:rPr>
          <w:rFonts w:hint="eastAsia" w:ascii="宋体" w:hAnsi="宋体" w:eastAsia="宋体" w:cs="宋体"/>
          <w:color w:val="auto"/>
          <w:kern w:val="0"/>
          <w:sz w:val="24"/>
          <w:szCs w:val="24"/>
          <w:highlight w:val="none"/>
          <w:u w:val="single"/>
          <w:lang w:val="en-US" w:eastAsia="zh-CN" w:bidi="ar"/>
        </w:rPr>
        <w:t xml:space="preserve">   （采购方式） </w:t>
      </w:r>
      <w:r>
        <w:rPr>
          <w:rFonts w:hint="eastAsia" w:ascii="宋体" w:hAnsi="宋体" w:eastAsia="宋体" w:cs="宋体"/>
          <w:color w:val="auto"/>
          <w:kern w:val="0"/>
          <w:sz w:val="24"/>
          <w:szCs w:val="24"/>
          <w:highlight w:val="none"/>
          <w:lang w:val="en-US" w:eastAsia="zh-CN" w:bidi="ar"/>
        </w:rPr>
        <w:t>对</w:t>
      </w:r>
      <w:r>
        <w:rPr>
          <w:rFonts w:hint="eastAsia" w:ascii="宋体" w:hAnsi="宋体" w:eastAsia="宋体" w:cs="宋体"/>
          <w:color w:val="auto"/>
          <w:kern w:val="0"/>
          <w:sz w:val="24"/>
          <w:szCs w:val="24"/>
          <w:highlight w:val="none"/>
          <w:u w:val="single"/>
          <w:lang w:val="en-US" w:eastAsia="zh-CN" w:bidi="ar"/>
        </w:rPr>
        <w:t xml:space="preserve">   （同前页项目名称）   </w:t>
      </w:r>
      <w:r>
        <w:rPr>
          <w:rFonts w:hint="eastAsia" w:ascii="宋体" w:hAnsi="宋体" w:eastAsia="宋体" w:cs="宋体"/>
          <w:color w:val="auto"/>
          <w:kern w:val="0"/>
          <w:sz w:val="24"/>
          <w:szCs w:val="24"/>
          <w:highlight w:val="none"/>
          <w:lang w:val="en-US" w:eastAsia="zh-CN" w:bidi="ar"/>
        </w:rPr>
        <w:t>项目进行了采购。经</w:t>
      </w:r>
      <w:r>
        <w:rPr>
          <w:rFonts w:hint="eastAsia" w:ascii="宋体" w:hAnsi="宋体" w:eastAsia="宋体" w:cs="宋体"/>
          <w:color w:val="auto"/>
          <w:kern w:val="0"/>
          <w:sz w:val="24"/>
          <w:szCs w:val="24"/>
          <w:highlight w:val="none"/>
          <w:u w:val="single"/>
          <w:lang w:val="en-US" w:eastAsia="zh-CN" w:bidi="ar"/>
        </w:rPr>
        <w:t xml:space="preserve">   （相关评定主体名称）   </w:t>
      </w:r>
      <w:r>
        <w:rPr>
          <w:rFonts w:hint="eastAsia" w:ascii="宋体" w:hAnsi="宋体" w:eastAsia="宋体" w:cs="宋体"/>
          <w:color w:val="auto"/>
          <w:kern w:val="0"/>
          <w:sz w:val="24"/>
          <w:szCs w:val="24"/>
          <w:highlight w:val="none"/>
          <w:lang w:val="en-US" w:eastAsia="zh-CN" w:bidi="ar"/>
        </w:rPr>
        <w:t>评定，</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中标人</w:t>
      </w:r>
      <w:r>
        <w:rPr>
          <w:rFonts w:hint="eastAsia" w:ascii="宋体" w:hAnsi="宋体" w:eastAsia="宋体" w:cs="宋体"/>
          <w:color w:val="auto"/>
          <w:kern w:val="0"/>
          <w:sz w:val="24"/>
          <w:szCs w:val="24"/>
          <w:highlight w:val="none"/>
          <w:u w:val="single"/>
          <w:lang w:val="en-US" w:eastAsia="zh-CN" w:bidi="ar"/>
        </w:rPr>
        <w:t>名称）</w:t>
      </w:r>
      <w:r>
        <w:rPr>
          <w:rFonts w:hint="eastAsia" w:ascii="宋体" w:hAnsi="宋体" w:eastAsia="宋体" w:cs="宋体"/>
          <w:color w:val="auto"/>
          <w:kern w:val="0"/>
          <w:sz w:val="24"/>
          <w:szCs w:val="24"/>
          <w:highlight w:val="none"/>
          <w:lang w:val="en-US" w:eastAsia="zh-CN" w:bidi="ar"/>
        </w:rPr>
        <w:t>为该项目</w:t>
      </w:r>
      <w:r>
        <w:rPr>
          <w:rFonts w:hint="eastAsia" w:ascii="宋体" w:hAnsi="宋体" w:cs="宋体"/>
          <w:color w:val="auto"/>
          <w:kern w:val="0"/>
          <w:sz w:val="24"/>
          <w:szCs w:val="24"/>
          <w:highlight w:val="none"/>
          <w:lang w:val="en-US" w:eastAsia="zh-CN" w:bidi="ar"/>
        </w:rPr>
        <w:t>中标人</w:t>
      </w:r>
      <w:r>
        <w:rPr>
          <w:rFonts w:hint="eastAsia" w:ascii="宋体" w:hAnsi="宋体" w:eastAsia="宋体" w:cs="宋体"/>
          <w:color w:val="auto"/>
          <w:kern w:val="0"/>
          <w:sz w:val="24"/>
          <w:szCs w:val="24"/>
          <w:highlight w:val="none"/>
          <w:lang w:val="en-US" w:eastAsia="zh-CN" w:bidi="ar"/>
        </w:rPr>
        <w:t>。现于中标通知书发出之日起</w:t>
      </w:r>
      <w:r>
        <w:rPr>
          <w:rFonts w:hint="eastAsia" w:ascii="宋体" w:hAnsi="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val="en-US" w:eastAsia="zh-CN" w:bidi="ar"/>
        </w:rPr>
        <w:t>日内，按照采购文件确定的事项签订本合同。</w:t>
      </w:r>
    </w:p>
    <w:p w14:paraId="3DC37F51">
      <w:pPr>
        <w:keepNext w:val="0"/>
        <w:keepLines w:val="0"/>
        <w:widowControl/>
        <w:suppressLineNumbers w:val="0"/>
        <w:shd w:val="clear"/>
        <w:spacing w:before="0" w:beforeLines="0" w:beforeAutospacing="0" w:after="0" w:afterLines="0" w:afterAutospacing="0" w:line="24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根据《中华人民共和国民法典》、《中华人民共和国政府采购法》等相关法律法规之规定，按照平等、自愿、公平、诚实信用和绿色的原则，经</w:t>
      </w:r>
      <w:r>
        <w:rPr>
          <w:rFonts w:hint="eastAsia" w:ascii="宋体" w:hAnsi="宋体" w:eastAsia="宋体" w:cs="宋体"/>
          <w:color w:val="auto"/>
          <w:kern w:val="0"/>
          <w:sz w:val="24"/>
          <w:szCs w:val="24"/>
          <w:highlight w:val="none"/>
          <w:u w:val="single"/>
          <w:lang w:val="en-US" w:eastAsia="zh-CN" w:bidi="ar"/>
        </w:rPr>
        <w:t xml:space="preserve">   （采购人）   </w:t>
      </w:r>
      <w:r>
        <w:rPr>
          <w:rFonts w:hint="eastAsia" w:ascii="宋体" w:hAnsi="宋体" w:eastAsia="宋体" w:cs="宋体"/>
          <w:color w:val="auto"/>
          <w:kern w:val="0"/>
          <w:sz w:val="24"/>
          <w:szCs w:val="24"/>
          <w:highlight w:val="none"/>
          <w:lang w:val="en-US" w:eastAsia="zh-CN" w:bidi="ar"/>
        </w:rPr>
        <w:t>(以下简称：甲方)和</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中标人</w:t>
      </w:r>
      <w:r>
        <w:rPr>
          <w:rFonts w:hint="eastAsia" w:ascii="宋体" w:hAnsi="宋体" w:eastAsia="宋体" w:cs="宋体"/>
          <w:color w:val="auto"/>
          <w:kern w:val="0"/>
          <w:sz w:val="24"/>
          <w:szCs w:val="24"/>
          <w:highlight w:val="none"/>
          <w:u w:val="single"/>
          <w:lang w:val="en-US" w:eastAsia="zh-CN" w:bidi="ar"/>
        </w:rPr>
        <w:t xml:space="preserve">名称）   </w:t>
      </w:r>
      <w:r>
        <w:rPr>
          <w:rFonts w:hint="eastAsia" w:ascii="宋体" w:hAnsi="宋体" w:eastAsia="宋体" w:cs="宋体"/>
          <w:color w:val="auto"/>
          <w:kern w:val="0"/>
          <w:sz w:val="24"/>
          <w:szCs w:val="24"/>
          <w:highlight w:val="none"/>
          <w:lang w:val="en-US" w:eastAsia="zh-CN" w:bidi="ar"/>
        </w:rPr>
        <w:t>(以下简称：乙方)协商一致，约定以下合同条款，以兹共同遵守、全面履行。</w:t>
      </w:r>
    </w:p>
    <w:p w14:paraId="4F6DE062">
      <w:pPr>
        <w:keepNext w:val="0"/>
        <w:keepLines w:val="0"/>
        <w:pageBreakBefore w:val="0"/>
        <w:widowControl w:val="0"/>
        <w:shd w:val="clear"/>
        <w:tabs>
          <w:tab w:val="left" w:pos="720"/>
          <w:tab w:val="left" w:pos="5925"/>
        </w:tabs>
        <w:kinsoku/>
        <w:wordWrap/>
        <w:overflowPunct/>
        <w:topLinePunct w:val="0"/>
        <w:autoSpaceDE/>
        <w:autoSpaceDN/>
        <w:bidi w:val="0"/>
        <w:snapToGrid w:val="0"/>
        <w:spacing w:line="312" w:lineRule="auto"/>
        <w:textAlignment w:val="auto"/>
        <w:outlineLvl w:val="1"/>
        <w:rPr>
          <w:rFonts w:ascii="宋体" w:hAnsi="宋体" w:cs="宋体"/>
          <w:color w:val="auto"/>
          <w:sz w:val="24"/>
          <w:highlight w:val="none"/>
        </w:rPr>
      </w:pPr>
      <w:bookmarkStart w:id="1197" w:name="_Toc6194"/>
      <w:bookmarkStart w:id="1198" w:name="_Toc167"/>
      <w:bookmarkStart w:id="1199" w:name="_Toc28190"/>
      <w:bookmarkStart w:id="1200" w:name="_Toc8615"/>
      <w:r>
        <w:rPr>
          <w:rFonts w:hint="eastAsia" w:ascii="宋体" w:hAnsi="宋体" w:cs="宋体"/>
          <w:b/>
          <w:color w:val="auto"/>
          <w:sz w:val="24"/>
          <w:highlight w:val="none"/>
        </w:rPr>
        <w:t>一、</w:t>
      </w:r>
      <w:r>
        <w:rPr>
          <w:rFonts w:hint="eastAsia" w:ascii="宋体" w:hAnsi="宋体" w:cs="宋体"/>
          <w:b/>
          <w:color w:val="auto"/>
          <w:sz w:val="24"/>
          <w:highlight w:val="none"/>
          <w:lang w:eastAsia="zh-CN"/>
        </w:rPr>
        <w:t>项目</w:t>
      </w:r>
      <w:r>
        <w:rPr>
          <w:rFonts w:hint="eastAsia" w:ascii="宋体" w:hAnsi="宋体" w:cs="宋体"/>
          <w:b/>
          <w:color w:val="auto"/>
          <w:sz w:val="24"/>
          <w:highlight w:val="none"/>
        </w:rPr>
        <w:t>概况</w:t>
      </w:r>
      <w:bookmarkEnd w:id="1197"/>
      <w:bookmarkEnd w:id="1198"/>
      <w:bookmarkEnd w:id="1199"/>
    </w:p>
    <w:p w14:paraId="4D9E4FAF">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628E6417">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0CA39448">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3、</w:t>
      </w:r>
      <w:r>
        <w:rPr>
          <w:rFonts w:hint="eastAsia" w:ascii="宋体" w:hAnsi="宋体" w:cs="宋体"/>
          <w:b w:val="0"/>
          <w:bCs w:val="0"/>
          <w:color w:val="auto"/>
          <w:sz w:val="24"/>
          <w:highlight w:val="none"/>
          <w:lang w:eastAsia="zh-CN"/>
        </w:rPr>
        <w:t>项目</w:t>
      </w:r>
      <w:r>
        <w:rPr>
          <w:rFonts w:hint="eastAsia" w:ascii="宋体" w:hAnsi="宋体" w:cs="宋体"/>
          <w:b w:val="0"/>
          <w:bCs w:val="0"/>
          <w:color w:val="auto"/>
          <w:sz w:val="24"/>
          <w:highlight w:val="none"/>
        </w:rPr>
        <w:t>主要内容：</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u w:val="none"/>
          <w:lang w:eastAsia="zh-CN"/>
        </w:rPr>
        <w:t>。</w:t>
      </w:r>
    </w:p>
    <w:p w14:paraId="2D7A4C6B">
      <w:pPr>
        <w:keepNext w:val="0"/>
        <w:keepLines w:val="0"/>
        <w:pageBreakBefore w:val="0"/>
        <w:widowControl w:val="0"/>
        <w:shd w:val="clear"/>
        <w:tabs>
          <w:tab w:val="left" w:pos="720"/>
          <w:tab w:val="left" w:pos="5925"/>
        </w:tabs>
        <w:kinsoku/>
        <w:wordWrap/>
        <w:overflowPunct/>
        <w:topLinePunct w:val="0"/>
        <w:autoSpaceDE/>
        <w:autoSpaceDN/>
        <w:bidi w:val="0"/>
        <w:snapToGrid w:val="0"/>
        <w:spacing w:line="312" w:lineRule="auto"/>
        <w:textAlignment w:val="auto"/>
        <w:outlineLvl w:val="1"/>
        <w:rPr>
          <w:rFonts w:hint="eastAsia" w:ascii="宋体" w:hAnsi="宋体" w:eastAsia="宋体" w:cs="宋体"/>
          <w:b/>
          <w:color w:val="auto"/>
          <w:sz w:val="24"/>
          <w:highlight w:val="none"/>
        </w:rPr>
      </w:pPr>
      <w:bookmarkStart w:id="1201" w:name="_Toc18712"/>
      <w:bookmarkStart w:id="1202" w:name="_Toc20054"/>
      <w:bookmarkStart w:id="1203" w:name="_Toc12374"/>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采购商品清单及合同价格</w:t>
      </w:r>
      <w:bookmarkEnd w:id="1201"/>
    </w:p>
    <w:p w14:paraId="63A0E576">
      <w:pPr>
        <w:shd w:val="clea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 xml:space="preserve">保证提供如下内容的合格产品：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金额单位：人民币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元</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992"/>
        <w:gridCol w:w="816"/>
        <w:gridCol w:w="1259"/>
        <w:gridCol w:w="1670"/>
        <w:gridCol w:w="1109"/>
      </w:tblGrid>
      <w:tr w14:paraId="2041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88" w:type="dxa"/>
            <w:noWrap w:val="0"/>
            <w:vAlign w:val="center"/>
          </w:tcPr>
          <w:p w14:paraId="3B24318A">
            <w:pPr>
              <w:keepNext w:val="0"/>
              <w:keepLines w:val="0"/>
              <w:suppressLineNumbers w:val="0"/>
              <w:shd w:val="clear"/>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采购产品名称</w:t>
            </w:r>
          </w:p>
        </w:tc>
        <w:tc>
          <w:tcPr>
            <w:tcW w:w="2992" w:type="dxa"/>
            <w:noWrap w:val="0"/>
            <w:vAlign w:val="center"/>
          </w:tcPr>
          <w:p w14:paraId="3C33B3B7">
            <w:pPr>
              <w:keepNext w:val="0"/>
              <w:keepLines w:val="0"/>
              <w:suppressLineNumbers w:val="0"/>
              <w:shd w:val="clear"/>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品牌型号规格和主要配置</w:t>
            </w:r>
          </w:p>
        </w:tc>
        <w:tc>
          <w:tcPr>
            <w:tcW w:w="816" w:type="dxa"/>
            <w:noWrap w:val="0"/>
            <w:vAlign w:val="center"/>
          </w:tcPr>
          <w:p w14:paraId="68733919">
            <w:pPr>
              <w:keepNext w:val="0"/>
              <w:keepLines w:val="0"/>
              <w:suppressLineNumbers w:val="0"/>
              <w:shd w:val="clear"/>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59" w:type="dxa"/>
            <w:noWrap w:val="0"/>
            <w:vAlign w:val="center"/>
          </w:tcPr>
          <w:p w14:paraId="43202DF0">
            <w:pPr>
              <w:keepNext w:val="0"/>
              <w:keepLines w:val="0"/>
              <w:suppressLineNumbers w:val="0"/>
              <w:shd w:val="clear"/>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单价（元）</w:t>
            </w:r>
          </w:p>
        </w:tc>
        <w:tc>
          <w:tcPr>
            <w:tcW w:w="1670" w:type="dxa"/>
            <w:noWrap w:val="0"/>
            <w:vAlign w:val="center"/>
          </w:tcPr>
          <w:p w14:paraId="2E7D827E">
            <w:pPr>
              <w:keepNext w:val="0"/>
              <w:keepLines w:val="0"/>
              <w:suppressLineNumbers w:val="0"/>
              <w:shd w:val="clear"/>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总价（元）</w:t>
            </w:r>
          </w:p>
        </w:tc>
        <w:tc>
          <w:tcPr>
            <w:tcW w:w="1109" w:type="dxa"/>
            <w:noWrap w:val="0"/>
            <w:vAlign w:val="center"/>
          </w:tcPr>
          <w:p w14:paraId="41B818EF">
            <w:pPr>
              <w:keepNext w:val="0"/>
              <w:keepLines w:val="0"/>
              <w:suppressLineNumbers w:val="0"/>
              <w:shd w:val="clear"/>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DA5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88" w:type="dxa"/>
            <w:noWrap w:val="0"/>
            <w:vAlign w:val="center"/>
          </w:tcPr>
          <w:p w14:paraId="7E1FF576">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92" w:type="dxa"/>
            <w:noWrap w:val="0"/>
            <w:vAlign w:val="center"/>
          </w:tcPr>
          <w:p w14:paraId="1518EE62">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16" w:type="dxa"/>
            <w:noWrap w:val="0"/>
            <w:vAlign w:val="center"/>
          </w:tcPr>
          <w:p w14:paraId="366CD095">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59" w:type="dxa"/>
            <w:noWrap w:val="0"/>
            <w:vAlign w:val="center"/>
          </w:tcPr>
          <w:p w14:paraId="15D6EF5D">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70" w:type="dxa"/>
            <w:noWrap w:val="0"/>
            <w:vAlign w:val="center"/>
          </w:tcPr>
          <w:p w14:paraId="62A7ECBD">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09" w:type="dxa"/>
            <w:noWrap w:val="0"/>
            <w:vAlign w:val="center"/>
          </w:tcPr>
          <w:p w14:paraId="3D6DC4AB">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A33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88" w:type="dxa"/>
            <w:noWrap w:val="0"/>
            <w:vAlign w:val="center"/>
          </w:tcPr>
          <w:p w14:paraId="23675FEA">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92" w:type="dxa"/>
            <w:noWrap w:val="0"/>
            <w:vAlign w:val="center"/>
          </w:tcPr>
          <w:p w14:paraId="4BB4F06A">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16" w:type="dxa"/>
            <w:noWrap w:val="0"/>
            <w:vAlign w:val="center"/>
          </w:tcPr>
          <w:p w14:paraId="0E09B2B6">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59" w:type="dxa"/>
            <w:noWrap w:val="0"/>
            <w:vAlign w:val="center"/>
          </w:tcPr>
          <w:p w14:paraId="7565F60C">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70" w:type="dxa"/>
            <w:noWrap w:val="0"/>
            <w:vAlign w:val="center"/>
          </w:tcPr>
          <w:p w14:paraId="52E4BCE8">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09" w:type="dxa"/>
            <w:noWrap w:val="0"/>
            <w:vAlign w:val="center"/>
          </w:tcPr>
          <w:p w14:paraId="652DD140">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37A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88" w:type="dxa"/>
            <w:noWrap w:val="0"/>
            <w:vAlign w:val="center"/>
          </w:tcPr>
          <w:p w14:paraId="10D9D364">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992" w:type="dxa"/>
            <w:noWrap w:val="0"/>
            <w:vAlign w:val="center"/>
          </w:tcPr>
          <w:p w14:paraId="3E980EBB">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16" w:type="dxa"/>
            <w:noWrap w:val="0"/>
            <w:vAlign w:val="center"/>
          </w:tcPr>
          <w:p w14:paraId="4FF745CD">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59" w:type="dxa"/>
            <w:noWrap w:val="0"/>
            <w:vAlign w:val="center"/>
          </w:tcPr>
          <w:p w14:paraId="123C9A81">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70" w:type="dxa"/>
            <w:noWrap w:val="0"/>
            <w:vAlign w:val="center"/>
          </w:tcPr>
          <w:p w14:paraId="26E072DB">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09" w:type="dxa"/>
            <w:noWrap w:val="0"/>
            <w:vAlign w:val="center"/>
          </w:tcPr>
          <w:p w14:paraId="03F91718">
            <w:pPr>
              <w:keepNext w:val="0"/>
              <w:keepLines w:val="0"/>
              <w:suppressLineNumbers w:val="0"/>
              <w:shd w:val="clea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3AB78FE9">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2、本合同总价为人民币（大写）：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元；（小写）￥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，清单详见合同附件</w:t>
      </w:r>
      <w:r>
        <w:rPr>
          <w:rFonts w:hint="eastAsia" w:ascii="宋体" w:hAnsi="宋体" w:eastAsia="宋体" w:cs="宋体"/>
          <w:b w:val="0"/>
          <w:bCs w:val="0"/>
          <w:color w:val="auto"/>
          <w:sz w:val="24"/>
          <w:szCs w:val="24"/>
          <w:highlight w:val="none"/>
          <w:lang w:val="en-US" w:eastAsia="zh-CN"/>
        </w:rPr>
        <w:t>。</w:t>
      </w:r>
    </w:p>
    <w:p w14:paraId="6DB20943">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新宋体" w:hAnsi="新宋体" w:eastAsia="新宋体"/>
          <w:color w:val="auto"/>
          <w:szCs w:val="21"/>
          <w:highlight w:val="none"/>
        </w:rPr>
      </w:pPr>
      <w:bookmarkStart w:id="1204" w:name="_Toc32105"/>
      <w:r>
        <w:rPr>
          <w:rFonts w:hint="eastAsia" w:ascii="宋体" w:hAnsi="宋体" w:cs="宋体"/>
          <w:b w:val="0"/>
          <w:bCs w:val="0"/>
          <w:color w:val="auto"/>
          <w:sz w:val="24"/>
          <w:highlight w:val="none"/>
          <w:lang w:val="en-US" w:eastAsia="zh-CN"/>
        </w:rPr>
        <w:t>注：</w:t>
      </w:r>
      <w:r>
        <w:rPr>
          <w:rFonts w:hint="eastAsia" w:ascii="宋体" w:hAnsi="宋体" w:eastAsia="宋体" w:cs="宋体"/>
          <w:b w:val="0"/>
          <w:bCs w:val="0"/>
          <w:color w:val="auto"/>
          <w:sz w:val="24"/>
          <w:highlight w:val="none"/>
          <w:lang w:val="en-US" w:eastAsia="zh-CN"/>
        </w:rPr>
        <w:t>合同价</w:t>
      </w:r>
      <w:r>
        <w:rPr>
          <w:rFonts w:hint="eastAsia" w:ascii="新宋体" w:hAnsi="新宋体" w:eastAsia="新宋体"/>
          <w:color w:val="auto"/>
          <w:szCs w:val="21"/>
          <w:highlight w:val="none"/>
        </w:rPr>
        <w:t>包括但不限于货款、标准附件、备品备件、专用工具、包装、运输、装卸、保险、税金、货到检查以</w:t>
      </w:r>
      <w:r>
        <w:rPr>
          <w:rFonts w:hint="eastAsia" w:ascii="新宋体" w:hAnsi="新宋体" w:eastAsia="新宋体"/>
          <w:color w:val="auto"/>
          <w:szCs w:val="21"/>
          <w:highlight w:val="none"/>
        </w:rPr>
        <w:t>及安装(含</w:t>
      </w:r>
      <w:r>
        <w:rPr>
          <w:rFonts w:hint="eastAsia" w:ascii="新宋体" w:hAnsi="新宋体" w:eastAsia="新宋体"/>
          <w:color w:val="auto"/>
          <w:szCs w:val="21"/>
          <w:highlight w:val="none"/>
          <w:lang w:val="en-US" w:eastAsia="zh-CN"/>
        </w:rPr>
        <w:t>管道</w:t>
      </w:r>
      <w:r>
        <w:rPr>
          <w:rFonts w:hint="eastAsia" w:ascii="新宋体" w:hAnsi="新宋体" w:eastAsia="新宋体"/>
          <w:color w:val="auto"/>
          <w:szCs w:val="21"/>
          <w:highlight w:val="none"/>
        </w:rPr>
        <w:t>等配套施工以及所需的所有辅材辅料）</w:t>
      </w:r>
      <w:r>
        <w:rPr>
          <w:rFonts w:hint="eastAsia" w:ascii="新宋体" w:hAnsi="新宋体" w:eastAsia="新宋体"/>
          <w:color w:val="auto"/>
          <w:szCs w:val="21"/>
          <w:highlight w:val="none"/>
        </w:rPr>
        <w:t>、调试、培训、保修</w:t>
      </w:r>
      <w:r>
        <w:rPr>
          <w:rFonts w:hint="eastAsia" w:ascii="新宋体" w:hAnsi="新宋体" w:eastAsia="新宋体"/>
          <w:color w:val="auto"/>
          <w:szCs w:val="21"/>
          <w:highlight w:val="none"/>
          <w:lang w:val="en-US" w:eastAsia="zh-CN"/>
        </w:rPr>
        <w:t>及泵房装修</w:t>
      </w:r>
      <w:r>
        <w:rPr>
          <w:rFonts w:hint="eastAsia" w:ascii="新宋体" w:hAnsi="新宋体" w:eastAsia="新宋体"/>
          <w:color w:val="auto"/>
          <w:szCs w:val="21"/>
          <w:highlight w:val="none"/>
        </w:rPr>
        <w:t>等</w:t>
      </w:r>
      <w:r>
        <w:rPr>
          <w:rFonts w:hint="eastAsia" w:ascii="新宋体" w:hAnsi="新宋体" w:eastAsia="新宋体"/>
          <w:color w:val="auto"/>
          <w:szCs w:val="21"/>
          <w:highlight w:val="none"/>
        </w:rPr>
        <w:t>一切税金和代理费用等完成本项目的其它费用和政策性文件规定及合同包含的所有风险、责任等所有费用。</w:t>
      </w:r>
      <w:bookmarkEnd w:id="1204"/>
    </w:p>
    <w:p w14:paraId="0630F25B">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05" w:name="_Toc30333"/>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、货款支付</w:t>
      </w:r>
      <w:bookmarkEnd w:id="1202"/>
      <w:bookmarkEnd w:id="1203"/>
      <w:bookmarkEnd w:id="1205"/>
    </w:p>
    <w:p w14:paraId="314D8647">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color w:val="auto"/>
          <w:kern w:val="2"/>
          <w:sz w:val="24"/>
          <w:szCs w:val="24"/>
          <w:highlight w:val="none"/>
          <w:lang w:val="en-US" w:eastAsia="zh-CN" w:bidi="ar"/>
        </w:rPr>
      </w:pPr>
      <w:bookmarkStart w:id="1206" w:name="_Toc19547"/>
      <w:bookmarkStart w:id="1207" w:name="_Toc15149"/>
      <w:bookmarkStart w:id="1208" w:name="_Toc9563"/>
      <w:r>
        <w:rPr>
          <w:rFonts w:hint="eastAsia" w:ascii="宋体" w:hAnsi="宋体" w:eastAsia="宋体" w:cs="宋体"/>
          <w:color w:val="auto"/>
          <w:kern w:val="2"/>
          <w:sz w:val="24"/>
          <w:szCs w:val="24"/>
          <w:highlight w:val="none"/>
          <w:lang w:val="en-US" w:eastAsia="zh-CN" w:bidi="ar-SA"/>
        </w:rPr>
        <w:t>合同签订后7天内甲方向乙方支付货物总价款的30%作为预付款（提供等额预付款保函），</w:t>
      </w:r>
      <w:r>
        <w:rPr>
          <w:rFonts w:hint="eastAsia" w:ascii="宋体" w:hAnsi="宋体" w:eastAsia="宋体" w:cs="宋体"/>
          <w:color w:val="auto"/>
          <w:kern w:val="2"/>
          <w:sz w:val="24"/>
          <w:szCs w:val="24"/>
          <w:highlight w:val="none"/>
          <w:lang w:val="en-US" w:eastAsia="zh-CN" w:bidi="ar"/>
        </w:rPr>
        <w:t>设备安装调试完毕且终验合格并投入试运行六个月后15日内支付货物总价款的</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0%</w:t>
      </w:r>
      <w:r>
        <w:rPr>
          <w:rFonts w:hint="eastAsia" w:ascii="宋体" w:hAnsi="宋体" w:cs="宋体"/>
          <w:color w:val="auto"/>
          <w:kern w:val="2"/>
          <w:sz w:val="24"/>
          <w:szCs w:val="24"/>
          <w:highlight w:val="none"/>
          <w:lang w:val="en-US" w:eastAsia="zh-CN" w:bidi="ar"/>
        </w:rPr>
        <w:t>，自质保运维期为一年后7个工作日支付合同价的6%，以此类推，质保运维期满后一次性付清</w:t>
      </w:r>
      <w:r>
        <w:rPr>
          <w:rFonts w:hint="eastAsia" w:ascii="宋体" w:hAnsi="宋体" w:eastAsia="宋体" w:cs="宋体"/>
          <w:color w:val="auto"/>
          <w:kern w:val="2"/>
          <w:sz w:val="24"/>
          <w:szCs w:val="24"/>
          <w:highlight w:val="none"/>
          <w:lang w:val="en-US" w:eastAsia="zh-CN" w:bidi="ar"/>
        </w:rPr>
        <w:t>。</w:t>
      </w:r>
    </w:p>
    <w:p w14:paraId="5ED74633">
      <w:pPr>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注：乙方必须提供增值税专用发票。</w:t>
      </w:r>
    </w:p>
    <w:p w14:paraId="1478AE7C">
      <w:pPr>
        <w:pStyle w:val="37"/>
        <w:keepNext w:val="0"/>
        <w:keepLines w:val="0"/>
        <w:pageBreakBefore w:val="0"/>
        <w:widowControl w:val="0"/>
        <w:shd w:val="clear"/>
        <w:kinsoku/>
        <w:wordWrap/>
        <w:overflowPunct/>
        <w:topLinePunct w:val="0"/>
        <w:bidi w:val="0"/>
        <w:spacing w:before="0" w:beforeLines="0" w:beforeAutospacing="0" w:after="0" w:afterAutospacing="0" w:line="312" w:lineRule="auto"/>
        <w:ind w:firstLine="482" w:firstLineChars="200"/>
        <w:textAlignment w:val="auto"/>
        <w:outlineLvl w:val="1"/>
        <w:rPr>
          <w:rFonts w:hint="eastAsia" w:cs="宋体"/>
          <w:b/>
          <w:bCs w:val="0"/>
          <w:color w:val="auto"/>
          <w:kern w:val="2"/>
          <w:sz w:val="24"/>
          <w:szCs w:val="24"/>
          <w:highlight w:val="none"/>
          <w:lang w:val="en-US" w:eastAsia="zh-CN" w:bidi="ar"/>
        </w:rPr>
      </w:pPr>
      <w:r>
        <w:rPr>
          <w:rFonts w:hint="eastAsia" w:cs="宋体"/>
          <w:b/>
          <w:bCs w:val="0"/>
          <w:color w:val="auto"/>
          <w:kern w:val="2"/>
          <w:sz w:val="24"/>
          <w:szCs w:val="24"/>
          <w:highlight w:val="none"/>
          <w:lang w:val="en-US" w:eastAsia="zh-CN" w:bidi="ar"/>
        </w:rPr>
        <w:t>四、供货期</w:t>
      </w:r>
      <w:bookmarkEnd w:id="1206"/>
    </w:p>
    <w:bookmarkEnd w:id="1207"/>
    <w:bookmarkEnd w:id="1208"/>
    <w:p w14:paraId="033DCBA5">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val="0"/>
          <w:bCs w:val="0"/>
          <w:color w:val="auto"/>
          <w:sz w:val="24"/>
          <w:highlight w:val="none"/>
          <w:lang w:val="en-US" w:eastAsia="zh-CN"/>
        </w:rPr>
      </w:pPr>
      <w:bookmarkStart w:id="1209" w:name="_Toc20027"/>
      <w:bookmarkStart w:id="1210" w:name="_Toc919"/>
      <w:r>
        <w:rPr>
          <w:rFonts w:hint="eastAsia" w:ascii="宋体" w:hAnsi="宋体" w:eastAsia="宋体" w:cs="宋体"/>
          <w:b w:val="0"/>
          <w:bCs w:val="0"/>
          <w:color w:val="auto"/>
          <w:sz w:val="24"/>
          <w:highlight w:val="none"/>
          <w:lang w:val="en-US" w:eastAsia="zh-CN"/>
        </w:rPr>
        <w:t>1.接甲方通知后且具备安装条件后60日历天内货到甲方指定地点并完成全部安装调试且经采购人验收合格。</w:t>
      </w:r>
    </w:p>
    <w:p w14:paraId="430EEAE2">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 安装地点：由甲方指定地点。</w:t>
      </w:r>
    </w:p>
    <w:p w14:paraId="4DCFEA29">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 安装标准：符合我国国家有关技术规范要求和技术标准，所有的软件和硬件必须保证同时安装到位。</w:t>
      </w:r>
    </w:p>
    <w:p w14:paraId="5D6B33CE">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 乙方免费提供中标设备的安装调试服务。</w:t>
      </w:r>
    </w:p>
    <w:p w14:paraId="26B8CB80">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 投标人应在投标文件中应提供安装计划、对安装场地和环境的要求。</w:t>
      </w:r>
    </w:p>
    <w:p w14:paraId="70EA83B0">
      <w:pPr>
        <w:shd w:val="clear"/>
        <w:outlineLvl w:val="1"/>
        <w:rPr>
          <w:rFonts w:hint="eastAsia" w:ascii="宋体" w:hAnsi="宋体" w:eastAsia="宋体" w:cs="宋体"/>
          <w:b/>
          <w:bCs/>
          <w:color w:val="auto"/>
          <w:sz w:val="24"/>
          <w:szCs w:val="24"/>
          <w:highlight w:val="none"/>
          <w:lang w:val="en-US" w:eastAsia="zh-CN"/>
        </w:rPr>
      </w:pPr>
      <w:bookmarkStart w:id="1211" w:name="_Toc15841"/>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、知识产权</w:t>
      </w:r>
      <w:bookmarkEnd w:id="1209"/>
      <w:bookmarkEnd w:id="1210"/>
      <w:bookmarkEnd w:id="1211"/>
    </w:p>
    <w:p w14:paraId="57CA33FF">
      <w:pPr>
        <w:pStyle w:val="21"/>
        <w:keepNext w:val="0"/>
        <w:keepLines w:val="0"/>
        <w:pageBreakBefore w:val="0"/>
        <w:widowControl w:val="0"/>
        <w:shd w:val="clear"/>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6311B51">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12" w:name="_Toc17726"/>
      <w:bookmarkStart w:id="1213" w:name="_Toc18877"/>
      <w:bookmarkStart w:id="1214" w:name="_Toc11423"/>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bookmarkEnd w:id="1212"/>
      <w:bookmarkEnd w:id="1213"/>
      <w:bookmarkStart w:id="1215" w:name="_Toc6280"/>
      <w:bookmarkStart w:id="1216" w:name="_Toc24275"/>
      <w:r>
        <w:rPr>
          <w:rFonts w:hint="eastAsia" w:ascii="宋体" w:hAnsi="宋体" w:eastAsia="宋体" w:cs="宋体"/>
          <w:b/>
          <w:bCs/>
          <w:color w:val="auto"/>
          <w:sz w:val="24"/>
          <w:szCs w:val="24"/>
          <w:highlight w:val="none"/>
          <w:lang w:val="en-US" w:eastAsia="zh-CN"/>
        </w:rPr>
        <w:t>履约保证金</w:t>
      </w:r>
      <w:bookmarkEnd w:id="1214"/>
      <w:bookmarkEnd w:id="1215"/>
      <w:bookmarkEnd w:id="1216"/>
    </w:p>
    <w:p w14:paraId="1584CFC9">
      <w:pPr>
        <w:pStyle w:val="21"/>
        <w:widowControl w:val="0"/>
        <w:shd w:val="clear"/>
        <w:adjustRightInd/>
        <w:snapToGrid/>
        <w:spacing w:beforeLines="0"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缴纳金额：</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须向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缴纳，为合同价格的1.0%</w:t>
      </w:r>
      <w:r>
        <w:rPr>
          <w:rFonts w:hint="eastAsia" w:ascii="宋体" w:hAnsi="宋体" w:eastAsia="宋体" w:cs="宋体"/>
          <w:color w:val="auto"/>
          <w:sz w:val="24"/>
          <w:szCs w:val="24"/>
          <w:highlight w:val="none"/>
          <w:lang w:eastAsia="zh-CN"/>
        </w:rPr>
        <w:t>，即人民币</w:t>
      </w:r>
      <w:r>
        <w:rPr>
          <w:rFonts w:hint="eastAsia" w:ascii="宋体" w:hAnsi="宋体" w:eastAsia="宋体" w:cs="宋体"/>
          <w:color w:val="auto"/>
          <w:sz w:val="24"/>
          <w:szCs w:val="24"/>
          <w:highlight w:val="none"/>
          <w:lang w:val="zh-CN" w:eastAsia="zh-CN"/>
        </w:rPr>
        <w:t>（大写）：</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 xml:space="preserve">                 元整；小写：（¥</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w:t>
      </w:r>
    </w:p>
    <w:p w14:paraId="71D04A29">
      <w:pPr>
        <w:pStyle w:val="21"/>
        <w:widowControl w:val="0"/>
        <w:shd w:val="clear"/>
        <w:adjustRightInd/>
        <w:snapToGrid/>
        <w:spacing w:before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缴纳方式：汇票/支票/银行转账/银行保函/保险保函。</w:t>
      </w:r>
    </w:p>
    <w:p w14:paraId="29CCF4F2">
      <w:pPr>
        <w:pStyle w:val="21"/>
        <w:widowControl w:val="0"/>
        <w:shd w:val="clear"/>
        <w:adjustRightInd/>
        <w:snapToGrid/>
        <w:spacing w:before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缴纳时间：本项目中标通知书发出后30个自然日内缴纳。</w:t>
      </w:r>
    </w:p>
    <w:p w14:paraId="62863922">
      <w:pPr>
        <w:pStyle w:val="21"/>
        <w:widowControl w:val="0"/>
        <w:shd w:val="clear"/>
        <w:adjustRightInd/>
        <w:snapToGrid/>
        <w:spacing w:before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退还条件：履约保证金在整个项目验收合格后7个工作日内退还（不计息）。</w:t>
      </w:r>
    </w:p>
    <w:p w14:paraId="60A732B3">
      <w:pPr>
        <w:keepNext w:val="0"/>
        <w:keepLines w:val="0"/>
        <w:pageBreakBefore w:val="0"/>
        <w:shd w:val="clear"/>
        <w:kinsoku/>
        <w:wordWrap/>
        <w:overflowPunct/>
        <w:topLinePunct w:val="0"/>
        <w:autoSpaceDE/>
        <w:autoSpaceDN/>
        <w:bidi w:val="0"/>
        <w:snapToGrid/>
        <w:spacing w:beforeLines="0" w:line="312" w:lineRule="auto"/>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17" w:name="_Toc23322"/>
      <w:bookmarkStart w:id="1218" w:name="_Toc10072"/>
      <w:bookmarkStart w:id="1219" w:name="_Toc18863"/>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、转包或分包</w:t>
      </w:r>
      <w:bookmarkEnd w:id="1217"/>
      <w:bookmarkEnd w:id="1218"/>
      <w:bookmarkEnd w:id="1219"/>
    </w:p>
    <w:p w14:paraId="313E77DD">
      <w:pPr>
        <w:pStyle w:val="21"/>
        <w:keepNext w:val="0"/>
        <w:keepLines w:val="0"/>
        <w:pageBreakBefore w:val="0"/>
        <w:widowControl w:val="0"/>
        <w:shd w:val="clear"/>
        <w:kinsoku/>
        <w:wordWrap/>
        <w:overflowPunct/>
        <w:topLinePunct w:val="0"/>
        <w:autoSpaceDE/>
        <w:autoSpaceDN/>
        <w:bidi w:val="0"/>
        <w:adjustRightInd/>
        <w:snapToGrid/>
        <w:spacing w:beforeLines="0" w:line="312" w:lineRule="auto"/>
        <w:ind w:firstLine="480" w:firstLineChars="200"/>
        <w:textAlignment w:val="auto"/>
        <w:outlineLvl w:val="2"/>
        <w:rPr>
          <w:rFonts w:hint="eastAsia" w:ascii="宋体" w:hAnsi="宋体" w:eastAsia="宋体" w:cs="宋体"/>
          <w:color w:val="auto"/>
          <w:sz w:val="24"/>
          <w:szCs w:val="24"/>
          <w:highlight w:val="none"/>
        </w:rPr>
      </w:pPr>
      <w:bookmarkStart w:id="1220" w:name="_Toc2035"/>
      <w:r>
        <w:rPr>
          <w:rFonts w:hint="eastAsia" w:ascii="宋体" w:hAnsi="宋体" w:eastAsia="宋体" w:cs="宋体"/>
          <w:color w:val="auto"/>
          <w:sz w:val="24"/>
          <w:szCs w:val="24"/>
          <w:highlight w:val="none"/>
        </w:rPr>
        <w:t>1.本合同范围的货物，应由乙方直接供应，不得转让他人供应；</w:t>
      </w:r>
      <w:bookmarkEnd w:id="1220"/>
    </w:p>
    <w:p w14:paraId="7C441133">
      <w:pPr>
        <w:pStyle w:val="21"/>
        <w:keepNext w:val="0"/>
        <w:keepLines w:val="0"/>
        <w:pageBreakBefore w:val="0"/>
        <w:widowControl w:val="0"/>
        <w:shd w:val="clear"/>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14:paraId="08C95F9C">
      <w:pPr>
        <w:pStyle w:val="21"/>
        <w:keepNext w:val="0"/>
        <w:keepLines w:val="0"/>
        <w:pageBreakBefore w:val="0"/>
        <w:widowControl w:val="0"/>
        <w:shd w:val="clear"/>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14:paraId="220DD1E2">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21" w:name="_Toc1317"/>
      <w:bookmarkStart w:id="1222" w:name="_Toc6416"/>
      <w:bookmarkStart w:id="1223" w:name="_Toc3711"/>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、质保期</w:t>
      </w:r>
      <w:bookmarkEnd w:id="1221"/>
      <w:bookmarkEnd w:id="1222"/>
      <w:bookmarkEnd w:id="1223"/>
    </w:p>
    <w:p w14:paraId="5894BE59">
      <w:pPr>
        <w:pStyle w:val="82"/>
        <w:shd w:val="clear"/>
        <w:spacing w:beforeLines="0" w:line="312" w:lineRule="auto"/>
        <w:ind w:firstLine="480" w:firstLineChars="200"/>
        <w:rPr>
          <w:rStyle w:val="175"/>
          <w:rFonts w:ascii="宋体" w:hAnsi="宋体" w:eastAsia="宋体" w:cs="宋体"/>
          <w:color w:val="auto"/>
          <w:szCs w:val="24"/>
          <w:highlight w:val="none"/>
        </w:rPr>
      </w:pPr>
      <w:r>
        <w:rPr>
          <w:rStyle w:val="175"/>
          <w:rFonts w:hint="eastAsia" w:ascii="宋体" w:hAnsi="宋体" w:eastAsia="宋体" w:cs="宋体"/>
          <w:color w:val="auto"/>
          <w:szCs w:val="24"/>
          <w:highlight w:val="none"/>
          <w:lang w:val="en-US" w:eastAsia="zh-CN"/>
        </w:rPr>
        <w:t>1.质保期：</w:t>
      </w:r>
      <w:r>
        <w:rPr>
          <w:rStyle w:val="175"/>
          <w:rFonts w:hint="eastAsia" w:ascii="宋体" w:hAnsi="宋体" w:eastAsia="宋体" w:cs="宋体"/>
          <w:color w:val="auto"/>
          <w:szCs w:val="24"/>
          <w:highlight w:val="none"/>
          <w:u w:val="single"/>
          <w:lang w:val="en-US" w:eastAsia="zh-CN"/>
        </w:rPr>
        <w:t xml:space="preserve">    </w:t>
      </w:r>
      <w:r>
        <w:rPr>
          <w:rStyle w:val="175"/>
          <w:rFonts w:hint="eastAsia" w:ascii="宋体" w:hAnsi="宋体" w:eastAsia="宋体" w:cs="宋体"/>
          <w:color w:val="auto"/>
          <w:szCs w:val="24"/>
          <w:highlight w:val="none"/>
          <w:lang w:val="en-US" w:eastAsia="zh-CN"/>
        </w:rPr>
        <w:t>年</w:t>
      </w:r>
      <w:r>
        <w:rPr>
          <w:rStyle w:val="175"/>
          <w:rFonts w:hint="eastAsia" w:ascii="宋体" w:hAnsi="宋体" w:eastAsia="宋体" w:cs="宋体"/>
          <w:color w:val="auto"/>
          <w:szCs w:val="24"/>
          <w:highlight w:val="none"/>
        </w:rPr>
        <w:t>。如厂家提供的质保期超过上述要求的，按厂家的质保期执行。自项目整体验收合格之日起计，质保期内，与质保和维修相关的所有费用均由</w:t>
      </w:r>
      <w:r>
        <w:rPr>
          <w:rStyle w:val="175"/>
          <w:rFonts w:hint="eastAsia" w:ascii="宋体" w:hAnsi="宋体" w:eastAsia="宋体" w:cs="宋体"/>
          <w:color w:val="auto"/>
          <w:szCs w:val="24"/>
          <w:highlight w:val="none"/>
          <w:lang w:eastAsia="zh-CN"/>
        </w:rPr>
        <w:t>投标人</w:t>
      </w:r>
      <w:r>
        <w:rPr>
          <w:rStyle w:val="175"/>
          <w:rFonts w:hint="eastAsia" w:ascii="宋体" w:hAnsi="宋体" w:eastAsia="宋体" w:cs="宋体"/>
          <w:color w:val="auto"/>
          <w:szCs w:val="24"/>
          <w:highlight w:val="none"/>
        </w:rPr>
        <w:t>承担。</w:t>
      </w:r>
    </w:p>
    <w:p w14:paraId="4EE80952">
      <w:pPr>
        <w:pStyle w:val="82"/>
        <w:shd w:val="clear"/>
        <w:spacing w:beforeLines="0" w:line="312" w:lineRule="auto"/>
        <w:ind w:firstLine="480" w:firstLineChars="200"/>
        <w:rPr>
          <w:rStyle w:val="175"/>
          <w:rFonts w:ascii="宋体" w:hAnsi="宋体" w:eastAsia="宋体" w:cs="宋体"/>
          <w:color w:val="auto"/>
          <w:szCs w:val="24"/>
          <w:highlight w:val="none"/>
        </w:rPr>
      </w:pPr>
      <w:r>
        <w:rPr>
          <w:rStyle w:val="175"/>
          <w:rFonts w:hint="eastAsia" w:ascii="宋体" w:hAnsi="宋体" w:eastAsia="宋体" w:cs="宋体"/>
          <w:color w:val="auto"/>
          <w:szCs w:val="24"/>
          <w:highlight w:val="none"/>
          <w:lang w:val="en-US" w:eastAsia="zh-CN"/>
        </w:rPr>
        <w:t>2.</w:t>
      </w:r>
      <w:r>
        <w:rPr>
          <w:rStyle w:val="175"/>
          <w:rFonts w:hint="eastAsia" w:ascii="宋体" w:hAnsi="宋体" w:eastAsia="宋体" w:cs="宋体"/>
          <w:color w:val="auto"/>
          <w:szCs w:val="24"/>
          <w:highlight w:val="none"/>
        </w:rPr>
        <w:t>国家主管部门或者行业标准对货物本身有更高要求的，从其规定并在合同中约定，</w:t>
      </w:r>
      <w:r>
        <w:rPr>
          <w:rStyle w:val="175"/>
          <w:rFonts w:hint="eastAsia" w:ascii="宋体" w:hAnsi="宋体" w:eastAsia="宋体" w:cs="宋体"/>
          <w:color w:val="auto"/>
          <w:szCs w:val="24"/>
          <w:highlight w:val="none"/>
          <w:lang w:val="en-US" w:eastAsia="zh-CN"/>
        </w:rPr>
        <w:t>乙方</w:t>
      </w:r>
      <w:r>
        <w:rPr>
          <w:rStyle w:val="175"/>
          <w:rFonts w:hint="eastAsia" w:ascii="宋体" w:hAnsi="宋体" w:eastAsia="宋体" w:cs="宋体"/>
          <w:color w:val="auto"/>
          <w:szCs w:val="24"/>
          <w:highlight w:val="none"/>
        </w:rPr>
        <w:t>亦可</w:t>
      </w:r>
      <w:r>
        <w:rPr>
          <w:rStyle w:val="175"/>
          <w:rFonts w:hint="eastAsia" w:ascii="宋体" w:hAnsi="宋体" w:eastAsia="宋体" w:cs="宋体"/>
          <w:color w:val="auto"/>
          <w:szCs w:val="24"/>
          <w:highlight w:val="none"/>
          <w:lang w:eastAsia="zh-CN"/>
        </w:rPr>
        <w:t>提供</w:t>
      </w:r>
      <w:r>
        <w:rPr>
          <w:rStyle w:val="175"/>
          <w:rFonts w:hint="eastAsia" w:ascii="宋体" w:hAnsi="宋体" w:eastAsia="宋体" w:cs="宋体"/>
          <w:color w:val="auto"/>
          <w:szCs w:val="24"/>
          <w:highlight w:val="none"/>
        </w:rPr>
        <w:t>更长的质保期。</w:t>
      </w:r>
    </w:p>
    <w:p w14:paraId="22A1C321">
      <w:pPr>
        <w:pStyle w:val="82"/>
        <w:shd w:val="clear"/>
        <w:spacing w:beforeLines="0" w:line="312" w:lineRule="auto"/>
        <w:ind w:firstLine="480" w:firstLineChars="200"/>
        <w:rPr>
          <w:rStyle w:val="175"/>
          <w:rFonts w:ascii="宋体" w:hAnsi="宋体" w:eastAsia="宋体" w:cs="宋体"/>
          <w:color w:val="auto"/>
          <w:szCs w:val="24"/>
          <w:highlight w:val="none"/>
        </w:rPr>
      </w:pPr>
      <w:r>
        <w:rPr>
          <w:rStyle w:val="175"/>
          <w:rFonts w:hint="eastAsia" w:ascii="宋体" w:hAnsi="宋体" w:eastAsia="宋体" w:cs="宋体"/>
          <w:color w:val="auto"/>
          <w:szCs w:val="24"/>
          <w:highlight w:val="none"/>
          <w:lang w:val="en-US" w:eastAsia="zh-CN"/>
        </w:rPr>
        <w:t>3.</w:t>
      </w:r>
      <w:r>
        <w:rPr>
          <w:rStyle w:val="175"/>
          <w:rFonts w:hint="eastAsia" w:ascii="宋体" w:hAnsi="宋体" w:eastAsia="宋体" w:cs="宋体"/>
          <w:color w:val="auto"/>
          <w:szCs w:val="24"/>
          <w:highlight w:val="none"/>
        </w:rPr>
        <w:t>质量保证期内，如果证实货物是有缺陷的，包括潜在的缺陷或者使用不符合要求的材料等，</w:t>
      </w:r>
      <w:r>
        <w:rPr>
          <w:rStyle w:val="175"/>
          <w:rFonts w:hint="eastAsia" w:ascii="宋体" w:hAnsi="宋体" w:eastAsia="宋体" w:cs="宋体"/>
          <w:color w:val="auto"/>
          <w:szCs w:val="24"/>
          <w:highlight w:val="none"/>
          <w:lang w:eastAsia="zh-CN"/>
        </w:rPr>
        <w:t>投标人</w:t>
      </w:r>
      <w:r>
        <w:rPr>
          <w:rStyle w:val="175"/>
          <w:rFonts w:hint="eastAsia" w:ascii="宋体" w:hAnsi="宋体" w:eastAsia="宋体" w:cs="宋体"/>
          <w:color w:val="auto"/>
          <w:szCs w:val="24"/>
          <w:highlight w:val="none"/>
        </w:rPr>
        <w:t>应立即免费维修或者更换有缺陷的货物或者部件，保证达到合同规定的技术以及性能要求。如果</w:t>
      </w:r>
      <w:r>
        <w:rPr>
          <w:rStyle w:val="175"/>
          <w:rFonts w:hint="eastAsia" w:ascii="宋体" w:hAnsi="宋体" w:eastAsia="宋体" w:cs="宋体"/>
          <w:color w:val="auto"/>
          <w:szCs w:val="24"/>
          <w:highlight w:val="none"/>
          <w:lang w:eastAsia="zh-CN"/>
        </w:rPr>
        <w:t>投标人</w:t>
      </w:r>
      <w:r>
        <w:rPr>
          <w:rStyle w:val="175"/>
          <w:rFonts w:hint="eastAsia" w:ascii="宋体" w:hAnsi="宋体" w:eastAsia="宋体" w:cs="宋体"/>
          <w:color w:val="auto"/>
          <w:szCs w:val="24"/>
          <w:highlight w:val="none"/>
        </w:rPr>
        <w:t>在收到通知后5天内没有弥补缺陷，</w:t>
      </w:r>
      <w:r>
        <w:rPr>
          <w:rStyle w:val="175"/>
          <w:rFonts w:hint="eastAsia" w:ascii="宋体" w:hAnsi="宋体" w:eastAsia="宋体" w:cs="宋体"/>
          <w:color w:val="auto"/>
          <w:szCs w:val="24"/>
          <w:highlight w:val="none"/>
          <w:lang w:eastAsia="zh-CN"/>
        </w:rPr>
        <w:t>甲方</w:t>
      </w:r>
      <w:r>
        <w:rPr>
          <w:rStyle w:val="175"/>
          <w:rFonts w:hint="eastAsia" w:ascii="宋体" w:hAnsi="宋体" w:eastAsia="宋体" w:cs="宋体"/>
          <w:color w:val="auto"/>
          <w:szCs w:val="24"/>
          <w:highlight w:val="none"/>
        </w:rPr>
        <w:t>可自行采取必要的补救措施，但风险和费用由</w:t>
      </w:r>
      <w:r>
        <w:rPr>
          <w:rStyle w:val="175"/>
          <w:rFonts w:hint="eastAsia" w:ascii="宋体" w:hAnsi="宋体" w:eastAsia="宋体" w:cs="宋体"/>
          <w:color w:val="auto"/>
          <w:szCs w:val="24"/>
          <w:highlight w:val="none"/>
          <w:lang w:eastAsia="zh-CN"/>
        </w:rPr>
        <w:t>乙方</w:t>
      </w:r>
      <w:r>
        <w:rPr>
          <w:rStyle w:val="175"/>
          <w:rFonts w:hint="eastAsia" w:ascii="宋体" w:hAnsi="宋体" w:eastAsia="宋体" w:cs="宋体"/>
          <w:color w:val="auto"/>
          <w:szCs w:val="24"/>
          <w:highlight w:val="none"/>
        </w:rPr>
        <w:t>承担，</w:t>
      </w:r>
      <w:r>
        <w:rPr>
          <w:rStyle w:val="175"/>
          <w:rFonts w:hint="eastAsia" w:ascii="宋体" w:hAnsi="宋体" w:eastAsia="宋体" w:cs="宋体"/>
          <w:color w:val="auto"/>
          <w:szCs w:val="24"/>
          <w:highlight w:val="none"/>
          <w:lang w:eastAsia="zh-CN"/>
        </w:rPr>
        <w:t>甲方</w:t>
      </w:r>
      <w:r>
        <w:rPr>
          <w:rStyle w:val="175"/>
          <w:rFonts w:hint="eastAsia" w:ascii="宋体" w:hAnsi="宋体" w:eastAsia="宋体" w:cs="宋体"/>
          <w:color w:val="auto"/>
          <w:szCs w:val="24"/>
          <w:highlight w:val="none"/>
        </w:rPr>
        <w:t>同时保留通过法律途径进行索赔的权利。</w:t>
      </w:r>
    </w:p>
    <w:p w14:paraId="2BB01ED7">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24" w:name="_Toc1883"/>
      <w:bookmarkStart w:id="1225" w:name="_Toc17407"/>
      <w:bookmarkStart w:id="1226" w:name="_Toc21243"/>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、税费</w:t>
      </w:r>
      <w:bookmarkEnd w:id="1224"/>
      <w:bookmarkEnd w:id="1225"/>
      <w:bookmarkEnd w:id="1226"/>
    </w:p>
    <w:p w14:paraId="67278540">
      <w:pPr>
        <w:pStyle w:val="21"/>
        <w:keepNext w:val="0"/>
        <w:keepLines w:val="0"/>
        <w:pageBreakBefore w:val="0"/>
        <w:widowControl w:val="0"/>
        <w:shd w:val="clear"/>
        <w:kinsoku/>
        <w:wordWrap/>
        <w:overflowPunct/>
        <w:topLinePunct w:val="0"/>
        <w:autoSpaceDE/>
        <w:autoSpaceDN/>
        <w:bidi w:val="0"/>
        <w:adjustRightInd/>
        <w:snapToGrid/>
        <w:spacing w:before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6209D3BC">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27" w:name="_Toc13012"/>
      <w:bookmarkStart w:id="1228" w:name="_Toc15783"/>
      <w:bookmarkStart w:id="1229" w:name="_Toc939"/>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、辅助服务</w:t>
      </w:r>
      <w:bookmarkEnd w:id="1227"/>
    </w:p>
    <w:p w14:paraId="6573097D">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1、乙方应提交所提供货物的技术文件，包括相应的每一套设备的中文技术文件，例如：产品目录、图纸、操作手册、使用说明、维护手册和/或服务指南。这些文件应包装好随同货物一起发运。</w:t>
      </w:r>
    </w:p>
    <w:p w14:paraId="128644BA">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2、乙方还应提供下列服务：</w:t>
      </w:r>
    </w:p>
    <w:p w14:paraId="5217B3D4">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（1）货物的现场指导安装、调试、启动监督及技术支持；</w:t>
      </w:r>
    </w:p>
    <w:p w14:paraId="09A9C934">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（2）在厂家和/或项目现场就货物的指导安装、启动、运营、维护对采购人操作人员进行培训。辅助服务的费用包含在合同价中，甲方不再另行支付。</w:t>
      </w:r>
    </w:p>
    <w:p w14:paraId="13DA948A">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30" w:name="_Toc19273"/>
      <w:r>
        <w:rPr>
          <w:rFonts w:hint="eastAsia" w:ascii="宋体" w:hAnsi="宋体" w:eastAsia="宋体" w:cs="宋体"/>
          <w:b/>
          <w:bCs/>
          <w:color w:val="auto"/>
          <w:sz w:val="24"/>
          <w:szCs w:val="24"/>
          <w:highlight w:val="none"/>
          <w:lang w:val="en-US" w:eastAsia="zh-CN"/>
        </w:rPr>
        <w:t>十、质量保证</w:t>
      </w:r>
      <w:bookmarkEnd w:id="1230"/>
    </w:p>
    <w:p w14:paraId="0EA0B4C9">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1、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Pr>
          <w:rStyle w:val="175"/>
          <w:rFonts w:hint="eastAsia" w:ascii="宋体" w:hAnsi="宋体" w:eastAsia="宋体" w:cs="宋体"/>
          <w:color w:val="auto"/>
          <w:szCs w:val="24"/>
          <w:highlight w:val="none"/>
          <w:u w:val="single"/>
          <w:lang w:val="en-US" w:eastAsia="zh-CN"/>
        </w:rPr>
        <w:t xml:space="preserve">    </w:t>
      </w:r>
      <w:r>
        <w:rPr>
          <w:rStyle w:val="175"/>
          <w:rFonts w:hint="eastAsia" w:ascii="宋体" w:hAnsi="宋体" w:eastAsia="宋体" w:cs="宋体"/>
          <w:color w:val="auto"/>
          <w:szCs w:val="24"/>
          <w:highlight w:val="none"/>
          <w:lang w:val="en-US" w:eastAsia="zh-CN"/>
        </w:rPr>
        <w:t>年的质量保证期内，乙方应对由于设计、工艺或材料的缺陷而产生的故障负责。</w:t>
      </w:r>
    </w:p>
    <w:p w14:paraId="0E81D475">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2、在质量保证期内，如果货物的质量或规格与合同不符，或证实货物是有缺陷的，包括潜在的缺陷或使用不符合要求的材料等，甲方可以根据本合同第十二条规定以书面形式向乙方提出补救措施或索赔。</w:t>
      </w:r>
    </w:p>
    <w:p w14:paraId="3AA5B4E9">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3、乙方在约定的时间内未能弥补缺陷，甲方可采取必要的补救措施，但其风险和费用将由乙方承担，甲方根据合同规定对乙方行使的其他权利不受影响。</w:t>
      </w:r>
    </w:p>
    <w:p w14:paraId="180D39E5">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31" w:name="_Toc23993"/>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、补救措施和索赔</w:t>
      </w:r>
      <w:bookmarkEnd w:id="1231"/>
    </w:p>
    <w:p w14:paraId="753FC4A7">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1、甲方有权根据权威质量检测部门出具的检验报告向乙方提出索赔。</w:t>
      </w:r>
    </w:p>
    <w:p w14:paraId="0FD9C06A">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2、在质量保证期内，如果乙方对缺陷产品负有责任而甲方提出索赔，乙方应按照甲方同意的下列一种或多种方式解决索赔事宜，并且甲方可以收取乙方合同总价20%的违约金：</w:t>
      </w:r>
    </w:p>
    <w:p w14:paraId="453049C3">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（1）乙方退货并将货款退还给甲方，由此发生的一切费用和损失由乙方承担。</w:t>
      </w:r>
    </w:p>
    <w:p w14:paraId="6F701E9D">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（2）根据货物的质量状况以及甲方所遭受的损失，经过双方商定降低货物的价格。</w:t>
      </w:r>
    </w:p>
    <w:p w14:paraId="69AB68D6">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3）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49B095E8">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3、如果在甲方发出索赔通知后十天内中标人未作答复，上述索赔应视为已被乙方接受。如果乙方未能在甲方发出索赔通知后十天内或甲方同意延长的期限内，按照上述规定的任何一种方法采取补救措施，甲方有权从应付货款中扣除索赔金额，如不足以弥补采购人损失的，甲方有权进一步要求乙方赔偿。</w:t>
      </w:r>
    </w:p>
    <w:p w14:paraId="08589900">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32" w:name="_Toc19884"/>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、质量保证及售后服务</w:t>
      </w:r>
      <w:bookmarkEnd w:id="1228"/>
      <w:bookmarkEnd w:id="1229"/>
      <w:bookmarkEnd w:id="1232"/>
    </w:p>
    <w:p w14:paraId="18CE31D1">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1.乙方所投产品必须为全新的、符合国家有关质量标准的产品；产品的保修期自验收合格之日起</w:t>
      </w:r>
      <w:r>
        <w:rPr>
          <w:rStyle w:val="175"/>
          <w:rFonts w:hint="eastAsia" w:ascii="宋体" w:hAnsi="宋体" w:eastAsia="宋体" w:cs="宋体"/>
          <w:color w:val="auto"/>
          <w:szCs w:val="24"/>
          <w:highlight w:val="none"/>
          <w:u w:val="single"/>
          <w:lang w:val="en-US" w:eastAsia="zh-CN"/>
        </w:rPr>
        <w:t xml:space="preserve">   </w:t>
      </w:r>
      <w:r>
        <w:rPr>
          <w:rStyle w:val="175"/>
          <w:rFonts w:hint="eastAsia" w:ascii="宋体" w:hAnsi="宋体" w:eastAsia="宋体" w:cs="宋体"/>
          <w:color w:val="auto"/>
          <w:szCs w:val="24"/>
          <w:highlight w:val="none"/>
          <w:lang w:val="en-US" w:eastAsia="zh-CN"/>
        </w:rPr>
        <w:t>年，质保期间，乙方应免费负责维护；质保期后长期提供良好的技术支持。</w:t>
      </w:r>
    </w:p>
    <w:p w14:paraId="3003AFED">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2.质量保证期自甲方（或其被委托人）在验收报告上签署“验收合格”之日起计算；质量保证期内免费维修更换配件；乙方须提供详细的售后服务承诺及准确有效的服务机构联系方式。</w:t>
      </w:r>
    </w:p>
    <w:p w14:paraId="3BA2A5F6">
      <w:pPr>
        <w:keepNext w:val="0"/>
        <w:keepLines w:val="0"/>
        <w:pageBreakBefore w:val="0"/>
        <w:shd w:val="clear"/>
        <w:kinsoku/>
        <w:wordWrap/>
        <w:overflowPunct/>
        <w:topLinePunct w:val="0"/>
        <w:autoSpaceDE/>
        <w:autoSpaceDN/>
        <w:bidi w:val="0"/>
        <w:spacing w:line="312"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质保期内的维修费用（包括配件）全部由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负责；</w:t>
      </w:r>
    </w:p>
    <w:p w14:paraId="10B278F2">
      <w:pPr>
        <w:keepNext w:val="0"/>
        <w:keepLines w:val="0"/>
        <w:pageBreakBefore w:val="0"/>
        <w:shd w:val="clear"/>
        <w:kinsoku/>
        <w:wordWrap/>
        <w:overflowPunct/>
        <w:topLinePunct w:val="0"/>
        <w:autoSpaceDE/>
        <w:autoSpaceDN/>
        <w:bidi w:val="0"/>
        <w:spacing w:line="312" w:lineRule="auto"/>
        <w:ind w:leftChars="0" w:firstLine="480" w:firstLineChars="200"/>
        <w:textAlignment w:val="auto"/>
        <w:rPr>
          <w:rFonts w:hint="eastAsia" w:ascii="宋体" w:hAnsi="宋体" w:cs="宋体"/>
          <w:color w:val="auto"/>
          <w:sz w:val="24"/>
          <w:highlight w:val="none"/>
        </w:rPr>
      </w:pPr>
      <w:r>
        <w:rPr>
          <w:rStyle w:val="175"/>
          <w:rFonts w:hint="eastAsia" w:ascii="宋体" w:hAnsi="宋体" w:eastAsia="宋体" w:cs="宋体"/>
          <w:color w:val="auto"/>
          <w:szCs w:val="24"/>
          <w:highlight w:val="none"/>
          <w:lang w:val="en-US" w:eastAsia="zh-CN"/>
        </w:rPr>
        <w:t>4.</w:t>
      </w:r>
      <w:r>
        <w:rPr>
          <w:rFonts w:hint="eastAsia" w:ascii="宋体" w:hAnsi="宋体" w:cs="宋体"/>
          <w:color w:val="auto"/>
          <w:sz w:val="24"/>
          <w:highlight w:val="none"/>
        </w:rPr>
        <w:t>质保期内出现问题，1小时内响应，2小时内到达现场，4小时内解决问题，对于现场解决不了的故障，</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应提供采购人同型号、同规格的备用设备使用，直至故障设备修复；</w:t>
      </w:r>
    </w:p>
    <w:p w14:paraId="035FB415">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5.备品备件及耗材要求：该产品所需要的所有配件，乙方应常年备货。乙方在免费保修期内免费提供保证产品正常运行的全部备件及维护。</w:t>
      </w:r>
    </w:p>
    <w:p w14:paraId="4C0E05F7">
      <w:pPr>
        <w:pStyle w:val="82"/>
        <w:shd w:val="clear"/>
        <w:spacing w:beforeLines="0" w:line="312" w:lineRule="auto"/>
        <w:ind w:firstLine="480" w:firstLineChars="200"/>
        <w:rPr>
          <w:rStyle w:val="175"/>
          <w:rFonts w:hint="eastAsia" w:ascii="宋体" w:hAnsi="宋体" w:eastAsia="宋体" w:cs="宋体"/>
          <w:color w:val="auto"/>
          <w:szCs w:val="24"/>
          <w:highlight w:val="none"/>
          <w:lang w:val="en-US" w:eastAsia="zh-CN"/>
        </w:rPr>
      </w:pPr>
      <w:r>
        <w:rPr>
          <w:rStyle w:val="175"/>
          <w:rFonts w:hint="eastAsia" w:ascii="宋体" w:hAnsi="宋体" w:eastAsia="宋体" w:cs="宋体"/>
          <w:color w:val="auto"/>
          <w:szCs w:val="24"/>
          <w:highlight w:val="none"/>
          <w:lang w:val="en-US" w:eastAsia="zh-CN"/>
        </w:rPr>
        <w:t>6.在乙方承诺的质保期内，因产品制造质量不良而产生损坏或不能正常工作，乙方应免费给予维修、更换和正常保养。在质量保证期满以后，应该保证提供备件和保养服务。</w:t>
      </w:r>
    </w:p>
    <w:p w14:paraId="0DAB9299">
      <w:pPr>
        <w:keepNext w:val="0"/>
        <w:keepLines w:val="0"/>
        <w:pageBreakBefore w:val="0"/>
        <w:shd w:val="clear"/>
        <w:kinsoku/>
        <w:wordWrap/>
        <w:overflowPunct/>
        <w:topLinePunct w:val="0"/>
        <w:autoSpaceDE/>
        <w:autoSpaceDN/>
        <w:bidi w:val="0"/>
        <w:adjustRightInd w:val="0"/>
        <w:snapToGrid w:val="0"/>
        <w:spacing w:line="312" w:lineRule="auto"/>
        <w:ind w:leftChars="0" w:firstLine="480" w:firstLineChars="200"/>
        <w:textAlignment w:val="auto"/>
        <w:rPr>
          <w:rFonts w:hint="eastAsia" w:ascii="宋体" w:hAnsi="宋体" w:cs="宋体"/>
          <w:color w:val="auto"/>
          <w:sz w:val="24"/>
          <w:highlight w:val="none"/>
        </w:rPr>
      </w:pPr>
      <w:bookmarkStart w:id="1233" w:name="_Toc22273"/>
      <w:bookmarkStart w:id="1234" w:name="_Toc6138"/>
      <w:bookmarkStart w:id="1235" w:name="_Toc4676"/>
      <w:r>
        <w:rPr>
          <w:rFonts w:hint="eastAsia" w:ascii="宋体" w:hAnsi="宋体" w:cs="宋体"/>
          <w:color w:val="auto"/>
          <w:sz w:val="24"/>
          <w:highlight w:val="none"/>
          <w:lang w:val="en-US" w:eastAsia="zh-CN"/>
        </w:rPr>
        <w:t>7.乙方</w:t>
      </w:r>
      <w:r>
        <w:rPr>
          <w:rFonts w:hint="eastAsia" w:ascii="宋体" w:hAnsi="宋体" w:cs="宋体"/>
          <w:color w:val="auto"/>
          <w:sz w:val="24"/>
          <w:highlight w:val="none"/>
        </w:rPr>
        <w:t>在质保期内</w:t>
      </w:r>
      <w:r>
        <w:rPr>
          <w:rFonts w:hint="eastAsia" w:ascii="宋体" w:hAnsi="宋体" w:cs="宋体"/>
          <w:color w:val="auto"/>
          <w:sz w:val="24"/>
          <w:highlight w:val="none"/>
        </w:rPr>
        <w:t>每</w:t>
      </w:r>
      <w:r>
        <w:rPr>
          <w:rFonts w:hint="eastAsia" w:ascii="宋体" w:hAnsi="宋体" w:cs="宋体"/>
          <w:color w:val="auto"/>
          <w:sz w:val="24"/>
          <w:highlight w:val="none"/>
          <w:lang w:val="en-US" w:eastAsia="zh-CN"/>
        </w:rPr>
        <w:t>月</w:t>
      </w:r>
      <w:r>
        <w:rPr>
          <w:rFonts w:hint="eastAsia" w:ascii="宋体" w:hAnsi="宋体" w:cs="宋体"/>
          <w:color w:val="auto"/>
          <w:sz w:val="24"/>
          <w:highlight w:val="none"/>
        </w:rPr>
        <w:t>应（不少于一次）</w:t>
      </w:r>
      <w:r>
        <w:rPr>
          <w:rFonts w:hint="eastAsia" w:ascii="宋体" w:hAnsi="宋体" w:cs="宋体"/>
          <w:color w:val="auto"/>
          <w:sz w:val="24"/>
          <w:highlight w:val="none"/>
        </w:rPr>
        <w:t>到使用单位进行设备保养、检修。</w:t>
      </w:r>
    </w:p>
    <w:p w14:paraId="03D8F5E4">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、验收</w:t>
      </w:r>
      <w:bookmarkEnd w:id="1233"/>
      <w:bookmarkEnd w:id="1234"/>
      <w:bookmarkEnd w:id="1235"/>
    </w:p>
    <w:p w14:paraId="02B0B03D">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val="en-US" w:eastAsia="zh-CN"/>
        </w:rPr>
      </w:pPr>
      <w:bookmarkStart w:id="1236" w:name="_Toc17518"/>
      <w:bookmarkStart w:id="1237" w:name="_Toc30776"/>
      <w:r>
        <w:rPr>
          <w:rFonts w:hint="eastAsia" w:ascii="宋体" w:hAnsi="宋体" w:eastAsia="宋体" w:cs="宋体"/>
          <w:b w:val="0"/>
          <w:bCs w:val="0"/>
          <w:color w:val="auto"/>
          <w:sz w:val="24"/>
          <w:highlight w:val="none"/>
          <w:lang w:val="en-US" w:eastAsia="zh-CN"/>
        </w:rPr>
        <w:t>1、乙方送货至指定地点后，由甲方根据货物的技术规格要求和质量标准，对货物进行检查验收，并通过相关质检部门的验收。</w:t>
      </w:r>
    </w:p>
    <w:p w14:paraId="3DDFBCA9">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2、货物的数量不足或表面瑕疵，甲方应在验收时当面提出；对质量问题有异议的应在安装调试后10个工作日内提出。</w:t>
      </w:r>
    </w:p>
    <w:p w14:paraId="0C553202">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3、在验收过程中发现数量不足或有质量、技术等问题，乙方应负责按照甲方的要求采取补足、更换或退货等处理措施，并承担由此发生的一切费用和损失。</w:t>
      </w:r>
    </w:p>
    <w:p w14:paraId="6B1A0A92">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4、甲方在乙方按合同规定交货和安装、调试后，无正当理由而拖延接收、验收或拒绝接收、验收的，应承担由此而造成的乙方直接损失。</w:t>
      </w:r>
    </w:p>
    <w:p w14:paraId="1EA6F597">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5、甲方组织相关人员对本项目进行验收（验收标准按招标文件，现行国家标准、现行行业标准执行）。第一次验收在项目安装调试合格后30日历天内完成，如验收不能通过，乙方负责整改至合格；</w:t>
      </w:r>
    </w:p>
    <w:p w14:paraId="5C0AAC23">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、采购人对</w:t>
      </w:r>
      <w:r>
        <w:rPr>
          <w:rFonts w:hint="eastAsia" w:ascii="宋体" w:hAnsi="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lang w:val="en-US" w:eastAsia="zh-CN"/>
        </w:rPr>
        <w:t>提交的货物依据招标文件上的技术规格要求和国家有关质量标准进行现场初步验收，外观、说明书符合招标文件技术要求的，给予签收，初步验收不合格的不予签收。</w:t>
      </w:r>
    </w:p>
    <w:p w14:paraId="6F32D428">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en-US" w:eastAsia="zh-CN"/>
        </w:rPr>
        <w:t>、乙方交货前应对产品作出全面检查和对验收文件进行整理，并列出清单，作为甲方收货验收和使用的技术条件依据，检验的结果应随货物交甲方。</w:t>
      </w:r>
    </w:p>
    <w:p w14:paraId="6C02531C">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en-US" w:eastAsia="zh-CN"/>
        </w:rPr>
        <w:t>、乙方需承担供货时发生的一切费用；验收标准顺序应按符合先国家、后地方、再行业标准执行。</w:t>
      </w:r>
    </w:p>
    <w:p w14:paraId="4EA74BDD">
      <w:pPr>
        <w:keepNext w:val="0"/>
        <w:keepLines w:val="0"/>
        <w:pageBreakBefore w:val="0"/>
        <w:widowControl w:val="0"/>
        <w:shd w:val="clear"/>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4、验收时乙方必须在现场，验收完毕后须</w:t>
      </w:r>
      <w:r>
        <w:rPr>
          <w:rFonts w:hint="eastAsia" w:ascii="宋体" w:hAnsi="宋体" w:cs="宋体"/>
          <w:b w:val="0"/>
          <w:bCs w:val="0"/>
          <w:color w:val="auto"/>
          <w:sz w:val="24"/>
          <w:highlight w:val="none"/>
          <w:lang w:val="en-US" w:eastAsia="zh-CN"/>
        </w:rPr>
        <w:t>做出</w:t>
      </w:r>
      <w:r>
        <w:rPr>
          <w:rFonts w:hint="eastAsia" w:ascii="宋体" w:hAnsi="宋体" w:eastAsia="宋体" w:cs="宋体"/>
          <w:b w:val="0"/>
          <w:bCs w:val="0"/>
          <w:color w:val="auto"/>
          <w:sz w:val="24"/>
          <w:highlight w:val="none"/>
          <w:lang w:val="en-US" w:eastAsia="zh-CN"/>
        </w:rPr>
        <w:t>验收结果报告。</w:t>
      </w:r>
    </w:p>
    <w:p w14:paraId="2C9B669E">
      <w:pPr>
        <w:keepNext w:val="0"/>
        <w:keepLines w:val="0"/>
        <w:pageBreakBefore w:val="0"/>
        <w:shd w:val="clear"/>
        <w:kinsoku/>
        <w:wordWrap/>
        <w:overflowPunct/>
        <w:topLinePunct w:val="0"/>
        <w:autoSpaceDE/>
        <w:autoSpaceDN/>
        <w:bidi w:val="0"/>
        <w:snapToGrid/>
        <w:spacing w:beforeLines="0" w:line="312" w:lineRule="auto"/>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38" w:name="_Toc31438"/>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、货物包装、发运及运输</w:t>
      </w:r>
      <w:bookmarkEnd w:id="1236"/>
      <w:bookmarkEnd w:id="1237"/>
      <w:bookmarkEnd w:id="1238"/>
    </w:p>
    <w:p w14:paraId="7AB9D15E">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1.乙方应在货物发运前对其进行满足运输距离、防潮、防震、防锈和防破损装卸等要求包装，以保证货物安全运达甲方指定地点。</w:t>
      </w:r>
    </w:p>
    <w:p w14:paraId="53958C16">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outlineLvl w:val="2"/>
        <w:rPr>
          <w:rFonts w:hint="eastAsia" w:ascii="宋体" w:hAnsi="宋体" w:eastAsia="宋体" w:cs="宋体"/>
          <w:color w:val="auto"/>
          <w:sz w:val="24"/>
          <w:szCs w:val="24"/>
          <w:highlight w:val="none"/>
        </w:rPr>
      </w:pPr>
      <w:bookmarkStart w:id="1239" w:name="_Toc23567"/>
      <w:r>
        <w:rPr>
          <w:rFonts w:hint="eastAsia" w:ascii="宋体" w:hAnsi="宋体" w:eastAsia="宋体" w:cs="宋体"/>
          <w:color w:val="auto"/>
          <w:sz w:val="24"/>
          <w:szCs w:val="24"/>
          <w:highlight w:val="none"/>
        </w:rPr>
        <w:t>2.使用说明书、质量检验证明书以及清单一并附于货物内。</w:t>
      </w:r>
      <w:bookmarkEnd w:id="1239"/>
    </w:p>
    <w:p w14:paraId="6347BC6E">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3.乙方在货物发运手续办理完毕后24小时内或货到甲方48小时前通知甲方，以准备接货。</w:t>
      </w:r>
    </w:p>
    <w:p w14:paraId="4110EB66">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outlineLvl w:val="2"/>
        <w:rPr>
          <w:rFonts w:hint="eastAsia" w:ascii="宋体" w:hAnsi="宋体" w:eastAsia="宋体" w:cs="宋体"/>
          <w:color w:val="auto"/>
          <w:sz w:val="24"/>
          <w:szCs w:val="24"/>
          <w:highlight w:val="none"/>
        </w:rPr>
      </w:pPr>
      <w:bookmarkStart w:id="1240" w:name="_Toc15585"/>
      <w:r>
        <w:rPr>
          <w:rFonts w:hint="eastAsia" w:ascii="宋体" w:hAnsi="宋体" w:eastAsia="宋体" w:cs="宋体"/>
          <w:color w:val="auto"/>
          <w:sz w:val="24"/>
          <w:szCs w:val="24"/>
          <w:highlight w:val="none"/>
        </w:rPr>
        <w:t>4.货物在交付甲方前发生的风险均由乙方负责。</w:t>
      </w:r>
      <w:bookmarkEnd w:id="1240"/>
    </w:p>
    <w:p w14:paraId="4E9E8463">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5.货物在规定的交付期限内由乙方送达甲方指定的地点视为交付，乙方同时需通知甲方货物已送达。</w:t>
      </w:r>
    </w:p>
    <w:p w14:paraId="3772654D">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outlineLvl w:val="1"/>
        <w:rPr>
          <w:rFonts w:hint="eastAsia" w:ascii="宋体" w:hAnsi="宋体" w:eastAsia="宋体" w:cs="宋体"/>
          <w:b/>
          <w:bCs/>
          <w:color w:val="auto"/>
          <w:sz w:val="24"/>
          <w:szCs w:val="24"/>
          <w:highlight w:val="none"/>
        </w:rPr>
      </w:pPr>
      <w:bookmarkStart w:id="1241" w:name="_Toc32363"/>
      <w:bookmarkStart w:id="1242" w:name="_Toc5439"/>
      <w:bookmarkStart w:id="1243" w:name="_Toc7307"/>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、违约责任</w:t>
      </w:r>
      <w:bookmarkEnd w:id="1241"/>
      <w:bookmarkEnd w:id="1242"/>
      <w:bookmarkEnd w:id="1243"/>
    </w:p>
    <w:p w14:paraId="1372BCF5">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1.甲方无正当理由拒收货物的，甲方向乙方偿付拒收货款总值的</w:t>
      </w: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违约金。</w:t>
      </w:r>
    </w:p>
    <w:p w14:paraId="79A2FF38">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2.甲方无故逾期验收和办理货款支付手续的,甲方应按逾期付款总额每日万分之五向乙方支付违约金。</w:t>
      </w:r>
    </w:p>
    <w:p w14:paraId="3799CE80">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11438A8E">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3CF3D93">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outlineLvl w:val="1"/>
        <w:rPr>
          <w:rFonts w:hint="eastAsia" w:ascii="宋体" w:hAnsi="宋体" w:eastAsia="宋体" w:cs="宋体"/>
          <w:b/>
          <w:bCs/>
          <w:color w:val="auto"/>
          <w:sz w:val="24"/>
          <w:szCs w:val="24"/>
          <w:highlight w:val="none"/>
        </w:rPr>
      </w:pPr>
      <w:bookmarkStart w:id="1244" w:name="_Toc1494"/>
      <w:bookmarkStart w:id="1245" w:name="_Toc27227"/>
      <w:bookmarkStart w:id="1246" w:name="_Toc17901"/>
      <w:r>
        <w:rPr>
          <w:rFonts w:hint="eastAsia" w:ascii="宋体" w:hAnsi="宋体" w:cs="宋体"/>
          <w:b/>
          <w:bCs/>
          <w:color w:val="auto"/>
          <w:sz w:val="24"/>
          <w:szCs w:val="24"/>
          <w:highlight w:val="none"/>
          <w:lang w:val="en-US" w:eastAsia="zh-CN"/>
        </w:rPr>
        <w:t>十六</w:t>
      </w:r>
      <w:r>
        <w:rPr>
          <w:rFonts w:hint="eastAsia" w:ascii="宋体" w:hAnsi="宋体" w:eastAsia="宋体" w:cs="宋体"/>
          <w:b/>
          <w:bCs/>
          <w:color w:val="auto"/>
          <w:sz w:val="24"/>
          <w:szCs w:val="24"/>
          <w:highlight w:val="none"/>
        </w:rPr>
        <w:t>、不可抗力事件处理</w:t>
      </w:r>
      <w:bookmarkEnd w:id="1244"/>
      <w:bookmarkEnd w:id="1245"/>
      <w:bookmarkEnd w:id="1246"/>
    </w:p>
    <w:p w14:paraId="1F3F3C59">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0D63DE7">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0250BF5">
      <w:pPr>
        <w:keepNext w:val="0"/>
        <w:keepLines w:val="0"/>
        <w:pageBreakBefore w:val="0"/>
        <w:widowControl w:val="0"/>
        <w:shd w:val="clear"/>
        <w:kinsoku/>
        <w:wordWrap/>
        <w:overflowPunct/>
        <w:topLinePunct w:val="0"/>
        <w:autoSpaceDE/>
        <w:autoSpaceDN/>
        <w:bidi w:val="0"/>
        <w:adjustRightInd/>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3CE185CC">
      <w:pPr>
        <w:keepNext w:val="0"/>
        <w:keepLines w:val="0"/>
        <w:pageBreakBefore w:val="0"/>
        <w:shd w:val="clear"/>
        <w:kinsoku/>
        <w:wordWrap/>
        <w:overflowPunct/>
        <w:topLinePunct w:val="0"/>
        <w:autoSpaceDE/>
        <w:autoSpaceDN/>
        <w:bidi w:val="0"/>
        <w:snapToGrid/>
        <w:spacing w:beforeLines="0" w:line="312" w:lineRule="auto"/>
        <w:ind w:firstLine="480"/>
        <w:textAlignment w:val="auto"/>
        <w:outlineLvl w:val="1"/>
        <w:rPr>
          <w:rFonts w:hint="eastAsia" w:ascii="宋体" w:hAnsi="宋体" w:eastAsia="宋体" w:cs="宋体"/>
          <w:b/>
          <w:bCs/>
          <w:color w:val="auto"/>
          <w:sz w:val="24"/>
          <w:szCs w:val="24"/>
          <w:highlight w:val="none"/>
        </w:rPr>
      </w:pPr>
      <w:bookmarkStart w:id="1247" w:name="_Toc28101"/>
      <w:bookmarkStart w:id="1248" w:name="_Toc29385"/>
      <w:bookmarkStart w:id="1249" w:name="_Toc18540"/>
      <w:r>
        <w:rPr>
          <w:rFonts w:hint="eastAsia" w:ascii="宋体" w:hAnsi="宋体" w:cs="宋体"/>
          <w:b/>
          <w:bCs/>
          <w:color w:val="auto"/>
          <w:sz w:val="24"/>
          <w:szCs w:val="24"/>
          <w:highlight w:val="none"/>
          <w:lang w:val="en-US" w:eastAsia="zh-CN"/>
        </w:rPr>
        <w:t>十七</w:t>
      </w:r>
      <w:r>
        <w:rPr>
          <w:rFonts w:hint="eastAsia" w:ascii="宋体" w:hAnsi="宋体" w:eastAsia="宋体" w:cs="宋体"/>
          <w:b/>
          <w:bCs/>
          <w:color w:val="auto"/>
          <w:sz w:val="24"/>
          <w:szCs w:val="24"/>
          <w:highlight w:val="none"/>
        </w:rPr>
        <w:t>、诉讼</w:t>
      </w:r>
      <w:bookmarkEnd w:id="1247"/>
      <w:bookmarkEnd w:id="1248"/>
      <w:bookmarkEnd w:id="1249"/>
    </w:p>
    <w:p w14:paraId="5478FE14">
      <w:pPr>
        <w:keepNext w:val="0"/>
        <w:keepLines w:val="0"/>
        <w:pageBreakBefore w:val="0"/>
        <w:shd w:val="clear"/>
        <w:kinsoku/>
        <w:wordWrap/>
        <w:overflowPunct/>
        <w:topLinePunct w:val="0"/>
        <w:autoSpaceDE/>
        <w:autoSpaceDN/>
        <w:bidi w:val="0"/>
        <w:snapToGrid/>
        <w:spacing w:before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4AA3A7AE">
      <w:pPr>
        <w:keepNext w:val="0"/>
        <w:keepLines w:val="0"/>
        <w:pageBreakBefore w:val="0"/>
        <w:shd w:val="clear"/>
        <w:kinsoku/>
        <w:wordWrap/>
        <w:overflowPunct/>
        <w:topLinePunct w:val="0"/>
        <w:autoSpaceDE/>
        <w:autoSpaceDN/>
        <w:bidi w:val="0"/>
        <w:adjustRightInd w:val="0"/>
        <w:snapToGrid/>
        <w:spacing w:beforeLines="0" w:line="312" w:lineRule="auto"/>
        <w:ind w:firstLine="480"/>
        <w:textAlignment w:val="auto"/>
        <w:outlineLvl w:val="1"/>
        <w:rPr>
          <w:rFonts w:hint="eastAsia" w:ascii="宋体" w:hAnsi="宋体" w:eastAsia="宋体" w:cs="宋体"/>
          <w:b/>
          <w:bCs/>
          <w:color w:val="auto"/>
          <w:sz w:val="24"/>
          <w:szCs w:val="24"/>
          <w:highlight w:val="none"/>
          <w:lang w:eastAsia="zh-CN"/>
        </w:rPr>
      </w:pPr>
      <w:bookmarkStart w:id="1250" w:name="_Toc32585"/>
      <w:bookmarkStart w:id="1251" w:name="_Toc5397"/>
      <w:bookmarkStart w:id="1252" w:name="_Toc8980"/>
      <w:r>
        <w:rPr>
          <w:rFonts w:hint="eastAsia" w:ascii="宋体" w:hAnsi="宋体" w:cs="宋体"/>
          <w:b/>
          <w:bCs/>
          <w:color w:val="auto"/>
          <w:sz w:val="24"/>
          <w:szCs w:val="24"/>
          <w:highlight w:val="none"/>
          <w:lang w:val="en-US" w:eastAsia="zh-CN"/>
        </w:rPr>
        <w:t>十八</w:t>
      </w:r>
      <w:r>
        <w:rPr>
          <w:rFonts w:hint="eastAsia" w:ascii="宋体" w:hAnsi="宋体" w:eastAsia="宋体" w:cs="宋体"/>
          <w:b/>
          <w:bCs/>
          <w:color w:val="auto"/>
          <w:sz w:val="24"/>
          <w:szCs w:val="24"/>
          <w:highlight w:val="none"/>
        </w:rPr>
        <w:t>、合同生效及其</w:t>
      </w:r>
      <w:bookmarkEnd w:id="1250"/>
      <w:bookmarkEnd w:id="1251"/>
      <w:r>
        <w:rPr>
          <w:rFonts w:hint="eastAsia" w:ascii="宋体" w:hAnsi="宋体" w:cs="宋体"/>
          <w:b/>
          <w:bCs/>
          <w:color w:val="auto"/>
          <w:sz w:val="24"/>
          <w:szCs w:val="24"/>
          <w:highlight w:val="none"/>
          <w:lang w:val="en-US" w:eastAsia="zh-CN"/>
        </w:rPr>
        <w:t>他</w:t>
      </w:r>
      <w:bookmarkEnd w:id="1252"/>
    </w:p>
    <w:p w14:paraId="358DD279">
      <w:pPr>
        <w:keepNext w:val="0"/>
        <w:keepLines w:val="0"/>
        <w:widowControl w:val="0"/>
        <w:suppressLineNumbers w:val="0"/>
        <w:shd w:val="clear"/>
        <w:spacing w:before="0" w:beforeLines="0" w:beforeAutospacing="0" w:after="0" w:afterLines="0" w:afterAutospacing="0" w:line="312"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1.合同经双方法定代表人签字或授权代表签字并加盖单位公章后生效。</w:t>
      </w:r>
    </w:p>
    <w:p w14:paraId="68F5DA23">
      <w:pPr>
        <w:keepNext w:val="0"/>
        <w:keepLines w:val="0"/>
        <w:widowControl w:val="0"/>
        <w:suppressLineNumbers w:val="0"/>
        <w:shd w:val="clear"/>
        <w:spacing w:before="0" w:beforeLines="0" w:beforeAutospacing="0" w:after="0" w:afterLines="0" w:afterAutospacing="0" w:line="312"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2.本合同甲乙双方若发生纠纷应协商解决，协商不成的，由甲方所在地人民法院处理。</w:t>
      </w:r>
    </w:p>
    <w:p w14:paraId="2B94D3C6">
      <w:pPr>
        <w:keepNext w:val="0"/>
        <w:keepLines w:val="0"/>
        <w:widowControl w:val="0"/>
        <w:suppressLineNumbers w:val="0"/>
        <w:shd w:val="clear"/>
        <w:spacing w:before="0" w:beforeLines="0" w:beforeAutospacing="0" w:after="0" w:afterLines="0" w:afterAutospacing="0" w:line="312"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3.本合同未尽事宜，遵照《中华人民共和国民法典》有关条文执行。</w:t>
      </w:r>
    </w:p>
    <w:p w14:paraId="0105C05A">
      <w:pPr>
        <w:keepNext w:val="0"/>
        <w:keepLines w:val="0"/>
        <w:widowControl w:val="0"/>
        <w:suppressLineNumbers w:val="0"/>
        <w:shd w:val="clear"/>
        <w:spacing w:before="0" w:beforeLines="0" w:beforeAutospacing="0" w:after="0" w:afterLines="0" w:afterAutospacing="0" w:line="312"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4.本合同一式七份，具有同等法律效力，采购人执三份，中标人执三份，浙江新诚信工程咨询有限公司执一份。</w:t>
      </w:r>
    </w:p>
    <w:tbl>
      <w:tblPr>
        <w:tblStyle w:val="4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1"/>
        <w:gridCol w:w="4981"/>
      </w:tblGrid>
      <w:tr w14:paraId="128D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2500" w:type="pct"/>
            <w:tcBorders>
              <w:top w:val="nil"/>
              <w:left w:val="nil"/>
              <w:bottom w:val="nil"/>
              <w:right w:val="nil"/>
            </w:tcBorders>
            <w:shd w:val="clear" w:color="auto" w:fill="auto"/>
            <w:vAlign w:val="center"/>
          </w:tcPr>
          <w:p w14:paraId="0F383292">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12"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甲方（盖章）：</w:t>
            </w:r>
          </w:p>
        </w:tc>
        <w:tc>
          <w:tcPr>
            <w:tcW w:w="2500" w:type="pct"/>
            <w:tcBorders>
              <w:top w:val="nil"/>
              <w:left w:val="nil"/>
              <w:bottom w:val="nil"/>
              <w:right w:val="nil"/>
            </w:tcBorders>
            <w:shd w:val="clear" w:color="auto" w:fill="auto"/>
            <w:vAlign w:val="center"/>
          </w:tcPr>
          <w:p w14:paraId="6C300D94">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12"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乙方（盖章）：</w:t>
            </w:r>
          </w:p>
        </w:tc>
      </w:tr>
      <w:tr w14:paraId="710E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jc w:val="center"/>
        </w:trPr>
        <w:tc>
          <w:tcPr>
            <w:tcW w:w="2500" w:type="pct"/>
            <w:tcBorders>
              <w:top w:val="nil"/>
              <w:left w:val="nil"/>
              <w:bottom w:val="nil"/>
              <w:right w:val="nil"/>
            </w:tcBorders>
            <w:shd w:val="clear" w:color="auto" w:fill="auto"/>
            <w:vAlign w:val="center"/>
          </w:tcPr>
          <w:p w14:paraId="60D45755">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w:t>
            </w:r>
          </w:p>
          <w:p w14:paraId="366A9DBD">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授权委托人（签字）：</w:t>
            </w:r>
          </w:p>
        </w:tc>
        <w:tc>
          <w:tcPr>
            <w:tcW w:w="2500" w:type="pct"/>
            <w:tcBorders>
              <w:top w:val="nil"/>
              <w:left w:val="nil"/>
              <w:bottom w:val="nil"/>
              <w:right w:val="nil"/>
            </w:tcBorders>
            <w:shd w:val="clear" w:color="auto" w:fill="auto"/>
            <w:vAlign w:val="center"/>
          </w:tcPr>
          <w:p w14:paraId="7AF4CB86">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w:t>
            </w:r>
          </w:p>
          <w:p w14:paraId="0F3DAE6E">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授权委托人（签字）：</w:t>
            </w:r>
          </w:p>
        </w:tc>
      </w:tr>
      <w:tr w14:paraId="52C5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500" w:type="pct"/>
            <w:tcBorders>
              <w:top w:val="nil"/>
              <w:left w:val="nil"/>
              <w:bottom w:val="nil"/>
              <w:right w:val="nil"/>
            </w:tcBorders>
            <w:shd w:val="clear" w:color="auto" w:fill="auto"/>
            <w:vAlign w:val="center"/>
          </w:tcPr>
          <w:p w14:paraId="48E4EF98">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p>
        </w:tc>
        <w:tc>
          <w:tcPr>
            <w:tcW w:w="2500" w:type="pct"/>
            <w:tcBorders>
              <w:top w:val="nil"/>
              <w:left w:val="nil"/>
              <w:bottom w:val="nil"/>
              <w:right w:val="nil"/>
            </w:tcBorders>
            <w:shd w:val="clear" w:color="auto" w:fill="auto"/>
            <w:vAlign w:val="center"/>
          </w:tcPr>
          <w:p w14:paraId="4065E803">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p>
          <w:p w14:paraId="02C1500A">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p>
        </w:tc>
      </w:tr>
      <w:tr w14:paraId="08AE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500" w:type="pct"/>
            <w:tcBorders>
              <w:top w:val="nil"/>
              <w:left w:val="nil"/>
              <w:bottom w:val="nil"/>
              <w:right w:val="nil"/>
            </w:tcBorders>
            <w:shd w:val="clear" w:color="auto" w:fill="auto"/>
            <w:vAlign w:val="center"/>
          </w:tcPr>
          <w:p w14:paraId="1E94C676">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p>
        </w:tc>
        <w:tc>
          <w:tcPr>
            <w:tcW w:w="2500" w:type="pct"/>
            <w:tcBorders>
              <w:top w:val="nil"/>
              <w:left w:val="nil"/>
              <w:bottom w:val="nil"/>
              <w:right w:val="nil"/>
            </w:tcBorders>
            <w:shd w:val="clear" w:color="auto" w:fill="auto"/>
            <w:vAlign w:val="center"/>
          </w:tcPr>
          <w:p w14:paraId="7D6D4E6D">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p>
        </w:tc>
      </w:tr>
      <w:tr w14:paraId="3E05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2500" w:type="pct"/>
            <w:tcBorders>
              <w:top w:val="nil"/>
              <w:left w:val="nil"/>
              <w:bottom w:val="nil"/>
              <w:right w:val="nil"/>
            </w:tcBorders>
            <w:shd w:val="clear" w:color="auto" w:fill="auto"/>
            <w:vAlign w:val="center"/>
          </w:tcPr>
          <w:p w14:paraId="2D7118E6">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w:t>
            </w:r>
          </w:p>
        </w:tc>
        <w:tc>
          <w:tcPr>
            <w:tcW w:w="2500" w:type="pct"/>
            <w:tcBorders>
              <w:top w:val="nil"/>
              <w:left w:val="nil"/>
              <w:bottom w:val="nil"/>
              <w:right w:val="nil"/>
            </w:tcBorders>
            <w:shd w:val="clear" w:color="auto" w:fill="auto"/>
            <w:vAlign w:val="center"/>
          </w:tcPr>
          <w:p w14:paraId="2AAA85E3">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w:t>
            </w:r>
          </w:p>
        </w:tc>
      </w:tr>
      <w:tr w14:paraId="1E17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500" w:type="pct"/>
            <w:tcBorders>
              <w:top w:val="nil"/>
              <w:left w:val="nil"/>
              <w:bottom w:val="nil"/>
              <w:right w:val="nil"/>
            </w:tcBorders>
            <w:shd w:val="clear" w:color="auto" w:fill="auto"/>
            <w:vAlign w:val="center"/>
          </w:tcPr>
          <w:p w14:paraId="25CFDD4F">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账号：</w:t>
            </w:r>
          </w:p>
        </w:tc>
        <w:tc>
          <w:tcPr>
            <w:tcW w:w="2500" w:type="pct"/>
            <w:tcBorders>
              <w:top w:val="nil"/>
              <w:left w:val="nil"/>
              <w:bottom w:val="nil"/>
              <w:right w:val="nil"/>
            </w:tcBorders>
            <w:shd w:val="clear" w:color="auto" w:fill="auto"/>
            <w:vAlign w:val="center"/>
          </w:tcPr>
          <w:p w14:paraId="5BC8D43B">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账号：</w:t>
            </w:r>
          </w:p>
        </w:tc>
      </w:tr>
      <w:tr w14:paraId="044D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00" w:type="pct"/>
            <w:tcBorders>
              <w:top w:val="nil"/>
              <w:left w:val="nil"/>
              <w:bottom w:val="nil"/>
              <w:right w:val="nil"/>
            </w:tcBorders>
            <w:shd w:val="clear" w:color="auto" w:fill="auto"/>
            <w:vAlign w:val="center"/>
          </w:tcPr>
          <w:p w14:paraId="6E529048">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签字地点：</w:t>
            </w:r>
          </w:p>
        </w:tc>
        <w:tc>
          <w:tcPr>
            <w:tcW w:w="2500" w:type="pct"/>
            <w:tcBorders>
              <w:top w:val="nil"/>
              <w:left w:val="nil"/>
              <w:bottom w:val="nil"/>
              <w:right w:val="nil"/>
            </w:tcBorders>
            <w:shd w:val="clear" w:color="auto" w:fill="auto"/>
            <w:vAlign w:val="center"/>
          </w:tcPr>
          <w:p w14:paraId="4E24244C">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签字日期：    年   月  日</w:t>
            </w:r>
          </w:p>
        </w:tc>
      </w:tr>
      <w:tr w14:paraId="2AA8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000" w:type="pct"/>
            <w:gridSpan w:val="2"/>
            <w:tcBorders>
              <w:top w:val="nil"/>
              <w:left w:val="nil"/>
              <w:bottom w:val="nil"/>
              <w:right w:val="nil"/>
            </w:tcBorders>
            <w:shd w:val="clear" w:color="auto" w:fill="auto"/>
            <w:vAlign w:val="center"/>
          </w:tcPr>
          <w:p w14:paraId="0F2F8FC0">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鉴证方（盖章）：</w:t>
            </w:r>
          </w:p>
        </w:tc>
      </w:tr>
      <w:tr w14:paraId="6EE2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000" w:type="pct"/>
            <w:gridSpan w:val="2"/>
            <w:tcBorders>
              <w:top w:val="nil"/>
              <w:left w:val="nil"/>
              <w:bottom w:val="nil"/>
              <w:right w:val="nil"/>
            </w:tcBorders>
            <w:shd w:val="clear" w:color="auto" w:fill="auto"/>
            <w:vAlign w:val="center"/>
          </w:tcPr>
          <w:p w14:paraId="20D83F1B">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合同鉴证日期：    年  月  日</w:t>
            </w:r>
          </w:p>
        </w:tc>
      </w:tr>
      <w:bookmarkEnd w:id="1200"/>
    </w:tbl>
    <w:p w14:paraId="323DDE08">
      <w:pPr>
        <w:shd w:val="clear"/>
        <w:ind w:left="0" w:leftChars="0" w:firstLine="0" w:firstLineChars="0"/>
        <w:rPr>
          <w:rFonts w:hint="eastAsia"/>
          <w:color w:val="auto"/>
          <w:highlight w:val="none"/>
        </w:rPr>
      </w:pPr>
    </w:p>
    <w:p w14:paraId="571020EA">
      <w:pPr>
        <w:shd w:val="clear"/>
        <w:bidi w:val="0"/>
        <w:ind w:left="0" w:leftChars="0" w:firstLine="0" w:firstLineChars="0"/>
        <w:rPr>
          <w:rFonts w:hint="eastAsia"/>
          <w:color w:val="auto"/>
          <w:highlight w:val="none"/>
        </w:rPr>
      </w:pPr>
      <w:bookmarkStart w:id="1253" w:name="_Toc11383"/>
    </w:p>
    <w:p w14:paraId="2816B8F9">
      <w:pPr>
        <w:pStyle w:val="40"/>
        <w:shd w:val="clear"/>
        <w:rPr>
          <w:rFonts w:hint="eastAsia"/>
          <w:color w:val="auto"/>
          <w:highlight w:val="none"/>
        </w:rPr>
      </w:pPr>
    </w:p>
    <w:p w14:paraId="5B443D08">
      <w:pPr>
        <w:shd w:val="clear"/>
        <w:rPr>
          <w:rFonts w:hint="eastAsia"/>
          <w:color w:val="auto"/>
          <w:highlight w:val="none"/>
        </w:rPr>
      </w:pPr>
    </w:p>
    <w:p w14:paraId="30F0FDAE">
      <w:pPr>
        <w:pStyle w:val="40"/>
        <w:shd w:val="clear"/>
        <w:rPr>
          <w:rFonts w:hint="eastAsia"/>
          <w:color w:val="auto"/>
          <w:highlight w:val="none"/>
        </w:rPr>
      </w:pPr>
    </w:p>
    <w:p w14:paraId="6AAD0BF8">
      <w:pPr>
        <w:shd w:val="clear"/>
        <w:rPr>
          <w:rFonts w:hint="eastAsia"/>
          <w:color w:val="auto"/>
          <w:highlight w:val="none"/>
        </w:rPr>
      </w:pPr>
    </w:p>
    <w:p w14:paraId="30ACFCB4">
      <w:pPr>
        <w:pStyle w:val="18"/>
        <w:shd w:val="clear"/>
        <w:rPr>
          <w:rFonts w:hint="eastAsia"/>
          <w:color w:val="auto"/>
          <w:highlight w:val="none"/>
        </w:rPr>
      </w:pPr>
    </w:p>
    <w:p w14:paraId="23E3FB7E">
      <w:pPr>
        <w:shd w:val="clear"/>
        <w:rPr>
          <w:rFonts w:hint="eastAsia"/>
          <w:color w:val="auto"/>
          <w:highlight w:val="none"/>
        </w:rPr>
      </w:pPr>
    </w:p>
    <w:p w14:paraId="46EE3E0B">
      <w:pPr>
        <w:pStyle w:val="18"/>
        <w:shd w:val="clear"/>
        <w:rPr>
          <w:rFonts w:hint="eastAsia"/>
          <w:color w:val="auto"/>
          <w:highlight w:val="none"/>
        </w:rPr>
      </w:pPr>
    </w:p>
    <w:p w14:paraId="1BE1814F">
      <w:pPr>
        <w:shd w:val="clear"/>
        <w:rPr>
          <w:rFonts w:hint="eastAsia"/>
          <w:color w:val="auto"/>
          <w:highlight w:val="none"/>
        </w:rPr>
      </w:pPr>
    </w:p>
    <w:p w14:paraId="443C6511">
      <w:pPr>
        <w:pStyle w:val="18"/>
        <w:shd w:val="clear"/>
        <w:rPr>
          <w:rFonts w:hint="eastAsia"/>
          <w:color w:val="auto"/>
          <w:highlight w:val="none"/>
        </w:rPr>
      </w:pPr>
    </w:p>
    <w:p w14:paraId="1C25DD90">
      <w:pPr>
        <w:shd w:val="clear"/>
        <w:rPr>
          <w:rFonts w:hint="eastAsia"/>
          <w:color w:val="auto"/>
          <w:highlight w:val="none"/>
        </w:rPr>
      </w:pPr>
    </w:p>
    <w:p w14:paraId="1A2C4978">
      <w:pPr>
        <w:pStyle w:val="18"/>
        <w:shd w:val="clear"/>
        <w:rPr>
          <w:rFonts w:hint="eastAsia"/>
          <w:color w:val="auto"/>
          <w:highlight w:val="none"/>
        </w:rPr>
      </w:pPr>
    </w:p>
    <w:p w14:paraId="2B5809F6">
      <w:pPr>
        <w:shd w:val="clear"/>
        <w:rPr>
          <w:rFonts w:hint="eastAsia"/>
          <w:color w:val="auto"/>
          <w:highlight w:val="none"/>
        </w:rPr>
      </w:pPr>
    </w:p>
    <w:p w14:paraId="08A505C2">
      <w:pPr>
        <w:pStyle w:val="18"/>
        <w:shd w:val="clear"/>
        <w:rPr>
          <w:rFonts w:hint="eastAsia"/>
          <w:color w:val="auto"/>
          <w:highlight w:val="none"/>
        </w:rPr>
      </w:pPr>
    </w:p>
    <w:p w14:paraId="4FB6DF99">
      <w:pPr>
        <w:shd w:val="clear"/>
        <w:rPr>
          <w:rFonts w:hint="eastAsia"/>
          <w:color w:val="auto"/>
          <w:highlight w:val="none"/>
        </w:rPr>
      </w:pPr>
    </w:p>
    <w:p w14:paraId="2C2D6D92">
      <w:pPr>
        <w:pStyle w:val="18"/>
        <w:shd w:val="clear"/>
        <w:rPr>
          <w:rFonts w:hint="eastAsia"/>
          <w:color w:val="auto"/>
          <w:highlight w:val="none"/>
        </w:rPr>
      </w:pPr>
    </w:p>
    <w:p w14:paraId="4352E94D">
      <w:pPr>
        <w:shd w:val="clear"/>
        <w:rPr>
          <w:rFonts w:hint="eastAsia"/>
          <w:color w:val="auto"/>
          <w:highlight w:val="none"/>
        </w:rPr>
      </w:pPr>
    </w:p>
    <w:p w14:paraId="1E6C79A3">
      <w:pPr>
        <w:shd w:val="clear"/>
        <w:rPr>
          <w:rFonts w:hint="eastAsia"/>
          <w:color w:val="auto"/>
          <w:highlight w:val="none"/>
        </w:rPr>
      </w:pPr>
    </w:p>
    <w:p w14:paraId="7A3A9E3E">
      <w:pPr>
        <w:shd w:val="clear"/>
        <w:rPr>
          <w:rFonts w:hint="eastAsia"/>
          <w:color w:val="auto"/>
          <w:highlight w:val="none"/>
        </w:rPr>
      </w:pPr>
    </w:p>
    <w:p w14:paraId="54BD7BE1">
      <w:pPr>
        <w:pStyle w:val="40"/>
        <w:shd w:val="clear"/>
        <w:rPr>
          <w:rFonts w:hint="eastAsia"/>
          <w:color w:val="auto"/>
          <w:highlight w:val="none"/>
        </w:rPr>
      </w:pPr>
    </w:p>
    <w:p w14:paraId="36E95D96">
      <w:pPr>
        <w:pStyle w:val="3"/>
        <w:numPr>
          <w:ilvl w:val="0"/>
          <w:numId w:val="0"/>
        </w:numPr>
        <w:shd w:val="clear"/>
        <w:spacing w:before="312" w:after="312"/>
        <w:jc w:val="center"/>
        <w:rPr>
          <w:rFonts w:hint="eastAsia" w:ascii="宋体" w:hAnsi="宋体" w:eastAsia="宋体" w:cs="宋体"/>
          <w:color w:val="auto"/>
          <w:highlight w:val="none"/>
        </w:rPr>
      </w:pPr>
      <w:bookmarkStart w:id="1254" w:name="_Toc6114"/>
      <w:bookmarkStart w:id="1255" w:name="_Toc31279"/>
      <w:r>
        <w:rPr>
          <w:rFonts w:hint="eastAsia" w:ascii="宋体" w:hAnsi="宋体" w:eastAsia="宋体" w:cs="宋体"/>
          <w:color w:val="auto"/>
          <w:highlight w:val="none"/>
        </w:rPr>
        <w:t>第六章  投标文件格式</w:t>
      </w:r>
      <w:bookmarkEnd w:id="1125"/>
      <w:bookmarkEnd w:id="1126"/>
      <w:bookmarkEnd w:id="1127"/>
      <w:bookmarkEnd w:id="1128"/>
      <w:bookmarkEnd w:id="1129"/>
      <w:bookmarkEnd w:id="1130"/>
      <w:bookmarkEnd w:id="1131"/>
      <w:bookmarkEnd w:id="1191"/>
      <w:bookmarkEnd w:id="1192"/>
      <w:bookmarkEnd w:id="1193"/>
      <w:bookmarkEnd w:id="1194"/>
      <w:bookmarkEnd w:id="1195"/>
      <w:bookmarkEnd w:id="1196"/>
      <w:bookmarkEnd w:id="1253"/>
      <w:bookmarkEnd w:id="1254"/>
      <w:bookmarkEnd w:id="1255"/>
    </w:p>
    <w:p w14:paraId="27FD2BD9">
      <w:pPr>
        <w:shd w:val="clear"/>
        <w:spacing w:line="420" w:lineRule="exact"/>
        <w:ind w:firstLine="480"/>
        <w:rPr>
          <w:rFonts w:hint="eastAsia" w:ascii="宋体" w:hAnsi="宋体" w:eastAsia="宋体" w:cs="宋体"/>
          <w:color w:val="auto"/>
          <w:highlight w:val="none"/>
        </w:rPr>
      </w:pPr>
    </w:p>
    <w:tbl>
      <w:tblPr>
        <w:tblStyle w:val="41"/>
        <w:tblW w:w="8960"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60"/>
      </w:tblGrid>
      <w:tr w14:paraId="49E9A412">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1530" w:hRule="atLeast"/>
          <w:jc w:val="center"/>
        </w:trPr>
        <w:tc>
          <w:tcPr>
            <w:tcW w:w="8960" w:type="dxa"/>
            <w:tcBorders>
              <w:top w:val="double" w:color="666699" w:sz="4" w:space="0"/>
              <w:left w:val="double" w:color="666699" w:sz="4" w:space="0"/>
              <w:bottom w:val="double" w:color="666699" w:sz="4" w:space="0"/>
              <w:right w:val="double" w:color="666699" w:sz="4" w:space="0"/>
            </w:tcBorders>
            <w:shd w:val="clear" w:color="auto" w:fill="FCFEEA"/>
          </w:tcPr>
          <w:p w14:paraId="6A67FAEE">
            <w:pPr>
              <w:keepNext w:val="0"/>
              <w:keepLines w:val="0"/>
              <w:suppressLineNumbers w:val="0"/>
              <w:shd w:val="clear"/>
              <w:snapToGrid w:val="0"/>
              <w:spacing w:before="0" w:beforeAutospacing="0" w:after="0" w:afterAutospacing="0" w:line="420" w:lineRule="exact"/>
              <w:ind w:left="0" w:right="0" w:firstLine="602"/>
              <w:jc w:val="center"/>
              <w:rPr>
                <w:rFonts w:hint="eastAsia" w:ascii="宋体" w:hAnsi="宋体" w:eastAsia="宋体" w:cs="宋体"/>
                <w:b/>
                <w:color w:val="auto"/>
                <w:sz w:val="30"/>
                <w:highlight w:val="none"/>
              </w:rPr>
            </w:pPr>
          </w:p>
          <w:p w14:paraId="2899D332">
            <w:pPr>
              <w:pStyle w:val="21"/>
              <w:keepNext w:val="0"/>
              <w:keepLines w:val="0"/>
              <w:suppressLineNumbers w:val="0"/>
              <w:shd w:val="clear"/>
              <w:spacing w:before="0" w:beforeAutospacing="0" w:after="0" w:afterAutospacing="0"/>
              <w:ind w:left="0" w:right="0" w:firstLine="480"/>
              <w:rPr>
                <w:rFonts w:hint="eastAsia" w:ascii="宋体" w:hAnsi="宋体" w:eastAsia="宋体" w:cs="宋体"/>
                <w:color w:val="auto"/>
                <w:highlight w:val="none"/>
              </w:rPr>
            </w:pPr>
          </w:p>
          <w:p w14:paraId="296D5B53">
            <w:pPr>
              <w:keepNext w:val="0"/>
              <w:keepLines w:val="0"/>
              <w:suppressLineNumbers w:val="0"/>
              <w:shd w:val="clear"/>
              <w:spacing w:before="0" w:beforeAutospacing="0" w:after="0" w:afterAutospacing="0"/>
              <w:ind w:left="0" w:leftChars="0" w:right="0" w:firstLine="0" w:firstLineChars="0"/>
              <w:jc w:val="center"/>
              <w:rPr>
                <w:rFonts w:hint="eastAsia"/>
                <w:color w:val="auto"/>
                <w:highlight w:val="none"/>
              </w:rPr>
            </w:pPr>
            <w:r>
              <w:rPr>
                <w:rFonts w:hint="eastAsia" w:ascii="宋体" w:hAnsi="宋体" w:cs="宋体"/>
                <w:b/>
                <w:color w:val="auto"/>
                <w:sz w:val="48"/>
                <w:szCs w:val="48"/>
                <w:highlight w:val="none"/>
                <w:lang w:val="zh-CN"/>
              </w:rPr>
              <w:t>金融大厦直饮水项目</w:t>
            </w:r>
          </w:p>
          <w:p w14:paraId="78A378AA">
            <w:pPr>
              <w:pStyle w:val="54"/>
              <w:keepNext w:val="0"/>
              <w:keepLines w:val="0"/>
              <w:widowControl/>
              <w:suppressLineNumbers w:val="0"/>
              <w:shd w:val="clear"/>
              <w:spacing w:before="0" w:beforeAutospacing="0" w:after="0" w:afterAutospacing="0"/>
              <w:ind w:left="0" w:right="0"/>
              <w:rPr>
                <w:rFonts w:hint="eastAsia" w:ascii="宋体" w:hAnsi="宋体" w:eastAsia="宋体" w:cs="宋体"/>
                <w:color w:val="auto"/>
                <w:szCs w:val="20"/>
                <w:highlight w:val="none"/>
              </w:rPr>
            </w:pPr>
          </w:p>
          <w:p w14:paraId="0208D809">
            <w:pPr>
              <w:keepNext w:val="0"/>
              <w:keepLines w:val="0"/>
              <w:suppressLineNumbers w:val="0"/>
              <w:shd w:val="clear"/>
              <w:spacing w:before="0" w:beforeAutospacing="0" w:after="0" w:afterAutospacing="0"/>
              <w:ind w:left="0" w:right="0"/>
              <w:rPr>
                <w:rFonts w:hint="eastAsia" w:ascii="宋体" w:hAnsi="宋体" w:eastAsia="宋体" w:cs="宋体"/>
                <w:color w:val="auto"/>
                <w:szCs w:val="20"/>
                <w:highlight w:val="none"/>
              </w:rPr>
            </w:pPr>
          </w:p>
          <w:p w14:paraId="62E3D7FD">
            <w:pPr>
              <w:keepNext w:val="0"/>
              <w:keepLines w:val="0"/>
              <w:suppressLineNumbers w:val="0"/>
              <w:shd w:val="clear"/>
              <w:spacing w:before="0" w:beforeAutospacing="0" w:after="0" w:afterAutospacing="0"/>
              <w:ind w:left="0" w:right="0"/>
              <w:rPr>
                <w:rFonts w:hint="eastAsia" w:ascii="宋体" w:hAnsi="宋体" w:eastAsia="宋体" w:cs="宋体"/>
                <w:color w:val="auto"/>
                <w:szCs w:val="20"/>
                <w:highlight w:val="none"/>
              </w:rPr>
            </w:pPr>
          </w:p>
          <w:p w14:paraId="5A439825">
            <w:pPr>
              <w:pStyle w:val="18"/>
              <w:keepNext w:val="0"/>
              <w:keepLines w:val="0"/>
              <w:suppressLineNumbers w:val="0"/>
              <w:shd w:val="clear"/>
              <w:spacing w:beforeAutospacing="0" w:after="0" w:afterAutospacing="0"/>
              <w:ind w:left="0" w:right="0"/>
              <w:rPr>
                <w:rFonts w:hint="eastAsia"/>
                <w:color w:val="auto"/>
                <w:highlight w:val="none"/>
              </w:rPr>
            </w:pPr>
          </w:p>
          <w:p w14:paraId="76EF6668">
            <w:pPr>
              <w:keepNext w:val="0"/>
              <w:keepLines w:val="0"/>
              <w:suppressLineNumbers w:val="0"/>
              <w:shd w:val="clear"/>
              <w:spacing w:before="0" w:beforeAutospacing="0" w:after="0" w:afterAutospacing="0"/>
              <w:ind w:left="0" w:leftChars="0" w:right="0" w:firstLine="0" w:firstLineChars="0"/>
              <w:rPr>
                <w:rFonts w:hint="eastAsia"/>
                <w:color w:val="auto"/>
                <w:highlight w:val="none"/>
              </w:rPr>
            </w:pPr>
          </w:p>
          <w:p w14:paraId="0963B33A">
            <w:pPr>
              <w:pStyle w:val="21"/>
              <w:keepNext w:val="0"/>
              <w:keepLines w:val="0"/>
              <w:suppressLineNumbers w:val="0"/>
              <w:shd w:val="clear"/>
              <w:spacing w:before="0" w:beforeAutospacing="0" w:after="0" w:afterAutospacing="0" w:line="720" w:lineRule="auto"/>
              <w:ind w:left="0" w:right="0" w:firstLine="0" w:firstLine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资格审查文件/资信技术文件/商务报价文件</w:t>
            </w:r>
          </w:p>
          <w:p w14:paraId="199E3001">
            <w:pPr>
              <w:keepNext w:val="0"/>
              <w:keepLines w:val="0"/>
              <w:suppressLineNumbers w:val="0"/>
              <w:shd w:val="clear"/>
              <w:spacing w:before="0" w:beforeAutospacing="0" w:after="0" w:afterAutospacing="0" w:line="420" w:lineRule="exact"/>
              <w:ind w:left="0" w:right="0" w:firstLine="643"/>
              <w:jc w:val="center"/>
              <w:rPr>
                <w:rFonts w:hint="eastAsia" w:ascii="宋体" w:hAnsi="宋体" w:eastAsia="宋体" w:cs="宋体"/>
                <w:b/>
                <w:bCs/>
                <w:color w:val="auto"/>
                <w:kern w:val="2"/>
                <w:sz w:val="32"/>
                <w:szCs w:val="32"/>
                <w:highlight w:val="none"/>
                <w:lang w:val="en-US" w:eastAsia="zh-CN" w:bidi="ar-SA"/>
              </w:rPr>
            </w:pPr>
          </w:p>
          <w:p w14:paraId="3909392B">
            <w:pPr>
              <w:keepNext w:val="0"/>
              <w:keepLines w:val="0"/>
              <w:suppressLineNumbers w:val="0"/>
              <w:shd w:val="clear"/>
              <w:spacing w:before="0" w:beforeAutospacing="0" w:after="0" w:afterAutospacing="0" w:line="420" w:lineRule="exact"/>
              <w:ind w:left="0" w:right="0" w:firstLine="643"/>
              <w:jc w:val="center"/>
              <w:rPr>
                <w:rFonts w:hint="eastAsia" w:ascii="宋体" w:hAnsi="宋体" w:eastAsia="宋体" w:cs="宋体"/>
                <w:b/>
                <w:bCs/>
                <w:color w:val="auto"/>
                <w:kern w:val="2"/>
                <w:sz w:val="32"/>
                <w:szCs w:val="32"/>
                <w:highlight w:val="none"/>
                <w:lang w:val="en-US" w:eastAsia="zh-CN" w:bidi="ar-SA"/>
              </w:rPr>
            </w:pPr>
          </w:p>
          <w:p w14:paraId="64BCCFD9">
            <w:pPr>
              <w:pStyle w:val="23"/>
              <w:keepNext w:val="0"/>
              <w:keepLines w:val="0"/>
              <w:suppressLineNumbers w:val="0"/>
              <w:shd w:val="clear"/>
              <w:spacing w:before="0" w:beforeAutospacing="0" w:after="0" w:afterAutospacing="0"/>
              <w:ind w:left="0" w:leftChars="0" w:right="0" w:firstLine="0" w:firstLineChars="0"/>
              <w:rPr>
                <w:rFonts w:hint="eastAsia" w:ascii="宋体" w:hAnsi="宋体" w:eastAsia="宋体" w:cs="宋体"/>
                <w:color w:val="auto"/>
                <w:highlight w:val="none"/>
              </w:rPr>
            </w:pPr>
          </w:p>
          <w:p w14:paraId="3175F3C3">
            <w:pPr>
              <w:pStyle w:val="23"/>
              <w:keepNext w:val="0"/>
              <w:keepLines w:val="0"/>
              <w:suppressLineNumbers w:val="0"/>
              <w:shd w:val="clear"/>
              <w:spacing w:before="0" w:beforeAutospacing="0" w:after="0" w:afterAutospacing="0"/>
              <w:ind w:left="0" w:leftChars="0" w:right="0" w:firstLine="0" w:firstLineChars="0"/>
              <w:rPr>
                <w:rFonts w:hint="eastAsia" w:ascii="宋体" w:hAnsi="宋体" w:eastAsia="宋体" w:cs="宋体"/>
                <w:color w:val="auto"/>
                <w:highlight w:val="none"/>
              </w:rPr>
            </w:pPr>
          </w:p>
          <w:p w14:paraId="661223F5">
            <w:pPr>
              <w:pStyle w:val="23"/>
              <w:keepNext w:val="0"/>
              <w:keepLines w:val="0"/>
              <w:suppressLineNumbers w:val="0"/>
              <w:shd w:val="clear"/>
              <w:spacing w:before="0" w:beforeAutospacing="0" w:after="0" w:afterAutospacing="0"/>
              <w:ind w:left="0" w:leftChars="0" w:right="0" w:firstLine="0" w:firstLineChars="0"/>
              <w:rPr>
                <w:rFonts w:hint="eastAsia" w:ascii="宋体" w:hAnsi="宋体" w:eastAsia="宋体" w:cs="宋体"/>
                <w:color w:val="auto"/>
                <w:highlight w:val="none"/>
              </w:rPr>
            </w:pPr>
          </w:p>
          <w:p w14:paraId="5CAD86F0">
            <w:pPr>
              <w:pStyle w:val="23"/>
              <w:keepNext w:val="0"/>
              <w:keepLines w:val="0"/>
              <w:suppressLineNumbers w:val="0"/>
              <w:shd w:val="clear"/>
              <w:spacing w:before="0" w:beforeAutospacing="0" w:after="0" w:afterAutospacing="0"/>
              <w:ind w:left="0" w:leftChars="0" w:right="0" w:firstLine="0" w:firstLineChars="0"/>
              <w:rPr>
                <w:rFonts w:hint="eastAsia" w:ascii="宋体" w:hAnsi="宋体" w:eastAsia="宋体" w:cs="宋体"/>
                <w:color w:val="auto"/>
                <w:highlight w:val="none"/>
              </w:rPr>
            </w:pPr>
          </w:p>
          <w:p w14:paraId="7B2C0D1E">
            <w:pPr>
              <w:keepNext w:val="0"/>
              <w:keepLines w:val="0"/>
              <w:suppressLineNumbers w:val="0"/>
              <w:shd w:val="clear"/>
              <w:spacing w:before="0" w:beforeAutospacing="0" w:after="0" w:afterAutospacing="0" w:line="420" w:lineRule="exact"/>
              <w:ind w:left="0" w:right="0" w:firstLine="0" w:firstLineChars="0"/>
              <w:rPr>
                <w:rFonts w:hint="eastAsia" w:ascii="宋体" w:hAnsi="宋体" w:eastAsia="宋体" w:cs="宋体"/>
                <w:b/>
                <w:color w:val="auto"/>
                <w:sz w:val="32"/>
                <w:highlight w:val="none"/>
              </w:rPr>
            </w:pPr>
          </w:p>
          <w:p w14:paraId="72721980">
            <w:pPr>
              <w:keepNext w:val="0"/>
              <w:keepLines w:val="0"/>
              <w:suppressLineNumbers w:val="0"/>
              <w:shd w:val="clear"/>
              <w:spacing w:before="0" w:beforeAutospacing="0" w:after="0" w:afterAutospacing="0" w:line="360" w:lineRule="auto"/>
              <w:ind w:left="0" w:right="0" w:firstLine="64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项目编号：</w:t>
            </w:r>
            <w:r>
              <w:rPr>
                <w:rFonts w:hint="eastAsia" w:ascii="宋体" w:hAnsi="宋体" w:cs="宋体"/>
                <w:color w:val="auto"/>
                <w:sz w:val="32"/>
                <w:highlight w:val="none"/>
                <w:u w:val="single"/>
                <w:lang w:eastAsia="zh-CN"/>
              </w:rPr>
              <w:t>LYCG2025XCX-004</w:t>
            </w:r>
            <w:r>
              <w:rPr>
                <w:rFonts w:hint="eastAsia" w:ascii="宋体" w:hAnsi="宋体" w:eastAsia="宋体" w:cs="宋体"/>
                <w:color w:val="auto"/>
                <w:sz w:val="32"/>
                <w:highlight w:val="none"/>
                <w:u w:val="single"/>
              </w:rPr>
              <w:t xml:space="preserve">                    </w:t>
            </w:r>
          </w:p>
          <w:p w14:paraId="03B0CA26">
            <w:pPr>
              <w:keepNext w:val="0"/>
              <w:keepLines w:val="0"/>
              <w:suppressLineNumbers w:val="0"/>
              <w:shd w:val="clear"/>
              <w:spacing w:before="0" w:beforeAutospacing="0" w:after="0" w:afterAutospacing="0" w:line="360" w:lineRule="auto"/>
              <w:ind w:left="0" w:right="0"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投 标 人：</w:t>
            </w:r>
            <w:r>
              <w:rPr>
                <w:rFonts w:hint="eastAsia" w:ascii="宋体" w:hAnsi="宋体" w:eastAsia="宋体" w:cs="宋体"/>
                <w:color w:val="auto"/>
                <w:sz w:val="32"/>
                <w:highlight w:val="none"/>
                <w:u w:val="single"/>
              </w:rPr>
              <w:t xml:space="preserve">        （全称）（加盖公章）          </w:t>
            </w:r>
          </w:p>
          <w:p w14:paraId="6A341D0A">
            <w:pPr>
              <w:keepNext w:val="0"/>
              <w:keepLines w:val="0"/>
              <w:suppressLineNumbers w:val="0"/>
              <w:shd w:val="clear"/>
              <w:spacing w:before="0" w:beforeAutospacing="0" w:after="0" w:afterAutospacing="0" w:line="360" w:lineRule="auto"/>
              <w:ind w:left="0" w:right="0"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法定代表人或授权代表人签字或盖章：</w:t>
            </w:r>
          </w:p>
          <w:p w14:paraId="7AC92933">
            <w:pPr>
              <w:keepNext w:val="0"/>
              <w:keepLines w:val="0"/>
              <w:suppressLineNumbers w:val="0"/>
              <w:shd w:val="clear"/>
              <w:spacing w:before="0" w:beforeAutospacing="0" w:after="0" w:afterAutospacing="0" w:line="360" w:lineRule="auto"/>
              <w:ind w:left="0" w:right="0"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供应商地址：</w:t>
            </w:r>
          </w:p>
          <w:p w14:paraId="67D0A5F6">
            <w:pPr>
              <w:keepNext w:val="0"/>
              <w:keepLines w:val="0"/>
              <w:suppressLineNumbers w:val="0"/>
              <w:shd w:val="clear"/>
              <w:spacing w:before="0" w:beforeAutospacing="0" w:after="0" w:afterAutospacing="0" w:line="360" w:lineRule="auto"/>
              <w:ind w:left="0" w:right="0" w:firstLine="0" w:firstLineChars="0"/>
              <w:jc w:val="center"/>
              <w:rPr>
                <w:rFonts w:hint="eastAsia" w:ascii="宋体" w:hAnsi="宋体" w:eastAsia="宋体" w:cs="宋体"/>
                <w:color w:val="auto"/>
                <w:sz w:val="32"/>
                <w:highlight w:val="none"/>
              </w:rPr>
            </w:pPr>
            <w:r>
              <w:rPr>
                <w:rFonts w:hint="eastAsia" w:ascii="宋体" w:hAnsi="宋体" w:cs="宋体"/>
                <w:color w:val="auto"/>
                <w:sz w:val="32"/>
                <w:highlight w:val="none"/>
                <w:lang w:eastAsia="zh-CN"/>
              </w:rPr>
              <w:t>二  〇 二 五</w:t>
            </w:r>
            <w:r>
              <w:rPr>
                <w:rFonts w:hint="eastAsia" w:ascii="宋体" w:hAnsi="宋体" w:eastAsia="宋体" w:cs="宋体"/>
                <w:color w:val="auto"/>
                <w:sz w:val="32"/>
                <w:highlight w:val="none"/>
              </w:rPr>
              <w:t>年    月    日</w:t>
            </w:r>
          </w:p>
          <w:p w14:paraId="09A4C1CE">
            <w:pPr>
              <w:keepNext w:val="0"/>
              <w:keepLines w:val="0"/>
              <w:suppressLineNumbers w:val="0"/>
              <w:shd w:val="clear"/>
              <w:spacing w:before="0" w:beforeAutospacing="0" w:after="0" w:afterAutospacing="0" w:line="360" w:lineRule="auto"/>
              <w:ind w:left="0" w:right="0" w:firstLine="0" w:firstLineChars="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 xml:space="preserve"> </w:t>
            </w:r>
          </w:p>
          <w:p w14:paraId="689593E8">
            <w:pPr>
              <w:keepNext w:val="0"/>
              <w:keepLines w:val="0"/>
              <w:suppressLineNumbers w:val="0"/>
              <w:shd w:val="clear"/>
              <w:adjustRightInd w:val="0"/>
              <w:snapToGrid w:val="0"/>
              <w:spacing w:before="0" w:beforeAutospacing="0" w:after="0" w:afterAutospacing="0" w:line="360" w:lineRule="auto"/>
              <w:ind w:left="0" w:right="0" w:firstLine="480"/>
              <w:rPr>
                <w:rFonts w:hint="eastAsia" w:ascii="宋体" w:hAnsi="宋体" w:eastAsia="宋体" w:cs="宋体"/>
                <w:color w:val="auto"/>
                <w:highlight w:val="none"/>
              </w:rPr>
            </w:pPr>
          </w:p>
        </w:tc>
      </w:t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tbl>
    <w:p w14:paraId="72825DC7">
      <w:pPr>
        <w:shd w:val="clear"/>
        <w:spacing w:line="420" w:lineRule="exact"/>
        <w:ind w:firstLine="0" w:firstLineChars="0"/>
        <w:jc w:val="center"/>
        <w:outlineLvl w:val="1"/>
        <w:rPr>
          <w:rFonts w:hint="eastAsia" w:ascii="宋体" w:hAnsi="宋体" w:eastAsia="宋体" w:cs="宋体"/>
          <w:b/>
          <w:color w:val="auto"/>
          <w:sz w:val="32"/>
          <w:szCs w:val="32"/>
          <w:highlight w:val="none"/>
        </w:rPr>
      </w:pPr>
      <w:bookmarkStart w:id="1256" w:name="_Toc5336"/>
      <w:bookmarkStart w:id="1257" w:name="_Toc7789"/>
      <w:bookmarkStart w:id="1258" w:name="_Toc9524"/>
      <w:bookmarkStart w:id="1259" w:name="_Toc13206"/>
      <w:bookmarkStart w:id="1260" w:name="_Toc16669"/>
      <w:bookmarkStart w:id="1261" w:name="_Toc19399"/>
      <w:bookmarkStart w:id="1262" w:name="_Toc22794"/>
      <w:bookmarkStart w:id="1263" w:name="_Toc11509"/>
      <w:bookmarkStart w:id="1264" w:name="_Toc200"/>
      <w:bookmarkStart w:id="1265" w:name="_Toc24445"/>
      <w:bookmarkStart w:id="1266" w:name="_Toc604"/>
      <w:bookmarkStart w:id="1267" w:name="_Toc10033"/>
      <w:bookmarkStart w:id="1268" w:name="_Toc12360"/>
      <w:bookmarkStart w:id="1269" w:name="_Toc11529"/>
      <w:bookmarkStart w:id="1270" w:name="_Toc16833"/>
      <w:bookmarkStart w:id="1271" w:name="_Toc28085"/>
      <w:bookmarkStart w:id="1272" w:name="_Toc28611"/>
      <w:bookmarkStart w:id="1273" w:name="_Toc2846"/>
      <w:bookmarkStart w:id="1274" w:name="_Toc376"/>
      <w:bookmarkStart w:id="1275" w:name="_Toc11308"/>
      <w:bookmarkStart w:id="1276" w:name="_Toc21306"/>
      <w:bookmarkStart w:id="1277" w:name="_Toc30554"/>
      <w:bookmarkStart w:id="1278" w:name="_Toc11828"/>
      <w:bookmarkStart w:id="1279" w:name="_Toc6528"/>
      <w:bookmarkStart w:id="1280" w:name="_Toc29704"/>
      <w:bookmarkStart w:id="1281" w:name="_Toc19765"/>
      <w:bookmarkStart w:id="1282" w:name="_Toc10307"/>
      <w:bookmarkStart w:id="1283" w:name="_Toc5538"/>
      <w:bookmarkStart w:id="1284" w:name="_Toc7350"/>
      <w:bookmarkStart w:id="1285" w:name="_Toc14603"/>
      <w:bookmarkStart w:id="1286" w:name="_Toc32303"/>
      <w:bookmarkStart w:id="1287" w:name="_Toc13672"/>
      <w:bookmarkStart w:id="1288" w:name="_Toc23053"/>
      <w:bookmarkStart w:id="1289" w:name="_Toc632"/>
      <w:bookmarkStart w:id="1290" w:name="_Toc12435"/>
      <w:bookmarkStart w:id="1291" w:name="_Toc28518"/>
      <w:bookmarkStart w:id="1292" w:name="_Toc1326"/>
      <w:bookmarkStart w:id="1293" w:name="_Toc4689"/>
      <w:bookmarkStart w:id="1294" w:name="_Toc4817"/>
      <w:bookmarkStart w:id="1295" w:name="_Toc17238"/>
      <w:bookmarkStart w:id="1296" w:name="_Toc12354"/>
      <w:bookmarkStart w:id="1297" w:name="_Toc15901"/>
      <w:bookmarkStart w:id="1298" w:name="_Toc25875"/>
      <w:bookmarkStart w:id="1299" w:name="_Toc29180"/>
      <w:bookmarkStart w:id="1300" w:name="_Toc9088"/>
      <w:bookmarkStart w:id="1301" w:name="_Toc8049"/>
      <w:bookmarkStart w:id="1302" w:name="_Toc16560"/>
      <w:bookmarkStart w:id="1303" w:name="_Toc25350"/>
      <w:bookmarkStart w:id="1304" w:name="_Toc17640"/>
      <w:bookmarkStart w:id="1305" w:name="_Toc17646"/>
      <w:bookmarkStart w:id="1306" w:name="_Toc7501"/>
      <w:bookmarkStart w:id="1307" w:name="_Toc9488"/>
      <w:bookmarkStart w:id="1308" w:name="_Toc12744"/>
      <w:bookmarkStart w:id="1309" w:name="_Toc18270"/>
      <w:bookmarkStart w:id="1310" w:name="_Toc7080"/>
      <w:bookmarkStart w:id="1311" w:name="_Toc17212"/>
      <w:bookmarkStart w:id="1312" w:name="_Toc3853"/>
      <w:bookmarkStart w:id="1313" w:name="_Toc8146"/>
      <w:bookmarkStart w:id="1314" w:name="_Toc25770"/>
      <w:bookmarkStart w:id="1315" w:name="_Toc3014"/>
      <w:bookmarkStart w:id="1316" w:name="_Toc12327"/>
      <w:bookmarkStart w:id="1317" w:name="_Toc28264"/>
      <w:bookmarkStart w:id="1318" w:name="_Toc10659"/>
      <w:bookmarkStart w:id="1319" w:name="_Toc281"/>
      <w:r>
        <w:rPr>
          <w:rFonts w:hint="eastAsia" w:ascii="宋体" w:hAnsi="宋体" w:eastAsia="宋体" w:cs="宋体"/>
          <w:b/>
          <w:color w:val="auto"/>
          <w:sz w:val="32"/>
          <w:szCs w:val="32"/>
          <w:highlight w:val="none"/>
        </w:rPr>
        <w:t>资格审查文件封面格式</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14:paraId="01AE8F1E">
      <w:pPr>
        <w:pStyle w:val="25"/>
        <w:shd w:val="clear"/>
        <w:spacing w:line="420" w:lineRule="exact"/>
        <w:ind w:left="120" w:leftChars="50" w:firstLine="3855" w:firstLineChars="1200"/>
        <w:jc w:val="left"/>
        <w:rPr>
          <w:rFonts w:hint="eastAsia" w:ascii="宋体" w:hAnsi="宋体" w:eastAsia="宋体" w:cs="宋体"/>
          <w:color w:val="auto"/>
          <w:sz w:val="32"/>
          <w:highlight w:val="none"/>
        </w:rPr>
      </w:pPr>
    </w:p>
    <w:p w14:paraId="0A96146A">
      <w:pPr>
        <w:shd w:val="clear"/>
        <w:spacing w:line="420" w:lineRule="exact"/>
        <w:ind w:firstLine="640"/>
        <w:jc w:val="center"/>
        <w:rPr>
          <w:rFonts w:hint="eastAsia" w:ascii="宋体" w:hAnsi="宋体" w:eastAsia="宋体" w:cs="宋体"/>
          <w:color w:val="auto"/>
          <w:sz w:val="32"/>
          <w:szCs w:val="32"/>
          <w:highlight w:val="none"/>
        </w:rPr>
      </w:pPr>
      <w:bookmarkStart w:id="1320" w:name="_Toc17517"/>
      <w:bookmarkStart w:id="1321" w:name="_Toc2832"/>
      <w:bookmarkStart w:id="1322" w:name="_Toc10048"/>
      <w:bookmarkStart w:id="1323" w:name="_Toc12833"/>
      <w:bookmarkStart w:id="1324" w:name="_Toc24406"/>
      <w:bookmarkStart w:id="1325" w:name="_Toc11140"/>
      <w:bookmarkStart w:id="1326" w:name="_Toc15243"/>
      <w:bookmarkStart w:id="1327" w:name="_Toc3021"/>
      <w:bookmarkStart w:id="1328" w:name="_Toc9383"/>
      <w:bookmarkStart w:id="1329" w:name="_Toc23167"/>
      <w:bookmarkStart w:id="1330" w:name="_Toc23179"/>
      <w:bookmarkStart w:id="1331" w:name="_Toc23596"/>
      <w:bookmarkStart w:id="1332" w:name="_Toc11547"/>
    </w:p>
    <w:p w14:paraId="3350C78B">
      <w:pPr>
        <w:shd w:val="clear"/>
        <w:spacing w:line="420" w:lineRule="exact"/>
        <w:ind w:firstLine="0" w:firstLineChars="0"/>
        <w:jc w:val="center"/>
        <w:outlineLvl w:val="0"/>
        <w:rPr>
          <w:rFonts w:hint="eastAsia" w:ascii="宋体" w:hAnsi="宋体" w:eastAsia="宋体" w:cs="宋体"/>
          <w:color w:val="auto"/>
          <w:sz w:val="84"/>
          <w:highlight w:val="none"/>
        </w:rPr>
      </w:pPr>
      <w:bookmarkStart w:id="1333" w:name="_Toc23737"/>
      <w:bookmarkStart w:id="1334" w:name="_Toc21815"/>
      <w:bookmarkStart w:id="1335" w:name="_Toc6691"/>
      <w:bookmarkStart w:id="1336" w:name="_Toc13432"/>
      <w:bookmarkStart w:id="1337" w:name="_Toc18581"/>
      <w:bookmarkStart w:id="1338" w:name="_Toc29203"/>
      <w:bookmarkStart w:id="1339" w:name="_Toc27636"/>
      <w:bookmarkStart w:id="1340" w:name="_Toc13263"/>
      <w:bookmarkStart w:id="1341" w:name="_Toc26916"/>
      <w:bookmarkStart w:id="1342" w:name="_Toc9325"/>
      <w:bookmarkStart w:id="1343" w:name="_Toc3613"/>
      <w:bookmarkStart w:id="1344" w:name="_Toc16551"/>
      <w:bookmarkStart w:id="1345" w:name="_Toc10166"/>
      <w:bookmarkStart w:id="1346" w:name="_Toc31502"/>
      <w:bookmarkStart w:id="1347" w:name="_Toc16708"/>
      <w:bookmarkStart w:id="1348" w:name="_Toc21045"/>
      <w:bookmarkStart w:id="1349" w:name="_Toc19366"/>
      <w:bookmarkStart w:id="1350" w:name="_Toc22222"/>
      <w:bookmarkStart w:id="1351" w:name="_Toc32643"/>
      <w:bookmarkStart w:id="1352" w:name="_Toc15041"/>
      <w:bookmarkStart w:id="1353" w:name="_Toc12384"/>
      <w:bookmarkStart w:id="1354" w:name="_Toc11955"/>
      <w:bookmarkStart w:id="1355" w:name="_Toc12516"/>
      <w:bookmarkStart w:id="1356" w:name="_Toc24758"/>
      <w:bookmarkStart w:id="1357" w:name="_Toc4032"/>
      <w:bookmarkStart w:id="1358" w:name="_Toc7907"/>
      <w:bookmarkStart w:id="1359" w:name="_Toc5295"/>
      <w:bookmarkStart w:id="1360" w:name="_Toc14016"/>
      <w:bookmarkStart w:id="1361" w:name="_Toc20109"/>
      <w:bookmarkStart w:id="1362" w:name="_Toc6529"/>
      <w:bookmarkStart w:id="1363" w:name="_Toc5013"/>
      <w:bookmarkStart w:id="1364" w:name="_Toc22746"/>
      <w:r>
        <w:rPr>
          <w:rFonts w:hint="eastAsia" w:ascii="宋体" w:hAnsi="宋体" w:eastAsia="宋体" w:cs="宋体"/>
          <w:color w:val="auto"/>
          <w:sz w:val="32"/>
          <w:szCs w:val="32"/>
          <w:highlight w:val="none"/>
        </w:rPr>
        <w:t>正本或副本</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14:paraId="4656CBA4">
      <w:pPr>
        <w:shd w:val="clear"/>
        <w:spacing w:line="420" w:lineRule="exact"/>
        <w:ind w:firstLine="883"/>
        <w:rPr>
          <w:rFonts w:hint="eastAsia" w:ascii="宋体" w:hAnsi="宋体" w:eastAsia="宋体" w:cs="宋体"/>
          <w:b/>
          <w:color w:val="auto"/>
          <w:sz w:val="44"/>
          <w:szCs w:val="44"/>
          <w:highlight w:val="none"/>
        </w:rPr>
      </w:pPr>
    </w:p>
    <w:p w14:paraId="4CED67BF">
      <w:pPr>
        <w:shd w:val="clear"/>
        <w:ind w:firstLine="480"/>
        <w:rPr>
          <w:rFonts w:hint="eastAsia" w:ascii="宋体" w:hAnsi="宋体" w:eastAsia="宋体" w:cs="宋体"/>
          <w:color w:val="auto"/>
          <w:highlight w:val="none"/>
        </w:rPr>
      </w:pPr>
    </w:p>
    <w:p w14:paraId="0D0579C0">
      <w:pPr>
        <w:shd w:val="clear"/>
        <w:ind w:firstLine="480"/>
        <w:rPr>
          <w:rFonts w:hint="eastAsia" w:ascii="宋体" w:hAnsi="宋体" w:eastAsia="宋体" w:cs="宋体"/>
          <w:color w:val="auto"/>
          <w:highlight w:val="none"/>
        </w:rPr>
      </w:pPr>
    </w:p>
    <w:p w14:paraId="576E216B">
      <w:pPr>
        <w:shd w:val="clear"/>
        <w:spacing w:line="240" w:lineRule="auto"/>
        <w:ind w:firstLine="0" w:firstLineChars="0"/>
        <w:jc w:val="center"/>
        <w:rPr>
          <w:rFonts w:hint="eastAsia" w:ascii="宋体" w:hAnsi="宋体" w:eastAsia="宋体" w:cs="宋体"/>
          <w:b/>
          <w:bCs/>
          <w:color w:val="auto"/>
          <w:sz w:val="72"/>
          <w:szCs w:val="72"/>
          <w:highlight w:val="none"/>
        </w:rPr>
      </w:pPr>
    </w:p>
    <w:p w14:paraId="0C5F0556">
      <w:pPr>
        <w:shd w:val="clear"/>
        <w:spacing w:line="240" w:lineRule="auto"/>
        <w:ind w:firstLine="0" w:firstLineChars="0"/>
        <w:jc w:val="center"/>
        <w:outlineLvl w:val="9"/>
        <w:rPr>
          <w:rFonts w:hint="eastAsia" w:ascii="宋体" w:hAnsi="宋体" w:eastAsia="宋体" w:cs="宋体"/>
          <w:b/>
          <w:bCs/>
          <w:color w:val="auto"/>
          <w:sz w:val="72"/>
          <w:szCs w:val="72"/>
          <w:highlight w:val="none"/>
        </w:rPr>
      </w:pPr>
      <w:bookmarkStart w:id="1365" w:name="_Toc1266"/>
      <w:bookmarkStart w:id="1366" w:name="_Toc28487"/>
      <w:bookmarkStart w:id="1367" w:name="_Toc13471"/>
      <w:bookmarkStart w:id="1368" w:name="_Toc3072"/>
      <w:bookmarkStart w:id="1369" w:name="_Toc3004"/>
      <w:bookmarkStart w:id="1370" w:name="_Toc24965"/>
      <w:bookmarkStart w:id="1371" w:name="_Toc9615"/>
      <w:bookmarkStart w:id="1372" w:name="_Toc30482"/>
      <w:bookmarkStart w:id="1373" w:name="_Toc10973"/>
      <w:bookmarkStart w:id="1374" w:name="_Toc3356"/>
      <w:bookmarkStart w:id="1375" w:name="_Toc6503"/>
      <w:bookmarkStart w:id="1376" w:name="_Toc7133"/>
      <w:bookmarkStart w:id="1377" w:name="_Toc6549"/>
      <w:bookmarkStart w:id="1378" w:name="_Toc21130"/>
      <w:bookmarkStart w:id="1379" w:name="_Toc25413"/>
      <w:bookmarkStart w:id="1380" w:name="_Toc763"/>
      <w:bookmarkStart w:id="1381" w:name="_Toc17103"/>
      <w:bookmarkStart w:id="1382" w:name="_Toc8823"/>
      <w:bookmarkStart w:id="1383" w:name="_Toc28094"/>
      <w:bookmarkStart w:id="1384" w:name="_Toc7385"/>
      <w:bookmarkStart w:id="1385" w:name="_Toc32671"/>
      <w:bookmarkStart w:id="1386" w:name="_Toc20930"/>
      <w:bookmarkStart w:id="1387" w:name="_Toc22676"/>
      <w:bookmarkStart w:id="1388" w:name="_Toc3909"/>
      <w:bookmarkStart w:id="1389" w:name="_Toc1679"/>
      <w:bookmarkStart w:id="1390" w:name="_Toc12971"/>
      <w:bookmarkStart w:id="1391" w:name="_Toc19225"/>
      <w:bookmarkStart w:id="1392" w:name="_Toc9452"/>
      <w:bookmarkStart w:id="1393" w:name="_Toc32422"/>
      <w:bookmarkStart w:id="1394" w:name="_Toc18988"/>
      <w:bookmarkStart w:id="1395" w:name="_Toc9382"/>
      <w:bookmarkStart w:id="1396" w:name="_Toc13778"/>
      <w:bookmarkStart w:id="1397" w:name="_Toc20980"/>
      <w:bookmarkStart w:id="1398" w:name="_Toc14717"/>
      <w:bookmarkStart w:id="1399" w:name="_Toc23683"/>
      <w:bookmarkStart w:id="1400" w:name="_Toc1203"/>
      <w:bookmarkStart w:id="1401" w:name="_Toc1119"/>
      <w:bookmarkStart w:id="1402" w:name="_Toc27148"/>
      <w:bookmarkStart w:id="1403" w:name="_Toc29862"/>
      <w:bookmarkStart w:id="1404" w:name="_Toc14388"/>
      <w:bookmarkStart w:id="1405" w:name="_Toc25155"/>
    </w:p>
    <w:p w14:paraId="70EC1CA4">
      <w:pPr>
        <w:pStyle w:val="4"/>
        <w:numPr>
          <w:ilvl w:val="1"/>
          <w:numId w:val="0"/>
        </w:numPr>
        <w:shd w:val="clear"/>
        <w:ind w:left="575" w:leftChars="0"/>
        <w:jc w:val="both"/>
        <w:outlineLvl w:val="9"/>
        <w:rPr>
          <w:rFonts w:hint="eastAsia" w:ascii="宋体" w:hAnsi="宋体" w:eastAsia="宋体" w:cs="宋体"/>
          <w:color w:val="auto"/>
          <w:highlight w:val="none"/>
        </w:rPr>
      </w:pPr>
    </w:p>
    <w:p w14:paraId="7BDA7846">
      <w:pPr>
        <w:shd w:val="clear"/>
        <w:spacing w:line="240" w:lineRule="auto"/>
        <w:ind w:firstLine="0" w:firstLineChars="0"/>
        <w:jc w:val="center"/>
        <w:outlineLvl w:val="1"/>
        <w:rPr>
          <w:rFonts w:hint="eastAsia" w:ascii="宋体" w:hAnsi="宋体" w:eastAsia="宋体" w:cs="宋体"/>
          <w:b/>
          <w:bCs/>
          <w:color w:val="auto"/>
          <w:sz w:val="72"/>
          <w:szCs w:val="72"/>
          <w:highlight w:val="none"/>
        </w:rPr>
      </w:pPr>
      <w:bookmarkStart w:id="1406" w:name="_Toc11098"/>
      <w:bookmarkStart w:id="1407" w:name="_Toc15882"/>
      <w:bookmarkStart w:id="1408" w:name="_Toc15272"/>
      <w:bookmarkStart w:id="1409" w:name="_Toc28255"/>
      <w:bookmarkStart w:id="1410" w:name="_Toc7038"/>
      <w:r>
        <w:rPr>
          <w:rFonts w:hint="eastAsia" w:ascii="宋体" w:hAnsi="宋体" w:eastAsia="宋体" w:cs="宋体"/>
          <w:b/>
          <w:bCs/>
          <w:color w:val="auto"/>
          <w:sz w:val="72"/>
          <w:szCs w:val="72"/>
          <w:highlight w:val="none"/>
        </w:rPr>
        <w:t>资格审查文件</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2ABA6145">
      <w:pPr>
        <w:shd w:val="clear"/>
        <w:spacing w:line="240" w:lineRule="auto"/>
        <w:ind w:firstLine="883"/>
        <w:jc w:val="center"/>
        <w:rPr>
          <w:rFonts w:hint="eastAsia" w:ascii="宋体" w:hAnsi="宋体" w:eastAsia="宋体" w:cs="宋体"/>
          <w:b/>
          <w:bCs/>
          <w:color w:val="auto"/>
          <w:sz w:val="44"/>
          <w:szCs w:val="44"/>
          <w:highlight w:val="none"/>
        </w:rPr>
      </w:pPr>
    </w:p>
    <w:p w14:paraId="5EDF4F07">
      <w:pPr>
        <w:shd w:val="clear"/>
        <w:ind w:firstLine="0" w:firstLineChars="0"/>
        <w:rPr>
          <w:rFonts w:hint="eastAsia" w:ascii="宋体" w:hAnsi="宋体" w:eastAsia="宋体" w:cs="宋体"/>
          <w:color w:val="auto"/>
          <w:highlight w:val="none"/>
        </w:rPr>
      </w:pPr>
    </w:p>
    <w:p w14:paraId="10ED3B16">
      <w:pPr>
        <w:pStyle w:val="39"/>
        <w:shd w:val="clear"/>
        <w:ind w:left="0" w:leftChars="0" w:firstLine="0" w:firstLineChars="0"/>
        <w:rPr>
          <w:rFonts w:hint="eastAsia" w:ascii="宋体" w:hAnsi="宋体" w:eastAsia="宋体" w:cs="宋体"/>
          <w:color w:val="auto"/>
          <w:highlight w:val="none"/>
        </w:rPr>
      </w:pPr>
    </w:p>
    <w:p w14:paraId="3DA24FD5">
      <w:pPr>
        <w:shd w:val="clear"/>
        <w:ind w:firstLine="0" w:firstLineChars="0"/>
        <w:rPr>
          <w:rFonts w:hint="eastAsia" w:ascii="宋体" w:hAnsi="宋体" w:eastAsia="宋体" w:cs="宋体"/>
          <w:color w:val="auto"/>
          <w:highlight w:val="none"/>
        </w:rPr>
      </w:pPr>
    </w:p>
    <w:p w14:paraId="7F606738">
      <w:pPr>
        <w:pStyle w:val="21"/>
        <w:shd w:val="clear"/>
        <w:ind w:firstLine="480"/>
        <w:rPr>
          <w:rFonts w:hint="eastAsia" w:ascii="宋体" w:hAnsi="宋体" w:eastAsia="宋体" w:cs="宋体"/>
          <w:color w:val="auto"/>
          <w:highlight w:val="none"/>
        </w:rPr>
      </w:pPr>
    </w:p>
    <w:p w14:paraId="423CFAB9">
      <w:pPr>
        <w:shd w:val="clear"/>
        <w:ind w:firstLine="0" w:firstLineChars="0"/>
        <w:rPr>
          <w:rFonts w:hint="eastAsia" w:ascii="宋体" w:hAnsi="宋体" w:eastAsia="宋体" w:cs="宋体"/>
          <w:color w:val="auto"/>
          <w:highlight w:val="none"/>
        </w:rPr>
      </w:pPr>
    </w:p>
    <w:p w14:paraId="2AB6D097">
      <w:pPr>
        <w:pStyle w:val="23"/>
        <w:shd w:val="clear"/>
        <w:ind w:left="960" w:hanging="480"/>
        <w:rPr>
          <w:rFonts w:hint="eastAsia" w:ascii="宋体" w:hAnsi="宋体" w:eastAsia="宋体" w:cs="宋体"/>
          <w:color w:val="auto"/>
          <w:highlight w:val="none"/>
        </w:rPr>
      </w:pPr>
    </w:p>
    <w:p w14:paraId="1D9810BD">
      <w:pPr>
        <w:shd w:val="clear"/>
        <w:spacing w:line="360" w:lineRule="auto"/>
        <w:ind w:firstLine="64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项目编号：</w:t>
      </w:r>
      <w:r>
        <w:rPr>
          <w:rFonts w:hint="eastAsia" w:ascii="宋体" w:hAnsi="宋体" w:cs="宋体"/>
          <w:color w:val="auto"/>
          <w:sz w:val="32"/>
          <w:highlight w:val="none"/>
          <w:u w:val="single"/>
          <w:lang w:eastAsia="zh-CN"/>
        </w:rPr>
        <w:t>LYCG2025XCX-004</w:t>
      </w:r>
      <w:r>
        <w:rPr>
          <w:rFonts w:hint="eastAsia" w:ascii="宋体" w:hAnsi="宋体" w:eastAsia="宋体" w:cs="宋体"/>
          <w:color w:val="auto"/>
          <w:sz w:val="32"/>
          <w:highlight w:val="none"/>
          <w:u w:val="single"/>
        </w:rPr>
        <w:t xml:space="preserve">                    </w:t>
      </w:r>
    </w:p>
    <w:p w14:paraId="16214129">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投 标 人：</w:t>
      </w:r>
      <w:r>
        <w:rPr>
          <w:rFonts w:hint="eastAsia" w:ascii="宋体" w:hAnsi="宋体" w:eastAsia="宋体" w:cs="宋体"/>
          <w:color w:val="auto"/>
          <w:sz w:val="32"/>
          <w:highlight w:val="none"/>
          <w:u w:val="single"/>
        </w:rPr>
        <w:t xml:space="preserve">        （全称）（加盖公章）          </w:t>
      </w:r>
    </w:p>
    <w:p w14:paraId="2DBCE011">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法定代表人或授权代表人签字或盖章：</w:t>
      </w:r>
    </w:p>
    <w:p w14:paraId="058F3B88">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供应商地址：</w:t>
      </w:r>
    </w:p>
    <w:p w14:paraId="60E7B74E">
      <w:pPr>
        <w:shd w:val="clear"/>
        <w:spacing w:line="360" w:lineRule="auto"/>
        <w:ind w:firstLine="0" w:firstLineChars="0"/>
        <w:jc w:val="center"/>
        <w:rPr>
          <w:rFonts w:hint="eastAsia" w:ascii="宋体" w:hAnsi="宋体" w:eastAsia="宋体" w:cs="宋体"/>
          <w:color w:val="auto"/>
          <w:sz w:val="32"/>
          <w:highlight w:val="none"/>
        </w:rPr>
      </w:pPr>
      <w:r>
        <w:rPr>
          <w:rFonts w:hint="eastAsia" w:ascii="宋体" w:hAnsi="宋体" w:cs="宋体"/>
          <w:color w:val="auto"/>
          <w:sz w:val="32"/>
          <w:highlight w:val="none"/>
          <w:lang w:eastAsia="zh-CN"/>
        </w:rPr>
        <w:t>二  〇 二 五</w:t>
      </w:r>
      <w:r>
        <w:rPr>
          <w:rFonts w:hint="eastAsia" w:ascii="宋体" w:hAnsi="宋体" w:eastAsia="宋体" w:cs="宋体"/>
          <w:color w:val="auto"/>
          <w:sz w:val="32"/>
          <w:highlight w:val="none"/>
        </w:rPr>
        <w:t>年    月    日</w:t>
      </w:r>
      <w:bookmarkStart w:id="1411" w:name="_Toc20500"/>
      <w:bookmarkStart w:id="1412" w:name="_Toc5390"/>
      <w:bookmarkStart w:id="1413" w:name="_Toc8186"/>
      <w:bookmarkStart w:id="1414" w:name="_Toc213"/>
      <w:bookmarkStart w:id="1415" w:name="_Toc21837"/>
      <w:bookmarkStart w:id="1416" w:name="_Toc11131"/>
      <w:bookmarkStart w:id="1417" w:name="_Toc32139"/>
      <w:bookmarkStart w:id="1418" w:name="_Toc8510"/>
      <w:bookmarkStart w:id="1419" w:name="_Toc444"/>
      <w:bookmarkStart w:id="1420" w:name="_Toc8370"/>
      <w:bookmarkStart w:id="1421" w:name="_Toc24235"/>
      <w:bookmarkStart w:id="1422" w:name="_Toc32042"/>
      <w:bookmarkStart w:id="1423" w:name="_Toc25911"/>
      <w:bookmarkStart w:id="1424" w:name="_Toc12249"/>
      <w:bookmarkStart w:id="1425" w:name="_Toc10995"/>
      <w:bookmarkStart w:id="1426" w:name="_Toc9011"/>
      <w:bookmarkStart w:id="1427" w:name="_Toc7464"/>
      <w:bookmarkStart w:id="1428" w:name="_Toc11906"/>
      <w:bookmarkStart w:id="1429" w:name="_Toc10122"/>
      <w:bookmarkStart w:id="1430" w:name="_Toc11776"/>
      <w:bookmarkStart w:id="1431" w:name="_Toc30078"/>
      <w:bookmarkStart w:id="1432" w:name="_Toc8034"/>
      <w:bookmarkStart w:id="1433" w:name="_Toc12291"/>
      <w:bookmarkStart w:id="1434" w:name="_Toc1232"/>
      <w:bookmarkStart w:id="1435" w:name="_Toc5606"/>
      <w:bookmarkStart w:id="1436" w:name="_Toc4371"/>
      <w:bookmarkStart w:id="1437" w:name="_Toc4036"/>
      <w:bookmarkStart w:id="1438" w:name="_Toc15730"/>
      <w:bookmarkStart w:id="1439" w:name="_Toc32566"/>
      <w:bookmarkStart w:id="1440" w:name="_Toc17387"/>
      <w:bookmarkStart w:id="1441" w:name="_Toc17255"/>
      <w:bookmarkStart w:id="1442" w:name="_Toc20539"/>
      <w:bookmarkStart w:id="1443" w:name="_Toc7719"/>
      <w:bookmarkStart w:id="1444" w:name="_Toc8060"/>
      <w:bookmarkStart w:id="1445" w:name="_Toc19203"/>
      <w:bookmarkStart w:id="1446" w:name="_Toc30313"/>
      <w:bookmarkStart w:id="1447" w:name="_Toc20081"/>
      <w:bookmarkStart w:id="1448" w:name="_Toc28787"/>
      <w:bookmarkStart w:id="1449" w:name="_Toc20801"/>
      <w:bookmarkStart w:id="1450" w:name="_Toc5796"/>
      <w:bookmarkStart w:id="1451" w:name="_Toc12011"/>
      <w:bookmarkStart w:id="1452" w:name="_Toc29376"/>
      <w:bookmarkStart w:id="1453" w:name="_Toc17940_WPSOffice_Level1"/>
      <w:bookmarkStart w:id="1454" w:name="_Toc4899"/>
      <w:bookmarkStart w:id="1455" w:name="_Toc6738"/>
      <w:bookmarkStart w:id="1456" w:name="_Toc4948_WPSOffice_Level1"/>
      <w:bookmarkStart w:id="1457" w:name="_Toc29011"/>
      <w:bookmarkStart w:id="1458" w:name="_Toc17197"/>
      <w:bookmarkStart w:id="1459" w:name="_Toc15895"/>
      <w:bookmarkStart w:id="1460" w:name="_Toc7492_WPSOffice_Level1"/>
    </w:p>
    <w:p w14:paraId="253ADD39">
      <w:pPr>
        <w:shd w:val="clear"/>
        <w:spacing w:line="360" w:lineRule="auto"/>
        <w:ind w:firstLine="0" w:firstLineChars="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附件1</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01D9F604">
      <w:pPr>
        <w:shd w:val="clear"/>
        <w:ind w:firstLine="0" w:firstLineChars="0"/>
        <w:jc w:val="center"/>
        <w:rPr>
          <w:rFonts w:hint="eastAsia" w:ascii="宋体" w:hAnsi="宋体" w:eastAsia="宋体" w:cs="宋体"/>
          <w:b/>
          <w:bCs/>
          <w:color w:val="auto"/>
          <w:sz w:val="30"/>
          <w:szCs w:val="30"/>
          <w:highlight w:val="none"/>
          <w:lang w:val="en-GB"/>
        </w:rPr>
      </w:pPr>
      <w:r>
        <w:rPr>
          <w:rFonts w:hint="eastAsia" w:ascii="宋体" w:hAnsi="宋体" w:eastAsia="宋体" w:cs="宋体"/>
          <w:b/>
          <w:bCs/>
          <w:color w:val="auto"/>
          <w:sz w:val="30"/>
          <w:szCs w:val="30"/>
          <w:highlight w:val="none"/>
          <w:lang w:val="en-GB"/>
        </w:rPr>
        <w:t>供应商基本情况表</w:t>
      </w:r>
    </w:p>
    <w:tbl>
      <w:tblPr>
        <w:tblStyle w:val="41"/>
        <w:tblW w:w="97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6"/>
        <w:gridCol w:w="1189"/>
        <w:gridCol w:w="1353"/>
        <w:gridCol w:w="742"/>
        <w:gridCol w:w="543"/>
        <w:gridCol w:w="1281"/>
        <w:gridCol w:w="1101"/>
        <w:gridCol w:w="1814"/>
      </w:tblGrid>
      <w:tr w14:paraId="6E728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EE8B21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855B42E">
            <w:pPr>
              <w:keepNext w:val="0"/>
              <w:keepLines w:val="0"/>
              <w:suppressLineNumbers w:val="0"/>
              <w:shd w:val="clear"/>
              <w:snapToGrid w:val="0"/>
              <w:spacing w:before="0" w:beforeAutospacing="0" w:after="0" w:afterAutospacing="0" w:line="240" w:lineRule="auto"/>
              <w:ind w:left="0" w:right="0" w:firstLine="480"/>
              <w:rPr>
                <w:rFonts w:hint="eastAsia" w:ascii="宋体" w:hAnsi="宋体" w:eastAsia="宋体" w:cs="宋体"/>
                <w:color w:val="auto"/>
                <w:highlight w:val="none"/>
              </w:rPr>
            </w:pPr>
          </w:p>
        </w:tc>
      </w:tr>
      <w:tr w14:paraId="73360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190590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827"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C18079">
            <w:pPr>
              <w:keepNext w:val="0"/>
              <w:keepLines w:val="0"/>
              <w:suppressLineNumbers w:val="0"/>
              <w:shd w:val="clear"/>
              <w:snapToGrid w:val="0"/>
              <w:spacing w:before="0" w:beforeAutospacing="0" w:after="0" w:afterAutospacing="0" w:line="240" w:lineRule="auto"/>
              <w:ind w:left="0" w:right="0" w:firstLine="480"/>
              <w:rPr>
                <w:rFonts w:hint="eastAsia" w:ascii="宋体" w:hAnsi="宋体" w:eastAsia="宋体" w:cs="宋体"/>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EFAD34">
            <w:pPr>
              <w:keepNext w:val="0"/>
              <w:keepLines w:val="0"/>
              <w:suppressLineNumbers w:val="0"/>
              <w:shd w:val="clear"/>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51D2AA2">
            <w:pPr>
              <w:keepNext w:val="0"/>
              <w:keepLines w:val="0"/>
              <w:suppressLineNumbers w:val="0"/>
              <w:shd w:val="clear"/>
              <w:snapToGrid w:val="0"/>
              <w:spacing w:before="0" w:beforeAutospacing="0" w:after="0" w:afterAutospacing="0" w:line="240" w:lineRule="auto"/>
              <w:ind w:left="0" w:right="0" w:firstLine="480"/>
              <w:rPr>
                <w:rFonts w:hint="eastAsia" w:ascii="宋体" w:hAnsi="宋体" w:eastAsia="宋体" w:cs="宋体"/>
                <w:color w:val="auto"/>
                <w:highlight w:val="none"/>
              </w:rPr>
            </w:pPr>
          </w:p>
        </w:tc>
      </w:tr>
      <w:tr w14:paraId="632FE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0AF4DB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F0E43D5">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联 系 人</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CCF0719">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0D880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3AFC9F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4E109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right w:val="single" w:color="auto" w:sz="4" w:space="0"/>
            </w:tcBorders>
            <w:tcMar>
              <w:top w:w="113" w:type="dxa"/>
              <w:left w:w="108" w:type="dxa"/>
              <w:bottom w:w="113" w:type="dxa"/>
              <w:right w:w="108" w:type="dxa"/>
            </w:tcMar>
            <w:vAlign w:val="center"/>
          </w:tcPr>
          <w:p w14:paraId="3B4DF622">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676FE1D">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传    真</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F31C51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BC6E65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移动电话</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E48101">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9C60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3F457794">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2C40CC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电子邮箱</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E6C93A">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8F6B5E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网    址</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968C65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7AB45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8706BBA">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组织结构</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27E0296">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28315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76ED54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FB3115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5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3E705B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E4EE3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C2027A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10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4B8AA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18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99EBB26">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2FF49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6CD560D">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65EF42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5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1E78B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1C618E7">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1EC8F9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10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B12352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18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90EE3F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67B24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4108F1">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5134C56">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5481"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61D5B9E">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28F1C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428D2BB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c>
          <w:tcPr>
            <w:tcW w:w="254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ACE827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17CD5147">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32C36B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注册职业资格</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CE8049">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6D10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FA94007">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p>
        </w:tc>
        <w:tc>
          <w:tcPr>
            <w:tcW w:w="254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09E489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14:paraId="2D9721F7">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A0D20C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高级职称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59DE611">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0EB5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DAC5D50">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注册资本</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C6A4C89">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14:paraId="1D9E9BE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493FC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中级职称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F1620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0D439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EBBBB3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41A56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14:paraId="18F8C23D">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10025FD">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初级职称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A3D57F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263D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C05A8B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账    号</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453E69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5A3E005">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4C2AFC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其    他</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254B55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5F5E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69B860">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7E06D4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p w14:paraId="5F5FFB1E">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p>
          <w:p w14:paraId="2ED51149">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bl>
    <w:p w14:paraId="55F0D297">
      <w:pPr>
        <w:shd w:val="clear"/>
        <w:ind w:firstLine="0" w:firstLineChars="0"/>
        <w:jc w:val="center"/>
        <w:rPr>
          <w:rFonts w:hint="eastAsia" w:ascii="宋体" w:hAnsi="宋体" w:eastAsia="宋体" w:cs="宋体"/>
          <w:b/>
          <w:bCs/>
          <w:color w:val="auto"/>
          <w:sz w:val="30"/>
          <w:szCs w:val="30"/>
          <w:highlight w:val="none"/>
        </w:rPr>
      </w:pPr>
    </w:p>
    <w:p w14:paraId="4A7354AF">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供应商全称（盖章）：                         </w:t>
      </w:r>
    </w:p>
    <w:p w14:paraId="7471F21C">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494DA500">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600BAF9D">
      <w:pPr>
        <w:shd w:val="clear"/>
        <w:ind w:firstLine="0" w:firstLineChars="0"/>
        <w:jc w:val="left"/>
        <w:rPr>
          <w:rFonts w:hint="eastAsia" w:ascii="宋体" w:hAnsi="宋体" w:eastAsia="宋体" w:cs="宋体"/>
          <w:b/>
          <w:bCs/>
          <w:color w:val="auto"/>
          <w:highlight w:val="none"/>
        </w:rPr>
      </w:pPr>
      <w:bookmarkStart w:id="1461" w:name="_Toc28874"/>
      <w:bookmarkStart w:id="1462" w:name="_Toc54"/>
      <w:bookmarkStart w:id="1463" w:name="_Toc14816"/>
      <w:bookmarkStart w:id="1464" w:name="_Toc11875"/>
      <w:bookmarkStart w:id="1465" w:name="_Toc675"/>
      <w:bookmarkStart w:id="1466" w:name="_Toc13190"/>
      <w:bookmarkStart w:id="1467" w:name="_Toc24787"/>
      <w:bookmarkStart w:id="1468" w:name="_Toc7082"/>
      <w:bookmarkStart w:id="1469" w:name="_Toc32311"/>
      <w:bookmarkStart w:id="1470" w:name="_Toc2572"/>
      <w:bookmarkStart w:id="1471" w:name="_Toc6689"/>
      <w:bookmarkStart w:id="1472" w:name="_Toc18350"/>
      <w:bookmarkStart w:id="1473" w:name="_Toc2533"/>
      <w:bookmarkStart w:id="1474" w:name="_Toc27191"/>
      <w:bookmarkStart w:id="1475" w:name="_Toc24391"/>
      <w:bookmarkStart w:id="1476" w:name="_Toc11824"/>
      <w:bookmarkStart w:id="1477" w:name="_Toc11920"/>
      <w:bookmarkStart w:id="1478" w:name="_Toc11280"/>
      <w:bookmarkStart w:id="1479" w:name="_Toc28692"/>
    </w:p>
    <w:p w14:paraId="544D55DD">
      <w:pPr>
        <w:shd w:val="clear"/>
        <w:ind w:firstLine="0" w:firstLineChars="0"/>
        <w:jc w:val="left"/>
        <w:rPr>
          <w:rFonts w:hint="eastAsia" w:ascii="宋体" w:hAnsi="宋体" w:eastAsia="宋体" w:cs="宋体"/>
          <w:b/>
          <w:bCs/>
          <w:color w:val="auto"/>
          <w:highlight w:val="none"/>
        </w:rPr>
      </w:pPr>
    </w:p>
    <w:p w14:paraId="59A7DAA5">
      <w:pPr>
        <w:shd w:val="clear"/>
        <w:ind w:firstLine="0" w:firstLineChars="0"/>
        <w:jc w:val="left"/>
        <w:rPr>
          <w:rFonts w:hint="eastAsia" w:ascii="宋体" w:hAnsi="宋体" w:eastAsia="宋体" w:cs="宋体"/>
          <w:b/>
          <w:bCs/>
          <w:color w:val="auto"/>
          <w:highlight w:val="none"/>
        </w:rPr>
      </w:pPr>
    </w:p>
    <w:p w14:paraId="7C5D18B0">
      <w:pPr>
        <w:shd w:val="clear"/>
        <w:ind w:firstLine="0" w:firstLineChars="0"/>
        <w:jc w:val="left"/>
        <w:rPr>
          <w:rFonts w:hint="eastAsia" w:ascii="宋体" w:hAnsi="宋体" w:eastAsia="宋体" w:cs="宋体"/>
          <w:b/>
          <w:bCs/>
          <w:color w:val="auto"/>
          <w:highlight w:val="none"/>
        </w:rPr>
      </w:pPr>
      <w:bookmarkStart w:id="1480" w:name="_Toc32586"/>
    </w:p>
    <w:p w14:paraId="5A16E5A1">
      <w:pPr>
        <w:shd w:val="clear"/>
        <w:ind w:firstLine="0" w:firstLineChars="0"/>
        <w:jc w:val="left"/>
        <w:outlineLvl w:val="1"/>
        <w:rPr>
          <w:rFonts w:hint="eastAsia" w:ascii="宋体" w:hAnsi="宋体" w:eastAsia="宋体" w:cs="宋体"/>
          <w:b/>
          <w:bCs/>
          <w:color w:val="auto"/>
          <w:sz w:val="30"/>
          <w:szCs w:val="30"/>
          <w:highlight w:val="none"/>
        </w:rPr>
      </w:pPr>
      <w:bookmarkStart w:id="1481" w:name="_Toc13270"/>
      <w:bookmarkStart w:id="1482" w:name="_Toc1629"/>
      <w:bookmarkStart w:id="1483" w:name="_Toc7894"/>
      <w:bookmarkStart w:id="1484" w:name="_Toc26663"/>
      <w:bookmarkStart w:id="1485" w:name="_Toc24941"/>
      <w:bookmarkStart w:id="1486" w:name="_Toc30863"/>
      <w:bookmarkStart w:id="1487" w:name="_Toc18783"/>
      <w:bookmarkStart w:id="1488" w:name="_Toc16143"/>
      <w:bookmarkStart w:id="1489" w:name="_Toc29986"/>
      <w:bookmarkStart w:id="1490" w:name="_Toc8652"/>
      <w:bookmarkStart w:id="1491" w:name="_Toc11480"/>
      <w:bookmarkStart w:id="1492" w:name="_Toc984"/>
      <w:bookmarkStart w:id="1493" w:name="_Toc22502"/>
      <w:r>
        <w:rPr>
          <w:rFonts w:hint="eastAsia" w:ascii="宋体" w:hAnsi="宋体" w:eastAsia="宋体" w:cs="宋体"/>
          <w:b/>
          <w:bCs/>
          <w:color w:val="auto"/>
          <w:highlight w:val="none"/>
        </w:rPr>
        <w:t>附件2</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77AF1A62">
      <w:pPr>
        <w:shd w:val="clear"/>
        <w:ind w:firstLine="0" w:firstLineChars="0"/>
        <w:jc w:val="center"/>
        <w:rPr>
          <w:rFonts w:hint="eastAsia" w:ascii="宋体" w:hAnsi="宋体" w:eastAsia="宋体" w:cs="宋体"/>
          <w:b/>
          <w:bCs/>
          <w:color w:val="auto"/>
          <w:sz w:val="30"/>
          <w:szCs w:val="30"/>
          <w:highlight w:val="none"/>
          <w:lang w:val="en-GB"/>
        </w:rPr>
      </w:pPr>
      <w:bookmarkStart w:id="1494" w:name="_Toc22805"/>
      <w:bookmarkStart w:id="1495" w:name="_Toc30725"/>
      <w:r>
        <w:rPr>
          <w:rFonts w:hint="eastAsia" w:ascii="宋体" w:hAnsi="宋体" w:eastAsia="宋体" w:cs="宋体"/>
          <w:b/>
          <w:bCs/>
          <w:color w:val="auto"/>
          <w:sz w:val="30"/>
          <w:szCs w:val="30"/>
          <w:highlight w:val="none"/>
          <w:lang w:val="en-GB"/>
        </w:rPr>
        <w:t>符合参加国企采购活动应当具备的一般条件的承诺函</w:t>
      </w:r>
      <w:bookmarkEnd w:id="1494"/>
      <w:bookmarkEnd w:id="1495"/>
    </w:p>
    <w:p w14:paraId="5507B29F">
      <w:pPr>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w:t>
      </w:r>
      <w:r>
        <w:rPr>
          <w:rFonts w:hint="eastAsia" w:ascii="宋体" w:hAnsi="宋体" w:eastAsia="宋体" w:cs="宋体"/>
          <w:color w:val="auto"/>
          <w:highlight w:val="none"/>
        </w:rPr>
        <w:t>：</w:t>
      </w:r>
    </w:p>
    <w:p w14:paraId="63CD863C">
      <w:pPr>
        <w:pStyle w:val="36"/>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我方参加</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rPr>
        <w:t>国企采购活动，郑重承诺：</w:t>
      </w:r>
    </w:p>
    <w:p w14:paraId="35DE6332">
      <w:pPr>
        <w:pStyle w:val="36"/>
        <w:shd w:val="clear"/>
        <w:spacing w:line="360" w:lineRule="auto"/>
        <w:ind w:firstLine="480"/>
        <w:outlineLvl w:val="1"/>
        <w:rPr>
          <w:rFonts w:hint="eastAsia" w:ascii="宋体" w:hAnsi="宋体" w:eastAsia="宋体" w:cs="宋体"/>
          <w:color w:val="auto"/>
          <w:highlight w:val="none"/>
        </w:rPr>
      </w:pPr>
      <w:bookmarkStart w:id="1496" w:name="_Toc9122"/>
      <w:bookmarkStart w:id="1497" w:name="_Toc19682"/>
      <w:bookmarkStart w:id="1498" w:name="_Toc1673"/>
      <w:bookmarkStart w:id="1499" w:name="_Toc29125"/>
      <w:bookmarkStart w:id="1500" w:name="_Toc12442"/>
      <w:bookmarkStart w:id="1501" w:name="_Toc30342"/>
      <w:bookmarkStart w:id="1502" w:name="_Toc30156"/>
      <w:bookmarkStart w:id="1503" w:name="_Toc29987"/>
      <w:bookmarkStart w:id="1504" w:name="_Toc16964"/>
      <w:bookmarkStart w:id="1505" w:name="_Toc28514"/>
      <w:bookmarkStart w:id="1506" w:name="_Toc21843"/>
      <w:bookmarkStart w:id="1507" w:name="_Toc11532"/>
      <w:bookmarkStart w:id="1508" w:name="_Toc1454"/>
      <w:bookmarkStart w:id="1509" w:name="_Toc25013"/>
      <w:bookmarkStart w:id="1510" w:name="_Toc3835"/>
      <w:r>
        <w:rPr>
          <w:rFonts w:hint="eastAsia" w:ascii="宋体" w:hAnsi="宋体" w:eastAsia="宋体" w:cs="宋体"/>
          <w:color w:val="auto"/>
          <w:highlight w:val="none"/>
        </w:rPr>
        <w:t>一、符合《中华人民共和国政府采购法》第二十二条规定的条件：</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6AFE65F0">
      <w:pPr>
        <w:pStyle w:val="36"/>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3F6FE370">
      <w:pPr>
        <w:pStyle w:val="36"/>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15B219A">
      <w:pPr>
        <w:pStyle w:val="36"/>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587DC388">
      <w:pPr>
        <w:pStyle w:val="36"/>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68F892F8">
      <w:pPr>
        <w:pStyle w:val="36"/>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5.参加国企采购活动前三年内，在经营活动中没有重大违法记录；</w:t>
      </w:r>
    </w:p>
    <w:p w14:paraId="4B56A32B">
      <w:pPr>
        <w:pStyle w:val="36"/>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6.具有法律、行政法规规定的其他条件。</w:t>
      </w:r>
    </w:p>
    <w:p w14:paraId="46067B7A">
      <w:pPr>
        <w:shd w:val="clear"/>
        <w:adjustRightInd w:val="0"/>
        <w:snapToGrid w:val="0"/>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二、未被“信用中国”（www.creditchina.gov.cn)、中国政府采购网（www.ccgp.gov.cn）列入失信被执行人、重大税收违法案件当事人名单、政府采购严重违法失信行为记录名单。</w:t>
      </w:r>
    </w:p>
    <w:p w14:paraId="0D5148D2">
      <w:pPr>
        <w:pStyle w:val="36"/>
        <w:shd w:val="clear"/>
        <w:spacing w:line="360" w:lineRule="auto"/>
        <w:ind w:firstLine="480"/>
        <w:outlineLvl w:val="1"/>
        <w:rPr>
          <w:rFonts w:hint="eastAsia" w:ascii="宋体" w:hAnsi="宋体" w:eastAsia="宋体" w:cs="宋体"/>
          <w:color w:val="auto"/>
          <w:highlight w:val="none"/>
        </w:rPr>
      </w:pPr>
      <w:bookmarkStart w:id="1511" w:name="_Toc23243"/>
      <w:bookmarkStart w:id="1512" w:name="_Toc5546"/>
      <w:bookmarkStart w:id="1513" w:name="_Toc234"/>
      <w:bookmarkStart w:id="1514" w:name="_Toc12965"/>
      <w:bookmarkStart w:id="1515" w:name="_Toc7014"/>
      <w:bookmarkStart w:id="1516" w:name="_Toc13844"/>
      <w:bookmarkStart w:id="1517" w:name="_Toc23111"/>
      <w:bookmarkStart w:id="1518" w:name="_Toc24871"/>
      <w:bookmarkStart w:id="1519" w:name="_Toc22036"/>
      <w:bookmarkStart w:id="1520" w:name="_Toc10962"/>
      <w:bookmarkStart w:id="1521" w:name="_Toc8236"/>
      <w:bookmarkStart w:id="1522" w:name="_Toc5539"/>
      <w:bookmarkStart w:id="1523" w:name="_Toc6507"/>
      <w:bookmarkStart w:id="1524" w:name="_Toc26374"/>
      <w:bookmarkStart w:id="1525" w:name="_Toc19560"/>
      <w:r>
        <w:rPr>
          <w:rFonts w:hint="eastAsia" w:ascii="宋体" w:hAnsi="宋体" w:eastAsia="宋体" w:cs="宋体"/>
          <w:color w:val="auto"/>
          <w:highlight w:val="none"/>
        </w:rPr>
        <w:t>三、没有下列情形：</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14:paraId="35D9E4F5">
      <w:pPr>
        <w:pStyle w:val="36"/>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单位负责人为同一人或者存在直接控股、管理关系的不同供应商参加同一合同项下的国企采购活动的；</w:t>
      </w:r>
    </w:p>
    <w:p w14:paraId="02370538">
      <w:pPr>
        <w:pStyle w:val="36"/>
        <w:shd w:val="clear"/>
        <w:spacing w:line="360" w:lineRule="auto"/>
        <w:ind w:firstLine="480"/>
        <w:rPr>
          <w:rFonts w:hint="eastAsia" w:ascii="宋体" w:hAnsi="宋体" w:eastAsia="宋体" w:cs="宋体"/>
          <w:color w:val="auto"/>
          <w:highlight w:val="none"/>
        </w:rPr>
      </w:pPr>
    </w:p>
    <w:p w14:paraId="349EFE42">
      <w:pPr>
        <w:pStyle w:val="36"/>
        <w:shd w:val="clea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highlight w:val="none"/>
        </w:rPr>
        <w:t>我方对上述承诺的内容事项真实性负责，如有虚假，由我方承担相关法律责任。</w:t>
      </w:r>
    </w:p>
    <w:p w14:paraId="2EB7D66D">
      <w:pPr>
        <w:shd w:val="clear"/>
        <w:ind w:firstLine="4320" w:firstLineChars="1800"/>
        <w:rPr>
          <w:rFonts w:hint="eastAsia" w:ascii="宋体" w:hAnsi="宋体" w:eastAsia="宋体" w:cs="宋体"/>
          <w:color w:val="auto"/>
          <w:highlight w:val="none"/>
        </w:rPr>
      </w:pPr>
    </w:p>
    <w:p w14:paraId="5EA71175">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供应商全称（盖章）：                         </w:t>
      </w:r>
    </w:p>
    <w:p w14:paraId="70015F08">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24E06FF8">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200B364E">
      <w:pPr>
        <w:shd w:val="clear"/>
        <w:ind w:firstLine="0" w:firstLineChars="0"/>
        <w:jc w:val="center"/>
        <w:rPr>
          <w:rFonts w:hint="eastAsia" w:ascii="宋体" w:hAnsi="宋体" w:eastAsia="宋体" w:cs="宋体"/>
          <w:b/>
          <w:bCs/>
          <w:color w:val="auto"/>
          <w:sz w:val="30"/>
          <w:szCs w:val="30"/>
          <w:highlight w:val="none"/>
        </w:rPr>
      </w:pPr>
    </w:p>
    <w:p w14:paraId="73F407FE">
      <w:pPr>
        <w:pStyle w:val="23"/>
        <w:shd w:val="clear"/>
        <w:ind w:left="1082" w:hanging="602"/>
        <w:rPr>
          <w:rFonts w:hint="eastAsia" w:ascii="宋体" w:hAnsi="宋体" w:eastAsia="宋体" w:cs="宋体"/>
          <w:b/>
          <w:bCs/>
          <w:color w:val="auto"/>
          <w:sz w:val="30"/>
          <w:szCs w:val="30"/>
          <w:highlight w:val="none"/>
        </w:rPr>
      </w:pPr>
    </w:p>
    <w:p w14:paraId="25B076FA">
      <w:pPr>
        <w:pStyle w:val="23"/>
        <w:shd w:val="clear"/>
        <w:ind w:left="1082" w:hanging="602"/>
        <w:rPr>
          <w:rFonts w:hint="eastAsia" w:ascii="宋体" w:hAnsi="宋体" w:eastAsia="宋体" w:cs="宋体"/>
          <w:b/>
          <w:bCs/>
          <w:color w:val="auto"/>
          <w:sz w:val="30"/>
          <w:szCs w:val="30"/>
          <w:highlight w:val="none"/>
        </w:rPr>
      </w:pPr>
    </w:p>
    <w:p w14:paraId="11A9E025">
      <w:pPr>
        <w:pStyle w:val="23"/>
        <w:shd w:val="clear"/>
        <w:ind w:left="0" w:leftChars="0" w:firstLine="0" w:firstLineChars="0"/>
        <w:rPr>
          <w:rFonts w:hint="eastAsia" w:ascii="宋体" w:hAnsi="宋体" w:eastAsia="宋体" w:cs="宋体"/>
          <w:b/>
          <w:bCs/>
          <w:color w:val="auto"/>
          <w:sz w:val="30"/>
          <w:szCs w:val="30"/>
          <w:highlight w:val="none"/>
        </w:rPr>
      </w:pPr>
    </w:p>
    <w:p w14:paraId="61D24AF7">
      <w:pPr>
        <w:shd w:val="clear"/>
        <w:spacing w:line="420" w:lineRule="exact"/>
        <w:ind w:firstLine="0" w:firstLineChars="0"/>
        <w:jc w:val="center"/>
        <w:rPr>
          <w:rFonts w:hint="eastAsia" w:ascii="宋体" w:hAnsi="宋体" w:eastAsia="宋体" w:cs="宋体"/>
          <w:b/>
          <w:color w:val="auto"/>
          <w:sz w:val="32"/>
          <w:szCs w:val="32"/>
          <w:highlight w:val="none"/>
        </w:rPr>
      </w:pPr>
      <w:bookmarkStart w:id="1526" w:name="_Toc6704"/>
      <w:bookmarkStart w:id="1527" w:name="_Toc13645"/>
      <w:bookmarkStart w:id="1528" w:name="_Toc16263"/>
      <w:bookmarkStart w:id="1529" w:name="_Toc29188"/>
      <w:bookmarkStart w:id="1530" w:name="_Toc1864"/>
      <w:bookmarkStart w:id="1531" w:name="_Toc11177"/>
      <w:bookmarkStart w:id="1532" w:name="_Toc23415"/>
      <w:bookmarkStart w:id="1533" w:name="_Toc15718"/>
      <w:bookmarkStart w:id="1534" w:name="_Toc2026"/>
      <w:bookmarkStart w:id="1535" w:name="_Toc23824"/>
      <w:bookmarkStart w:id="1536" w:name="_Toc3537"/>
      <w:bookmarkStart w:id="1537" w:name="_Toc21736"/>
      <w:bookmarkStart w:id="1538" w:name="_Toc3679"/>
      <w:bookmarkStart w:id="1539" w:name="_Toc26305"/>
      <w:bookmarkStart w:id="1540" w:name="_Toc21343"/>
      <w:bookmarkStart w:id="1541" w:name="_Toc31494"/>
      <w:bookmarkStart w:id="1542" w:name="_Toc694"/>
      <w:bookmarkStart w:id="1543" w:name="_Toc9266"/>
      <w:bookmarkStart w:id="1544" w:name="_Toc23844"/>
      <w:bookmarkStart w:id="1545" w:name="_Toc24544"/>
      <w:bookmarkStart w:id="1546" w:name="_Toc22777"/>
      <w:bookmarkStart w:id="1547" w:name="_Toc13161"/>
    </w:p>
    <w:p w14:paraId="632FDA81">
      <w:pPr>
        <w:shd w:val="clear"/>
        <w:spacing w:line="420" w:lineRule="exact"/>
        <w:ind w:firstLine="0" w:firstLineChars="0"/>
        <w:jc w:val="center"/>
        <w:rPr>
          <w:rFonts w:hint="eastAsia" w:ascii="宋体" w:hAnsi="宋体" w:eastAsia="宋体" w:cs="宋体"/>
          <w:b/>
          <w:color w:val="auto"/>
          <w:sz w:val="32"/>
          <w:szCs w:val="32"/>
          <w:highlight w:val="none"/>
        </w:rPr>
      </w:pPr>
    </w:p>
    <w:p w14:paraId="4BEE1A5F">
      <w:pPr>
        <w:shd w:val="clear"/>
        <w:spacing w:line="420" w:lineRule="exact"/>
        <w:ind w:firstLine="0" w:firstLineChars="0"/>
        <w:jc w:val="center"/>
        <w:rPr>
          <w:rFonts w:hint="eastAsia" w:ascii="宋体" w:hAnsi="宋体" w:eastAsia="宋体" w:cs="宋体"/>
          <w:b/>
          <w:color w:val="auto"/>
          <w:sz w:val="32"/>
          <w:szCs w:val="32"/>
          <w:highlight w:val="none"/>
        </w:rPr>
      </w:pPr>
      <w:bookmarkStart w:id="1548" w:name="_Toc32499"/>
      <w:bookmarkStart w:id="1549" w:name="_Toc1142"/>
      <w:bookmarkStart w:id="1550" w:name="_Toc3556"/>
      <w:bookmarkStart w:id="1551" w:name="_Toc26772"/>
    </w:p>
    <w:p w14:paraId="3A011FA5">
      <w:pPr>
        <w:shd w:val="clear"/>
        <w:ind w:firstLine="0" w:firstLineChars="0"/>
        <w:jc w:val="left"/>
        <w:outlineLvl w:val="1"/>
        <w:rPr>
          <w:rFonts w:hint="eastAsia" w:ascii="宋体" w:hAnsi="宋体" w:eastAsia="宋体" w:cs="宋体"/>
          <w:b/>
          <w:bCs/>
          <w:color w:val="auto"/>
          <w:sz w:val="30"/>
          <w:szCs w:val="30"/>
          <w:highlight w:val="none"/>
        </w:rPr>
      </w:pPr>
      <w:bookmarkStart w:id="1552" w:name="_Toc28232"/>
      <w:bookmarkStart w:id="1553" w:name="_Toc5926"/>
      <w:bookmarkStart w:id="1554" w:name="_Toc20104"/>
      <w:bookmarkStart w:id="1555" w:name="_Toc718"/>
      <w:bookmarkStart w:id="1556" w:name="_Toc9226"/>
      <w:bookmarkStart w:id="1557" w:name="_Toc27462"/>
      <w:bookmarkStart w:id="1558" w:name="_Toc2784"/>
      <w:bookmarkStart w:id="1559" w:name="_Toc10280"/>
      <w:bookmarkStart w:id="1560" w:name="_Toc19658"/>
      <w:bookmarkStart w:id="1561" w:name="_Toc26617"/>
      <w:bookmarkStart w:id="1562" w:name="_Toc31432"/>
      <w:bookmarkStart w:id="1563" w:name="_Toc23837"/>
      <w:bookmarkStart w:id="1564" w:name="_Toc21678"/>
      <w:bookmarkStart w:id="1565" w:name="_Toc1634"/>
      <w:bookmarkStart w:id="1566" w:name="_Toc29662"/>
      <w:bookmarkStart w:id="1567" w:name="_Toc8007"/>
      <w:bookmarkStart w:id="1568" w:name="_Toc22669"/>
      <w:bookmarkStart w:id="1569" w:name="_Toc19930"/>
      <w:bookmarkStart w:id="1570" w:name="_Toc17787"/>
      <w:bookmarkStart w:id="1571" w:name="_Toc14419"/>
      <w:bookmarkStart w:id="1572" w:name="_Toc26472"/>
      <w:bookmarkStart w:id="1573" w:name="_Toc25259"/>
      <w:bookmarkStart w:id="1574" w:name="_Toc8127"/>
      <w:bookmarkStart w:id="1575" w:name="_Toc16681"/>
      <w:bookmarkStart w:id="1576" w:name="_Toc27762"/>
      <w:bookmarkStart w:id="1577" w:name="_Toc9240"/>
      <w:bookmarkStart w:id="1578" w:name="_Toc30141"/>
      <w:bookmarkStart w:id="1579" w:name="_Toc25736"/>
      <w:bookmarkStart w:id="1580" w:name="_Toc15860"/>
      <w:bookmarkStart w:id="1581" w:name="_Toc17325"/>
      <w:r>
        <w:rPr>
          <w:rFonts w:hint="eastAsia" w:ascii="宋体" w:hAnsi="宋体" w:eastAsia="宋体" w:cs="宋体"/>
          <w:b/>
          <w:bCs/>
          <w:color w:val="auto"/>
          <w:highlight w:val="none"/>
        </w:rPr>
        <w:t>附件</w:t>
      </w:r>
      <w:bookmarkEnd w:id="1552"/>
      <w:bookmarkEnd w:id="1553"/>
      <w:bookmarkEnd w:id="1554"/>
      <w:bookmarkEnd w:id="1555"/>
      <w:bookmarkEnd w:id="1556"/>
      <w:bookmarkEnd w:id="1557"/>
      <w:bookmarkEnd w:id="1558"/>
      <w:bookmarkEnd w:id="1559"/>
      <w:bookmarkEnd w:id="1560"/>
      <w:bookmarkEnd w:id="1561"/>
      <w:r>
        <w:rPr>
          <w:rFonts w:hint="eastAsia" w:ascii="宋体" w:hAnsi="宋体" w:eastAsia="宋体" w:cs="宋体"/>
          <w:b/>
          <w:bCs/>
          <w:color w:val="auto"/>
          <w:highlight w:val="none"/>
        </w:rPr>
        <w:t>3</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0CC68FC8">
      <w:pPr>
        <w:shd w:val="clear"/>
        <w:ind w:firstLine="0" w:firstLineChars="0"/>
        <w:jc w:val="center"/>
        <w:rPr>
          <w:rFonts w:hint="eastAsia" w:ascii="宋体" w:hAnsi="宋体" w:eastAsia="宋体" w:cs="宋体"/>
          <w:b/>
          <w:bCs/>
          <w:color w:val="auto"/>
          <w:sz w:val="30"/>
          <w:szCs w:val="30"/>
          <w:highlight w:val="none"/>
          <w:lang w:val="en-GB"/>
        </w:rPr>
      </w:pPr>
      <w:r>
        <w:rPr>
          <w:rFonts w:hint="eastAsia" w:ascii="宋体" w:hAnsi="宋体" w:eastAsia="宋体" w:cs="宋体"/>
          <w:b/>
          <w:bCs/>
          <w:color w:val="auto"/>
          <w:sz w:val="30"/>
          <w:szCs w:val="30"/>
          <w:highlight w:val="none"/>
          <w:lang w:val="en-GB"/>
        </w:rPr>
        <w:t>投标函</w:t>
      </w:r>
    </w:p>
    <w:p w14:paraId="56F66DC5">
      <w:pPr>
        <w:shd w:val="clear"/>
        <w:adjustRightInd w:val="0"/>
        <w:snapToGrid w:val="0"/>
        <w:spacing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 ：</w:t>
      </w:r>
    </w:p>
    <w:p w14:paraId="2AB24B97">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(供应商全称)</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(全权代表姓名)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rPr>
        <w:t>招标的有关活动，并对此项目进行投标。为此：</w:t>
      </w:r>
    </w:p>
    <w:p w14:paraId="12587743">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1.我方同意在供应商投标须知规定的开标日期起遵守本投标书中的承诺且在投标有效期满之前均具有约束力。</w:t>
      </w:r>
    </w:p>
    <w:p w14:paraId="0115621D">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2.我方承诺已经具备《中华人民共和国政府采购法》中规定的参加国企采购活动的供应商应当具备的条件：</w:t>
      </w:r>
    </w:p>
    <w:p w14:paraId="6B333B5A">
      <w:pPr>
        <w:shd w:val="clear"/>
        <w:ind w:firstLine="480"/>
        <w:rPr>
          <w:rFonts w:hint="eastAsia" w:ascii="宋体" w:hAnsi="宋体" w:eastAsia="宋体" w:cs="宋体"/>
          <w:color w:val="auto"/>
          <w:highlight w:val="none"/>
        </w:rPr>
      </w:pPr>
      <w:bookmarkStart w:id="1582" w:name="_Toc28368_WPSOffice_Level1"/>
      <w:bookmarkStart w:id="1583" w:name="_Toc26282_WPSOffice_Level1"/>
      <w:bookmarkStart w:id="1584" w:name="_Toc28494_WPSOffice_Level1"/>
      <w:r>
        <w:rPr>
          <w:rFonts w:hint="eastAsia" w:ascii="宋体" w:hAnsi="宋体" w:eastAsia="宋体" w:cs="宋体"/>
          <w:color w:val="auto"/>
          <w:highlight w:val="none"/>
        </w:rPr>
        <w:t>(1)具有独立承担民事责任的能力；</w:t>
      </w:r>
      <w:bookmarkEnd w:id="1582"/>
      <w:bookmarkEnd w:id="1583"/>
      <w:bookmarkEnd w:id="1584"/>
    </w:p>
    <w:p w14:paraId="6DD93448">
      <w:pPr>
        <w:shd w:val="clear"/>
        <w:ind w:firstLine="480"/>
        <w:rPr>
          <w:rFonts w:hint="eastAsia" w:ascii="宋体" w:hAnsi="宋体" w:eastAsia="宋体" w:cs="宋体"/>
          <w:color w:val="auto"/>
          <w:highlight w:val="none"/>
        </w:rPr>
      </w:pPr>
      <w:bookmarkStart w:id="1585" w:name="_Toc7471_WPSOffice_Level1"/>
      <w:bookmarkStart w:id="1586" w:name="_Toc8560_WPSOffice_Level1"/>
      <w:bookmarkStart w:id="1587" w:name="_Toc3878_WPSOffice_Level1"/>
      <w:r>
        <w:rPr>
          <w:rFonts w:hint="eastAsia" w:ascii="宋体" w:hAnsi="宋体" w:eastAsia="宋体" w:cs="宋体"/>
          <w:color w:val="auto"/>
          <w:highlight w:val="none"/>
        </w:rPr>
        <w:t>(2)遵守国家法律、行政法规，具有良好的信誉和商业道德；</w:t>
      </w:r>
      <w:bookmarkEnd w:id="1585"/>
      <w:bookmarkEnd w:id="1586"/>
      <w:bookmarkEnd w:id="1587"/>
    </w:p>
    <w:p w14:paraId="7EE8AC72">
      <w:pPr>
        <w:shd w:val="clear"/>
        <w:ind w:firstLine="480"/>
        <w:rPr>
          <w:rFonts w:hint="eastAsia" w:ascii="宋体" w:hAnsi="宋体" w:eastAsia="宋体" w:cs="宋体"/>
          <w:color w:val="auto"/>
          <w:highlight w:val="none"/>
        </w:rPr>
      </w:pPr>
      <w:bookmarkStart w:id="1588" w:name="_Toc29658_WPSOffice_Level1"/>
      <w:bookmarkStart w:id="1589" w:name="_Toc19337_WPSOffice_Level1"/>
      <w:bookmarkStart w:id="1590" w:name="_Toc12874_WPSOffice_Level1"/>
      <w:r>
        <w:rPr>
          <w:rFonts w:hint="eastAsia" w:ascii="宋体" w:hAnsi="宋体" w:eastAsia="宋体" w:cs="宋体"/>
          <w:color w:val="auto"/>
          <w:highlight w:val="none"/>
        </w:rPr>
        <w:t>(3)具有履行合同的能力和良好</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履行合同记录；</w:t>
      </w:r>
      <w:bookmarkEnd w:id="1588"/>
      <w:bookmarkEnd w:id="1589"/>
      <w:bookmarkEnd w:id="1590"/>
    </w:p>
    <w:p w14:paraId="21955C8C">
      <w:pPr>
        <w:shd w:val="clear"/>
        <w:ind w:firstLine="480"/>
        <w:rPr>
          <w:rFonts w:hint="eastAsia" w:ascii="宋体" w:hAnsi="宋体" w:eastAsia="宋体" w:cs="宋体"/>
          <w:color w:val="auto"/>
          <w:highlight w:val="none"/>
        </w:rPr>
      </w:pPr>
      <w:bookmarkStart w:id="1591" w:name="_Toc23978_WPSOffice_Level1"/>
      <w:bookmarkStart w:id="1592" w:name="_Toc9908_WPSOffice_Level1"/>
      <w:bookmarkStart w:id="1593" w:name="_Toc14982_WPSOffice_Level1"/>
      <w:r>
        <w:rPr>
          <w:rFonts w:hint="eastAsia" w:ascii="宋体" w:hAnsi="宋体" w:eastAsia="宋体" w:cs="宋体"/>
          <w:color w:val="auto"/>
          <w:highlight w:val="none"/>
        </w:rPr>
        <w:t>(4)良好的资金、财务状况；</w:t>
      </w:r>
      <w:bookmarkEnd w:id="1591"/>
      <w:bookmarkEnd w:id="1592"/>
      <w:bookmarkEnd w:id="1593"/>
    </w:p>
    <w:p w14:paraId="78DA3F1B">
      <w:pPr>
        <w:shd w:val="clear"/>
        <w:ind w:firstLine="480"/>
        <w:rPr>
          <w:rFonts w:hint="eastAsia" w:ascii="宋体" w:hAnsi="宋体" w:eastAsia="宋体" w:cs="宋体"/>
          <w:color w:val="auto"/>
          <w:highlight w:val="none"/>
        </w:rPr>
      </w:pPr>
      <w:bookmarkStart w:id="1594" w:name="_Toc19486_WPSOffice_Level1"/>
      <w:bookmarkStart w:id="1595" w:name="_Toc1715_WPSOffice_Level1"/>
      <w:bookmarkStart w:id="1596" w:name="_Toc14576_WPSOffice_Level1"/>
      <w:r>
        <w:rPr>
          <w:rFonts w:hint="eastAsia" w:ascii="宋体" w:hAnsi="宋体" w:eastAsia="宋体" w:cs="宋体"/>
          <w:color w:val="auto"/>
          <w:highlight w:val="none"/>
        </w:rPr>
        <w:t>(5)提供的产品和服务符合中国政府规定的相应标准和环保标准；</w:t>
      </w:r>
      <w:bookmarkEnd w:id="1594"/>
      <w:bookmarkEnd w:id="1595"/>
      <w:bookmarkEnd w:id="1596"/>
    </w:p>
    <w:p w14:paraId="59E07524">
      <w:pPr>
        <w:shd w:val="clear"/>
        <w:ind w:firstLine="480"/>
        <w:rPr>
          <w:rFonts w:hint="eastAsia" w:ascii="宋体" w:hAnsi="宋体" w:eastAsia="宋体" w:cs="宋体"/>
          <w:color w:val="auto"/>
          <w:highlight w:val="none"/>
        </w:rPr>
      </w:pPr>
      <w:bookmarkStart w:id="1597" w:name="_Toc31563_WPSOffice_Level1"/>
      <w:bookmarkStart w:id="1598" w:name="_Toc22738_WPSOffice_Level1"/>
      <w:bookmarkStart w:id="1599" w:name="_Toc21916_WPSOffice_Level1"/>
      <w:r>
        <w:rPr>
          <w:rFonts w:hint="eastAsia" w:ascii="宋体" w:hAnsi="宋体" w:eastAsia="宋体" w:cs="宋体"/>
          <w:color w:val="auto"/>
          <w:highlight w:val="none"/>
        </w:rPr>
        <w:t>(6)没有违反国企采购法规、政策的记录；</w:t>
      </w:r>
      <w:bookmarkEnd w:id="1597"/>
      <w:bookmarkEnd w:id="1598"/>
      <w:bookmarkEnd w:id="1599"/>
    </w:p>
    <w:p w14:paraId="1F2430D5">
      <w:pPr>
        <w:shd w:val="clear"/>
        <w:ind w:firstLine="480"/>
        <w:rPr>
          <w:rFonts w:hint="eastAsia" w:ascii="宋体" w:hAnsi="宋体" w:eastAsia="宋体" w:cs="宋体"/>
          <w:color w:val="auto"/>
          <w:highlight w:val="none"/>
        </w:rPr>
      </w:pPr>
      <w:bookmarkStart w:id="1600" w:name="_Toc15073_WPSOffice_Level1"/>
      <w:bookmarkStart w:id="1601" w:name="_Toc12445_WPSOffice_Level1"/>
      <w:bookmarkStart w:id="1602" w:name="_Toc12415_WPSOffice_Level1"/>
      <w:r>
        <w:rPr>
          <w:rFonts w:hint="eastAsia" w:ascii="宋体" w:hAnsi="宋体" w:eastAsia="宋体" w:cs="宋体"/>
          <w:color w:val="auto"/>
          <w:highlight w:val="none"/>
        </w:rPr>
        <w:t>(7)没有发生重大经济纠纷和走私犯罪记录。</w:t>
      </w:r>
      <w:bookmarkEnd w:id="1600"/>
      <w:bookmarkEnd w:id="1601"/>
      <w:bookmarkEnd w:id="1602"/>
    </w:p>
    <w:p w14:paraId="440E0AC2">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3.提供编制和提交招标文件须知规定的电子投标文件，具体内容为：</w:t>
      </w:r>
    </w:p>
    <w:p w14:paraId="1936C3B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(1)资格审查文件；</w:t>
      </w:r>
    </w:p>
    <w:p w14:paraId="0E03666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资信技术</w:t>
      </w:r>
      <w:r>
        <w:rPr>
          <w:rFonts w:hint="eastAsia" w:ascii="宋体" w:hAnsi="宋体" w:eastAsia="宋体" w:cs="宋体"/>
          <w:color w:val="auto"/>
          <w:highlight w:val="none"/>
        </w:rPr>
        <w:t>文件；</w:t>
      </w:r>
    </w:p>
    <w:p w14:paraId="5873AC46">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(3)商务报价</w:t>
      </w:r>
      <w:r>
        <w:rPr>
          <w:rFonts w:hint="eastAsia" w:ascii="宋体" w:hAnsi="宋体" w:eastAsia="宋体" w:cs="宋体"/>
          <w:color w:val="auto"/>
          <w:highlight w:val="none"/>
          <w:lang w:val="zh-CN"/>
        </w:rPr>
        <w:t>文件</w:t>
      </w:r>
      <w:r>
        <w:rPr>
          <w:rFonts w:hint="eastAsia" w:ascii="宋体" w:hAnsi="宋体" w:eastAsia="宋体" w:cs="宋体"/>
          <w:color w:val="auto"/>
          <w:highlight w:val="none"/>
        </w:rPr>
        <w:t>；</w:t>
      </w:r>
    </w:p>
    <w:p w14:paraId="5466757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(4)投标须知要求供应商提交的全部文件；</w:t>
      </w:r>
    </w:p>
    <w:p w14:paraId="01F1D89E">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(5)按招标文件要求提供和交付的货物和服务的投标报价详见开标一览表；</w:t>
      </w:r>
    </w:p>
    <w:p w14:paraId="19C26B3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(6)保证忠实地执行双方所签订的合同，并承担合同规定的责任和义务；</w:t>
      </w:r>
    </w:p>
    <w:p w14:paraId="38B5C0EB">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(7)保证遵守招标文件中的其他有关规定。</w:t>
      </w:r>
    </w:p>
    <w:p w14:paraId="2819D01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4.我方完全理解贵方不一定要接受最低价的投标。</w:t>
      </w:r>
    </w:p>
    <w:p w14:paraId="0A5D493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5.我方愿意向贵方提供任何与该项投标有关的数据、情况和服务资料。若贵方需要，我方愿意提供我方</w:t>
      </w:r>
      <w:r>
        <w:rPr>
          <w:rFonts w:hint="eastAsia" w:ascii="宋体" w:hAnsi="宋体" w:eastAsia="宋体" w:cs="宋体"/>
          <w:color w:val="auto"/>
          <w:highlight w:val="none"/>
          <w:lang w:eastAsia="zh-CN"/>
        </w:rPr>
        <w:t>做出</w:t>
      </w:r>
      <w:r>
        <w:rPr>
          <w:rFonts w:hint="eastAsia" w:ascii="宋体" w:hAnsi="宋体" w:eastAsia="宋体" w:cs="宋体"/>
          <w:color w:val="auto"/>
          <w:highlight w:val="none"/>
        </w:rPr>
        <w:t>的一切承诺的证明材料。</w:t>
      </w:r>
    </w:p>
    <w:p w14:paraId="3CB2BD91">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6.我方已详细审核全部招标文件，包括招标文件修改书（如有的话）、参考资料及有关附件，确认无误。我方完全理解并接受招标文件的各项规定和要求，对招标文件的合理性、合法性不再有异议。</w:t>
      </w:r>
    </w:p>
    <w:p w14:paraId="70B9FD79">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7.我方将严格遵守《中华人民共和国政府采购法》第七十七条规定，供应商有下列情形之一的，处以采购金额5‰以上10‰以下的罚款，列入不良行为记录名单，在一至三年内禁止参加国企采购活动；有违法所得的，并处没收违法所得；情节严重的，由市场监督管理机关吊销营业执照；构成犯罪的，依法追究刑事责任：</w:t>
      </w:r>
    </w:p>
    <w:p w14:paraId="0C004F91">
      <w:pPr>
        <w:shd w:val="clear"/>
        <w:ind w:firstLine="480"/>
        <w:rPr>
          <w:rFonts w:hint="eastAsia" w:ascii="宋体" w:hAnsi="宋体" w:eastAsia="宋体" w:cs="宋体"/>
          <w:color w:val="auto"/>
          <w:highlight w:val="none"/>
        </w:rPr>
      </w:pPr>
      <w:bookmarkStart w:id="1603" w:name="_Toc25395_WPSOffice_Level1"/>
      <w:bookmarkStart w:id="1604" w:name="_Toc7856_WPSOffice_Level1"/>
      <w:bookmarkStart w:id="1605" w:name="_Toc4442_WPSOffice_Level1"/>
      <w:r>
        <w:rPr>
          <w:rFonts w:hint="eastAsia" w:ascii="宋体" w:hAnsi="宋体" w:eastAsia="宋体" w:cs="宋体"/>
          <w:color w:val="auto"/>
          <w:highlight w:val="none"/>
        </w:rPr>
        <w:t>(1)提供虚假材料谋取中标、成交的；</w:t>
      </w:r>
      <w:bookmarkEnd w:id="1603"/>
      <w:bookmarkEnd w:id="1604"/>
      <w:bookmarkEnd w:id="1605"/>
    </w:p>
    <w:p w14:paraId="57A0B152">
      <w:pPr>
        <w:shd w:val="clear"/>
        <w:ind w:firstLine="480"/>
        <w:rPr>
          <w:rFonts w:hint="eastAsia" w:ascii="宋体" w:hAnsi="宋体" w:eastAsia="宋体" w:cs="宋体"/>
          <w:color w:val="auto"/>
          <w:highlight w:val="none"/>
        </w:rPr>
      </w:pPr>
      <w:bookmarkStart w:id="1606" w:name="_Toc17583_WPSOffice_Level1"/>
      <w:bookmarkStart w:id="1607" w:name="_Toc23417_WPSOffice_Level1"/>
      <w:bookmarkStart w:id="1608" w:name="_Toc19322_WPSOffice_Level1"/>
      <w:r>
        <w:rPr>
          <w:rFonts w:hint="eastAsia" w:ascii="宋体" w:hAnsi="宋体" w:eastAsia="宋体" w:cs="宋体"/>
          <w:color w:val="auto"/>
          <w:highlight w:val="none"/>
        </w:rPr>
        <w:t>(2)采取不正当手段诋毁、排挤其他供应商的；</w:t>
      </w:r>
      <w:bookmarkEnd w:id="1606"/>
      <w:bookmarkEnd w:id="1607"/>
      <w:bookmarkEnd w:id="1608"/>
    </w:p>
    <w:p w14:paraId="45473C08">
      <w:pPr>
        <w:shd w:val="clear"/>
        <w:ind w:firstLine="480"/>
        <w:rPr>
          <w:rFonts w:hint="eastAsia" w:ascii="宋体" w:hAnsi="宋体" w:eastAsia="宋体" w:cs="宋体"/>
          <w:color w:val="auto"/>
          <w:highlight w:val="none"/>
        </w:rPr>
      </w:pPr>
      <w:bookmarkStart w:id="1609" w:name="_Toc10338_WPSOffice_Level1"/>
      <w:bookmarkStart w:id="1610" w:name="_Toc2563_WPSOffice_Level1"/>
      <w:bookmarkStart w:id="1611" w:name="_Toc15532_WPSOffice_Level1"/>
      <w:r>
        <w:rPr>
          <w:rFonts w:hint="eastAsia" w:ascii="宋体" w:hAnsi="宋体" w:eastAsia="宋体" w:cs="宋体"/>
          <w:color w:val="auto"/>
          <w:highlight w:val="none"/>
        </w:rPr>
        <w:t>(3)与采购人、</w:t>
      </w:r>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供应商或者招标代理机构恶意串通的；</w:t>
      </w:r>
      <w:bookmarkEnd w:id="1609"/>
      <w:bookmarkEnd w:id="1610"/>
      <w:bookmarkEnd w:id="1611"/>
    </w:p>
    <w:p w14:paraId="33AD2C43">
      <w:pPr>
        <w:shd w:val="clear"/>
        <w:ind w:firstLine="480"/>
        <w:rPr>
          <w:rFonts w:hint="eastAsia" w:ascii="宋体" w:hAnsi="宋体" w:eastAsia="宋体" w:cs="宋体"/>
          <w:color w:val="auto"/>
          <w:highlight w:val="none"/>
        </w:rPr>
      </w:pPr>
      <w:bookmarkStart w:id="1612" w:name="_Toc17925_WPSOffice_Level1"/>
      <w:bookmarkStart w:id="1613" w:name="_Toc16860_WPSOffice_Level1"/>
      <w:bookmarkStart w:id="1614" w:name="_Toc8669_WPSOffice_Level1"/>
      <w:r>
        <w:rPr>
          <w:rFonts w:hint="eastAsia" w:ascii="宋体" w:hAnsi="宋体" w:eastAsia="宋体" w:cs="宋体"/>
          <w:color w:val="auto"/>
          <w:highlight w:val="none"/>
        </w:rPr>
        <w:t>(4)向采购人、招标代理机构行贿或者提供其他不正当利益的；</w:t>
      </w:r>
      <w:bookmarkEnd w:id="1612"/>
      <w:bookmarkEnd w:id="1613"/>
      <w:bookmarkEnd w:id="1614"/>
    </w:p>
    <w:p w14:paraId="53031754">
      <w:pPr>
        <w:shd w:val="clear"/>
        <w:ind w:firstLine="480"/>
        <w:rPr>
          <w:rFonts w:hint="eastAsia" w:ascii="宋体" w:hAnsi="宋体" w:eastAsia="宋体" w:cs="宋体"/>
          <w:color w:val="auto"/>
          <w:highlight w:val="none"/>
        </w:rPr>
      </w:pPr>
      <w:bookmarkStart w:id="1615" w:name="_Toc10655_WPSOffice_Level1"/>
      <w:bookmarkStart w:id="1616" w:name="_Toc12118_WPSOffice_Level1"/>
      <w:bookmarkStart w:id="1617" w:name="_Toc20834_WPSOffice_Level1"/>
      <w:r>
        <w:rPr>
          <w:rFonts w:hint="eastAsia" w:ascii="宋体" w:hAnsi="宋体" w:eastAsia="宋体" w:cs="宋体"/>
          <w:color w:val="auto"/>
          <w:highlight w:val="none"/>
        </w:rPr>
        <w:t>(5)在招标采购过程中与采购人进行协商谈判的；</w:t>
      </w:r>
      <w:bookmarkEnd w:id="1615"/>
      <w:bookmarkEnd w:id="1616"/>
      <w:bookmarkEnd w:id="1617"/>
    </w:p>
    <w:p w14:paraId="310D7701">
      <w:pPr>
        <w:shd w:val="clear"/>
        <w:ind w:firstLine="480"/>
        <w:rPr>
          <w:rFonts w:hint="eastAsia" w:ascii="宋体" w:hAnsi="宋体" w:eastAsia="宋体" w:cs="宋体"/>
          <w:color w:val="auto"/>
          <w:highlight w:val="none"/>
        </w:rPr>
      </w:pPr>
      <w:bookmarkStart w:id="1618" w:name="_Toc14152_WPSOffice_Level1"/>
      <w:bookmarkStart w:id="1619" w:name="_Toc5988_WPSOffice_Level1"/>
      <w:bookmarkStart w:id="1620" w:name="_Toc2385_WPSOffice_Level1"/>
      <w:r>
        <w:rPr>
          <w:rFonts w:hint="eastAsia" w:ascii="宋体" w:hAnsi="宋体" w:eastAsia="宋体" w:cs="宋体"/>
          <w:color w:val="auto"/>
          <w:highlight w:val="none"/>
        </w:rPr>
        <w:t>(6)拒绝有关部门监督检查或提供虚假情况的。</w:t>
      </w:r>
      <w:bookmarkEnd w:id="1618"/>
      <w:bookmarkEnd w:id="1619"/>
      <w:bookmarkEnd w:id="1620"/>
    </w:p>
    <w:p w14:paraId="2759E5D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供应商有前款第(1)至(4)项情形之一的，中标、成交无效。</w:t>
      </w:r>
    </w:p>
    <w:p w14:paraId="75EBC51F">
      <w:pPr>
        <w:shd w:val="clear"/>
        <w:ind w:firstLine="480"/>
        <w:rPr>
          <w:rFonts w:hint="eastAsia" w:ascii="宋体" w:hAnsi="宋体" w:eastAsia="宋体" w:cs="宋体"/>
          <w:color w:val="auto"/>
          <w:highlight w:val="none"/>
          <w:lang w:val="zh-CN"/>
        </w:rPr>
      </w:pPr>
    </w:p>
    <w:p w14:paraId="64640033">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法定（授权）代表人（签字或盖章）：                    </w:t>
      </w:r>
      <w:r>
        <w:rPr>
          <w:rFonts w:hint="eastAsia" w:ascii="宋体" w:hAnsi="宋体" w:eastAsia="宋体" w:cs="宋体"/>
          <w:color w:val="auto"/>
          <w:highlight w:val="none"/>
        </w:rPr>
        <w:tab/>
      </w:r>
    </w:p>
    <w:p w14:paraId="0650C753">
      <w:pPr>
        <w:shd w:val="clea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供应商盖 章：                       </w:t>
      </w:r>
    </w:p>
    <w:p w14:paraId="7C40C1EB">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联系电话：           传真：              电子邮件：              </w:t>
      </w:r>
    </w:p>
    <w:p w14:paraId="0F5BB19D">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联系地址：                                                    </w:t>
      </w:r>
    </w:p>
    <w:p w14:paraId="68B10165">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邮政编码：                     传真号码：                     </w:t>
      </w:r>
    </w:p>
    <w:p w14:paraId="38A63D39">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月    日</w:t>
      </w:r>
    </w:p>
    <w:p w14:paraId="498391B3">
      <w:pPr>
        <w:shd w:val="clear"/>
        <w:ind w:firstLine="482"/>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注：未按照本投标响应函要求填报的将被视为非实质性响应，从而可能导致该投标文件被拒绝。</w:t>
      </w:r>
    </w:p>
    <w:p w14:paraId="17AFE761">
      <w:pPr>
        <w:shd w:val="clear"/>
        <w:ind w:firstLine="0" w:firstLineChars="0"/>
        <w:jc w:val="left"/>
        <w:rPr>
          <w:rFonts w:hint="eastAsia" w:ascii="宋体" w:hAnsi="宋体" w:eastAsia="宋体" w:cs="宋体"/>
          <w:b/>
          <w:bCs/>
          <w:color w:val="auto"/>
          <w:highlight w:val="none"/>
        </w:rPr>
      </w:pPr>
      <w:bookmarkStart w:id="1621" w:name="_Toc7083"/>
    </w:p>
    <w:p w14:paraId="03F989A6">
      <w:pPr>
        <w:pStyle w:val="40"/>
        <w:shd w:val="clear"/>
        <w:ind w:left="480"/>
        <w:rPr>
          <w:rFonts w:hint="eastAsia" w:ascii="宋体" w:hAnsi="宋体" w:eastAsia="宋体" w:cs="宋体"/>
          <w:color w:val="auto"/>
          <w:highlight w:val="none"/>
        </w:rPr>
      </w:pPr>
    </w:p>
    <w:p w14:paraId="6E63DDF6">
      <w:pPr>
        <w:pStyle w:val="61"/>
        <w:shd w:val="clear"/>
        <w:ind w:left="960" w:firstLine="0" w:firstLineChars="0"/>
        <w:rPr>
          <w:rFonts w:hint="eastAsia" w:ascii="宋体" w:hAnsi="宋体" w:eastAsia="宋体" w:cs="宋体"/>
          <w:b/>
          <w:bCs/>
          <w:color w:val="auto"/>
          <w:highlight w:val="none"/>
        </w:rPr>
      </w:pPr>
    </w:p>
    <w:p w14:paraId="1242D3ED">
      <w:pPr>
        <w:shd w:val="clear"/>
        <w:ind w:left="0" w:leftChars="0" w:firstLine="0" w:firstLineChars="0"/>
        <w:rPr>
          <w:rFonts w:hint="eastAsia" w:ascii="宋体" w:hAnsi="宋体" w:eastAsia="宋体" w:cs="宋体"/>
          <w:color w:val="auto"/>
          <w:highlight w:val="none"/>
        </w:rPr>
      </w:pPr>
    </w:p>
    <w:p w14:paraId="60598BF1">
      <w:pPr>
        <w:shd w:val="clear"/>
        <w:ind w:firstLine="0" w:firstLineChars="0"/>
        <w:jc w:val="left"/>
        <w:outlineLvl w:val="9"/>
        <w:rPr>
          <w:rFonts w:hint="eastAsia" w:ascii="宋体" w:hAnsi="宋体" w:eastAsia="宋体" w:cs="宋体"/>
          <w:b/>
          <w:bCs/>
          <w:color w:val="auto"/>
          <w:highlight w:val="none"/>
        </w:rPr>
      </w:pPr>
      <w:bookmarkStart w:id="1622" w:name="_Toc12285"/>
      <w:bookmarkStart w:id="1623" w:name="_Toc27813"/>
      <w:bookmarkStart w:id="1624" w:name="_Toc2705"/>
      <w:bookmarkStart w:id="1625" w:name="_Toc32109"/>
      <w:bookmarkStart w:id="1626" w:name="_Toc17497"/>
      <w:bookmarkStart w:id="1627" w:name="_Toc32620"/>
      <w:bookmarkStart w:id="1628" w:name="_Toc20743"/>
      <w:bookmarkStart w:id="1629" w:name="_Toc16938"/>
      <w:bookmarkStart w:id="1630" w:name="_Toc15407"/>
      <w:bookmarkStart w:id="1631" w:name="_Toc13698"/>
      <w:bookmarkStart w:id="1632" w:name="_Toc1264"/>
      <w:bookmarkStart w:id="1633" w:name="_Toc5819"/>
      <w:bookmarkStart w:id="1634" w:name="_Toc25185"/>
      <w:bookmarkStart w:id="1635" w:name="_Toc23694"/>
      <w:bookmarkStart w:id="1636" w:name="_Toc11943"/>
      <w:bookmarkStart w:id="1637" w:name="_Toc16927"/>
      <w:bookmarkStart w:id="1638" w:name="_Toc22489"/>
      <w:bookmarkStart w:id="1639" w:name="_Toc7182"/>
      <w:bookmarkStart w:id="1640" w:name="_Toc4735"/>
      <w:bookmarkStart w:id="1641" w:name="_Toc2851"/>
      <w:bookmarkStart w:id="1642" w:name="_Toc14161"/>
      <w:bookmarkStart w:id="1643" w:name="_Toc31515"/>
      <w:bookmarkStart w:id="1644" w:name="_Toc30518"/>
      <w:bookmarkStart w:id="1645" w:name="_Toc2576"/>
      <w:bookmarkStart w:id="1646" w:name="_Toc13378"/>
      <w:bookmarkStart w:id="1647" w:name="_Toc14869"/>
      <w:bookmarkStart w:id="1648" w:name="_Toc28030"/>
      <w:bookmarkStart w:id="1649" w:name="_Toc3733"/>
      <w:bookmarkStart w:id="1650" w:name="_Toc17303"/>
      <w:bookmarkStart w:id="1651" w:name="_Toc27978"/>
    </w:p>
    <w:p w14:paraId="68E6A56C">
      <w:pPr>
        <w:shd w:val="clear"/>
        <w:ind w:firstLine="0" w:firstLineChars="0"/>
        <w:jc w:val="left"/>
        <w:outlineLvl w:val="1"/>
        <w:rPr>
          <w:rFonts w:hint="eastAsia" w:ascii="宋体" w:hAnsi="宋体" w:eastAsia="宋体" w:cs="宋体"/>
          <w:color w:val="auto"/>
          <w:highlight w:val="none"/>
        </w:rPr>
      </w:pPr>
      <w:bookmarkStart w:id="1652" w:name="_Toc17084"/>
      <w:bookmarkStart w:id="1653" w:name="_Toc12386"/>
      <w:bookmarkStart w:id="1654" w:name="_Toc381"/>
      <w:r>
        <w:rPr>
          <w:rFonts w:hint="eastAsia" w:ascii="宋体" w:hAnsi="宋体" w:eastAsia="宋体" w:cs="宋体"/>
          <w:b/>
          <w:bCs/>
          <w:color w:val="auto"/>
          <w:highlight w:val="none"/>
        </w:rPr>
        <w:t>附件</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rPr>
          <w:rFonts w:hint="eastAsia" w:ascii="宋体" w:hAnsi="宋体" w:eastAsia="宋体" w:cs="宋体"/>
          <w:b/>
          <w:bCs/>
          <w:color w:val="auto"/>
          <w:highlight w:val="none"/>
        </w:rPr>
        <w:t>4</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14:paraId="16882A4A">
      <w:pPr>
        <w:pStyle w:val="4"/>
        <w:numPr>
          <w:ilvl w:val="1"/>
          <w:numId w:val="0"/>
        </w:numPr>
        <w:shd w:val="clear"/>
        <w:spacing w:before="156" w:after="156"/>
        <w:rPr>
          <w:rFonts w:hint="eastAsia" w:ascii="宋体" w:hAnsi="宋体" w:eastAsia="宋体" w:cs="宋体"/>
          <w:b/>
          <w:bCs w:val="0"/>
          <w:color w:val="auto"/>
          <w:szCs w:val="30"/>
          <w:highlight w:val="none"/>
        </w:rPr>
      </w:pPr>
      <w:bookmarkStart w:id="1655" w:name="_Toc5122"/>
      <w:bookmarkStart w:id="1656" w:name="_Toc18298"/>
      <w:bookmarkStart w:id="1657" w:name="_Toc27525"/>
      <w:bookmarkStart w:id="1658" w:name="_Toc8666"/>
      <w:bookmarkStart w:id="1659" w:name="_Toc19163"/>
      <w:bookmarkStart w:id="1660" w:name="_Toc27449"/>
      <w:bookmarkStart w:id="1661" w:name="_Toc11205"/>
      <w:bookmarkStart w:id="1662" w:name="_Toc20078"/>
      <w:bookmarkStart w:id="1663" w:name="_Toc22518"/>
      <w:bookmarkStart w:id="1664" w:name="_Toc21652"/>
      <w:bookmarkStart w:id="1665" w:name="_Toc32680"/>
      <w:bookmarkStart w:id="1666" w:name="_Toc14716"/>
      <w:bookmarkStart w:id="1667" w:name="_Toc4289"/>
      <w:bookmarkStart w:id="1668" w:name="_Toc27721"/>
      <w:bookmarkStart w:id="1669" w:name="_Toc12490"/>
      <w:bookmarkStart w:id="1670" w:name="_Toc17240"/>
      <w:bookmarkStart w:id="1671" w:name="_Toc17718"/>
      <w:bookmarkStart w:id="1672" w:name="_Toc4350"/>
      <w:bookmarkStart w:id="1673" w:name="_Toc11654"/>
      <w:bookmarkStart w:id="1674" w:name="_Toc30349"/>
      <w:bookmarkStart w:id="1675" w:name="_Toc27216"/>
      <w:bookmarkStart w:id="1676" w:name="_Toc17525"/>
      <w:bookmarkStart w:id="1677" w:name="_Toc13710"/>
      <w:bookmarkStart w:id="1678" w:name="_Toc20688"/>
      <w:bookmarkStart w:id="1679" w:name="_Toc27096"/>
      <w:bookmarkStart w:id="1680" w:name="_Toc22352"/>
      <w:bookmarkStart w:id="1681" w:name="_Toc28549"/>
      <w:bookmarkStart w:id="1682" w:name="_Toc12727"/>
      <w:bookmarkStart w:id="1683" w:name="_Toc4845"/>
      <w:bookmarkStart w:id="1684" w:name="_Toc1477"/>
      <w:bookmarkStart w:id="1685" w:name="_Toc24741"/>
      <w:bookmarkStart w:id="1686" w:name="_Toc17742"/>
      <w:bookmarkStart w:id="1687" w:name="_Toc4815"/>
      <w:r>
        <w:rPr>
          <w:rFonts w:hint="eastAsia" w:ascii="宋体" w:hAnsi="宋体" w:eastAsia="宋体" w:cs="宋体"/>
          <w:b/>
          <w:bCs w:val="0"/>
          <w:color w:val="auto"/>
          <w:szCs w:val="30"/>
          <w:highlight w:val="none"/>
        </w:rPr>
        <w:t>（一）法定代表人身份证明</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0BF3C2D5">
      <w:pPr>
        <w:shd w:val="clear"/>
        <w:spacing w:line="440" w:lineRule="exact"/>
        <w:ind w:firstLine="400"/>
        <w:rPr>
          <w:rFonts w:hint="eastAsia" w:ascii="宋体" w:hAnsi="宋体" w:eastAsia="宋体" w:cs="宋体"/>
          <w:color w:val="auto"/>
          <w:sz w:val="20"/>
          <w:szCs w:val="20"/>
          <w:highlight w:val="none"/>
        </w:rPr>
      </w:pPr>
    </w:p>
    <w:p w14:paraId="35F3A513">
      <w:pPr>
        <w:shd w:val="clear"/>
        <w:spacing w:line="440" w:lineRule="exact"/>
        <w:ind w:firstLine="480"/>
        <w:rPr>
          <w:rFonts w:hint="eastAsia" w:ascii="宋体" w:hAnsi="宋体" w:eastAsia="宋体" w:cs="宋体"/>
          <w:color w:val="auto"/>
          <w:szCs w:val="21"/>
          <w:highlight w:val="none"/>
        </w:rPr>
      </w:pPr>
    </w:p>
    <w:p w14:paraId="6A43D21A">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5D8CC2B">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42DD7FF">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1527F631">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6A9DBB6">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7EC405DF">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39CD0610">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（供应商名称）的法定代表人。</w:t>
      </w:r>
    </w:p>
    <w:p w14:paraId="59B8FB20">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45E8FE1">
      <w:pPr>
        <w:shd w:val="clear"/>
        <w:spacing w:line="440" w:lineRule="exact"/>
        <w:ind w:firstLine="480"/>
        <w:rPr>
          <w:rFonts w:hint="eastAsia" w:ascii="宋体" w:hAnsi="宋体" w:eastAsia="宋体" w:cs="宋体"/>
          <w:color w:val="auto"/>
          <w:szCs w:val="21"/>
          <w:highlight w:val="none"/>
        </w:rPr>
      </w:pPr>
    </w:p>
    <w:p w14:paraId="7CE14E40">
      <w:pPr>
        <w:shd w:val="clear"/>
        <w:spacing w:line="440" w:lineRule="exact"/>
        <w:ind w:firstLine="480"/>
        <w:rPr>
          <w:rFonts w:hint="eastAsia" w:ascii="宋体" w:hAnsi="宋体" w:eastAsia="宋体" w:cs="宋体"/>
          <w:color w:val="auto"/>
          <w:szCs w:val="21"/>
          <w:highlight w:val="none"/>
        </w:rPr>
      </w:pPr>
    </w:p>
    <w:p w14:paraId="262B4958">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5CE2A3B9">
      <w:pPr>
        <w:shd w:val="clear"/>
        <w:ind w:firstLine="0" w:firstLineChars="0"/>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bookmarkStart w:id="1688" w:name="_Toc19264"/>
      <w:bookmarkStart w:id="1689" w:name="_Toc2147"/>
      <w:bookmarkStart w:id="1690" w:name="_Toc18941"/>
      <w:bookmarkStart w:id="1691" w:name="_Toc22110"/>
      <w:bookmarkStart w:id="1692" w:name="_Toc6606"/>
      <w:bookmarkStart w:id="1693" w:name="_Toc29612"/>
      <w:bookmarkStart w:id="1694" w:name="_Toc29611"/>
      <w:bookmarkStart w:id="1695" w:name="_Toc19917"/>
      <w:bookmarkStart w:id="1696" w:name="_Toc30289"/>
      <w:bookmarkStart w:id="1697" w:name="_Toc20713"/>
      <w:bookmarkStart w:id="1698" w:name="_Toc29931"/>
      <w:bookmarkStart w:id="1699" w:name="_Toc6331"/>
      <w:bookmarkStart w:id="1700" w:name="_Toc31160"/>
      <w:bookmarkStart w:id="1701" w:name="_Toc9135"/>
      <w:bookmarkStart w:id="1702" w:name="_Toc28523"/>
      <w:bookmarkStart w:id="1703" w:name="_Toc25026"/>
      <w:bookmarkStart w:id="1704" w:name="_Toc18739"/>
      <w:bookmarkStart w:id="1705" w:name="_Toc9627"/>
      <w:bookmarkStart w:id="1706" w:name="_Toc5923"/>
      <w:bookmarkStart w:id="1707" w:name="_Toc29594"/>
      <w:bookmarkStart w:id="1708" w:name="_Toc21324"/>
      <w:bookmarkStart w:id="1709" w:name="_Toc23675"/>
      <w:bookmarkStart w:id="1710" w:name="_Toc22275"/>
      <w:bookmarkStart w:id="1711" w:name="_Toc30751"/>
      <w:bookmarkStart w:id="1712" w:name="_Toc25643"/>
      <w:bookmarkStart w:id="1713" w:name="_Toc17015"/>
      <w:bookmarkStart w:id="1714" w:name="_Toc12719"/>
      <w:bookmarkStart w:id="1715" w:name="_Toc25188"/>
      <w:bookmarkStart w:id="1716" w:name="_Toc23723"/>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Pr>
          <w:rFonts w:hint="eastAsia" w:ascii="宋体" w:hAnsi="宋体" w:eastAsia="宋体" w:cs="宋体"/>
          <w:color w:val="auto"/>
          <w:szCs w:val="21"/>
          <w:highlight w:val="none"/>
        </w:rPr>
        <w:t xml:space="preserve">      </w:t>
      </w:r>
    </w:p>
    <w:p w14:paraId="16348B4B">
      <w:pPr>
        <w:shd w:val="clear"/>
        <w:ind w:firstLine="0" w:firstLineChars="0"/>
        <w:jc w:val="center"/>
        <w:rPr>
          <w:rFonts w:hint="eastAsia" w:ascii="宋体" w:hAnsi="宋体" w:eastAsia="宋体" w:cs="宋体"/>
          <w:color w:val="auto"/>
          <w:szCs w:val="21"/>
          <w:highlight w:val="none"/>
        </w:rPr>
      </w:pPr>
    </w:p>
    <w:p w14:paraId="31AE4538">
      <w:pPr>
        <w:shd w:val="clear"/>
        <w:ind w:firstLine="0" w:firstLineChars="0"/>
        <w:jc w:val="center"/>
        <w:rPr>
          <w:rFonts w:hint="eastAsia" w:ascii="宋体" w:hAnsi="宋体" w:eastAsia="宋体" w:cs="宋体"/>
          <w:color w:val="auto"/>
          <w:szCs w:val="21"/>
          <w:highlight w:val="none"/>
        </w:rPr>
      </w:pPr>
    </w:p>
    <w:p w14:paraId="10AF7420">
      <w:pPr>
        <w:pStyle w:val="61"/>
        <w:shd w:val="clear"/>
        <w:ind w:left="960" w:firstLine="560"/>
        <w:rPr>
          <w:rFonts w:hint="eastAsia" w:ascii="宋体" w:hAnsi="宋体" w:eastAsia="宋体" w:cs="宋体"/>
          <w:color w:val="auto"/>
          <w:szCs w:val="21"/>
          <w:highlight w:val="none"/>
        </w:rPr>
      </w:pPr>
    </w:p>
    <w:p w14:paraId="68057232">
      <w:pPr>
        <w:shd w:val="clear"/>
        <w:ind w:firstLine="0" w:firstLineChars="0"/>
        <w:jc w:val="center"/>
        <w:rPr>
          <w:rFonts w:hint="eastAsia" w:ascii="宋体" w:hAnsi="宋体" w:eastAsia="宋体" w:cs="宋体"/>
          <w:color w:val="auto"/>
          <w:szCs w:val="21"/>
          <w:highlight w:val="none"/>
        </w:rPr>
      </w:pPr>
    </w:p>
    <w:p w14:paraId="464E58E7">
      <w:pPr>
        <w:shd w:val="clear"/>
        <w:ind w:firstLine="0" w:firstLineChars="0"/>
        <w:jc w:val="center"/>
        <w:rPr>
          <w:rFonts w:hint="eastAsia" w:ascii="宋体" w:hAnsi="宋体" w:eastAsia="宋体" w:cs="宋体"/>
          <w:color w:val="auto"/>
          <w:szCs w:val="21"/>
          <w:highlight w:val="none"/>
        </w:rPr>
      </w:pPr>
    </w:p>
    <w:p w14:paraId="56DC9653">
      <w:pPr>
        <w:shd w:val="clear"/>
        <w:ind w:firstLine="0" w:firstLineChars="0"/>
        <w:jc w:val="center"/>
        <w:rPr>
          <w:rFonts w:hint="eastAsia" w:ascii="宋体" w:hAnsi="宋体" w:eastAsia="宋体" w:cs="宋体"/>
          <w:color w:val="auto"/>
          <w:szCs w:val="21"/>
          <w:highlight w:val="none"/>
        </w:rPr>
      </w:pPr>
    </w:p>
    <w:p w14:paraId="02DA73D5">
      <w:pPr>
        <w:pStyle w:val="21"/>
        <w:shd w:val="clear"/>
        <w:ind w:firstLine="480"/>
        <w:rPr>
          <w:rFonts w:hint="eastAsia" w:ascii="宋体" w:hAnsi="宋体" w:eastAsia="宋体" w:cs="宋体"/>
          <w:color w:val="auto"/>
          <w:szCs w:val="21"/>
          <w:highlight w:val="none"/>
        </w:rPr>
      </w:pPr>
    </w:p>
    <w:p w14:paraId="559664D8">
      <w:pPr>
        <w:pStyle w:val="39"/>
        <w:shd w:val="clear"/>
        <w:ind w:firstLine="210"/>
        <w:rPr>
          <w:rFonts w:hint="eastAsia" w:ascii="宋体" w:hAnsi="宋体" w:eastAsia="宋体" w:cs="宋体"/>
          <w:color w:val="auto"/>
          <w:highlight w:val="none"/>
        </w:rPr>
      </w:pPr>
    </w:p>
    <w:p w14:paraId="4C76A923">
      <w:pPr>
        <w:shd w:val="clear"/>
        <w:ind w:firstLine="480"/>
        <w:rPr>
          <w:rFonts w:hint="eastAsia" w:ascii="宋体" w:hAnsi="宋体" w:eastAsia="宋体" w:cs="宋体"/>
          <w:color w:val="auto"/>
          <w:highlight w:val="none"/>
        </w:rPr>
      </w:pPr>
    </w:p>
    <w:p w14:paraId="76F7B45E">
      <w:pPr>
        <w:shd w:val="clear"/>
        <w:ind w:firstLine="0" w:firstLineChars="0"/>
        <w:rPr>
          <w:rFonts w:hint="eastAsia" w:ascii="宋体" w:hAnsi="宋体" w:eastAsia="宋体" w:cs="宋体"/>
          <w:color w:val="auto"/>
          <w:szCs w:val="21"/>
          <w:highlight w:val="none"/>
        </w:rPr>
      </w:pPr>
    </w:p>
    <w:p w14:paraId="75A6F42E">
      <w:pPr>
        <w:pStyle w:val="40"/>
        <w:shd w:val="clear"/>
        <w:ind w:left="480"/>
        <w:rPr>
          <w:rFonts w:hint="eastAsia" w:ascii="宋体" w:hAnsi="宋体" w:eastAsia="宋体" w:cs="宋体"/>
          <w:color w:val="auto"/>
          <w:highlight w:val="none"/>
        </w:rPr>
      </w:pPr>
    </w:p>
    <w:p w14:paraId="5C9EA477">
      <w:pPr>
        <w:pStyle w:val="50"/>
        <w:shd w:val="clear"/>
        <w:ind w:firstLine="480"/>
        <w:rPr>
          <w:rFonts w:hint="eastAsia" w:ascii="宋体" w:hAnsi="宋体" w:eastAsia="宋体" w:cs="宋体"/>
          <w:color w:val="auto"/>
          <w:szCs w:val="21"/>
          <w:highlight w:val="none"/>
        </w:rPr>
      </w:pPr>
    </w:p>
    <w:p w14:paraId="6A48D087">
      <w:pPr>
        <w:pStyle w:val="51"/>
        <w:shd w:val="clear"/>
        <w:rPr>
          <w:rFonts w:hint="eastAsia" w:ascii="宋体" w:hAnsi="宋体" w:eastAsia="宋体" w:cs="宋体"/>
          <w:color w:val="auto"/>
          <w:szCs w:val="21"/>
          <w:highlight w:val="none"/>
        </w:rPr>
      </w:pPr>
    </w:p>
    <w:p w14:paraId="34BA6CE3">
      <w:pPr>
        <w:shd w:val="clear"/>
        <w:ind w:firstLine="0" w:firstLineChars="0"/>
        <w:jc w:val="center"/>
        <w:outlineLvl w:val="0"/>
        <w:rPr>
          <w:rFonts w:hint="eastAsia" w:ascii="宋体" w:hAnsi="宋体" w:eastAsia="宋体" w:cs="宋体"/>
          <w:b/>
          <w:bCs/>
          <w:color w:val="auto"/>
          <w:sz w:val="30"/>
          <w:szCs w:val="30"/>
          <w:highlight w:val="none"/>
        </w:rPr>
      </w:pPr>
      <w:bookmarkStart w:id="1717" w:name="_Toc16344"/>
      <w:bookmarkStart w:id="1718" w:name="_Toc19975"/>
      <w:bookmarkStart w:id="1719" w:name="_Toc32293"/>
      <w:bookmarkStart w:id="1720" w:name="_Toc8998"/>
      <w:bookmarkStart w:id="1721" w:name="_Toc27753"/>
      <w:bookmarkStart w:id="1722" w:name="_Toc2013"/>
      <w:bookmarkStart w:id="1723" w:name="_Toc27105"/>
      <w:bookmarkStart w:id="1724" w:name="_Toc8970"/>
      <w:bookmarkStart w:id="1725" w:name="_Toc9938"/>
      <w:bookmarkStart w:id="1726" w:name="_Toc3231"/>
      <w:bookmarkStart w:id="1727" w:name="_Toc28463"/>
      <w:bookmarkStart w:id="1728" w:name="_Toc16952"/>
      <w:bookmarkStart w:id="1729" w:name="_Toc31005"/>
      <w:bookmarkStart w:id="1730" w:name="_Toc23043"/>
      <w:bookmarkStart w:id="1731" w:name="_Toc31057"/>
      <w:bookmarkStart w:id="1732" w:name="_Toc32210"/>
      <w:bookmarkStart w:id="1733" w:name="_Toc8844"/>
      <w:bookmarkStart w:id="1734" w:name="_Toc14722"/>
      <w:bookmarkStart w:id="1735" w:name="_Toc19482"/>
      <w:bookmarkStart w:id="1736" w:name="_Toc7792"/>
      <w:bookmarkStart w:id="1737" w:name="_Toc13630"/>
      <w:bookmarkStart w:id="1738" w:name="_Toc11331"/>
      <w:bookmarkStart w:id="1739" w:name="_Toc2818"/>
      <w:bookmarkStart w:id="1740" w:name="_Toc7187"/>
      <w:bookmarkStart w:id="1741" w:name="_Toc28833"/>
      <w:bookmarkStart w:id="1742" w:name="_Toc28688"/>
      <w:bookmarkStart w:id="1743" w:name="_Toc3393"/>
      <w:bookmarkStart w:id="1744" w:name="_Toc23747"/>
      <w:bookmarkStart w:id="1745" w:name="_Toc27519"/>
      <w:r>
        <w:rPr>
          <w:rFonts w:hint="eastAsia" w:ascii="宋体" w:hAnsi="宋体" w:eastAsia="宋体" w:cs="宋体"/>
          <w:b/>
          <w:bCs/>
          <w:color w:val="auto"/>
          <w:sz w:val="30"/>
          <w:szCs w:val="30"/>
          <w:highlight w:val="none"/>
          <w:lang w:val="en-GB"/>
        </w:rPr>
        <w:t>（二）授权委托书</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14:paraId="65D4045D">
      <w:pPr>
        <w:shd w:val="clear"/>
        <w:snapToGrid w:val="0"/>
        <w:ind w:firstLine="482"/>
        <w:jc w:val="center"/>
        <w:rPr>
          <w:rFonts w:hint="eastAsia" w:ascii="宋体" w:hAnsi="宋体" w:eastAsia="宋体" w:cs="宋体"/>
          <w:b/>
          <w:color w:val="auto"/>
          <w:highlight w:val="none"/>
        </w:rPr>
      </w:pPr>
    </w:p>
    <w:p w14:paraId="4C7615E8">
      <w:pPr>
        <w:shd w:val="clea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本人 </w:t>
      </w:r>
      <w:r>
        <w:rPr>
          <w:rFonts w:hint="eastAsia" w:ascii="宋体" w:hAnsi="宋体" w:eastAsia="宋体" w:cs="宋体"/>
          <w:color w:val="auto"/>
          <w:highlight w:val="none"/>
          <w:u w:val="single"/>
          <w:lang w:val="zh-CN"/>
        </w:rPr>
        <w:t xml:space="preserve">      （姓名）  </w:t>
      </w:r>
      <w:r>
        <w:rPr>
          <w:rFonts w:hint="eastAsia" w:ascii="宋体" w:hAnsi="宋体" w:eastAsia="宋体" w:cs="宋体"/>
          <w:color w:val="auto"/>
          <w:highlight w:val="none"/>
          <w:lang w:val="zh-CN"/>
        </w:rPr>
        <w:t>系</w:t>
      </w:r>
      <w:r>
        <w:rPr>
          <w:rFonts w:hint="eastAsia" w:ascii="宋体" w:hAnsi="宋体" w:eastAsia="宋体" w:cs="宋体"/>
          <w:color w:val="auto"/>
          <w:highlight w:val="none"/>
          <w:u w:val="single"/>
          <w:lang w:val="zh-CN"/>
        </w:rPr>
        <w:t xml:space="preserve">        （供应商名称）      </w:t>
      </w:r>
      <w:r>
        <w:rPr>
          <w:rFonts w:hint="eastAsia" w:ascii="宋体" w:hAnsi="宋体" w:eastAsia="宋体" w:cs="宋体"/>
          <w:color w:val="auto"/>
          <w:highlight w:val="none"/>
          <w:lang w:val="zh-CN"/>
        </w:rPr>
        <w:t>的法定代表人，现授权</w:t>
      </w:r>
    </w:p>
    <w:p w14:paraId="3CFB3BF5">
      <w:pPr>
        <w:shd w:val="clear"/>
        <w:ind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 xml:space="preserve">      （姓名）  （   身份证号码   ）</w:t>
      </w:r>
      <w:r>
        <w:rPr>
          <w:rFonts w:hint="eastAsia" w:ascii="宋体" w:hAnsi="宋体" w:eastAsia="宋体" w:cs="宋体"/>
          <w:color w:val="auto"/>
          <w:highlight w:val="none"/>
          <w:lang w:val="zh-CN"/>
        </w:rPr>
        <w:t>为我方代理人。授权代理人根据授权对</w:t>
      </w:r>
    </w:p>
    <w:p w14:paraId="357CA8B4">
      <w:pPr>
        <w:shd w:val="clear"/>
        <w:ind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 xml:space="preserve">      （项目名称）  投</w:t>
      </w:r>
      <w:r>
        <w:rPr>
          <w:rFonts w:hint="eastAsia" w:ascii="宋体" w:hAnsi="宋体" w:eastAsia="宋体" w:cs="宋体"/>
          <w:color w:val="auto"/>
          <w:highlight w:val="none"/>
          <w:lang w:val="zh-CN"/>
        </w:rPr>
        <w:t>标，以我方名义签署、澄清、说明、补正、提交、撤回、修改投标文件，签订合同和处理有关事宜，其法律后果由我方承担。</w:t>
      </w:r>
    </w:p>
    <w:p w14:paraId="7AAD1BAB">
      <w:pPr>
        <w:shd w:val="clear"/>
        <w:ind w:firstLine="480"/>
        <w:rPr>
          <w:rFonts w:hint="eastAsia" w:ascii="宋体" w:hAnsi="宋体" w:eastAsia="宋体" w:cs="宋体"/>
          <w:color w:val="auto"/>
          <w:highlight w:val="none"/>
          <w:lang w:val="zh-CN"/>
        </w:rPr>
      </w:pPr>
    </w:p>
    <w:p w14:paraId="3974755E">
      <w:pPr>
        <w:shd w:val="clea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委托期限：</w:t>
      </w:r>
      <w:r>
        <w:rPr>
          <w:rFonts w:hint="eastAsia" w:ascii="宋体" w:hAnsi="宋体" w:cs="宋体"/>
          <w:color w:val="auto"/>
          <w:highlight w:val="none"/>
          <w:lang w:val="zh-CN"/>
        </w:rPr>
        <w:t>2025</w:t>
      </w:r>
      <w:r>
        <w:rPr>
          <w:rFonts w:hint="eastAsia" w:ascii="宋体" w:hAnsi="宋体" w:eastAsia="宋体" w:cs="宋体"/>
          <w:color w:val="auto"/>
          <w:highlight w:val="none"/>
          <w:lang w:val="zh-CN"/>
        </w:rPr>
        <w:t>年  月  日—202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rPr>
        <w:t xml:space="preserve">年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 xml:space="preserve"> 月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日止。</w:t>
      </w:r>
    </w:p>
    <w:p w14:paraId="2FD9F5A2">
      <w:pPr>
        <w:shd w:val="clea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授权代理人无转委托权。</w:t>
      </w:r>
    </w:p>
    <w:p w14:paraId="21748435">
      <w:pPr>
        <w:shd w:val="clear"/>
        <w:snapToGrid w:val="0"/>
        <w:spacing w:line="312" w:lineRule="auto"/>
        <w:ind w:firstLine="0" w:firstLineChars="0"/>
        <w:rPr>
          <w:rFonts w:hint="eastAsia" w:ascii="宋体" w:hAnsi="宋体" w:eastAsia="宋体" w:cs="宋体"/>
          <w:color w:val="auto"/>
          <w:highlight w:val="none"/>
          <w:lang w:val="zh-CN"/>
        </w:rPr>
      </w:pPr>
    </w:p>
    <w:p w14:paraId="1C98DB9C">
      <w:pPr>
        <w:shd w:val="clear"/>
        <w:snapToGrid w:val="0"/>
        <w:spacing w:line="312" w:lineRule="auto"/>
        <w:ind w:firstLine="480"/>
        <w:rPr>
          <w:rFonts w:hint="eastAsia" w:ascii="宋体" w:hAnsi="宋体" w:eastAsia="宋体" w:cs="宋体"/>
          <w:color w:val="auto"/>
          <w:highlight w:val="none"/>
          <w:lang w:val="zh-CN"/>
        </w:rPr>
      </w:pPr>
    </w:p>
    <w:p w14:paraId="34275372">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供应商名称（盖章）</w:t>
      </w:r>
      <w:r>
        <w:rPr>
          <w:rFonts w:hint="eastAsia" w:ascii="宋体" w:hAnsi="宋体" w:eastAsia="宋体" w:cs="宋体"/>
          <w:color w:val="auto"/>
          <w:highlight w:val="none"/>
          <w:lang w:eastAsia="zh-CN"/>
        </w:rPr>
        <w:t>：</w:t>
      </w:r>
    </w:p>
    <w:p w14:paraId="64371CEF">
      <w:pPr>
        <w:shd w:val="clear"/>
        <w:adjustRightInd w:val="0"/>
        <w:snapToGrid w:val="0"/>
        <w:spacing w:line="360" w:lineRule="auto"/>
        <w:ind w:firstLine="4080" w:firstLineChars="1700"/>
        <w:textAlignment w:val="baseline"/>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lang w:eastAsia="zh-CN"/>
        </w:rPr>
        <w:t>：</w:t>
      </w:r>
    </w:p>
    <w:p w14:paraId="7BB21A2A">
      <w:pPr>
        <w:shd w:val="clear"/>
        <w:adjustRightInd w:val="0"/>
        <w:snapToGrid w:val="0"/>
        <w:spacing w:line="360" w:lineRule="auto"/>
        <w:ind w:firstLine="4080" w:firstLineChars="1700"/>
        <w:textAlignment w:val="baseline"/>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法定代表人移动电话</w:t>
      </w:r>
      <w:r>
        <w:rPr>
          <w:rFonts w:hint="eastAsia" w:ascii="宋体" w:hAnsi="宋体" w:eastAsia="宋体" w:cs="宋体"/>
          <w:color w:val="auto"/>
          <w:highlight w:val="none"/>
          <w:lang w:eastAsia="zh-CN"/>
        </w:rPr>
        <w:t>：</w:t>
      </w:r>
    </w:p>
    <w:p w14:paraId="0F77BE79">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val="zh-CN"/>
        </w:rPr>
      </w:pPr>
      <w:r>
        <w:rPr>
          <w:rFonts w:hint="eastAsia" w:ascii="宋体" w:hAnsi="宋体" w:eastAsia="宋体" w:cs="宋体"/>
          <w:color w:val="auto"/>
          <w:highlight w:val="none"/>
        </w:rPr>
        <w:t>授权代理人移动电话</w:t>
      </w:r>
      <w:r>
        <w:rPr>
          <w:rFonts w:hint="eastAsia" w:ascii="宋体" w:hAnsi="宋体" w:eastAsia="宋体" w:cs="宋体"/>
          <w:color w:val="auto"/>
          <w:highlight w:val="none"/>
          <w:lang w:eastAsia="zh-CN"/>
        </w:rPr>
        <w:t>：</w:t>
      </w:r>
    </w:p>
    <w:p w14:paraId="24756341">
      <w:pPr>
        <w:shd w:val="clear"/>
        <w:ind w:right="440" w:firstLine="4080" w:firstLineChars="1700"/>
        <w:rPr>
          <w:rFonts w:hint="eastAsia" w:ascii="宋体" w:hAnsi="宋体" w:eastAsia="宋体" w:cs="宋体"/>
          <w:b/>
          <w:bCs/>
          <w:color w:val="auto"/>
          <w:highlight w:val="none"/>
        </w:rPr>
      </w:pPr>
      <w:r>
        <w:rPr>
          <w:rFonts w:hint="eastAsia" w:ascii="宋体" w:hAnsi="宋体" w:eastAsia="宋体" w:cs="宋体"/>
          <w:bCs/>
          <w:color w:val="auto"/>
          <w:highlight w:val="none"/>
        </w:rPr>
        <w:t>授权委托日期：</w:t>
      </w:r>
      <w:r>
        <w:rPr>
          <w:rFonts w:hint="eastAsia" w:ascii="宋体" w:hAnsi="宋体" w:cs="宋体"/>
          <w:bCs/>
          <w:color w:val="auto"/>
          <w:highlight w:val="none"/>
          <w:lang w:eastAsia="zh-CN"/>
        </w:rPr>
        <w:t>2025</w:t>
      </w:r>
      <w:r>
        <w:rPr>
          <w:rFonts w:hint="eastAsia" w:ascii="宋体" w:hAnsi="宋体" w:eastAsia="宋体" w:cs="宋体"/>
          <w:bCs/>
          <w:color w:val="auto"/>
          <w:highlight w:val="none"/>
        </w:rPr>
        <w:t>年 月  日</w:t>
      </w:r>
    </w:p>
    <w:p w14:paraId="21D2059F">
      <w:pPr>
        <w:shd w:val="clear"/>
        <w:spacing w:line="360" w:lineRule="exact"/>
        <w:ind w:left="2699" w:firstLine="480"/>
        <w:rPr>
          <w:rFonts w:hint="eastAsia" w:ascii="宋体" w:hAnsi="宋体" w:eastAsia="宋体" w:cs="宋体"/>
          <w:color w:val="auto"/>
          <w:kern w:val="0"/>
          <w:highlight w:val="none"/>
        </w:rPr>
      </w:pP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202C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3AB8E637">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799371D3">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3A589C1D">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粘贴法人授权代表身份证复印影印件</w:t>
            </w:r>
          </w:p>
          <w:p w14:paraId="12120953">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4265510B">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tc>
      </w:tr>
    </w:tbl>
    <w:p w14:paraId="21D9AF4A">
      <w:pPr>
        <w:shd w:val="clear"/>
        <w:adjustRightInd w:val="0"/>
        <w:snapToGrid w:val="0"/>
        <w:spacing w:line="360" w:lineRule="exact"/>
        <w:ind w:firstLine="480"/>
        <w:jc w:val="center"/>
        <w:rPr>
          <w:rFonts w:hint="eastAsia" w:ascii="宋体" w:hAnsi="宋体" w:eastAsia="宋体" w:cs="宋体"/>
          <w:color w:val="auto"/>
          <w:kern w:val="0"/>
          <w:highlight w:val="none"/>
          <w:lang w:val="zh-CN"/>
        </w:rPr>
      </w:pPr>
    </w:p>
    <w:p w14:paraId="57A03743">
      <w:pPr>
        <w:shd w:val="clear"/>
        <w:adjustRightInd w:val="0"/>
        <w:snapToGrid w:val="0"/>
        <w:spacing w:line="360" w:lineRule="exact"/>
        <w:ind w:firstLine="480"/>
        <w:jc w:val="center"/>
        <w:rPr>
          <w:rFonts w:hint="eastAsia" w:ascii="宋体" w:hAnsi="宋体" w:eastAsia="宋体" w:cs="宋体"/>
          <w:color w:val="auto"/>
          <w:kern w:val="0"/>
          <w:highlight w:val="none"/>
          <w:lang w:val="zh-CN"/>
        </w:rPr>
      </w:pP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8A4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0C5998E7">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0ADA0408">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391F8B28">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粘贴法人身份证复印影印件</w:t>
            </w:r>
          </w:p>
          <w:p w14:paraId="22DF3B91">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0F6881FD">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tc>
      </w:tr>
    </w:tbl>
    <w:p w14:paraId="68AAEC56">
      <w:pPr>
        <w:shd w:val="clear"/>
        <w:spacing w:line="420" w:lineRule="exact"/>
        <w:ind w:firstLine="0" w:firstLineChars="0"/>
        <w:jc w:val="both"/>
        <w:outlineLvl w:val="9"/>
        <w:rPr>
          <w:rFonts w:hint="eastAsia" w:ascii="宋体" w:hAnsi="宋体" w:eastAsia="宋体" w:cs="宋体"/>
          <w:b/>
          <w:color w:val="auto"/>
          <w:sz w:val="32"/>
          <w:szCs w:val="32"/>
          <w:highlight w:val="none"/>
        </w:rPr>
      </w:pPr>
    </w:p>
    <w:p w14:paraId="47307C0C">
      <w:pPr>
        <w:shd w:val="clear"/>
        <w:spacing w:line="420" w:lineRule="exact"/>
        <w:ind w:firstLine="0" w:firstLineChars="0"/>
        <w:jc w:val="center"/>
        <w:outlineLvl w:val="9"/>
        <w:rPr>
          <w:rFonts w:hint="eastAsia" w:ascii="宋体" w:hAnsi="宋体" w:eastAsia="宋体" w:cs="宋体"/>
          <w:b/>
          <w:color w:val="auto"/>
          <w:sz w:val="32"/>
          <w:szCs w:val="32"/>
          <w:highlight w:val="none"/>
        </w:rPr>
      </w:pPr>
    </w:p>
    <w:p w14:paraId="11D720A4">
      <w:pPr>
        <w:shd w:val="clear"/>
        <w:spacing w:line="420" w:lineRule="exact"/>
        <w:ind w:firstLine="0" w:firstLineChars="0"/>
        <w:jc w:val="center"/>
        <w:outlineLvl w:val="9"/>
        <w:rPr>
          <w:rFonts w:hint="eastAsia" w:ascii="宋体" w:hAnsi="宋体" w:eastAsia="宋体" w:cs="宋体"/>
          <w:b/>
          <w:color w:val="auto"/>
          <w:sz w:val="32"/>
          <w:szCs w:val="32"/>
          <w:highlight w:val="none"/>
        </w:rPr>
      </w:pPr>
    </w:p>
    <w:p w14:paraId="2728DE79">
      <w:pPr>
        <w:shd w:val="clear"/>
        <w:ind w:firstLine="0" w:firstLineChars="0"/>
        <w:jc w:val="left"/>
        <w:outlineLvl w:val="2"/>
        <w:rPr>
          <w:rFonts w:hint="eastAsia" w:ascii="宋体" w:hAnsi="宋体" w:eastAsia="宋体" w:cs="宋体"/>
          <w:b/>
          <w:color w:val="auto"/>
          <w:sz w:val="32"/>
          <w:szCs w:val="32"/>
          <w:highlight w:val="none"/>
        </w:rPr>
      </w:pPr>
      <w:bookmarkStart w:id="1746" w:name="_Toc18928"/>
      <w:bookmarkStart w:id="1747" w:name="_Toc19692"/>
    </w:p>
    <w:p w14:paraId="3E6BC44D">
      <w:pPr>
        <w:shd w:val="clear"/>
        <w:spacing w:line="420" w:lineRule="exact"/>
        <w:ind w:firstLine="0" w:firstLineChars="0"/>
        <w:jc w:val="center"/>
        <w:outlineLvl w:val="0"/>
        <w:rPr>
          <w:rFonts w:hint="eastAsia" w:ascii="宋体" w:hAnsi="宋体" w:eastAsia="宋体" w:cs="宋体"/>
          <w:b/>
          <w:color w:val="auto"/>
          <w:sz w:val="32"/>
          <w:szCs w:val="32"/>
          <w:highlight w:val="none"/>
        </w:rPr>
      </w:pPr>
      <w:bookmarkStart w:id="1748" w:name="_Toc11834"/>
      <w:r>
        <w:rPr>
          <w:rFonts w:hint="eastAsia" w:ascii="宋体" w:hAnsi="宋体" w:eastAsia="宋体" w:cs="宋体"/>
          <w:b/>
          <w:color w:val="auto"/>
          <w:sz w:val="32"/>
          <w:szCs w:val="32"/>
          <w:highlight w:val="none"/>
        </w:rPr>
        <w:t>资信技术文件封面格式</w:t>
      </w:r>
      <w:bookmarkEnd w:id="1526"/>
      <w:bookmarkEnd w:id="1527"/>
      <w:bookmarkEnd w:id="1528"/>
      <w:bookmarkEnd w:id="1529"/>
      <w:bookmarkEnd w:id="1530"/>
      <w:bookmarkEnd w:id="1531"/>
      <w:bookmarkEnd w:id="1532"/>
      <w:bookmarkEnd w:id="1533"/>
      <w:bookmarkEnd w:id="1534"/>
      <w:bookmarkEnd w:id="1535"/>
      <w:bookmarkEnd w:id="1536"/>
      <w:bookmarkEnd w:id="1548"/>
      <w:bookmarkEnd w:id="1549"/>
      <w:bookmarkEnd w:id="1550"/>
      <w:bookmarkEnd w:id="1551"/>
      <w:bookmarkEnd w:id="1576"/>
      <w:bookmarkEnd w:id="1577"/>
      <w:bookmarkEnd w:id="1578"/>
      <w:bookmarkEnd w:id="1579"/>
      <w:bookmarkEnd w:id="1580"/>
      <w:bookmarkEnd w:id="1581"/>
      <w:bookmarkEnd w:id="1746"/>
      <w:bookmarkEnd w:id="1747"/>
      <w:bookmarkEnd w:id="1748"/>
    </w:p>
    <w:p w14:paraId="42052061">
      <w:pPr>
        <w:pStyle w:val="25"/>
        <w:shd w:val="clear"/>
        <w:spacing w:line="420" w:lineRule="exact"/>
        <w:ind w:left="120" w:leftChars="50" w:firstLine="3855" w:firstLineChars="1200"/>
        <w:jc w:val="left"/>
        <w:rPr>
          <w:rFonts w:hint="eastAsia" w:ascii="宋体" w:hAnsi="宋体" w:eastAsia="宋体" w:cs="宋体"/>
          <w:color w:val="auto"/>
          <w:sz w:val="32"/>
          <w:highlight w:val="none"/>
        </w:rPr>
      </w:pPr>
    </w:p>
    <w:p w14:paraId="50BEB78E">
      <w:pPr>
        <w:shd w:val="clear"/>
        <w:spacing w:line="420" w:lineRule="exact"/>
        <w:ind w:firstLine="640"/>
        <w:jc w:val="center"/>
        <w:rPr>
          <w:rFonts w:hint="eastAsia" w:ascii="宋体" w:hAnsi="宋体" w:eastAsia="宋体" w:cs="宋体"/>
          <w:color w:val="auto"/>
          <w:sz w:val="32"/>
          <w:szCs w:val="32"/>
          <w:highlight w:val="none"/>
        </w:rPr>
      </w:pPr>
    </w:p>
    <w:p w14:paraId="2DBB1699">
      <w:pPr>
        <w:shd w:val="clear"/>
        <w:spacing w:line="420" w:lineRule="exact"/>
        <w:ind w:firstLine="0" w:firstLineChars="0"/>
        <w:jc w:val="center"/>
        <w:outlineLvl w:val="0"/>
        <w:rPr>
          <w:rFonts w:hint="eastAsia" w:ascii="宋体" w:hAnsi="宋体" w:eastAsia="宋体" w:cs="宋体"/>
          <w:color w:val="auto"/>
          <w:sz w:val="84"/>
          <w:highlight w:val="none"/>
        </w:rPr>
      </w:pPr>
      <w:bookmarkStart w:id="1749" w:name="_Toc8237"/>
      <w:bookmarkStart w:id="1750" w:name="_Toc18951"/>
      <w:bookmarkStart w:id="1751" w:name="_Toc27765"/>
      <w:bookmarkStart w:id="1752" w:name="_Toc8725"/>
      <w:bookmarkStart w:id="1753" w:name="_Toc28777"/>
      <w:bookmarkStart w:id="1754" w:name="_Toc25462"/>
      <w:bookmarkStart w:id="1755" w:name="_Toc5060"/>
      <w:bookmarkStart w:id="1756" w:name="_Toc7283"/>
      <w:bookmarkStart w:id="1757" w:name="_Toc26748"/>
      <w:bookmarkStart w:id="1758" w:name="_Toc31578"/>
      <w:bookmarkStart w:id="1759" w:name="_Toc27400"/>
      <w:bookmarkStart w:id="1760" w:name="_Toc9534"/>
      <w:bookmarkStart w:id="1761" w:name="_Toc22913"/>
      <w:bookmarkStart w:id="1762" w:name="_Toc25944"/>
      <w:bookmarkStart w:id="1763" w:name="_Toc32632"/>
      <w:bookmarkStart w:id="1764" w:name="_Toc16298"/>
      <w:bookmarkStart w:id="1765" w:name="_Toc17716"/>
      <w:bookmarkStart w:id="1766" w:name="_Toc4476"/>
      <w:bookmarkStart w:id="1767" w:name="_Toc20172"/>
      <w:bookmarkStart w:id="1768" w:name="_Toc26504"/>
      <w:bookmarkStart w:id="1769" w:name="_Toc12123"/>
      <w:bookmarkStart w:id="1770" w:name="_Toc2791"/>
      <w:bookmarkStart w:id="1771" w:name="_Toc31402"/>
      <w:bookmarkStart w:id="1772" w:name="_Toc24510"/>
      <w:r>
        <w:rPr>
          <w:rFonts w:hint="eastAsia" w:ascii="宋体" w:hAnsi="宋体" w:eastAsia="宋体" w:cs="宋体"/>
          <w:color w:val="auto"/>
          <w:sz w:val="32"/>
          <w:szCs w:val="32"/>
          <w:highlight w:val="none"/>
        </w:rPr>
        <w:t>正本或副本</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14:paraId="2C91D366">
      <w:pPr>
        <w:shd w:val="clear"/>
        <w:spacing w:line="420" w:lineRule="exact"/>
        <w:ind w:firstLine="883"/>
        <w:rPr>
          <w:rFonts w:hint="eastAsia" w:ascii="宋体" w:hAnsi="宋体" w:eastAsia="宋体" w:cs="宋体"/>
          <w:b/>
          <w:color w:val="auto"/>
          <w:sz w:val="44"/>
          <w:szCs w:val="44"/>
          <w:highlight w:val="none"/>
        </w:rPr>
      </w:pPr>
    </w:p>
    <w:p w14:paraId="04010DC5">
      <w:pPr>
        <w:shd w:val="clear"/>
        <w:ind w:firstLine="480"/>
        <w:rPr>
          <w:rFonts w:hint="eastAsia" w:ascii="宋体" w:hAnsi="宋体" w:eastAsia="宋体" w:cs="宋体"/>
          <w:color w:val="auto"/>
          <w:highlight w:val="none"/>
        </w:rPr>
      </w:pPr>
    </w:p>
    <w:p w14:paraId="61EBD824">
      <w:pPr>
        <w:pStyle w:val="4"/>
        <w:numPr>
          <w:ilvl w:val="255"/>
          <w:numId w:val="0"/>
        </w:numPr>
        <w:shd w:val="clear"/>
        <w:spacing w:before="156" w:after="156"/>
        <w:jc w:val="both"/>
        <w:outlineLvl w:val="9"/>
        <w:rPr>
          <w:rFonts w:hint="eastAsia" w:ascii="宋体" w:hAnsi="宋体" w:eastAsia="宋体" w:cs="宋体"/>
          <w:color w:val="auto"/>
          <w:highlight w:val="none"/>
        </w:rPr>
      </w:pPr>
    </w:p>
    <w:p w14:paraId="5053DA5D">
      <w:pPr>
        <w:shd w:val="clear"/>
        <w:ind w:firstLine="480"/>
        <w:rPr>
          <w:rFonts w:hint="eastAsia" w:ascii="宋体" w:hAnsi="宋体" w:eastAsia="宋体" w:cs="宋体"/>
          <w:color w:val="auto"/>
          <w:highlight w:val="none"/>
        </w:rPr>
      </w:pPr>
    </w:p>
    <w:p w14:paraId="7DFAD7CF">
      <w:pPr>
        <w:shd w:val="clear"/>
        <w:spacing w:line="240" w:lineRule="auto"/>
        <w:ind w:firstLine="0" w:firstLineChars="0"/>
        <w:jc w:val="center"/>
        <w:rPr>
          <w:rFonts w:hint="eastAsia" w:ascii="宋体" w:hAnsi="宋体" w:eastAsia="宋体" w:cs="宋体"/>
          <w:b/>
          <w:bCs/>
          <w:color w:val="auto"/>
          <w:sz w:val="72"/>
          <w:szCs w:val="72"/>
          <w:highlight w:val="none"/>
        </w:rPr>
      </w:pPr>
    </w:p>
    <w:p w14:paraId="1B791F9F">
      <w:pPr>
        <w:shd w:val="clear"/>
        <w:spacing w:line="240" w:lineRule="auto"/>
        <w:ind w:firstLine="0" w:firstLineChars="0"/>
        <w:jc w:val="center"/>
        <w:outlineLvl w:val="1"/>
        <w:rPr>
          <w:rFonts w:hint="eastAsia" w:ascii="宋体" w:hAnsi="宋体" w:eastAsia="宋体" w:cs="宋体"/>
          <w:b/>
          <w:bCs/>
          <w:color w:val="auto"/>
          <w:sz w:val="72"/>
          <w:szCs w:val="72"/>
          <w:highlight w:val="none"/>
        </w:rPr>
      </w:pPr>
      <w:bookmarkStart w:id="1773" w:name="_Toc22051"/>
      <w:bookmarkStart w:id="1774" w:name="_Toc11763"/>
      <w:bookmarkStart w:id="1775" w:name="_Toc4708"/>
      <w:bookmarkStart w:id="1776" w:name="_Toc32267"/>
      <w:bookmarkStart w:id="1777" w:name="_Toc11388"/>
      <w:bookmarkStart w:id="1778" w:name="_Toc25142"/>
      <w:bookmarkStart w:id="1779" w:name="_Toc22307"/>
      <w:bookmarkStart w:id="1780" w:name="_Toc5741"/>
      <w:bookmarkStart w:id="1781" w:name="_Toc15101"/>
      <w:bookmarkStart w:id="1782" w:name="_Toc8940"/>
      <w:bookmarkStart w:id="1783" w:name="_Toc23904"/>
      <w:bookmarkStart w:id="1784" w:name="_Toc13019"/>
      <w:bookmarkStart w:id="1785" w:name="_Toc4711"/>
      <w:bookmarkStart w:id="1786" w:name="_Toc26716"/>
      <w:bookmarkStart w:id="1787" w:name="_Toc32535"/>
      <w:bookmarkStart w:id="1788" w:name="_Toc29401"/>
      <w:bookmarkStart w:id="1789" w:name="_Toc18271"/>
      <w:bookmarkStart w:id="1790" w:name="_Toc4088"/>
      <w:bookmarkStart w:id="1791" w:name="_Toc17105"/>
      <w:bookmarkStart w:id="1792" w:name="_Toc19735"/>
      <w:bookmarkStart w:id="1793" w:name="_Toc19963"/>
      <w:bookmarkStart w:id="1794" w:name="_Toc10699"/>
      <w:bookmarkStart w:id="1795" w:name="_Toc16188"/>
      <w:bookmarkStart w:id="1796" w:name="_Toc8607"/>
      <w:r>
        <w:rPr>
          <w:rFonts w:hint="eastAsia" w:ascii="宋体" w:hAnsi="宋体" w:eastAsia="宋体" w:cs="宋体"/>
          <w:b/>
          <w:bCs/>
          <w:color w:val="auto"/>
          <w:sz w:val="72"/>
          <w:szCs w:val="72"/>
          <w:highlight w:val="none"/>
        </w:rPr>
        <w:t>资信技术文件</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14:paraId="46C86AC9">
      <w:pPr>
        <w:shd w:val="clear"/>
        <w:spacing w:line="240" w:lineRule="auto"/>
        <w:ind w:firstLine="883"/>
        <w:jc w:val="center"/>
        <w:rPr>
          <w:rFonts w:hint="eastAsia" w:ascii="宋体" w:hAnsi="宋体" w:eastAsia="宋体" w:cs="宋体"/>
          <w:b/>
          <w:bCs/>
          <w:color w:val="auto"/>
          <w:sz w:val="44"/>
          <w:szCs w:val="44"/>
          <w:highlight w:val="none"/>
        </w:rPr>
      </w:pPr>
    </w:p>
    <w:p w14:paraId="697D0597">
      <w:pPr>
        <w:shd w:val="clear"/>
        <w:ind w:firstLine="0" w:firstLineChars="0"/>
        <w:rPr>
          <w:rFonts w:hint="eastAsia" w:ascii="宋体" w:hAnsi="宋体" w:eastAsia="宋体" w:cs="宋体"/>
          <w:color w:val="auto"/>
          <w:highlight w:val="none"/>
        </w:rPr>
      </w:pPr>
    </w:p>
    <w:p w14:paraId="5260BE14">
      <w:pPr>
        <w:pStyle w:val="39"/>
        <w:shd w:val="clear"/>
        <w:ind w:firstLine="0" w:firstLineChars="0"/>
        <w:rPr>
          <w:rFonts w:hint="eastAsia" w:ascii="宋体" w:hAnsi="宋体" w:eastAsia="宋体" w:cs="宋体"/>
          <w:color w:val="auto"/>
          <w:highlight w:val="none"/>
        </w:rPr>
      </w:pPr>
    </w:p>
    <w:p w14:paraId="77758D7E">
      <w:pPr>
        <w:shd w:val="clear"/>
        <w:ind w:left="0" w:leftChars="0" w:firstLine="0" w:firstLineChars="0"/>
        <w:rPr>
          <w:rFonts w:hint="eastAsia" w:ascii="宋体" w:hAnsi="宋体" w:eastAsia="宋体" w:cs="宋体"/>
          <w:color w:val="auto"/>
          <w:highlight w:val="none"/>
        </w:rPr>
      </w:pPr>
    </w:p>
    <w:p w14:paraId="2F431F32">
      <w:pPr>
        <w:pStyle w:val="21"/>
        <w:shd w:val="clear"/>
        <w:ind w:firstLine="480"/>
        <w:rPr>
          <w:rFonts w:hint="eastAsia" w:ascii="宋体" w:hAnsi="宋体" w:eastAsia="宋体" w:cs="宋体"/>
          <w:color w:val="auto"/>
          <w:highlight w:val="none"/>
        </w:rPr>
      </w:pPr>
    </w:p>
    <w:p w14:paraId="72E87293">
      <w:pPr>
        <w:pStyle w:val="56"/>
        <w:shd w:val="clear"/>
        <w:ind w:firstLine="480"/>
        <w:rPr>
          <w:rFonts w:hint="eastAsia" w:ascii="宋体" w:hAnsi="宋体" w:eastAsia="宋体" w:cs="宋体"/>
          <w:color w:val="auto"/>
          <w:highlight w:val="none"/>
        </w:rPr>
      </w:pPr>
    </w:p>
    <w:p w14:paraId="458EE7E9">
      <w:pPr>
        <w:shd w:val="clear"/>
        <w:ind w:firstLine="0" w:firstLineChars="0"/>
        <w:rPr>
          <w:rFonts w:hint="eastAsia" w:ascii="宋体" w:hAnsi="宋体" w:eastAsia="宋体" w:cs="宋体"/>
          <w:color w:val="auto"/>
          <w:highlight w:val="none"/>
        </w:rPr>
      </w:pPr>
    </w:p>
    <w:p w14:paraId="580059AE">
      <w:pPr>
        <w:pStyle w:val="23"/>
        <w:shd w:val="clear"/>
        <w:ind w:left="960" w:hanging="480"/>
        <w:rPr>
          <w:rFonts w:hint="eastAsia" w:ascii="宋体" w:hAnsi="宋体" w:eastAsia="宋体" w:cs="宋体"/>
          <w:color w:val="auto"/>
          <w:highlight w:val="none"/>
        </w:rPr>
      </w:pPr>
    </w:p>
    <w:p w14:paraId="6991E5B6">
      <w:pPr>
        <w:shd w:val="clear"/>
        <w:spacing w:line="360" w:lineRule="auto"/>
        <w:ind w:firstLine="64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项目编号：</w:t>
      </w:r>
      <w:r>
        <w:rPr>
          <w:rFonts w:hint="eastAsia" w:ascii="宋体" w:hAnsi="宋体" w:cs="宋体"/>
          <w:color w:val="auto"/>
          <w:sz w:val="32"/>
          <w:highlight w:val="none"/>
          <w:u w:val="single"/>
          <w:lang w:eastAsia="zh-CN"/>
        </w:rPr>
        <w:t>LYCG2025XCX-004</w:t>
      </w:r>
      <w:r>
        <w:rPr>
          <w:rFonts w:hint="eastAsia" w:ascii="宋体" w:hAnsi="宋体" w:eastAsia="宋体" w:cs="宋体"/>
          <w:color w:val="auto"/>
          <w:sz w:val="32"/>
          <w:highlight w:val="none"/>
          <w:u w:val="single"/>
        </w:rPr>
        <w:t xml:space="preserve">                    </w:t>
      </w:r>
    </w:p>
    <w:p w14:paraId="3599D2E5">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投 标 人：</w:t>
      </w:r>
      <w:r>
        <w:rPr>
          <w:rFonts w:hint="eastAsia" w:ascii="宋体" w:hAnsi="宋体" w:eastAsia="宋体" w:cs="宋体"/>
          <w:color w:val="auto"/>
          <w:sz w:val="32"/>
          <w:highlight w:val="none"/>
          <w:u w:val="single"/>
        </w:rPr>
        <w:t xml:space="preserve">        （全称）（加盖公章）          </w:t>
      </w:r>
    </w:p>
    <w:p w14:paraId="711B6844">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法定代表人或授权代表人签字或盖章：</w:t>
      </w:r>
    </w:p>
    <w:p w14:paraId="5C3F6F03">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供应商地址：</w:t>
      </w:r>
    </w:p>
    <w:p w14:paraId="2E4669E6">
      <w:pPr>
        <w:shd w:val="clear"/>
        <w:spacing w:line="360" w:lineRule="auto"/>
        <w:ind w:firstLine="0" w:firstLineChars="0"/>
        <w:jc w:val="center"/>
        <w:rPr>
          <w:rFonts w:hint="eastAsia" w:ascii="宋体" w:hAnsi="宋体" w:eastAsia="宋体" w:cs="宋体"/>
          <w:b/>
          <w:bCs/>
          <w:color w:val="auto"/>
          <w:highlight w:val="none"/>
        </w:rPr>
      </w:pPr>
      <w:r>
        <w:rPr>
          <w:rFonts w:hint="eastAsia" w:ascii="宋体" w:hAnsi="宋体" w:cs="宋体"/>
          <w:color w:val="auto"/>
          <w:sz w:val="32"/>
          <w:highlight w:val="none"/>
          <w:lang w:eastAsia="zh-CN"/>
        </w:rPr>
        <w:t>二  〇 二 五</w:t>
      </w:r>
      <w:r>
        <w:rPr>
          <w:rFonts w:hint="eastAsia" w:ascii="宋体" w:hAnsi="宋体" w:eastAsia="宋体" w:cs="宋体"/>
          <w:color w:val="auto"/>
          <w:sz w:val="32"/>
          <w:highlight w:val="none"/>
        </w:rPr>
        <w:t>年    月    日</w:t>
      </w:r>
    </w:p>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453"/>
    <w:bookmarkEnd w:id="1454"/>
    <w:bookmarkEnd w:id="1455"/>
    <w:bookmarkEnd w:id="1456"/>
    <w:bookmarkEnd w:id="1457"/>
    <w:bookmarkEnd w:id="1458"/>
    <w:bookmarkEnd w:id="1459"/>
    <w:bookmarkEnd w:id="1460"/>
    <w:bookmarkEnd w:id="1537"/>
    <w:bookmarkEnd w:id="1538"/>
    <w:bookmarkEnd w:id="1539"/>
    <w:bookmarkEnd w:id="1540"/>
    <w:bookmarkEnd w:id="1541"/>
    <w:bookmarkEnd w:id="1542"/>
    <w:bookmarkEnd w:id="1543"/>
    <w:bookmarkEnd w:id="1544"/>
    <w:bookmarkEnd w:id="1545"/>
    <w:bookmarkEnd w:id="1546"/>
    <w:bookmarkEnd w:id="1547"/>
    <w:p w14:paraId="34835650">
      <w:pPr>
        <w:pageBreakBefore w:val="0"/>
        <w:shd w:val="clear"/>
        <w:kinsoku/>
        <w:overflowPunct/>
        <w:bidi w:val="0"/>
        <w:ind w:left="0" w:leftChars="0" w:firstLine="0" w:firstLineChars="0"/>
        <w:jc w:val="center"/>
        <w:rPr>
          <w:rFonts w:hint="eastAsia" w:ascii="宋体" w:hAnsi="宋体" w:eastAsia="宋体" w:cs="宋体"/>
          <w:b/>
          <w:bCs/>
          <w:color w:val="auto"/>
          <w:sz w:val="30"/>
          <w:szCs w:val="30"/>
          <w:highlight w:val="none"/>
          <w:lang w:val="zh-CN" w:eastAsia="zh-CN"/>
        </w:rPr>
      </w:pPr>
      <w:bookmarkStart w:id="1797" w:name="_Toc13617"/>
      <w:bookmarkStart w:id="1798" w:name="_Toc14811"/>
      <w:bookmarkStart w:id="1799" w:name="_Toc18562"/>
      <w:bookmarkStart w:id="1800" w:name="_Toc15176"/>
      <w:bookmarkStart w:id="1801" w:name="_Toc13048"/>
      <w:bookmarkStart w:id="1802" w:name="_Toc17004"/>
      <w:bookmarkStart w:id="1803" w:name="_Toc2143"/>
      <w:bookmarkStart w:id="1804" w:name="_Toc20509"/>
      <w:bookmarkStart w:id="1805" w:name="_Toc1322"/>
      <w:bookmarkStart w:id="1806" w:name="_Toc20561"/>
      <w:bookmarkStart w:id="1807" w:name="_Toc32506"/>
      <w:bookmarkStart w:id="1808" w:name="_Toc2307"/>
      <w:bookmarkStart w:id="1809" w:name="_Toc28788"/>
      <w:bookmarkStart w:id="1810" w:name="_Toc28132"/>
      <w:bookmarkStart w:id="1811" w:name="_Toc60021277"/>
      <w:bookmarkStart w:id="1812" w:name="_Toc31244"/>
      <w:bookmarkStart w:id="1813" w:name="_Toc19191"/>
      <w:bookmarkStart w:id="1814" w:name="_Toc17803"/>
      <w:bookmarkStart w:id="1815" w:name="_Toc4312"/>
      <w:bookmarkStart w:id="1816" w:name="_Toc12407"/>
      <w:bookmarkStart w:id="1817" w:name="_Toc23735"/>
      <w:bookmarkStart w:id="1818" w:name="_Toc16975"/>
      <w:bookmarkStart w:id="1819" w:name="_Toc18677"/>
      <w:bookmarkStart w:id="1820" w:name="_Toc55379715"/>
      <w:bookmarkStart w:id="1821" w:name="_Toc27481"/>
      <w:bookmarkStart w:id="1822" w:name="_Toc12288"/>
      <w:bookmarkStart w:id="1823" w:name="_Toc20431"/>
      <w:bookmarkStart w:id="1824" w:name="_Toc7665"/>
      <w:bookmarkStart w:id="1825" w:name="_Toc16332"/>
      <w:bookmarkStart w:id="1826" w:name="_Toc37493332"/>
      <w:bookmarkStart w:id="1827" w:name="_Toc29581"/>
      <w:bookmarkStart w:id="1828" w:name="_Toc3610"/>
      <w:bookmarkStart w:id="1829" w:name="_Toc28144"/>
      <w:bookmarkStart w:id="1830" w:name="_Toc27830"/>
      <w:bookmarkStart w:id="1831" w:name="_Toc294166745"/>
      <w:bookmarkStart w:id="1832" w:name="_Toc11793"/>
      <w:r>
        <w:rPr>
          <w:rFonts w:hint="eastAsia" w:ascii="宋体" w:hAnsi="宋体" w:eastAsia="宋体" w:cs="宋体"/>
          <w:b/>
          <w:bCs/>
          <w:color w:val="auto"/>
          <w:sz w:val="30"/>
          <w:szCs w:val="30"/>
          <w:highlight w:val="none"/>
          <w:lang w:val="zh-CN" w:eastAsia="zh-CN"/>
        </w:rPr>
        <w:t>自评分表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368"/>
        <w:gridCol w:w="1930"/>
        <w:gridCol w:w="1448"/>
        <w:gridCol w:w="1055"/>
        <w:gridCol w:w="1309"/>
      </w:tblGrid>
      <w:tr w14:paraId="1650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68" w:type="dxa"/>
            <w:noWrap w:val="0"/>
            <w:vAlign w:val="center"/>
          </w:tcPr>
          <w:p w14:paraId="23565F70">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8" w:type="dxa"/>
            <w:noWrap w:val="0"/>
            <w:vAlign w:val="center"/>
          </w:tcPr>
          <w:p w14:paraId="2E3E3C3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1930" w:type="dxa"/>
            <w:noWrap w:val="0"/>
            <w:vAlign w:val="center"/>
          </w:tcPr>
          <w:p w14:paraId="3145B09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标准分</w:t>
            </w:r>
          </w:p>
        </w:tc>
        <w:tc>
          <w:tcPr>
            <w:tcW w:w="1448" w:type="dxa"/>
            <w:noWrap w:val="0"/>
            <w:vAlign w:val="center"/>
          </w:tcPr>
          <w:p w14:paraId="5972045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c>
          <w:tcPr>
            <w:tcW w:w="1055" w:type="dxa"/>
            <w:noWrap w:val="0"/>
            <w:vAlign w:val="center"/>
          </w:tcPr>
          <w:p w14:paraId="19A816C2">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w:t>
            </w:r>
          </w:p>
          <w:p w14:paraId="3FCF44B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w:t>
            </w:r>
          </w:p>
        </w:tc>
        <w:tc>
          <w:tcPr>
            <w:tcW w:w="1309" w:type="dxa"/>
            <w:noWrap w:val="0"/>
            <w:vAlign w:val="center"/>
          </w:tcPr>
          <w:p w14:paraId="78D2A8A0">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在投标文件中所对应的页码</w:t>
            </w:r>
          </w:p>
        </w:tc>
      </w:tr>
      <w:tr w14:paraId="3293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F51F436">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p>
        </w:tc>
        <w:tc>
          <w:tcPr>
            <w:tcW w:w="3368" w:type="dxa"/>
            <w:noWrap w:val="0"/>
            <w:vAlign w:val="center"/>
          </w:tcPr>
          <w:p w14:paraId="04CBCCE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5B4FC73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45BDAF6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5B638D2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06C1F73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7CFA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3AD7DD2C">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w:t>
            </w:r>
          </w:p>
        </w:tc>
        <w:tc>
          <w:tcPr>
            <w:tcW w:w="3368" w:type="dxa"/>
            <w:noWrap w:val="0"/>
            <w:vAlign w:val="center"/>
          </w:tcPr>
          <w:p w14:paraId="2799BF33">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1748184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5B3AB25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227A5984">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234E25B7">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4618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8404324">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p>
        </w:tc>
        <w:tc>
          <w:tcPr>
            <w:tcW w:w="3368" w:type="dxa"/>
            <w:noWrap w:val="0"/>
            <w:vAlign w:val="center"/>
          </w:tcPr>
          <w:p w14:paraId="0C516E9A">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0751195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3C0685E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3F22984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77BF112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4064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4E6F9C50">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p>
        </w:tc>
        <w:tc>
          <w:tcPr>
            <w:tcW w:w="3368" w:type="dxa"/>
            <w:noWrap w:val="0"/>
            <w:vAlign w:val="center"/>
          </w:tcPr>
          <w:p w14:paraId="49715DF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54810CC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3C03CDB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485531D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32FB863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6CAC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719F59B4">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w:t>
            </w:r>
          </w:p>
        </w:tc>
        <w:tc>
          <w:tcPr>
            <w:tcW w:w="3368" w:type="dxa"/>
            <w:noWrap w:val="0"/>
            <w:vAlign w:val="center"/>
          </w:tcPr>
          <w:p w14:paraId="4410214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3C27B731">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7C80CB4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1CFDAA85">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54F7B633">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0C3B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0F7C7731">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6</w:t>
            </w:r>
          </w:p>
        </w:tc>
        <w:tc>
          <w:tcPr>
            <w:tcW w:w="3368" w:type="dxa"/>
            <w:noWrap w:val="0"/>
            <w:vAlign w:val="center"/>
          </w:tcPr>
          <w:p w14:paraId="051F8051">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kern w:val="0"/>
                <w:sz w:val="24"/>
                <w:szCs w:val="24"/>
                <w:highlight w:val="none"/>
              </w:rPr>
            </w:pPr>
          </w:p>
        </w:tc>
        <w:tc>
          <w:tcPr>
            <w:tcW w:w="1930" w:type="dxa"/>
            <w:noWrap w:val="0"/>
            <w:vAlign w:val="center"/>
          </w:tcPr>
          <w:p w14:paraId="4F60BDE2">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07B588C5">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39BFD2C4">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6DB967C9">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3B4D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602A5A8E">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7</w:t>
            </w:r>
          </w:p>
        </w:tc>
        <w:tc>
          <w:tcPr>
            <w:tcW w:w="3368" w:type="dxa"/>
            <w:noWrap w:val="0"/>
            <w:vAlign w:val="center"/>
          </w:tcPr>
          <w:p w14:paraId="2F43A74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snapToGrid w:val="0"/>
                <w:color w:val="auto"/>
                <w:sz w:val="24"/>
                <w:szCs w:val="24"/>
                <w:highlight w:val="none"/>
              </w:rPr>
            </w:pPr>
          </w:p>
        </w:tc>
        <w:tc>
          <w:tcPr>
            <w:tcW w:w="1930" w:type="dxa"/>
            <w:noWrap w:val="0"/>
            <w:vAlign w:val="center"/>
          </w:tcPr>
          <w:p w14:paraId="254C550D">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p>
        </w:tc>
        <w:tc>
          <w:tcPr>
            <w:tcW w:w="1448" w:type="dxa"/>
            <w:noWrap w:val="0"/>
            <w:vAlign w:val="center"/>
          </w:tcPr>
          <w:p w14:paraId="09C1E1EA">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143E3B4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4F1DC183">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5E96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459C4F9C">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8</w:t>
            </w:r>
          </w:p>
        </w:tc>
        <w:tc>
          <w:tcPr>
            <w:tcW w:w="3368" w:type="dxa"/>
            <w:noWrap w:val="0"/>
            <w:vAlign w:val="center"/>
          </w:tcPr>
          <w:p w14:paraId="2AD7A145">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7D88394A">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p>
        </w:tc>
        <w:tc>
          <w:tcPr>
            <w:tcW w:w="1448" w:type="dxa"/>
            <w:noWrap w:val="0"/>
            <w:vAlign w:val="center"/>
          </w:tcPr>
          <w:p w14:paraId="26E5D9A4">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7CE362D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7627E12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1C8F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1D3B8873">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9</w:t>
            </w:r>
          </w:p>
        </w:tc>
        <w:tc>
          <w:tcPr>
            <w:tcW w:w="3368" w:type="dxa"/>
            <w:noWrap w:val="0"/>
            <w:vAlign w:val="center"/>
          </w:tcPr>
          <w:p w14:paraId="4672E770">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4634C76A">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67261DE4">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5D6D88A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45E63C53">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76B6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D39C7B7">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10</w:t>
            </w:r>
          </w:p>
        </w:tc>
        <w:tc>
          <w:tcPr>
            <w:tcW w:w="3368" w:type="dxa"/>
            <w:noWrap w:val="0"/>
            <w:vAlign w:val="center"/>
          </w:tcPr>
          <w:p w14:paraId="4BCB5C2C">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1FBB83E5">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4CD2876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423E77CC">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490B6287">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bl>
    <w:p w14:paraId="57B18387">
      <w:pPr>
        <w:keepNext w:val="0"/>
        <w:keepLines w:val="0"/>
        <w:pageBreakBefore w:val="0"/>
        <w:widowControl w:val="0"/>
        <w:shd w:val="clear"/>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自</w:t>
      </w:r>
      <w:r>
        <w:rPr>
          <w:rFonts w:hint="eastAsia" w:ascii="宋体" w:hAnsi="宋体" w:eastAsia="宋体" w:cs="宋体"/>
          <w:color w:val="auto"/>
          <w:highlight w:val="none"/>
        </w:rPr>
        <w:t>评分表” 提供在资信技术文件首页。投标</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应认真填写相关内容在投标文件中所对应的页码，否则有可能影响</w:t>
      </w:r>
      <w:r>
        <w:rPr>
          <w:rFonts w:hint="eastAsia" w:ascii="宋体" w:hAnsi="宋体" w:eastAsia="宋体" w:cs="宋体"/>
          <w:color w:val="auto"/>
          <w:highlight w:val="none"/>
          <w:lang w:val="en-US" w:eastAsia="zh-CN"/>
        </w:rPr>
        <w:t>相应</w:t>
      </w:r>
      <w:r>
        <w:rPr>
          <w:rFonts w:hint="eastAsia" w:ascii="宋体" w:hAnsi="宋体" w:eastAsia="宋体" w:cs="宋体"/>
          <w:color w:val="auto"/>
          <w:highlight w:val="none"/>
        </w:rPr>
        <w:t>得分。</w:t>
      </w:r>
    </w:p>
    <w:p w14:paraId="785D5355">
      <w:pPr>
        <w:pageBreakBefore w:val="0"/>
        <w:shd w:val="clear"/>
        <w:kinsoku/>
        <w:overflowPunct/>
        <w:bidi w:val="0"/>
        <w:ind w:left="0" w:leftChars="0" w:firstLine="0" w:firstLineChars="0"/>
        <w:jc w:val="center"/>
        <w:rPr>
          <w:rFonts w:hint="eastAsia" w:ascii="宋体" w:hAnsi="宋体" w:eastAsia="宋体" w:cs="宋体"/>
          <w:b/>
          <w:bCs/>
          <w:color w:val="auto"/>
          <w:sz w:val="30"/>
          <w:szCs w:val="30"/>
          <w:highlight w:val="none"/>
          <w:lang w:val="en-GB"/>
        </w:rPr>
      </w:pPr>
    </w:p>
    <w:p w14:paraId="512DBDB0">
      <w:pPr>
        <w:pageBreakBefore w:val="0"/>
        <w:shd w:val="clear"/>
        <w:kinsoku/>
        <w:overflowPunct/>
        <w:bidi w:val="0"/>
        <w:ind w:left="0" w:leftChars="0" w:firstLine="0" w:firstLineChars="0"/>
        <w:jc w:val="left"/>
        <w:outlineLvl w:val="9"/>
        <w:rPr>
          <w:rFonts w:hint="eastAsia" w:ascii="宋体" w:hAnsi="宋体" w:eastAsia="宋体" w:cs="宋体"/>
          <w:b/>
          <w:bCs/>
          <w:color w:val="auto"/>
          <w:highlight w:val="none"/>
        </w:rPr>
      </w:pPr>
    </w:p>
    <w:p w14:paraId="0F8B10C3">
      <w:pPr>
        <w:pageBreakBefore w:val="0"/>
        <w:shd w:val="clear"/>
        <w:kinsoku/>
        <w:overflowPunct/>
        <w:bidi w:val="0"/>
        <w:ind w:left="0" w:leftChars="0" w:firstLine="0" w:firstLineChars="0"/>
        <w:rPr>
          <w:rFonts w:hint="eastAsia" w:ascii="宋体" w:hAnsi="宋体" w:eastAsia="宋体" w:cs="宋体"/>
          <w:color w:val="auto"/>
          <w:highlight w:val="none"/>
        </w:rPr>
      </w:pPr>
    </w:p>
    <w:p w14:paraId="108260C0">
      <w:pPr>
        <w:pageBreakBefore w:val="0"/>
        <w:shd w:val="clear"/>
        <w:kinsoku/>
        <w:overflowPunct/>
        <w:bidi w:val="0"/>
        <w:ind w:left="0" w:leftChars="0" w:firstLine="3360" w:firstLineChars="14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投标人全称（盖章）：                         </w:t>
      </w:r>
    </w:p>
    <w:p w14:paraId="1A2DED8A">
      <w:pPr>
        <w:pageBreakBefore w:val="0"/>
        <w:shd w:val="clear"/>
        <w:kinsoku/>
        <w:overflowPunct/>
        <w:bidi w:val="0"/>
        <w:ind w:left="0" w:leftChars="0" w:firstLine="3360" w:firstLineChars="14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530C710C">
      <w:pPr>
        <w:pageBreakBefore w:val="0"/>
        <w:shd w:val="clear"/>
        <w:kinsoku/>
        <w:overflowPunct/>
        <w:bidi w:val="0"/>
        <w:ind w:left="0" w:leftChars="0" w:firstLine="3360" w:firstLineChars="1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6134B88B">
      <w:pPr>
        <w:shd w:val="clear"/>
        <w:ind w:firstLine="0" w:firstLineChars="0"/>
        <w:jc w:val="left"/>
        <w:outlineLvl w:val="9"/>
        <w:rPr>
          <w:rFonts w:hint="eastAsia" w:ascii="宋体" w:hAnsi="宋体" w:eastAsia="宋体" w:cs="宋体"/>
          <w:b/>
          <w:bCs/>
          <w:color w:val="auto"/>
          <w:highlight w:val="none"/>
        </w:rPr>
      </w:pPr>
    </w:p>
    <w:p w14:paraId="7454A52B">
      <w:pPr>
        <w:shd w:val="clear"/>
        <w:ind w:firstLine="0" w:firstLineChars="0"/>
        <w:jc w:val="left"/>
        <w:outlineLvl w:val="9"/>
        <w:rPr>
          <w:rFonts w:hint="eastAsia" w:ascii="宋体" w:hAnsi="宋体" w:eastAsia="宋体" w:cs="宋体"/>
          <w:b/>
          <w:bCs/>
          <w:color w:val="auto"/>
          <w:highlight w:val="none"/>
        </w:rPr>
      </w:pPr>
    </w:p>
    <w:p w14:paraId="5CC227A4">
      <w:pPr>
        <w:shd w:val="clear"/>
        <w:ind w:firstLine="0" w:firstLineChars="0"/>
        <w:jc w:val="left"/>
        <w:outlineLvl w:val="9"/>
        <w:rPr>
          <w:rFonts w:hint="eastAsia" w:ascii="宋体" w:hAnsi="宋体" w:eastAsia="宋体" w:cs="宋体"/>
          <w:b/>
          <w:bCs/>
          <w:color w:val="auto"/>
          <w:highlight w:val="none"/>
        </w:rPr>
      </w:pPr>
    </w:p>
    <w:p w14:paraId="06B86EC6">
      <w:pPr>
        <w:shd w:val="clear"/>
        <w:ind w:firstLine="0" w:firstLineChars="0"/>
        <w:jc w:val="left"/>
        <w:outlineLvl w:val="0"/>
        <w:rPr>
          <w:rFonts w:hint="eastAsia" w:ascii="宋体" w:hAnsi="宋体" w:eastAsia="宋体" w:cs="宋体"/>
          <w:color w:val="auto"/>
          <w:highlight w:val="none"/>
          <w:lang w:eastAsia="zh-CN"/>
        </w:rPr>
      </w:pPr>
      <w:bookmarkStart w:id="1833" w:name="_Toc4008"/>
      <w:bookmarkStart w:id="1834" w:name="_Toc20343"/>
      <w:bookmarkStart w:id="1835" w:name="_Toc6134"/>
      <w:r>
        <w:rPr>
          <w:rFonts w:hint="eastAsia" w:ascii="宋体" w:hAnsi="宋体" w:eastAsia="宋体" w:cs="宋体"/>
          <w:b/>
          <w:bCs/>
          <w:color w:val="auto"/>
          <w:highlight w:val="none"/>
        </w:rPr>
        <w:t>附件</w:t>
      </w:r>
      <w:bookmarkEnd w:id="1797"/>
      <w:bookmarkEnd w:id="1798"/>
      <w:bookmarkEnd w:id="1833"/>
      <w:r>
        <w:rPr>
          <w:rFonts w:hint="eastAsia" w:ascii="宋体" w:hAnsi="宋体" w:cs="宋体"/>
          <w:b/>
          <w:bCs/>
          <w:color w:val="auto"/>
          <w:highlight w:val="none"/>
          <w:lang w:val="en-US" w:eastAsia="zh-CN"/>
        </w:rPr>
        <w:t>5</w:t>
      </w:r>
      <w:bookmarkEnd w:id="1834"/>
      <w:bookmarkEnd w:id="1835"/>
    </w:p>
    <w:p w14:paraId="28A30326">
      <w:pPr>
        <w:shd w:val="clear"/>
        <w:ind w:firstLine="0" w:firstLineChars="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bidi="ar"/>
        </w:rPr>
        <w:t>类似业绩一览表</w:t>
      </w:r>
    </w:p>
    <w:p w14:paraId="08B1F14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项目名称：</w:t>
      </w:r>
    </w:p>
    <w:p w14:paraId="557C8B0A">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项目编号：</w:t>
      </w:r>
    </w:p>
    <w:tbl>
      <w:tblPr>
        <w:tblStyle w:val="41"/>
        <w:tblW w:w="956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34"/>
        <w:gridCol w:w="1243"/>
        <w:gridCol w:w="1832"/>
        <w:gridCol w:w="1425"/>
        <w:gridCol w:w="1565"/>
        <w:gridCol w:w="1767"/>
      </w:tblGrid>
      <w:tr w14:paraId="6C81D3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12"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4CEDF35F">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采购人名称</w:t>
            </w:r>
          </w:p>
        </w:tc>
        <w:tc>
          <w:tcPr>
            <w:tcW w:w="1243" w:type="dxa"/>
            <w:tcBorders>
              <w:top w:val="single" w:color="auto" w:sz="4" w:space="0"/>
              <w:left w:val="nil"/>
              <w:bottom w:val="single" w:color="auto" w:sz="4" w:space="0"/>
              <w:right w:val="single" w:color="auto" w:sz="4" w:space="0"/>
            </w:tcBorders>
            <w:shd w:val="clear" w:color="auto" w:fill="auto"/>
            <w:vAlign w:val="center"/>
          </w:tcPr>
          <w:p w14:paraId="4FCEAE37">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项目名称</w:t>
            </w:r>
          </w:p>
        </w:tc>
        <w:tc>
          <w:tcPr>
            <w:tcW w:w="1832" w:type="dxa"/>
            <w:tcBorders>
              <w:top w:val="single" w:color="auto" w:sz="4" w:space="0"/>
              <w:left w:val="nil"/>
              <w:bottom w:val="nil"/>
              <w:right w:val="single" w:color="auto" w:sz="4" w:space="0"/>
            </w:tcBorders>
            <w:shd w:val="clear" w:color="auto" w:fill="auto"/>
            <w:vAlign w:val="center"/>
          </w:tcPr>
          <w:p w14:paraId="7FBD737A">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项目简要描述</w:t>
            </w:r>
          </w:p>
        </w:tc>
        <w:tc>
          <w:tcPr>
            <w:tcW w:w="1425" w:type="dxa"/>
            <w:tcBorders>
              <w:top w:val="single" w:color="auto" w:sz="4" w:space="0"/>
              <w:left w:val="nil"/>
              <w:bottom w:val="single" w:color="auto" w:sz="4" w:space="0"/>
              <w:right w:val="single" w:color="auto" w:sz="4" w:space="0"/>
            </w:tcBorders>
            <w:shd w:val="clear" w:color="auto" w:fill="auto"/>
            <w:vAlign w:val="center"/>
          </w:tcPr>
          <w:p w14:paraId="710C77BA">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合同价格</w:t>
            </w:r>
          </w:p>
        </w:tc>
        <w:tc>
          <w:tcPr>
            <w:tcW w:w="1565" w:type="dxa"/>
            <w:tcBorders>
              <w:top w:val="single" w:color="auto" w:sz="4" w:space="0"/>
              <w:left w:val="nil"/>
              <w:bottom w:val="nil"/>
              <w:right w:val="single" w:color="auto" w:sz="4" w:space="0"/>
            </w:tcBorders>
            <w:shd w:val="clear" w:color="auto" w:fill="auto"/>
            <w:vAlign w:val="center"/>
          </w:tcPr>
          <w:p w14:paraId="2841A3A8">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合同签订时间</w:t>
            </w:r>
          </w:p>
        </w:tc>
        <w:tc>
          <w:tcPr>
            <w:tcW w:w="1767" w:type="dxa"/>
            <w:tcBorders>
              <w:top w:val="single" w:color="auto" w:sz="4" w:space="0"/>
              <w:left w:val="nil"/>
              <w:bottom w:val="single" w:color="auto" w:sz="4" w:space="0"/>
              <w:right w:val="single" w:color="auto" w:sz="4" w:space="0"/>
            </w:tcBorders>
            <w:shd w:val="clear" w:color="auto" w:fill="auto"/>
            <w:vAlign w:val="center"/>
          </w:tcPr>
          <w:p w14:paraId="597A1F5A">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采购人联系人及联系电话</w:t>
            </w:r>
          </w:p>
        </w:tc>
      </w:tr>
      <w:tr w14:paraId="790700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103150B4">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058C1CCD">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2F94A76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249069A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59765F65">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3247A48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29EFA2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0032C58">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3F103145">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427524D0">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307C2A99">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49FC159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1679EB96">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0A20B0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32D577A0">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0B461E6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7726EA64">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D294689">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1F59EC1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12A5C5A2">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0E27CC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08573575">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56AC80B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0739D169">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6D338B62">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740236A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4A77FE3A">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3A865B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1D4B6E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6A8E29E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432CF66F">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2EBD629A">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11C37154">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531BB647">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550C16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293E09E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17511014">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4F594CA7">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7C80155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524C36D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189F366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58048B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BBB296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11C38555">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6BFE4CF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7C93C2BB">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06153B09">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29ACD03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bl>
    <w:p w14:paraId="43EA5ECB">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注：投标人可按上述的格式自行编制。</w:t>
      </w:r>
    </w:p>
    <w:p w14:paraId="7899AE87">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 xml:space="preserve"> </w:t>
      </w:r>
    </w:p>
    <w:p w14:paraId="6F56AF1B">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 xml:space="preserve"> </w:t>
      </w:r>
    </w:p>
    <w:p w14:paraId="75CB1F86">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供应商名称（盖章）</w:t>
      </w:r>
      <w:r>
        <w:rPr>
          <w:rFonts w:hint="eastAsia" w:ascii="宋体" w:hAnsi="宋体" w:eastAsia="宋体" w:cs="宋体"/>
          <w:color w:val="auto"/>
          <w:highlight w:val="none"/>
          <w:lang w:eastAsia="zh-CN" w:bidi="ar"/>
        </w:rPr>
        <w:t>：</w:t>
      </w:r>
    </w:p>
    <w:p w14:paraId="37CC5A84">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765F7C90">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0236FA0E">
      <w:pPr>
        <w:shd w:val="clear"/>
        <w:ind w:firstLine="200" w:firstLineChars="0"/>
        <w:jc w:val="center"/>
        <w:rPr>
          <w:rFonts w:hint="eastAsia" w:ascii="宋体" w:hAnsi="宋体" w:eastAsia="宋体" w:cs="宋体"/>
          <w:b/>
          <w:bCs/>
          <w:color w:val="auto"/>
          <w:sz w:val="30"/>
          <w:szCs w:val="30"/>
          <w:highlight w:val="none"/>
          <w:lang w:bidi="ar"/>
        </w:rPr>
      </w:pPr>
    </w:p>
    <w:p w14:paraId="71A3FC58">
      <w:pPr>
        <w:shd w:val="clear"/>
        <w:ind w:firstLine="200" w:firstLineChars="0"/>
        <w:jc w:val="center"/>
        <w:rPr>
          <w:rFonts w:hint="eastAsia" w:ascii="宋体" w:hAnsi="宋体" w:eastAsia="宋体" w:cs="宋体"/>
          <w:b/>
          <w:bCs/>
          <w:color w:val="auto"/>
          <w:sz w:val="30"/>
          <w:szCs w:val="30"/>
          <w:highlight w:val="none"/>
          <w:lang w:bidi="ar"/>
        </w:rPr>
      </w:pPr>
    </w:p>
    <w:p w14:paraId="707C6B36">
      <w:pPr>
        <w:shd w:val="clear"/>
        <w:ind w:firstLine="200" w:firstLineChars="0"/>
        <w:jc w:val="center"/>
        <w:rPr>
          <w:rFonts w:hint="eastAsia" w:ascii="宋体" w:hAnsi="宋体" w:eastAsia="宋体" w:cs="宋体"/>
          <w:b/>
          <w:bCs/>
          <w:color w:val="auto"/>
          <w:sz w:val="30"/>
          <w:szCs w:val="30"/>
          <w:highlight w:val="none"/>
          <w:lang w:bidi="ar"/>
        </w:rPr>
      </w:pPr>
    </w:p>
    <w:p w14:paraId="160AFE89">
      <w:pPr>
        <w:shd w:val="clear"/>
        <w:ind w:firstLine="200" w:firstLineChars="0"/>
        <w:jc w:val="center"/>
        <w:rPr>
          <w:rFonts w:hint="eastAsia" w:ascii="宋体" w:hAnsi="宋体" w:eastAsia="宋体" w:cs="宋体"/>
          <w:b/>
          <w:bCs/>
          <w:color w:val="auto"/>
          <w:sz w:val="30"/>
          <w:szCs w:val="30"/>
          <w:highlight w:val="none"/>
          <w:lang w:bidi="ar"/>
        </w:rPr>
      </w:pPr>
    </w:p>
    <w:p w14:paraId="0A2F5306">
      <w:pPr>
        <w:shd w:val="clear"/>
        <w:ind w:firstLine="200" w:firstLineChars="0"/>
        <w:jc w:val="center"/>
        <w:rPr>
          <w:rFonts w:hint="eastAsia" w:ascii="宋体" w:hAnsi="宋体" w:eastAsia="宋体" w:cs="宋体"/>
          <w:b/>
          <w:bCs/>
          <w:color w:val="auto"/>
          <w:sz w:val="30"/>
          <w:szCs w:val="30"/>
          <w:highlight w:val="none"/>
          <w:lang w:bidi="ar"/>
        </w:rPr>
      </w:pPr>
    </w:p>
    <w:p w14:paraId="5F34BEE8">
      <w:pPr>
        <w:shd w:val="clear"/>
        <w:ind w:firstLine="0" w:firstLineChars="0"/>
        <w:jc w:val="left"/>
        <w:outlineLvl w:val="0"/>
        <w:rPr>
          <w:rFonts w:hint="eastAsia" w:ascii="宋体" w:hAnsi="宋体" w:eastAsia="宋体" w:cs="宋体"/>
          <w:b/>
          <w:bCs/>
          <w:color w:val="auto"/>
          <w:highlight w:val="none"/>
          <w:lang w:val="en-US" w:eastAsia="zh-CN"/>
        </w:rPr>
      </w:pPr>
      <w:bookmarkStart w:id="1836" w:name="_Toc17424"/>
      <w:bookmarkStart w:id="1837" w:name="_Toc27275"/>
      <w:bookmarkStart w:id="1838" w:name="_Toc13354"/>
      <w:bookmarkStart w:id="1839" w:name="_Toc7955"/>
      <w:bookmarkStart w:id="1840" w:name="_Toc24505"/>
      <w:r>
        <w:rPr>
          <w:rFonts w:hint="eastAsia" w:ascii="宋体" w:hAnsi="宋体" w:eastAsia="宋体" w:cs="宋体"/>
          <w:b/>
          <w:bCs/>
          <w:color w:val="auto"/>
          <w:highlight w:val="none"/>
        </w:rPr>
        <w:t>附件</w:t>
      </w:r>
      <w:bookmarkEnd w:id="1836"/>
      <w:r>
        <w:rPr>
          <w:rFonts w:hint="eastAsia" w:ascii="宋体" w:hAnsi="宋体" w:cs="宋体"/>
          <w:b/>
          <w:bCs/>
          <w:color w:val="auto"/>
          <w:highlight w:val="none"/>
          <w:lang w:val="en-US" w:eastAsia="zh-CN"/>
        </w:rPr>
        <w:t>6</w:t>
      </w:r>
      <w:bookmarkEnd w:id="1837"/>
      <w:bookmarkEnd w:id="1838"/>
    </w:p>
    <w:p w14:paraId="6E3184CA">
      <w:pPr>
        <w:shd w:val="clear"/>
        <w:snapToGrid w:val="0"/>
        <w:ind w:firstLine="0" w:firstLineChars="0"/>
        <w:jc w:val="center"/>
        <w:outlineLvl w:val="9"/>
        <w:rPr>
          <w:rFonts w:hint="eastAsia" w:ascii="宋体" w:hAnsi="宋体" w:eastAsia="宋体" w:cs="宋体"/>
          <w:b/>
          <w:bCs/>
          <w:color w:val="auto"/>
          <w:sz w:val="30"/>
          <w:szCs w:val="30"/>
          <w:highlight w:val="none"/>
        </w:rPr>
      </w:pPr>
      <w:bookmarkStart w:id="1841" w:name="_Toc27517"/>
      <w:bookmarkStart w:id="1842" w:name="_Toc19920"/>
      <w:bookmarkStart w:id="1843" w:name="_Toc21050"/>
      <w:bookmarkStart w:id="1844" w:name="_Toc26095"/>
      <w:r>
        <w:rPr>
          <w:rFonts w:hint="eastAsia" w:ascii="宋体" w:hAnsi="宋体" w:eastAsia="宋体" w:cs="宋体"/>
          <w:b/>
          <w:bCs/>
          <w:color w:val="auto"/>
          <w:sz w:val="30"/>
          <w:szCs w:val="30"/>
          <w:highlight w:val="none"/>
          <w:lang w:val="en-US" w:eastAsia="zh-CN"/>
        </w:rPr>
        <w:t>拟派</w:t>
      </w:r>
      <w:r>
        <w:rPr>
          <w:rFonts w:hint="eastAsia" w:ascii="宋体" w:hAnsi="宋体" w:eastAsia="宋体" w:cs="宋体"/>
          <w:b/>
          <w:bCs/>
          <w:color w:val="auto"/>
          <w:sz w:val="30"/>
          <w:szCs w:val="30"/>
          <w:highlight w:val="none"/>
        </w:rPr>
        <w:t>项目负责人情况表</w:t>
      </w:r>
      <w:bookmarkEnd w:id="1841"/>
      <w:bookmarkEnd w:id="1842"/>
      <w:bookmarkEnd w:id="1843"/>
      <w:bookmarkEnd w:id="1844"/>
    </w:p>
    <w:p w14:paraId="18A8E8C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项目名称：</w:t>
      </w:r>
    </w:p>
    <w:p w14:paraId="40BEFE8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项目编号：</w:t>
      </w:r>
    </w:p>
    <w:tbl>
      <w:tblPr>
        <w:tblStyle w:val="41"/>
        <w:tblpPr w:leftFromText="180" w:rightFromText="180" w:vertAnchor="text" w:tblpXSpec="center" w:tblpY="1"/>
        <w:tblOverlap w:val="never"/>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289"/>
        <w:gridCol w:w="1129"/>
        <w:gridCol w:w="1422"/>
        <w:gridCol w:w="3515"/>
      </w:tblGrid>
      <w:tr w14:paraId="635791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tcBorders>
              <w:top w:val="thinThickSmallGap" w:color="auto" w:sz="12" w:space="0"/>
            </w:tcBorders>
            <w:vAlign w:val="center"/>
          </w:tcPr>
          <w:p w14:paraId="43D68FCC">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3418" w:type="dxa"/>
            <w:gridSpan w:val="2"/>
            <w:tcBorders>
              <w:top w:val="thinThickSmallGap" w:color="auto" w:sz="12" w:space="0"/>
            </w:tcBorders>
            <w:vAlign w:val="center"/>
          </w:tcPr>
          <w:p w14:paraId="217E128F">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c>
          <w:tcPr>
            <w:tcW w:w="1422" w:type="dxa"/>
            <w:tcBorders>
              <w:top w:val="thinThickSmallGap" w:color="auto" w:sz="12" w:space="0"/>
            </w:tcBorders>
            <w:vAlign w:val="center"/>
          </w:tcPr>
          <w:p w14:paraId="573C20E1">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3515" w:type="dxa"/>
            <w:tcBorders>
              <w:top w:val="thinThickSmallGap" w:color="auto" w:sz="12" w:space="0"/>
            </w:tcBorders>
            <w:vAlign w:val="center"/>
          </w:tcPr>
          <w:p w14:paraId="7E51793A">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7E834FB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37B0C2F8">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出生年月</w:t>
            </w:r>
          </w:p>
        </w:tc>
        <w:tc>
          <w:tcPr>
            <w:tcW w:w="3418" w:type="dxa"/>
            <w:gridSpan w:val="2"/>
            <w:vAlign w:val="center"/>
          </w:tcPr>
          <w:p w14:paraId="65383B68">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c>
          <w:tcPr>
            <w:tcW w:w="1422" w:type="dxa"/>
            <w:vAlign w:val="center"/>
          </w:tcPr>
          <w:p w14:paraId="253D9F62">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3515" w:type="dxa"/>
            <w:vAlign w:val="center"/>
          </w:tcPr>
          <w:p w14:paraId="1A10C19D">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3C9AC3B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51D243B8">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3418" w:type="dxa"/>
            <w:gridSpan w:val="2"/>
            <w:vAlign w:val="center"/>
          </w:tcPr>
          <w:p w14:paraId="097E1930">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c>
          <w:tcPr>
            <w:tcW w:w="1422" w:type="dxa"/>
            <w:vAlign w:val="center"/>
          </w:tcPr>
          <w:p w14:paraId="5EEFC345">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移动电话</w:t>
            </w:r>
          </w:p>
        </w:tc>
        <w:tc>
          <w:tcPr>
            <w:tcW w:w="3515" w:type="dxa"/>
            <w:vAlign w:val="center"/>
          </w:tcPr>
          <w:p w14:paraId="3F3877F2">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1E75472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4D03FA2B">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注册资格</w:t>
            </w:r>
          </w:p>
        </w:tc>
        <w:tc>
          <w:tcPr>
            <w:tcW w:w="8355" w:type="dxa"/>
            <w:gridSpan w:val="4"/>
            <w:vAlign w:val="center"/>
          </w:tcPr>
          <w:p w14:paraId="19285F4E">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502AD3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394C12ED">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8355" w:type="dxa"/>
            <w:gridSpan w:val="4"/>
            <w:vAlign w:val="center"/>
          </w:tcPr>
          <w:p w14:paraId="3C0B28C2">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5653E33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45A7DD66">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8355" w:type="dxa"/>
            <w:gridSpan w:val="4"/>
            <w:vAlign w:val="center"/>
          </w:tcPr>
          <w:p w14:paraId="73F20EF7">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027768F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648212F4">
            <w:pPr>
              <w:keepNext w:val="0"/>
              <w:keepLines w:val="0"/>
              <w:suppressLineNumbers w:val="0"/>
              <w:shd w:val="clear"/>
              <w:snapToGrid w:val="0"/>
              <w:spacing w:before="120" w:beforeAutospacing="0" w:after="120"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本项目拟担任工作</w:t>
            </w:r>
          </w:p>
        </w:tc>
        <w:tc>
          <w:tcPr>
            <w:tcW w:w="8355" w:type="dxa"/>
            <w:gridSpan w:val="4"/>
            <w:vAlign w:val="center"/>
          </w:tcPr>
          <w:p w14:paraId="1E63A504">
            <w:pPr>
              <w:keepNext w:val="0"/>
              <w:keepLines w:val="0"/>
              <w:suppressLineNumbers w:val="0"/>
              <w:shd w:val="clear"/>
              <w:snapToGrid w:val="0"/>
              <w:spacing w:before="120" w:beforeAutospacing="0" w:after="120" w:afterAutospacing="0" w:line="360" w:lineRule="exact"/>
              <w:ind w:left="0" w:right="0" w:firstLine="0" w:firstLineChars="0"/>
              <w:jc w:val="center"/>
              <w:rPr>
                <w:rFonts w:hint="eastAsia" w:ascii="宋体" w:hAnsi="宋体" w:eastAsia="宋体" w:cs="宋体"/>
                <w:color w:val="auto"/>
                <w:highlight w:val="none"/>
              </w:rPr>
            </w:pPr>
          </w:p>
        </w:tc>
      </w:tr>
      <w:tr w14:paraId="043ECBB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6" w:type="dxa"/>
            <w:gridSpan w:val="2"/>
            <w:tcBorders>
              <w:bottom w:val="thinThickSmallGap" w:color="auto" w:sz="12" w:space="0"/>
            </w:tcBorders>
            <w:vAlign w:val="center"/>
          </w:tcPr>
          <w:p w14:paraId="5AF01244">
            <w:pPr>
              <w:keepNext w:val="0"/>
              <w:keepLines w:val="0"/>
              <w:suppressLineNumbers w:val="0"/>
              <w:shd w:val="clear"/>
              <w:adjustRightInd w:val="0"/>
              <w:snapToGrid w:val="0"/>
              <w:spacing w:before="120" w:beforeAutospacing="0" w:after="120" w:afterAutospacing="0" w:line="360" w:lineRule="exact"/>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曾参与本项目类似的工作业绩获奖情况、担任的主要工作</w:t>
            </w:r>
          </w:p>
        </w:tc>
        <w:tc>
          <w:tcPr>
            <w:tcW w:w="6066" w:type="dxa"/>
            <w:gridSpan w:val="3"/>
            <w:tcBorders>
              <w:bottom w:val="thinThickSmallGap" w:color="auto" w:sz="12" w:space="0"/>
            </w:tcBorders>
            <w:vAlign w:val="center"/>
          </w:tcPr>
          <w:p w14:paraId="4A481F66">
            <w:pPr>
              <w:keepNext w:val="0"/>
              <w:keepLines w:val="0"/>
              <w:suppressLineNumbers w:val="0"/>
              <w:shd w:val="clear"/>
              <w:snapToGrid w:val="0"/>
              <w:spacing w:before="120" w:beforeAutospacing="0" w:after="120" w:afterAutospacing="0" w:line="360" w:lineRule="exact"/>
              <w:ind w:left="0" w:right="0" w:firstLine="0" w:firstLineChars="0"/>
              <w:jc w:val="center"/>
              <w:rPr>
                <w:rFonts w:hint="eastAsia" w:ascii="宋体" w:hAnsi="宋体" w:eastAsia="宋体" w:cs="宋体"/>
                <w:color w:val="auto"/>
                <w:highlight w:val="none"/>
              </w:rPr>
            </w:pPr>
          </w:p>
        </w:tc>
      </w:tr>
    </w:tbl>
    <w:p w14:paraId="14B9F875">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bidi="ar"/>
        </w:rPr>
      </w:pPr>
    </w:p>
    <w:p w14:paraId="2307F272">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供应商名称（盖章）</w:t>
      </w:r>
      <w:r>
        <w:rPr>
          <w:rFonts w:hint="eastAsia" w:ascii="宋体" w:hAnsi="宋体" w:eastAsia="宋体" w:cs="宋体"/>
          <w:color w:val="auto"/>
          <w:highlight w:val="none"/>
          <w:lang w:eastAsia="zh-CN" w:bidi="ar"/>
        </w:rPr>
        <w:t>：</w:t>
      </w:r>
    </w:p>
    <w:p w14:paraId="54A444EB">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78B4808C">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6EAFB0DD">
      <w:pPr>
        <w:shd w:val="clear"/>
        <w:ind w:firstLine="0" w:firstLineChars="0"/>
        <w:jc w:val="left"/>
        <w:outlineLvl w:val="9"/>
        <w:rPr>
          <w:rFonts w:hint="eastAsia" w:ascii="宋体" w:hAnsi="宋体" w:eastAsia="宋体" w:cs="宋体"/>
          <w:b/>
          <w:bCs/>
          <w:color w:val="auto"/>
          <w:highlight w:val="none"/>
        </w:rPr>
      </w:pPr>
    </w:p>
    <w:p w14:paraId="389D4D21">
      <w:pPr>
        <w:shd w:val="clear"/>
        <w:ind w:firstLine="0" w:firstLineChars="0"/>
        <w:jc w:val="left"/>
        <w:outlineLvl w:val="9"/>
        <w:rPr>
          <w:rFonts w:hint="eastAsia" w:ascii="宋体" w:hAnsi="宋体" w:eastAsia="宋体" w:cs="宋体"/>
          <w:b/>
          <w:bCs/>
          <w:color w:val="auto"/>
          <w:highlight w:val="none"/>
        </w:rPr>
      </w:pPr>
    </w:p>
    <w:p w14:paraId="18A644BB">
      <w:pPr>
        <w:shd w:val="clear"/>
        <w:ind w:firstLine="0" w:firstLineChars="0"/>
        <w:jc w:val="left"/>
        <w:outlineLvl w:val="9"/>
        <w:rPr>
          <w:rFonts w:hint="eastAsia" w:ascii="宋体" w:hAnsi="宋体" w:eastAsia="宋体" w:cs="宋体"/>
          <w:b/>
          <w:bCs/>
          <w:color w:val="auto"/>
          <w:highlight w:val="none"/>
        </w:rPr>
      </w:pPr>
    </w:p>
    <w:p w14:paraId="7CCE9DBD">
      <w:pPr>
        <w:shd w:val="clear"/>
        <w:ind w:firstLine="0" w:firstLineChars="0"/>
        <w:jc w:val="left"/>
        <w:outlineLvl w:val="9"/>
        <w:rPr>
          <w:rFonts w:hint="eastAsia" w:ascii="宋体" w:hAnsi="宋体" w:eastAsia="宋体" w:cs="宋体"/>
          <w:b/>
          <w:bCs/>
          <w:color w:val="auto"/>
          <w:highlight w:val="none"/>
        </w:rPr>
      </w:pPr>
    </w:p>
    <w:p w14:paraId="7682DFA5">
      <w:pPr>
        <w:shd w:val="clear"/>
        <w:ind w:firstLine="0" w:firstLineChars="0"/>
        <w:jc w:val="left"/>
        <w:outlineLvl w:val="9"/>
        <w:rPr>
          <w:rFonts w:hint="eastAsia" w:ascii="宋体" w:hAnsi="宋体" w:eastAsia="宋体" w:cs="宋体"/>
          <w:b/>
          <w:bCs/>
          <w:color w:val="auto"/>
          <w:highlight w:val="none"/>
        </w:rPr>
      </w:pPr>
    </w:p>
    <w:p w14:paraId="679A1156">
      <w:pPr>
        <w:shd w:val="clear"/>
        <w:ind w:firstLine="0" w:firstLineChars="0"/>
        <w:jc w:val="left"/>
        <w:outlineLvl w:val="9"/>
        <w:rPr>
          <w:rFonts w:hint="eastAsia" w:ascii="宋体" w:hAnsi="宋体" w:eastAsia="宋体" w:cs="宋体"/>
          <w:b/>
          <w:bCs/>
          <w:color w:val="auto"/>
          <w:highlight w:val="none"/>
        </w:rPr>
      </w:pPr>
    </w:p>
    <w:p w14:paraId="683E80CD">
      <w:pPr>
        <w:shd w:val="clear"/>
        <w:ind w:firstLine="0" w:firstLineChars="0"/>
        <w:jc w:val="left"/>
        <w:outlineLvl w:val="9"/>
        <w:rPr>
          <w:rFonts w:hint="eastAsia" w:ascii="宋体" w:hAnsi="宋体" w:eastAsia="宋体" w:cs="宋体"/>
          <w:b/>
          <w:bCs/>
          <w:color w:val="auto"/>
          <w:highlight w:val="none"/>
        </w:rPr>
      </w:pPr>
    </w:p>
    <w:p w14:paraId="273192D7">
      <w:pPr>
        <w:shd w:val="clear"/>
        <w:ind w:firstLine="0" w:firstLineChars="0"/>
        <w:jc w:val="left"/>
        <w:outlineLvl w:val="0"/>
        <w:rPr>
          <w:rFonts w:hint="eastAsia" w:ascii="宋体" w:hAnsi="宋体" w:eastAsia="宋体" w:cs="宋体"/>
          <w:color w:val="auto"/>
          <w:highlight w:val="none"/>
          <w:lang w:val="en-US" w:eastAsia="zh-CN"/>
        </w:rPr>
      </w:pPr>
      <w:bookmarkStart w:id="1845" w:name="_Toc27243"/>
      <w:bookmarkStart w:id="1846" w:name="_Toc1754"/>
      <w:bookmarkStart w:id="1847" w:name="_Toc5237"/>
      <w:r>
        <w:rPr>
          <w:rFonts w:hint="eastAsia" w:ascii="宋体" w:hAnsi="宋体" w:eastAsia="宋体" w:cs="宋体"/>
          <w:b/>
          <w:bCs/>
          <w:color w:val="auto"/>
          <w:highlight w:val="none"/>
        </w:rPr>
        <w:t>附件</w:t>
      </w:r>
      <w:bookmarkEnd w:id="1839"/>
      <w:bookmarkEnd w:id="1840"/>
      <w:bookmarkEnd w:id="1845"/>
      <w:r>
        <w:rPr>
          <w:rFonts w:hint="eastAsia" w:ascii="宋体" w:hAnsi="宋体" w:cs="宋体"/>
          <w:b/>
          <w:bCs/>
          <w:color w:val="auto"/>
          <w:highlight w:val="none"/>
          <w:lang w:val="en-US" w:eastAsia="zh-CN"/>
        </w:rPr>
        <w:t>7</w:t>
      </w:r>
      <w:bookmarkEnd w:id="1846"/>
      <w:bookmarkEnd w:id="1847"/>
    </w:p>
    <w:p w14:paraId="4C43AD6D">
      <w:pPr>
        <w:pStyle w:val="37"/>
        <w:keepNext w:val="0"/>
        <w:keepLines w:val="0"/>
        <w:widowControl w:val="0"/>
        <w:suppressLineNumbers w:val="0"/>
        <w:shd w:val="clear"/>
        <w:spacing w:before="0" w:beforeAutospacing="0" w:after="0" w:afterAutospacing="0" w:line="360" w:lineRule="auto"/>
        <w:ind w:left="0" w:leftChars="0" w:right="0" w:firstLine="0" w:firstLineChars="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bidi="ar"/>
        </w:rPr>
        <w:t>拟投入项目组成员一览表</w:t>
      </w:r>
    </w:p>
    <w:p w14:paraId="297A8A68">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项目名称：</w:t>
      </w:r>
    </w:p>
    <w:p w14:paraId="38CF8EBB">
      <w:pPr>
        <w:shd w:val="clea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bidi="ar"/>
        </w:rPr>
        <w:t>项目编号：</w:t>
      </w:r>
    </w:p>
    <w:tbl>
      <w:tblPr>
        <w:tblStyle w:val="41"/>
        <w:tblW w:w="9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23"/>
        <w:gridCol w:w="1365"/>
        <w:gridCol w:w="2040"/>
        <w:gridCol w:w="1620"/>
        <w:gridCol w:w="1585"/>
        <w:gridCol w:w="1521"/>
      </w:tblGrid>
      <w:tr w14:paraId="4A1D6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10D1">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姓名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1E33">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职务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F937">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职称或资格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1940">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等级</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D947">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E2CC">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专业</w:t>
            </w:r>
          </w:p>
        </w:tc>
      </w:tr>
      <w:tr w14:paraId="5433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3"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9A4">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0D49">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A21C">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E730">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F198">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4AA2">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r>
      <w:tr w14:paraId="79E8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8"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DA38">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C6ED">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626D">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4F34">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EB29">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281E">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r>
      <w:tr w14:paraId="5BFB1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8"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F0F8">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7B31">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F64">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61D4">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325F">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5336">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r>
      <w:tr w14:paraId="13F71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8"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9552">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1103">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8641">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A71C">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96D2">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D196">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r>
    </w:tbl>
    <w:p w14:paraId="6A301AE8">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供应商名称（盖章）</w:t>
      </w:r>
      <w:r>
        <w:rPr>
          <w:rFonts w:hint="eastAsia" w:ascii="宋体" w:hAnsi="宋体" w:eastAsia="宋体" w:cs="宋体"/>
          <w:color w:val="auto"/>
          <w:highlight w:val="none"/>
          <w:lang w:eastAsia="zh-CN" w:bidi="ar"/>
        </w:rPr>
        <w:t>：</w:t>
      </w:r>
    </w:p>
    <w:p w14:paraId="6EED7FF7">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66598C4F">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51AC9038">
      <w:pPr>
        <w:shd w:val="clear"/>
        <w:ind w:firstLine="0" w:firstLineChars="0"/>
        <w:jc w:val="left"/>
        <w:outlineLvl w:val="9"/>
        <w:rPr>
          <w:rFonts w:hint="eastAsia" w:ascii="宋体" w:hAnsi="宋体" w:eastAsia="宋体" w:cs="宋体"/>
          <w:b/>
          <w:bCs/>
          <w:color w:val="auto"/>
          <w:highlight w:val="none"/>
        </w:rPr>
      </w:pPr>
    </w:p>
    <w:p w14:paraId="67F373E5">
      <w:pPr>
        <w:shd w:val="clear"/>
        <w:ind w:firstLine="0" w:firstLineChars="0"/>
        <w:jc w:val="left"/>
        <w:outlineLvl w:val="9"/>
        <w:rPr>
          <w:rFonts w:hint="eastAsia" w:ascii="宋体" w:hAnsi="宋体" w:eastAsia="宋体" w:cs="宋体"/>
          <w:b/>
          <w:bCs/>
          <w:color w:val="auto"/>
          <w:highlight w:val="none"/>
        </w:rPr>
      </w:pPr>
    </w:p>
    <w:p w14:paraId="24BF885C">
      <w:pPr>
        <w:shd w:val="clear"/>
        <w:ind w:firstLine="0" w:firstLineChars="0"/>
        <w:jc w:val="left"/>
        <w:outlineLvl w:val="9"/>
        <w:rPr>
          <w:rFonts w:hint="eastAsia" w:ascii="宋体" w:hAnsi="宋体" w:eastAsia="宋体" w:cs="宋体"/>
          <w:b/>
          <w:bCs/>
          <w:color w:val="auto"/>
          <w:highlight w:val="none"/>
        </w:rPr>
      </w:pPr>
    </w:p>
    <w:p w14:paraId="3BA8EEDF">
      <w:pPr>
        <w:shd w:val="clear"/>
        <w:ind w:firstLine="0" w:firstLineChars="0"/>
        <w:jc w:val="left"/>
        <w:outlineLvl w:val="9"/>
        <w:rPr>
          <w:rFonts w:hint="eastAsia" w:ascii="宋体" w:hAnsi="宋体" w:eastAsia="宋体" w:cs="宋体"/>
          <w:b/>
          <w:bCs/>
          <w:color w:val="auto"/>
          <w:highlight w:val="none"/>
        </w:rPr>
      </w:pPr>
    </w:p>
    <w:p w14:paraId="6359DCEF">
      <w:pPr>
        <w:shd w:val="clear"/>
        <w:ind w:firstLine="0" w:firstLineChars="0"/>
        <w:jc w:val="left"/>
        <w:outlineLvl w:val="9"/>
        <w:rPr>
          <w:rFonts w:hint="eastAsia" w:ascii="宋体" w:hAnsi="宋体" w:eastAsia="宋体" w:cs="宋体"/>
          <w:b/>
          <w:bCs/>
          <w:color w:val="auto"/>
          <w:highlight w:val="none"/>
        </w:rPr>
      </w:pPr>
    </w:p>
    <w:p w14:paraId="718F4D27">
      <w:pPr>
        <w:shd w:val="clear"/>
        <w:ind w:firstLine="0" w:firstLineChars="0"/>
        <w:jc w:val="left"/>
        <w:outlineLvl w:val="9"/>
        <w:rPr>
          <w:rFonts w:hint="eastAsia" w:ascii="宋体" w:hAnsi="宋体" w:eastAsia="宋体" w:cs="宋体"/>
          <w:b/>
          <w:bCs/>
          <w:color w:val="auto"/>
          <w:highlight w:val="none"/>
        </w:rPr>
      </w:pPr>
    </w:p>
    <w:p w14:paraId="17BDC5CE">
      <w:pPr>
        <w:shd w:val="clear"/>
        <w:ind w:firstLine="0" w:firstLineChars="0"/>
        <w:jc w:val="left"/>
        <w:outlineLvl w:val="9"/>
        <w:rPr>
          <w:rFonts w:hint="eastAsia" w:ascii="宋体" w:hAnsi="宋体" w:eastAsia="宋体" w:cs="宋体"/>
          <w:b/>
          <w:bCs/>
          <w:color w:val="auto"/>
          <w:highlight w:val="none"/>
        </w:rPr>
      </w:pPr>
      <w:bookmarkStart w:id="1848" w:name="_Toc18267"/>
      <w:bookmarkStart w:id="1849" w:name="_Toc16809"/>
    </w:p>
    <w:p w14:paraId="77A1D1C0">
      <w:pPr>
        <w:shd w:val="clear"/>
        <w:ind w:firstLine="0" w:firstLineChars="0"/>
        <w:jc w:val="left"/>
        <w:outlineLvl w:val="9"/>
        <w:rPr>
          <w:rFonts w:hint="eastAsia" w:ascii="宋体" w:hAnsi="宋体" w:eastAsia="宋体" w:cs="宋体"/>
          <w:b/>
          <w:bCs/>
          <w:color w:val="auto"/>
          <w:highlight w:val="none"/>
        </w:rPr>
      </w:pPr>
    </w:p>
    <w:p w14:paraId="7AB1BFFA">
      <w:pPr>
        <w:pStyle w:val="81"/>
        <w:shd w:val="clear"/>
        <w:adjustRightInd w:val="0"/>
        <w:snapToGrid w:val="0"/>
        <w:spacing w:after="156" w:afterLines="50" w:line="240" w:lineRule="auto"/>
        <w:ind w:left="0" w:leftChars="0" w:right="0" w:firstLine="0" w:firstLineChars="0"/>
        <w:jc w:val="left"/>
        <w:rPr>
          <w:rFonts w:hint="eastAsia" w:ascii="宋体" w:hAnsi="宋体" w:eastAsia="宋体" w:cs="宋体"/>
          <w:b/>
          <w:bCs/>
          <w:color w:val="auto"/>
          <w:highlight w:val="none"/>
        </w:rPr>
      </w:pPr>
    </w:p>
    <w:p w14:paraId="10EA282D">
      <w:pPr>
        <w:pStyle w:val="81"/>
        <w:shd w:val="clear"/>
        <w:adjustRightInd w:val="0"/>
        <w:snapToGrid w:val="0"/>
        <w:spacing w:after="156" w:afterLines="50" w:line="240" w:lineRule="auto"/>
        <w:ind w:left="0" w:leftChars="0" w:right="0" w:firstLine="0" w:firstLineChars="0"/>
        <w:jc w:val="left"/>
        <w:rPr>
          <w:rFonts w:hint="eastAsia" w:ascii="宋体" w:hAnsi="宋体" w:eastAsia="宋体" w:cs="宋体"/>
          <w:b/>
          <w:bCs/>
          <w:color w:val="auto"/>
          <w:highlight w:val="none"/>
        </w:rPr>
      </w:pPr>
    </w:p>
    <w:p w14:paraId="4A2A97FA">
      <w:pPr>
        <w:pStyle w:val="81"/>
        <w:shd w:val="clear"/>
        <w:adjustRightInd w:val="0"/>
        <w:snapToGrid w:val="0"/>
        <w:spacing w:after="156" w:afterLines="50" w:line="240" w:lineRule="auto"/>
        <w:ind w:left="0" w:leftChars="0" w:right="0" w:firstLine="0" w:firstLineChars="0"/>
        <w:jc w:val="left"/>
        <w:rPr>
          <w:rFonts w:hint="eastAsia" w:ascii="宋体" w:hAnsi="宋体" w:eastAsia="宋体" w:cs="宋体"/>
          <w:b/>
          <w:bCs/>
          <w:color w:val="auto"/>
          <w:highlight w:val="none"/>
        </w:rPr>
      </w:pPr>
    </w:p>
    <w:p w14:paraId="23708E17">
      <w:pPr>
        <w:pStyle w:val="81"/>
        <w:shd w:val="clear"/>
        <w:adjustRightInd w:val="0"/>
        <w:snapToGrid w:val="0"/>
        <w:spacing w:after="156" w:afterLines="50" w:line="240" w:lineRule="auto"/>
        <w:ind w:left="0" w:leftChars="0" w:right="0" w:firstLine="0" w:firstLineChars="0"/>
        <w:jc w:val="left"/>
        <w:rPr>
          <w:rFonts w:hint="eastAsia" w:ascii="宋体" w:hAnsi="宋体" w:eastAsia="宋体" w:cs="宋体"/>
          <w:b/>
          <w:bCs/>
          <w:color w:val="auto"/>
          <w:highlight w:val="none"/>
        </w:rPr>
      </w:pPr>
    </w:p>
    <w:p w14:paraId="7254FB8E">
      <w:pPr>
        <w:pStyle w:val="81"/>
        <w:shd w:val="clear"/>
        <w:adjustRightInd w:val="0"/>
        <w:snapToGrid w:val="0"/>
        <w:spacing w:after="156" w:afterLines="50" w:line="240" w:lineRule="auto"/>
        <w:ind w:left="0" w:leftChars="0" w:right="0" w:firstLine="0" w:firstLineChars="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附件</w:t>
      </w:r>
      <w:bookmarkEnd w:id="1848"/>
      <w:bookmarkEnd w:id="1849"/>
      <w:r>
        <w:rPr>
          <w:rFonts w:hint="eastAsia" w:ascii="宋体" w:hAnsi="宋体" w:cs="宋体"/>
          <w:b/>
          <w:bCs/>
          <w:color w:val="auto"/>
          <w:highlight w:val="none"/>
          <w:lang w:val="en-US" w:eastAsia="zh-CN"/>
        </w:rPr>
        <w:t>8</w:t>
      </w:r>
    </w:p>
    <w:p w14:paraId="41543491">
      <w:pPr>
        <w:shd w:val="clear"/>
        <w:snapToGrid w:val="0"/>
        <w:spacing w:line="480" w:lineRule="auto"/>
        <w:ind w:left="0" w:leftChars="0" w:firstLine="0" w:firstLineChars="0"/>
        <w:jc w:val="center"/>
        <w:rPr>
          <w:rFonts w:hint="eastAsia" w:ascii="宋体" w:hAnsi="宋体" w:eastAsia="宋体" w:cs="宋体"/>
          <w:b/>
          <w:bCs/>
          <w:color w:val="auto"/>
          <w:kern w:val="0"/>
          <w:sz w:val="30"/>
          <w:szCs w:val="30"/>
          <w:highlight w:val="none"/>
          <w:lang w:val="en-US" w:eastAsia="zh-CN" w:bidi="ar"/>
        </w:rPr>
      </w:pPr>
      <w:bookmarkStart w:id="1850" w:name="_Toc334"/>
      <w:bookmarkStart w:id="1851" w:name="_Toc26273"/>
      <w:bookmarkStart w:id="1852" w:name="_Toc20206"/>
      <w:bookmarkStart w:id="1853" w:name="_Toc19507"/>
      <w:bookmarkStart w:id="1854" w:name="_Toc5825"/>
      <w:bookmarkStart w:id="1855" w:name="_Toc20565"/>
      <w:bookmarkStart w:id="1856" w:name="_Toc30571"/>
      <w:bookmarkStart w:id="1857" w:name="_Toc22205"/>
      <w:bookmarkStart w:id="1858" w:name="_Toc8735"/>
      <w:bookmarkStart w:id="1859" w:name="_Toc28057"/>
      <w:bookmarkStart w:id="1860" w:name="_Toc5955"/>
      <w:bookmarkStart w:id="1861" w:name="_Toc19562"/>
      <w:bookmarkStart w:id="1862" w:name="_Toc5829"/>
      <w:bookmarkStart w:id="1863" w:name="_Toc7624"/>
      <w:bookmarkStart w:id="1864" w:name="_Toc904"/>
      <w:bookmarkStart w:id="1865" w:name="_Toc22456"/>
      <w:bookmarkStart w:id="1866" w:name="_Toc18978"/>
      <w:bookmarkStart w:id="1867" w:name="_Toc12871"/>
      <w:bookmarkStart w:id="1868" w:name="_Toc2545"/>
      <w:bookmarkStart w:id="1869" w:name="_Toc6746"/>
      <w:bookmarkStart w:id="1870" w:name="_Toc30377"/>
      <w:bookmarkStart w:id="1871" w:name="_Toc10746"/>
      <w:bookmarkStart w:id="1872" w:name="_Toc30602"/>
      <w:bookmarkStart w:id="1873" w:name="_Toc14311"/>
      <w:bookmarkStart w:id="1874" w:name="_Toc15273"/>
      <w:bookmarkStart w:id="1875" w:name="_Toc3800"/>
      <w:bookmarkStart w:id="1876" w:name="_Toc3709"/>
      <w:r>
        <w:rPr>
          <w:rFonts w:hint="eastAsia" w:ascii="宋体" w:hAnsi="宋体" w:eastAsia="宋体" w:cs="宋体"/>
          <w:b/>
          <w:bCs/>
          <w:color w:val="auto"/>
          <w:kern w:val="0"/>
          <w:sz w:val="30"/>
          <w:szCs w:val="30"/>
          <w:highlight w:val="none"/>
          <w:lang w:val="en-US" w:eastAsia="zh-CN" w:bidi="ar"/>
        </w:rPr>
        <w:t>技术偏离表</w:t>
      </w:r>
    </w:p>
    <w:p w14:paraId="36247420">
      <w:pPr>
        <w:shd w:val="clear"/>
        <w:spacing w:line="360" w:lineRule="auto"/>
        <w:ind w:firstLine="42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项目名称：</w:t>
      </w:r>
    </w:p>
    <w:tbl>
      <w:tblPr>
        <w:tblStyle w:val="41"/>
        <w:tblpPr w:leftFromText="180" w:rightFromText="180" w:vertAnchor="text" w:horzAnchor="page" w:tblpX="1128" w:tblpY="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060"/>
        <w:gridCol w:w="3037"/>
        <w:gridCol w:w="2745"/>
      </w:tblGrid>
      <w:tr w14:paraId="7A81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6736F2CA">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序号</w:t>
            </w:r>
          </w:p>
        </w:tc>
        <w:tc>
          <w:tcPr>
            <w:tcW w:w="3060" w:type="dxa"/>
            <w:noWrap w:val="0"/>
            <w:vAlign w:val="center"/>
          </w:tcPr>
          <w:p w14:paraId="0C866446">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采购要求</w:t>
            </w:r>
          </w:p>
        </w:tc>
        <w:tc>
          <w:tcPr>
            <w:tcW w:w="3037" w:type="dxa"/>
            <w:noWrap w:val="0"/>
            <w:vAlign w:val="center"/>
          </w:tcPr>
          <w:p w14:paraId="05505557">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投标响应</w:t>
            </w:r>
          </w:p>
        </w:tc>
        <w:tc>
          <w:tcPr>
            <w:tcW w:w="2745" w:type="dxa"/>
            <w:noWrap w:val="0"/>
            <w:vAlign w:val="center"/>
          </w:tcPr>
          <w:p w14:paraId="27AEC075">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说明（正/负/无偏离）</w:t>
            </w:r>
          </w:p>
        </w:tc>
      </w:tr>
      <w:tr w14:paraId="0828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51A86674">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54812DFD">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707C22DA">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1BFE79E6">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7442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05F7F4A6">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5443E0FE">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53E99601">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2C4C495D">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7151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5E1C27EE">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770E5791">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3A8D1BA7">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169F62C2">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33FB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26A161FC">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18C3E14E">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73836A98">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4552BF69">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2D4C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4AD6E350">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56C2462D">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2DFBF347">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2CDCA968">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5960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632CF5AB">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359C180C">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1A20186F">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72038946">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bl>
    <w:p w14:paraId="280E0CA1">
      <w:pPr>
        <w:shd w:val="clear"/>
        <w:spacing w:line="360" w:lineRule="auto"/>
        <w:ind w:firstLine="42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项目编号：</w:t>
      </w:r>
    </w:p>
    <w:p w14:paraId="31B1319C">
      <w:pPr>
        <w:pageBreakBefore w:val="0"/>
        <w:widowControl w:val="0"/>
        <w:shd w:val="clear"/>
        <w:kinsoku/>
        <w:wordWrap/>
        <w:overflowPunct/>
        <w:topLinePunct w:val="0"/>
        <w:autoSpaceDE/>
        <w:autoSpaceDN/>
        <w:bidi w:val="0"/>
        <w:adjustRightInd/>
        <w:snapToGrid/>
        <w:spacing w:before="0" w:line="312" w:lineRule="auto"/>
        <w:ind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zh-CN" w:eastAsia="zh-CN" w:bidi="ar"/>
        </w:rPr>
        <w:t>注：</w:t>
      </w:r>
      <w:r>
        <w:rPr>
          <w:rFonts w:hint="eastAsia" w:ascii="宋体" w:hAnsi="宋体" w:eastAsia="宋体" w:cs="宋体"/>
          <w:color w:val="auto"/>
          <w:kern w:val="2"/>
          <w:sz w:val="24"/>
          <w:szCs w:val="24"/>
          <w:highlight w:val="none"/>
          <w:lang w:val="en-US" w:eastAsia="zh-CN" w:bidi="ar"/>
        </w:rPr>
        <w:t>1、在填写其中的技术响应内容时，投标人必须对照本采购文件“项目采购需求”中各指标项逐条说明，写出各自响应内容且不局限于本采购文件技术要求，不得以“符合”或“满足”等词语作简单回答，否则评标委员会有权视其投标文件未实质响应采购文件要求；</w:t>
      </w:r>
    </w:p>
    <w:p w14:paraId="24BFA38B">
      <w:pPr>
        <w:pageBreakBefore w:val="0"/>
        <w:widowControl w:val="0"/>
        <w:shd w:val="clear"/>
        <w:kinsoku/>
        <w:wordWrap/>
        <w:overflowPunct/>
        <w:topLinePunct w:val="0"/>
        <w:autoSpaceDE/>
        <w:autoSpaceDN/>
        <w:bidi w:val="0"/>
        <w:adjustRightInd/>
        <w:snapToGrid/>
        <w:spacing w:before="0" w:line="312" w:lineRule="auto"/>
        <w:ind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2、投标人应根据本身指标、对照采购文件要求在“偏离情况”栏注明“正偏离”、“负偏离”或“无偏离”。 带▲的负偏离取消其投标响应资格。</w:t>
      </w:r>
    </w:p>
    <w:p w14:paraId="5A6D7D09">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bidi="ar"/>
        </w:rPr>
      </w:pPr>
    </w:p>
    <w:p w14:paraId="3BEF25F6">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bidi="ar"/>
        </w:rPr>
      </w:pPr>
    </w:p>
    <w:p w14:paraId="3E0E5E3B">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供应商名称（盖章）</w:t>
      </w:r>
      <w:r>
        <w:rPr>
          <w:rFonts w:hint="eastAsia" w:ascii="宋体" w:hAnsi="宋体" w:eastAsia="宋体" w:cs="宋体"/>
          <w:color w:val="auto"/>
          <w:highlight w:val="none"/>
          <w:lang w:eastAsia="zh-CN" w:bidi="ar"/>
        </w:rPr>
        <w:t>：</w:t>
      </w:r>
    </w:p>
    <w:p w14:paraId="2B68D358">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61E330DB">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049888E9">
      <w:pPr>
        <w:pStyle w:val="37"/>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58147ECA">
      <w:pPr>
        <w:pStyle w:val="37"/>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56200180">
      <w:pPr>
        <w:pStyle w:val="37"/>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2B9C4CFB">
      <w:pPr>
        <w:pStyle w:val="37"/>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1E02C11D">
      <w:pPr>
        <w:pStyle w:val="37"/>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76A9752A">
      <w:pPr>
        <w:pStyle w:val="37"/>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default" w:ascii="宋体" w:hAnsi="宋体" w:eastAsia="宋体" w:cs="宋体"/>
          <w:b/>
          <w:bCs/>
          <w:color w:val="auto"/>
          <w:kern w:val="2"/>
          <w:sz w:val="24"/>
          <w:szCs w:val="24"/>
          <w:highlight w:val="none"/>
          <w:lang w:val="en-US"/>
        </w:rPr>
      </w:pPr>
      <w:r>
        <w:rPr>
          <w:rFonts w:hint="eastAsia" w:ascii="宋体" w:hAnsi="宋体" w:eastAsia="宋体" w:cs="宋体"/>
          <w:b/>
          <w:bCs/>
          <w:color w:val="auto"/>
          <w:kern w:val="2"/>
          <w:sz w:val="24"/>
          <w:szCs w:val="24"/>
          <w:highlight w:val="none"/>
          <w:lang w:val="en-US" w:eastAsia="zh-CN" w:bidi="ar"/>
        </w:rPr>
        <w:t>附件</w:t>
      </w:r>
      <w:r>
        <w:rPr>
          <w:rFonts w:hint="eastAsia" w:cs="宋体"/>
          <w:b/>
          <w:bCs/>
          <w:color w:val="auto"/>
          <w:kern w:val="2"/>
          <w:sz w:val="24"/>
          <w:szCs w:val="24"/>
          <w:highlight w:val="none"/>
          <w:lang w:val="en-US" w:eastAsia="zh-CN" w:bidi="ar"/>
        </w:rPr>
        <w:t>9</w:t>
      </w:r>
    </w:p>
    <w:p w14:paraId="3546D333">
      <w:pPr>
        <w:shd w:val="clear"/>
        <w:spacing w:line="360" w:lineRule="auto"/>
        <w:ind w:firstLine="0" w:firstLineChars="0"/>
        <w:jc w:val="center"/>
        <w:outlineLvl w:val="0"/>
        <w:rPr>
          <w:rFonts w:hint="eastAsia" w:ascii="宋体" w:hAnsi="宋体" w:eastAsia="宋体" w:cs="宋体"/>
          <w:b/>
          <w:color w:val="auto"/>
          <w:sz w:val="30"/>
          <w:szCs w:val="30"/>
          <w:highlight w:val="none"/>
        </w:rPr>
      </w:pPr>
      <w:bookmarkStart w:id="1877" w:name="_Toc18081"/>
      <w:bookmarkStart w:id="1878" w:name="_Toc12081"/>
      <w:bookmarkStart w:id="1879" w:name="_Toc29096"/>
      <w:r>
        <w:rPr>
          <w:rFonts w:hint="eastAsia" w:ascii="宋体" w:hAnsi="宋体" w:eastAsia="宋体" w:cs="宋体"/>
          <w:b/>
          <w:color w:val="auto"/>
          <w:sz w:val="30"/>
          <w:szCs w:val="30"/>
          <w:highlight w:val="none"/>
          <w:lang w:bidi="ar"/>
        </w:rPr>
        <w:t>商务响应承诺函</w:t>
      </w:r>
      <w:bookmarkEnd w:id="1850"/>
      <w:bookmarkEnd w:id="1851"/>
      <w:bookmarkEnd w:id="1852"/>
      <w:bookmarkEnd w:id="1853"/>
      <w:bookmarkEnd w:id="1854"/>
      <w:bookmarkEnd w:id="1855"/>
      <w:bookmarkEnd w:id="1856"/>
      <w:bookmarkEnd w:id="1857"/>
      <w:bookmarkEnd w:id="1877"/>
      <w:bookmarkEnd w:id="1878"/>
      <w:bookmarkEnd w:id="1879"/>
    </w:p>
    <w:p w14:paraId="257C8A86">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14:paraId="3F014737">
      <w:pPr>
        <w:pStyle w:val="37"/>
        <w:widowControl w:val="0"/>
        <w:shd w:val="clear"/>
        <w:spacing w:before="60" w:beforeAutospacing="0" w:after="60" w:afterAutospacing="0"/>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我方参与的</w:t>
      </w:r>
      <w:r>
        <w:rPr>
          <w:rFonts w:hint="eastAsia" w:ascii="宋体" w:hAnsi="宋体" w:eastAsia="宋体" w:cs="宋体"/>
          <w:color w:val="auto"/>
          <w:kern w:val="2"/>
          <w:highlight w:val="none"/>
          <w:u w:val="single"/>
          <w:lang w:bidi="ar"/>
        </w:rPr>
        <w:t xml:space="preserve"> （项目名称）（项目编号） </w:t>
      </w:r>
      <w:r>
        <w:rPr>
          <w:rFonts w:hint="eastAsia" w:ascii="宋体" w:hAnsi="宋体" w:eastAsia="宋体" w:cs="宋体"/>
          <w:color w:val="auto"/>
          <w:kern w:val="2"/>
          <w:highlight w:val="none"/>
          <w:lang w:bidi="ar"/>
        </w:rPr>
        <w:t xml:space="preserve"> 的招标活动，我方郑重承诺，我方承诺对招标文件中的商务要求完全响应。</w:t>
      </w:r>
    </w:p>
    <w:p w14:paraId="4811C2A7">
      <w:pPr>
        <w:pStyle w:val="37"/>
        <w:widowControl w:val="0"/>
        <w:shd w:val="clear"/>
        <w:spacing w:before="60" w:beforeAutospacing="0" w:after="60" w:afterAutospacing="0"/>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如本公司对以上条款提供虚假承诺，愿承担一切法律责任。</w:t>
      </w:r>
    </w:p>
    <w:p w14:paraId="4AEF0396">
      <w:pPr>
        <w:widowControl/>
        <w:shd w:val="clear"/>
        <w:adjustRightInd w:val="0"/>
        <w:snapToGrid w:val="0"/>
        <w:spacing w:line="360" w:lineRule="auto"/>
        <w:ind w:firstLine="4080" w:firstLineChars="1700"/>
        <w:jc w:val="left"/>
        <w:rPr>
          <w:rFonts w:hint="eastAsia" w:ascii="宋体" w:hAnsi="宋体" w:eastAsia="宋体" w:cs="宋体"/>
          <w:color w:val="auto"/>
          <w:highlight w:val="none"/>
        </w:rPr>
      </w:pPr>
      <w:r>
        <w:rPr>
          <w:rFonts w:hint="eastAsia" w:ascii="宋体" w:hAnsi="宋体" w:eastAsia="宋体" w:cs="宋体"/>
          <w:color w:val="auto"/>
          <w:highlight w:val="none"/>
          <w:lang w:bidi="ar"/>
        </w:rPr>
        <w:t xml:space="preserve"> </w:t>
      </w:r>
    </w:p>
    <w:p w14:paraId="68C6C41E">
      <w:pPr>
        <w:pStyle w:val="37"/>
        <w:widowControl w:val="0"/>
        <w:shd w:val="clear"/>
        <w:spacing w:before="0" w:beforeAutospacing="0" w:after="0" w:afterAutospacing="0"/>
        <w:ind w:firstLine="48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bidi="ar"/>
        </w:rPr>
        <w:t xml:space="preserve"> </w:t>
      </w:r>
    </w:p>
    <w:p w14:paraId="792B112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 xml:space="preserve"> </w:t>
      </w:r>
    </w:p>
    <w:p w14:paraId="4B828EB9">
      <w:pPr>
        <w:shd w:val="clear"/>
        <w:ind w:firstLine="3780" w:firstLineChars="180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highlight w:val="none"/>
        </w:rPr>
        <w:t xml:space="preserve">供应商全称（盖章）：                         </w:t>
      </w:r>
    </w:p>
    <w:p w14:paraId="75915DD4">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796667A3">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09F63EB4">
      <w:pPr>
        <w:pStyle w:val="40"/>
        <w:shd w:val="clear"/>
        <w:ind w:left="0" w:leftChars="0" w:firstLine="0" w:firstLineChars="0"/>
        <w:rPr>
          <w:rFonts w:hint="eastAsia" w:ascii="宋体" w:hAnsi="宋体" w:eastAsia="宋体" w:cs="宋体"/>
          <w:color w:val="auto"/>
          <w:highlight w:val="none"/>
        </w:rPr>
      </w:pPr>
    </w:p>
    <w:p w14:paraId="05ECC7DF">
      <w:pPr>
        <w:shd w:val="clear"/>
        <w:ind w:firstLine="0" w:firstLineChars="0"/>
        <w:jc w:val="center"/>
        <w:rPr>
          <w:rFonts w:hint="eastAsia" w:ascii="宋体" w:hAnsi="宋体" w:eastAsia="宋体" w:cs="宋体"/>
          <w:b/>
          <w:bCs/>
          <w:color w:val="auto"/>
          <w:sz w:val="30"/>
          <w:szCs w:val="30"/>
          <w:highlight w:val="none"/>
        </w:rPr>
      </w:pPr>
      <w:bookmarkStart w:id="1880" w:name="_Toc21012"/>
      <w:bookmarkStart w:id="1881" w:name="_Toc25994"/>
      <w:bookmarkStart w:id="1882" w:name="_Toc18159"/>
    </w:p>
    <w:p w14:paraId="7D065E8B">
      <w:pPr>
        <w:shd w:val="clear"/>
        <w:ind w:firstLine="0" w:firstLineChars="0"/>
        <w:jc w:val="center"/>
        <w:rPr>
          <w:rFonts w:hint="eastAsia" w:ascii="宋体" w:hAnsi="宋体" w:eastAsia="宋体" w:cs="宋体"/>
          <w:b/>
          <w:bCs/>
          <w:color w:val="auto"/>
          <w:sz w:val="30"/>
          <w:szCs w:val="30"/>
          <w:highlight w:val="none"/>
        </w:rPr>
      </w:pPr>
    </w:p>
    <w:p w14:paraId="4D06E20B">
      <w:pPr>
        <w:shd w:val="clear"/>
        <w:ind w:firstLine="0" w:firstLineChars="0"/>
        <w:jc w:val="center"/>
        <w:rPr>
          <w:rFonts w:hint="eastAsia" w:ascii="宋体" w:hAnsi="宋体" w:eastAsia="宋体" w:cs="宋体"/>
          <w:b/>
          <w:bCs/>
          <w:color w:val="auto"/>
          <w:sz w:val="30"/>
          <w:szCs w:val="30"/>
          <w:highlight w:val="none"/>
        </w:rPr>
      </w:pPr>
    </w:p>
    <w:p w14:paraId="475FCDE0">
      <w:pPr>
        <w:shd w:val="clear"/>
        <w:ind w:firstLine="0" w:firstLineChars="0"/>
        <w:jc w:val="center"/>
        <w:rPr>
          <w:rFonts w:hint="eastAsia" w:ascii="宋体" w:hAnsi="宋体" w:eastAsia="宋体" w:cs="宋体"/>
          <w:b/>
          <w:bCs/>
          <w:color w:val="auto"/>
          <w:sz w:val="30"/>
          <w:szCs w:val="30"/>
          <w:highlight w:val="none"/>
        </w:rPr>
      </w:pPr>
    </w:p>
    <w:p w14:paraId="4DE17D3F">
      <w:pPr>
        <w:shd w:val="clear"/>
        <w:ind w:firstLine="0" w:firstLineChars="0"/>
        <w:jc w:val="center"/>
        <w:rPr>
          <w:rFonts w:hint="eastAsia" w:ascii="宋体" w:hAnsi="宋体" w:eastAsia="宋体" w:cs="宋体"/>
          <w:b/>
          <w:bCs/>
          <w:color w:val="auto"/>
          <w:sz w:val="30"/>
          <w:szCs w:val="30"/>
          <w:highlight w:val="none"/>
        </w:rPr>
      </w:pPr>
    </w:p>
    <w:p w14:paraId="46C69AD6">
      <w:pPr>
        <w:shd w:val="clear"/>
        <w:ind w:firstLine="0" w:firstLineChars="0"/>
        <w:jc w:val="center"/>
        <w:rPr>
          <w:rFonts w:hint="eastAsia" w:ascii="宋体" w:hAnsi="宋体" w:eastAsia="宋体" w:cs="宋体"/>
          <w:b/>
          <w:bCs/>
          <w:color w:val="auto"/>
          <w:sz w:val="30"/>
          <w:szCs w:val="30"/>
          <w:highlight w:val="none"/>
        </w:rPr>
      </w:pPr>
    </w:p>
    <w:p w14:paraId="508506F5">
      <w:pPr>
        <w:shd w:val="clear"/>
        <w:ind w:firstLine="0" w:firstLineChars="0"/>
        <w:jc w:val="center"/>
        <w:rPr>
          <w:rFonts w:hint="eastAsia" w:ascii="宋体" w:hAnsi="宋体" w:eastAsia="宋体" w:cs="宋体"/>
          <w:b/>
          <w:bCs/>
          <w:color w:val="auto"/>
          <w:sz w:val="30"/>
          <w:szCs w:val="30"/>
          <w:highlight w:val="none"/>
        </w:rPr>
      </w:pPr>
    </w:p>
    <w:p w14:paraId="3FD82AF9">
      <w:pPr>
        <w:shd w:val="clear"/>
        <w:ind w:firstLine="0" w:firstLineChars="0"/>
        <w:jc w:val="center"/>
        <w:rPr>
          <w:rFonts w:hint="eastAsia" w:ascii="宋体" w:hAnsi="宋体" w:eastAsia="宋体" w:cs="宋体"/>
          <w:b/>
          <w:bCs/>
          <w:color w:val="auto"/>
          <w:sz w:val="30"/>
          <w:szCs w:val="30"/>
          <w:highlight w:val="none"/>
        </w:rPr>
      </w:pPr>
    </w:p>
    <w:p w14:paraId="021EEB58">
      <w:pPr>
        <w:shd w:val="clear"/>
        <w:ind w:firstLine="0" w:firstLineChars="0"/>
        <w:jc w:val="center"/>
        <w:rPr>
          <w:rFonts w:hint="eastAsia" w:ascii="宋体" w:hAnsi="宋体" w:eastAsia="宋体" w:cs="宋体"/>
          <w:b/>
          <w:bCs/>
          <w:color w:val="auto"/>
          <w:sz w:val="30"/>
          <w:szCs w:val="30"/>
          <w:highlight w:val="none"/>
        </w:rPr>
      </w:pPr>
    </w:p>
    <w:p w14:paraId="2CF970FB">
      <w:pPr>
        <w:shd w:val="clear"/>
        <w:ind w:firstLine="0" w:firstLineChars="0"/>
        <w:jc w:val="center"/>
        <w:rPr>
          <w:rFonts w:hint="eastAsia" w:ascii="宋体" w:hAnsi="宋体" w:eastAsia="宋体" w:cs="宋体"/>
          <w:b/>
          <w:bCs/>
          <w:color w:val="auto"/>
          <w:sz w:val="30"/>
          <w:szCs w:val="30"/>
          <w:highlight w:val="none"/>
        </w:rPr>
      </w:pPr>
    </w:p>
    <w:p w14:paraId="0258A4F2">
      <w:pPr>
        <w:shd w:val="clear"/>
        <w:ind w:firstLine="0" w:firstLineChars="0"/>
        <w:jc w:val="center"/>
        <w:rPr>
          <w:rFonts w:hint="eastAsia" w:ascii="宋体" w:hAnsi="宋体" w:eastAsia="宋体" w:cs="宋体"/>
          <w:b/>
          <w:bCs/>
          <w:color w:val="auto"/>
          <w:sz w:val="30"/>
          <w:szCs w:val="30"/>
          <w:highlight w:val="none"/>
        </w:rPr>
      </w:pPr>
    </w:p>
    <w:p w14:paraId="2FB8E42A">
      <w:pPr>
        <w:shd w:val="clear"/>
        <w:ind w:firstLine="0" w:firstLineChars="0"/>
        <w:jc w:val="center"/>
        <w:rPr>
          <w:rFonts w:hint="eastAsia" w:ascii="宋体" w:hAnsi="宋体" w:eastAsia="宋体" w:cs="宋体"/>
          <w:b/>
          <w:bCs/>
          <w:color w:val="auto"/>
          <w:sz w:val="30"/>
          <w:szCs w:val="30"/>
          <w:highlight w:val="none"/>
        </w:rPr>
      </w:pPr>
    </w:p>
    <w:p w14:paraId="6089D28E">
      <w:pPr>
        <w:shd w:val="clear"/>
        <w:ind w:firstLine="0" w:firstLineChars="0"/>
        <w:jc w:val="center"/>
        <w:rPr>
          <w:rFonts w:hint="eastAsia" w:ascii="宋体" w:hAnsi="宋体" w:eastAsia="宋体" w:cs="宋体"/>
          <w:b/>
          <w:bCs/>
          <w:color w:val="auto"/>
          <w:sz w:val="30"/>
          <w:szCs w:val="30"/>
          <w:highlight w:val="none"/>
        </w:rPr>
      </w:pPr>
    </w:p>
    <w:p w14:paraId="5622EC71">
      <w:pPr>
        <w:shd w:val="clear"/>
        <w:ind w:firstLine="0" w:firstLineChars="0"/>
        <w:jc w:val="center"/>
        <w:rPr>
          <w:rFonts w:hint="eastAsia" w:ascii="宋体" w:hAnsi="宋体" w:eastAsia="宋体" w:cs="宋体"/>
          <w:b/>
          <w:bCs/>
          <w:color w:val="auto"/>
          <w:sz w:val="30"/>
          <w:szCs w:val="30"/>
          <w:highlight w:val="none"/>
        </w:rPr>
      </w:pPr>
    </w:p>
    <w:p w14:paraId="118A6A2D">
      <w:pPr>
        <w:shd w:val="clear"/>
        <w:ind w:firstLine="0" w:firstLineChars="0"/>
        <w:jc w:val="center"/>
        <w:outlineLvl w:val="0"/>
        <w:rPr>
          <w:rFonts w:hint="eastAsia" w:ascii="宋体" w:hAnsi="宋体" w:eastAsia="宋体" w:cs="宋体"/>
          <w:b/>
          <w:bCs/>
          <w:color w:val="auto"/>
          <w:sz w:val="30"/>
          <w:szCs w:val="30"/>
          <w:highlight w:val="none"/>
        </w:rPr>
      </w:pPr>
      <w:bookmarkStart w:id="1883" w:name="_Toc16019"/>
      <w:bookmarkStart w:id="1884" w:name="_Toc28986"/>
      <w:bookmarkStart w:id="1885" w:name="_Toc16950"/>
      <w:bookmarkStart w:id="1886" w:name="_Toc16356"/>
      <w:bookmarkStart w:id="1887" w:name="_Toc7710"/>
      <w:bookmarkStart w:id="1888" w:name="_Toc29541"/>
      <w:bookmarkStart w:id="1889" w:name="_Toc11447"/>
      <w:bookmarkStart w:id="1890" w:name="_Toc14352"/>
      <w:bookmarkStart w:id="1891" w:name="_Toc27202"/>
      <w:r>
        <w:rPr>
          <w:rFonts w:hint="eastAsia" w:ascii="宋体" w:hAnsi="宋体" w:eastAsia="宋体" w:cs="宋体"/>
          <w:b/>
          <w:bCs/>
          <w:color w:val="auto"/>
          <w:sz w:val="30"/>
          <w:szCs w:val="30"/>
          <w:highlight w:val="none"/>
        </w:rPr>
        <w:t>商务报价文件封面格式</w:t>
      </w:r>
      <w:bookmarkEnd w:id="1799"/>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80"/>
      <w:bookmarkEnd w:id="1881"/>
      <w:bookmarkEnd w:id="1882"/>
      <w:bookmarkEnd w:id="1883"/>
      <w:bookmarkEnd w:id="1884"/>
      <w:bookmarkEnd w:id="1885"/>
      <w:bookmarkEnd w:id="1886"/>
      <w:bookmarkEnd w:id="1887"/>
      <w:bookmarkEnd w:id="1888"/>
      <w:bookmarkEnd w:id="1889"/>
      <w:bookmarkEnd w:id="1890"/>
      <w:bookmarkEnd w:id="1891"/>
    </w:p>
    <w:p w14:paraId="36E32C31">
      <w:pPr>
        <w:shd w:val="clear"/>
        <w:ind w:firstLine="0" w:firstLineChars="0"/>
        <w:jc w:val="center"/>
        <w:rPr>
          <w:rFonts w:hint="eastAsia" w:ascii="宋体" w:hAnsi="宋体" w:eastAsia="宋体" w:cs="宋体"/>
          <w:b/>
          <w:bCs/>
          <w:color w:val="auto"/>
          <w:sz w:val="30"/>
          <w:szCs w:val="30"/>
          <w:highlight w:val="none"/>
        </w:rPr>
      </w:pPr>
    </w:p>
    <w:p w14:paraId="06A1FBC5">
      <w:pPr>
        <w:shd w:val="clear"/>
        <w:spacing w:line="420" w:lineRule="exact"/>
        <w:ind w:firstLine="0" w:firstLineChars="0"/>
        <w:jc w:val="center"/>
        <w:rPr>
          <w:rFonts w:hint="eastAsia" w:ascii="宋体" w:hAnsi="宋体" w:eastAsia="宋体" w:cs="宋体"/>
          <w:color w:val="auto"/>
          <w:sz w:val="32"/>
          <w:szCs w:val="32"/>
          <w:highlight w:val="none"/>
        </w:rPr>
      </w:pPr>
      <w:bookmarkStart w:id="1892" w:name="_Toc15531"/>
      <w:bookmarkStart w:id="1893" w:name="_Toc17415"/>
      <w:bookmarkStart w:id="1894" w:name="_Toc5863"/>
      <w:bookmarkStart w:id="1895" w:name="_Toc8432"/>
      <w:bookmarkStart w:id="1896" w:name="_Toc30696"/>
      <w:bookmarkStart w:id="1897" w:name="_Toc12003"/>
      <w:bookmarkStart w:id="1898" w:name="_Toc7316"/>
      <w:bookmarkStart w:id="1899" w:name="_Toc16937"/>
      <w:bookmarkStart w:id="1900" w:name="_Toc20933"/>
      <w:bookmarkStart w:id="1901" w:name="_Toc7681"/>
      <w:bookmarkStart w:id="1902" w:name="_Toc29757"/>
      <w:bookmarkStart w:id="1903" w:name="_Toc9459"/>
      <w:bookmarkStart w:id="1904" w:name="_Toc29389"/>
      <w:bookmarkStart w:id="1905" w:name="_Toc13941"/>
      <w:bookmarkStart w:id="1906" w:name="_Toc22455"/>
      <w:bookmarkStart w:id="1907" w:name="_Toc24987"/>
      <w:bookmarkStart w:id="1908" w:name="_Toc10177"/>
      <w:bookmarkStart w:id="1909" w:name="_Toc32301"/>
      <w:bookmarkStart w:id="1910" w:name="_Toc1215"/>
      <w:bookmarkStart w:id="1911" w:name="_Toc7104"/>
      <w:bookmarkStart w:id="1912" w:name="_Toc433"/>
      <w:bookmarkStart w:id="1913" w:name="_Toc19820"/>
      <w:bookmarkStart w:id="1914" w:name="_Toc27002"/>
      <w:bookmarkStart w:id="1915" w:name="_Toc5460"/>
      <w:bookmarkStart w:id="1916" w:name="_Toc27134"/>
    </w:p>
    <w:p w14:paraId="2B720747">
      <w:pPr>
        <w:shd w:val="clear"/>
        <w:spacing w:line="420" w:lineRule="exact"/>
        <w:ind w:firstLine="0" w:firstLineChars="0"/>
        <w:jc w:val="center"/>
        <w:outlineLvl w:val="0"/>
        <w:rPr>
          <w:rFonts w:hint="eastAsia" w:ascii="宋体" w:hAnsi="宋体" w:eastAsia="宋体" w:cs="宋体"/>
          <w:color w:val="auto"/>
          <w:sz w:val="32"/>
          <w:szCs w:val="32"/>
          <w:highlight w:val="none"/>
        </w:rPr>
      </w:pPr>
      <w:bookmarkStart w:id="1917" w:name="_Toc14373"/>
      <w:bookmarkStart w:id="1918" w:name="_Toc8967"/>
      <w:bookmarkStart w:id="1919" w:name="_Toc1384"/>
      <w:bookmarkStart w:id="1920" w:name="_Toc26080"/>
      <w:bookmarkStart w:id="1921" w:name="_Toc7763"/>
      <w:bookmarkStart w:id="1922" w:name="_Toc6437"/>
      <w:bookmarkStart w:id="1923" w:name="_Toc12379"/>
      <w:bookmarkStart w:id="1924" w:name="_Toc3414"/>
      <w:bookmarkStart w:id="1925" w:name="_Toc16210"/>
      <w:bookmarkStart w:id="1926" w:name="_Toc7256"/>
      <w:bookmarkStart w:id="1927" w:name="_Toc19998"/>
      <w:bookmarkStart w:id="1928" w:name="_Toc27239"/>
      <w:bookmarkStart w:id="1929" w:name="_Toc8638"/>
      <w:bookmarkStart w:id="1930" w:name="_Toc32493"/>
      <w:bookmarkStart w:id="1931" w:name="_Toc32351"/>
      <w:bookmarkStart w:id="1932" w:name="_Toc20242"/>
      <w:bookmarkStart w:id="1933" w:name="_Toc11975"/>
      <w:bookmarkStart w:id="1934" w:name="_Toc32494"/>
      <w:bookmarkStart w:id="1935" w:name="_Toc28839"/>
      <w:bookmarkStart w:id="1936" w:name="_Toc3228"/>
      <w:bookmarkStart w:id="1937" w:name="_Toc2387"/>
      <w:r>
        <w:rPr>
          <w:rFonts w:hint="eastAsia" w:ascii="宋体" w:hAnsi="宋体" w:eastAsia="宋体" w:cs="宋体"/>
          <w:color w:val="auto"/>
          <w:sz w:val="32"/>
          <w:szCs w:val="32"/>
          <w:highlight w:val="none"/>
        </w:rPr>
        <w:t>正本或副本</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14:paraId="2B104A64">
      <w:pPr>
        <w:shd w:val="clear"/>
        <w:spacing w:line="420" w:lineRule="exact"/>
        <w:ind w:firstLine="883"/>
        <w:rPr>
          <w:rFonts w:hint="eastAsia" w:ascii="宋体" w:hAnsi="宋体" w:eastAsia="宋体" w:cs="宋体"/>
          <w:b/>
          <w:color w:val="auto"/>
          <w:sz w:val="44"/>
          <w:szCs w:val="44"/>
          <w:highlight w:val="none"/>
        </w:rPr>
      </w:pPr>
    </w:p>
    <w:p w14:paraId="37430715">
      <w:pPr>
        <w:pStyle w:val="21"/>
        <w:shd w:val="clear"/>
        <w:ind w:firstLine="480"/>
        <w:rPr>
          <w:rFonts w:hint="eastAsia" w:ascii="宋体" w:hAnsi="宋体" w:eastAsia="宋体" w:cs="宋体"/>
          <w:color w:val="auto"/>
          <w:highlight w:val="none"/>
        </w:rPr>
      </w:pPr>
    </w:p>
    <w:p w14:paraId="6CBD6F03">
      <w:pPr>
        <w:pStyle w:val="39"/>
        <w:shd w:val="clear"/>
        <w:rPr>
          <w:rFonts w:hint="eastAsia" w:ascii="宋体" w:hAnsi="宋体" w:eastAsia="宋体" w:cs="宋体"/>
          <w:color w:val="auto"/>
          <w:highlight w:val="none"/>
        </w:rPr>
      </w:pPr>
    </w:p>
    <w:p w14:paraId="5C9E07BC">
      <w:pPr>
        <w:pStyle w:val="21"/>
        <w:shd w:val="clear"/>
        <w:ind w:firstLine="883"/>
        <w:rPr>
          <w:rFonts w:hint="eastAsia" w:ascii="宋体" w:hAnsi="宋体" w:eastAsia="宋体" w:cs="宋体"/>
          <w:b/>
          <w:color w:val="auto"/>
          <w:sz w:val="44"/>
          <w:szCs w:val="44"/>
          <w:highlight w:val="none"/>
        </w:rPr>
      </w:pPr>
    </w:p>
    <w:p w14:paraId="2590C2A9">
      <w:pPr>
        <w:pStyle w:val="21"/>
        <w:shd w:val="clear"/>
        <w:ind w:firstLine="883"/>
        <w:rPr>
          <w:rFonts w:hint="eastAsia" w:ascii="宋体" w:hAnsi="宋体" w:eastAsia="宋体" w:cs="宋体"/>
          <w:b/>
          <w:color w:val="auto"/>
          <w:sz w:val="44"/>
          <w:szCs w:val="44"/>
          <w:highlight w:val="none"/>
        </w:rPr>
      </w:pPr>
    </w:p>
    <w:p w14:paraId="79240D53">
      <w:pPr>
        <w:pStyle w:val="40"/>
        <w:shd w:val="clear"/>
        <w:ind w:left="0" w:leftChars="0" w:firstLine="0" w:firstLineChars="0"/>
        <w:rPr>
          <w:rFonts w:hint="eastAsia" w:ascii="宋体" w:hAnsi="宋体" w:eastAsia="宋体" w:cs="宋体"/>
          <w:color w:val="auto"/>
          <w:highlight w:val="none"/>
        </w:rPr>
      </w:pPr>
    </w:p>
    <w:p w14:paraId="3B674192">
      <w:pPr>
        <w:shd w:val="clear"/>
        <w:spacing w:line="240" w:lineRule="auto"/>
        <w:ind w:firstLine="0" w:firstLineChars="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商务报价文件</w:t>
      </w:r>
    </w:p>
    <w:p w14:paraId="58612C53">
      <w:pPr>
        <w:shd w:val="clear"/>
        <w:spacing w:line="240" w:lineRule="auto"/>
        <w:ind w:firstLine="883"/>
        <w:jc w:val="center"/>
        <w:rPr>
          <w:rFonts w:hint="eastAsia" w:ascii="宋体" w:hAnsi="宋体" w:eastAsia="宋体" w:cs="宋体"/>
          <w:b/>
          <w:bCs/>
          <w:color w:val="auto"/>
          <w:sz w:val="44"/>
          <w:szCs w:val="44"/>
          <w:highlight w:val="none"/>
        </w:rPr>
      </w:pPr>
    </w:p>
    <w:p w14:paraId="05989B4B">
      <w:pPr>
        <w:pStyle w:val="21"/>
        <w:shd w:val="clear"/>
        <w:ind w:firstLine="0" w:firstLineChars="0"/>
        <w:rPr>
          <w:rFonts w:hint="eastAsia" w:ascii="宋体" w:hAnsi="宋体" w:eastAsia="宋体" w:cs="宋体"/>
          <w:color w:val="auto"/>
          <w:highlight w:val="none"/>
        </w:rPr>
      </w:pPr>
    </w:p>
    <w:p w14:paraId="5EA55003">
      <w:pPr>
        <w:pStyle w:val="21"/>
        <w:shd w:val="clear"/>
        <w:ind w:firstLine="0" w:firstLineChars="0"/>
        <w:rPr>
          <w:rFonts w:hint="eastAsia" w:ascii="宋体" w:hAnsi="宋体" w:eastAsia="宋体" w:cs="宋体"/>
          <w:color w:val="auto"/>
          <w:highlight w:val="none"/>
        </w:rPr>
      </w:pPr>
    </w:p>
    <w:p w14:paraId="420BEA15">
      <w:pPr>
        <w:shd w:val="clear"/>
        <w:ind w:firstLine="480"/>
        <w:rPr>
          <w:rFonts w:hint="eastAsia" w:ascii="宋体" w:hAnsi="宋体" w:eastAsia="宋体" w:cs="宋体"/>
          <w:color w:val="auto"/>
          <w:highlight w:val="none"/>
        </w:rPr>
      </w:pPr>
    </w:p>
    <w:p w14:paraId="29E63C35">
      <w:pPr>
        <w:pStyle w:val="69"/>
        <w:shd w:val="clear"/>
        <w:ind w:firstLine="320"/>
        <w:rPr>
          <w:rFonts w:hint="eastAsia" w:ascii="宋体" w:hAnsi="宋体" w:eastAsia="宋体" w:cs="宋体"/>
          <w:color w:val="auto"/>
          <w:highlight w:val="none"/>
        </w:rPr>
      </w:pPr>
    </w:p>
    <w:p w14:paraId="1CE8E467">
      <w:pPr>
        <w:pStyle w:val="23"/>
        <w:shd w:val="clear"/>
        <w:ind w:left="0" w:leftChars="0" w:firstLine="0" w:firstLineChars="0"/>
        <w:rPr>
          <w:rFonts w:hint="eastAsia" w:ascii="宋体" w:hAnsi="宋体" w:eastAsia="宋体" w:cs="宋体"/>
          <w:color w:val="auto"/>
          <w:highlight w:val="none"/>
        </w:rPr>
      </w:pPr>
    </w:p>
    <w:p w14:paraId="52BC3269">
      <w:pPr>
        <w:pStyle w:val="69"/>
        <w:shd w:val="clear"/>
        <w:ind w:firstLine="320"/>
        <w:rPr>
          <w:rFonts w:hint="eastAsia" w:ascii="宋体" w:hAnsi="宋体" w:eastAsia="宋体" w:cs="宋体"/>
          <w:color w:val="auto"/>
          <w:highlight w:val="none"/>
        </w:rPr>
      </w:pPr>
    </w:p>
    <w:p w14:paraId="70211654">
      <w:pPr>
        <w:pStyle w:val="69"/>
        <w:shd w:val="clear"/>
        <w:ind w:firstLine="320"/>
        <w:rPr>
          <w:rFonts w:hint="eastAsia" w:ascii="宋体" w:hAnsi="宋体" w:eastAsia="宋体" w:cs="宋体"/>
          <w:color w:val="auto"/>
          <w:highlight w:val="none"/>
        </w:rPr>
      </w:pPr>
    </w:p>
    <w:p w14:paraId="1A422876">
      <w:pPr>
        <w:pStyle w:val="69"/>
        <w:shd w:val="clear"/>
        <w:ind w:left="0" w:leftChars="0" w:firstLine="0" w:firstLineChars="0"/>
        <w:rPr>
          <w:rFonts w:hint="eastAsia" w:ascii="宋体" w:hAnsi="宋体" w:eastAsia="宋体" w:cs="宋体"/>
          <w:color w:val="auto"/>
          <w:highlight w:val="none"/>
        </w:rPr>
      </w:pPr>
    </w:p>
    <w:p w14:paraId="77F4FA6D">
      <w:pPr>
        <w:pStyle w:val="69"/>
        <w:shd w:val="clear"/>
        <w:ind w:firstLine="320"/>
        <w:rPr>
          <w:rFonts w:hint="eastAsia" w:ascii="宋体" w:hAnsi="宋体" w:eastAsia="宋体" w:cs="宋体"/>
          <w:color w:val="auto"/>
          <w:highlight w:val="none"/>
        </w:rPr>
      </w:pPr>
    </w:p>
    <w:p w14:paraId="61FEB8A5">
      <w:pPr>
        <w:shd w:val="clear"/>
        <w:spacing w:line="360" w:lineRule="auto"/>
        <w:ind w:firstLine="64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项目编号：</w:t>
      </w:r>
      <w:r>
        <w:rPr>
          <w:rFonts w:hint="eastAsia" w:ascii="宋体" w:hAnsi="宋体" w:cs="宋体"/>
          <w:color w:val="auto"/>
          <w:sz w:val="32"/>
          <w:highlight w:val="none"/>
          <w:u w:val="single"/>
          <w:lang w:eastAsia="zh-CN"/>
        </w:rPr>
        <w:t>LYCG2025XCX-004</w:t>
      </w:r>
      <w:r>
        <w:rPr>
          <w:rFonts w:hint="eastAsia" w:ascii="宋体" w:hAnsi="宋体" w:eastAsia="宋体" w:cs="宋体"/>
          <w:color w:val="auto"/>
          <w:sz w:val="32"/>
          <w:highlight w:val="none"/>
          <w:u w:val="single"/>
        </w:rPr>
        <w:t xml:space="preserve">                    </w:t>
      </w:r>
    </w:p>
    <w:p w14:paraId="331A5121">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投 标 人：</w:t>
      </w:r>
      <w:r>
        <w:rPr>
          <w:rFonts w:hint="eastAsia" w:ascii="宋体" w:hAnsi="宋体" w:eastAsia="宋体" w:cs="宋体"/>
          <w:color w:val="auto"/>
          <w:sz w:val="32"/>
          <w:highlight w:val="none"/>
          <w:u w:val="single"/>
        </w:rPr>
        <w:t xml:space="preserve">        （全称）（加盖公章）          </w:t>
      </w:r>
    </w:p>
    <w:p w14:paraId="23AB1352">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法定代表人或授权代表人签字或盖章：</w:t>
      </w:r>
    </w:p>
    <w:p w14:paraId="1FA51A32">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供应商地址：</w:t>
      </w:r>
    </w:p>
    <w:p w14:paraId="313E1881">
      <w:pPr>
        <w:shd w:val="clear"/>
        <w:spacing w:line="360" w:lineRule="auto"/>
        <w:ind w:firstLine="0" w:firstLineChars="0"/>
        <w:jc w:val="center"/>
        <w:outlineLvl w:val="0"/>
        <w:rPr>
          <w:rFonts w:hint="eastAsia" w:ascii="宋体" w:hAnsi="宋体" w:eastAsia="宋体" w:cs="宋体"/>
          <w:b/>
          <w:bCs/>
          <w:color w:val="auto"/>
          <w:highlight w:val="none"/>
        </w:rPr>
      </w:pPr>
      <w:bookmarkStart w:id="1938" w:name="_Toc2130"/>
      <w:bookmarkStart w:id="1939" w:name="_Toc4344"/>
      <w:bookmarkStart w:id="1940" w:name="_Toc13352"/>
      <w:bookmarkStart w:id="1941" w:name="_Toc14093"/>
      <w:bookmarkStart w:id="1942" w:name="_Toc220"/>
      <w:r>
        <w:rPr>
          <w:rFonts w:hint="eastAsia" w:ascii="宋体" w:hAnsi="宋体" w:eastAsia="宋体" w:cs="宋体"/>
          <w:color w:val="auto"/>
          <w:sz w:val="32"/>
          <w:highlight w:val="none"/>
        </w:rPr>
        <w:t xml:space="preserve">二 〇 二 </w:t>
      </w:r>
      <w:r>
        <w:rPr>
          <w:rFonts w:hint="eastAsia" w:ascii="宋体" w:hAnsi="宋体" w:cs="宋体"/>
          <w:color w:val="auto"/>
          <w:sz w:val="32"/>
          <w:highlight w:val="none"/>
          <w:lang w:val="en-US" w:eastAsia="zh-CN"/>
        </w:rPr>
        <w:t>五</w:t>
      </w:r>
      <w:r>
        <w:rPr>
          <w:rFonts w:hint="eastAsia" w:ascii="宋体" w:hAnsi="宋体" w:eastAsia="宋体" w:cs="宋体"/>
          <w:color w:val="auto"/>
          <w:sz w:val="32"/>
          <w:highlight w:val="none"/>
        </w:rPr>
        <w:t xml:space="preserve"> 年    月    日</w:t>
      </w:r>
      <w:bookmarkEnd w:id="1938"/>
      <w:bookmarkEnd w:id="1939"/>
      <w:bookmarkEnd w:id="1940"/>
      <w:bookmarkEnd w:id="1941"/>
      <w:bookmarkEnd w:id="1942"/>
    </w:p>
    <w:p w14:paraId="70CE9624">
      <w:pPr>
        <w:shd w:val="clear"/>
        <w:ind w:firstLine="0" w:firstLineChars="0"/>
        <w:outlineLvl w:val="0"/>
        <w:rPr>
          <w:rFonts w:hint="default" w:ascii="宋体" w:hAnsi="宋体" w:eastAsia="宋体" w:cs="宋体"/>
          <w:b/>
          <w:bCs/>
          <w:color w:val="auto"/>
          <w:highlight w:val="none"/>
          <w:lang w:val="en-US" w:eastAsia="zh-CN"/>
        </w:rPr>
      </w:pPr>
      <w:bookmarkStart w:id="1943" w:name="_Toc4594"/>
      <w:bookmarkStart w:id="1944" w:name="_Toc31946"/>
      <w:bookmarkStart w:id="1945" w:name="_Toc22863"/>
      <w:bookmarkStart w:id="1946" w:name="_Toc24432"/>
      <w:bookmarkStart w:id="1947" w:name="_Toc5255"/>
      <w:bookmarkStart w:id="1948" w:name="_Toc20468"/>
      <w:bookmarkStart w:id="1949" w:name="_Toc20433"/>
      <w:bookmarkStart w:id="1950" w:name="_Toc13634"/>
      <w:bookmarkStart w:id="1951" w:name="_Toc4535"/>
      <w:bookmarkStart w:id="1952" w:name="_Toc5211"/>
      <w:bookmarkStart w:id="1953" w:name="_Toc31913"/>
      <w:bookmarkStart w:id="1954" w:name="_Toc24177"/>
      <w:bookmarkStart w:id="1955" w:name="_Toc18194"/>
      <w:bookmarkStart w:id="1956" w:name="_Toc4376"/>
      <w:bookmarkStart w:id="1957" w:name="_Toc24948"/>
      <w:bookmarkStart w:id="1958" w:name="_Toc27025"/>
      <w:bookmarkStart w:id="1959" w:name="_Toc18208"/>
      <w:bookmarkStart w:id="1960" w:name="_Toc16261"/>
      <w:bookmarkStart w:id="1961" w:name="_Toc27894"/>
      <w:bookmarkStart w:id="1962" w:name="_Toc24825"/>
      <w:bookmarkStart w:id="1963" w:name="_Toc19302"/>
      <w:bookmarkStart w:id="1964" w:name="_Toc31451"/>
      <w:bookmarkStart w:id="1965" w:name="_Toc19624"/>
      <w:bookmarkStart w:id="1966" w:name="_Toc8609"/>
      <w:bookmarkStart w:id="1967" w:name="_Toc2628"/>
      <w:bookmarkStart w:id="1968" w:name="_Toc13333"/>
      <w:bookmarkStart w:id="1969" w:name="_Toc2822"/>
      <w:bookmarkStart w:id="1970" w:name="_Toc18452"/>
      <w:bookmarkStart w:id="1971" w:name="_Toc6661"/>
      <w:bookmarkStart w:id="1972" w:name="_Toc14293"/>
      <w:bookmarkStart w:id="1973" w:name="_Toc21607"/>
      <w:bookmarkStart w:id="1974" w:name="_Toc6584"/>
      <w:bookmarkStart w:id="1975" w:name="_Toc28977"/>
      <w:bookmarkStart w:id="1976" w:name="_Toc5894"/>
      <w:bookmarkStart w:id="1977" w:name="_Toc594"/>
      <w:bookmarkStart w:id="1978" w:name="_Toc16798"/>
      <w:bookmarkStart w:id="1979" w:name="_Toc4847"/>
      <w:bookmarkStart w:id="1980" w:name="_Toc25710"/>
      <w:bookmarkStart w:id="1981" w:name="_Toc20474"/>
      <w:bookmarkStart w:id="1982" w:name="_Toc29549"/>
      <w:r>
        <w:rPr>
          <w:rFonts w:hint="eastAsia" w:ascii="宋体" w:hAnsi="宋体" w:eastAsia="宋体" w:cs="宋体"/>
          <w:b/>
          <w:bCs/>
          <w:color w:val="auto"/>
          <w:highlight w:val="none"/>
        </w:rPr>
        <w:t>附件</w:t>
      </w:r>
      <w:bookmarkEnd w:id="1943"/>
      <w:bookmarkEnd w:id="1944"/>
      <w:bookmarkEnd w:id="1945"/>
      <w:bookmarkEnd w:id="1946"/>
      <w:bookmarkEnd w:id="1947"/>
      <w:bookmarkEnd w:id="1948"/>
      <w:bookmarkEnd w:id="1949"/>
      <w:bookmarkEnd w:id="1950"/>
      <w:bookmarkEnd w:id="1951"/>
      <w:bookmarkEnd w:id="1952"/>
      <w:r>
        <w:rPr>
          <w:rFonts w:hint="eastAsia" w:ascii="宋体" w:hAnsi="宋体" w:cs="宋体"/>
          <w:b/>
          <w:bCs/>
          <w:color w:val="auto"/>
          <w:highlight w:val="none"/>
          <w:lang w:val="en-US" w:eastAsia="zh-CN"/>
        </w:rPr>
        <w:t>10</w:t>
      </w:r>
      <w:bookmarkEnd w:id="1953"/>
    </w:p>
    <w:p w14:paraId="08E7EA8C">
      <w:pPr>
        <w:shd w:val="clear"/>
        <w:tabs>
          <w:tab w:val="left" w:pos="900"/>
        </w:tabs>
        <w:spacing w:line="360" w:lineRule="auto"/>
        <w:ind w:firstLine="0" w:firstLineChars="0"/>
        <w:jc w:val="center"/>
        <w:outlineLvl w:val="0"/>
        <w:rPr>
          <w:rFonts w:hint="eastAsia" w:ascii="宋体" w:hAnsi="宋体" w:eastAsia="宋体" w:cs="宋体"/>
          <w:color w:val="auto"/>
          <w:spacing w:val="-4"/>
          <w:highlight w:val="none"/>
        </w:rPr>
      </w:pPr>
      <w:bookmarkStart w:id="1983" w:name="_Toc24802"/>
      <w:bookmarkStart w:id="1984" w:name="_Toc10230"/>
      <w:bookmarkStart w:id="1985" w:name="_Toc13841"/>
      <w:bookmarkStart w:id="1986" w:name="_Toc12629"/>
      <w:bookmarkStart w:id="1987" w:name="_Toc22137"/>
      <w:bookmarkStart w:id="1988" w:name="_Toc15021"/>
      <w:bookmarkStart w:id="1989" w:name="_Toc4217"/>
      <w:bookmarkStart w:id="1990" w:name="_Toc22225"/>
      <w:bookmarkStart w:id="1991" w:name="_Toc14250"/>
      <w:bookmarkStart w:id="1992" w:name="_Toc9695"/>
      <w:bookmarkStart w:id="1993" w:name="_Toc23768"/>
      <w:r>
        <w:rPr>
          <w:rFonts w:hint="eastAsia" w:ascii="宋体" w:hAnsi="宋体" w:eastAsia="宋体" w:cs="宋体"/>
          <w:b/>
          <w:color w:val="auto"/>
          <w:spacing w:val="-4"/>
          <w:sz w:val="32"/>
          <w:szCs w:val="32"/>
          <w:highlight w:val="none"/>
        </w:rPr>
        <w:t>开标一览表</w:t>
      </w:r>
      <w:bookmarkEnd w:id="1983"/>
      <w:bookmarkEnd w:id="1984"/>
      <w:bookmarkEnd w:id="1985"/>
      <w:bookmarkEnd w:id="1986"/>
      <w:bookmarkEnd w:id="1987"/>
      <w:bookmarkEnd w:id="1988"/>
      <w:bookmarkEnd w:id="1989"/>
      <w:bookmarkEnd w:id="1990"/>
      <w:bookmarkEnd w:id="1991"/>
      <w:bookmarkEnd w:id="1992"/>
      <w:bookmarkEnd w:id="1993"/>
    </w:p>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14:paraId="7E0D1732">
      <w:pPr>
        <w:pStyle w:val="2"/>
        <w:shd w:val="clear"/>
        <w:adjustRightInd w:val="0"/>
        <w:snapToGrid w:val="0"/>
        <w:spacing w:line="360" w:lineRule="auto"/>
        <w:ind w:firstLine="420"/>
        <w:rPr>
          <w:rFonts w:hint="eastAsia" w:ascii="宋体" w:hAnsi="宋体" w:eastAsia="宋体" w:cs="宋体"/>
          <w:color w:val="auto"/>
          <w:highlight w:val="none"/>
        </w:rPr>
      </w:pPr>
      <w:bookmarkStart w:id="1994" w:name="_Toc23912"/>
      <w:bookmarkStart w:id="1995" w:name="_Toc12429"/>
      <w:r>
        <w:rPr>
          <w:rFonts w:hint="eastAsia" w:ascii="宋体" w:hAnsi="宋体" w:eastAsia="宋体" w:cs="宋体"/>
          <w:color w:val="auto"/>
          <w:highlight w:val="none"/>
        </w:rPr>
        <w:t>项目名称：</w:t>
      </w:r>
    </w:p>
    <w:p w14:paraId="44EA1B13">
      <w:pPr>
        <w:pStyle w:val="2"/>
        <w:shd w:val="clear"/>
        <w:adjustRightInd w:val="0"/>
        <w:snapToGrid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项目编号：  </w:t>
      </w:r>
    </w:p>
    <w:p w14:paraId="3AA443E3">
      <w:pPr>
        <w:pStyle w:val="2"/>
        <w:shd w:val="clear"/>
        <w:adjustRightInd w:val="0"/>
        <w:snapToGrid w:val="0"/>
        <w:spacing w:line="360" w:lineRule="auto"/>
        <w:ind w:firstLine="420"/>
        <w:jc w:val="right"/>
        <w:rPr>
          <w:rFonts w:hint="eastAsia" w:ascii="宋体" w:hAnsi="宋体" w:eastAsia="宋体" w:cs="宋体"/>
          <w:color w:val="auto"/>
          <w:highlight w:val="none"/>
        </w:rPr>
      </w:pPr>
      <w:r>
        <w:rPr>
          <w:rFonts w:hint="eastAsia" w:ascii="宋体" w:hAnsi="宋体" w:eastAsia="宋体" w:cs="宋体"/>
          <w:color w:val="auto"/>
          <w:highlight w:val="none"/>
        </w:rPr>
        <w:t>（价格单位：元</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人民币）</w:t>
      </w:r>
    </w:p>
    <w:tbl>
      <w:tblPr>
        <w:tblStyle w:val="41"/>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737"/>
        <w:gridCol w:w="1279"/>
        <w:gridCol w:w="1490"/>
        <w:gridCol w:w="2682"/>
      </w:tblGrid>
      <w:tr w14:paraId="240C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0" w:type="dxa"/>
            <w:noWrap w:val="0"/>
            <w:vAlign w:val="center"/>
          </w:tcPr>
          <w:p w14:paraId="56A16ECB">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737" w:type="dxa"/>
            <w:noWrap w:val="0"/>
            <w:vAlign w:val="center"/>
          </w:tcPr>
          <w:p w14:paraId="024E8012">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79" w:type="dxa"/>
            <w:noWrap w:val="0"/>
            <w:vAlign w:val="center"/>
          </w:tcPr>
          <w:p w14:paraId="33F7D6DE">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490" w:type="dxa"/>
            <w:noWrap w:val="0"/>
            <w:vAlign w:val="center"/>
          </w:tcPr>
          <w:p w14:paraId="155BDDF1">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2682" w:type="dxa"/>
            <w:noWrap w:val="0"/>
            <w:vAlign w:val="center"/>
          </w:tcPr>
          <w:p w14:paraId="7F7E7A9C">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w:t>
            </w:r>
          </w:p>
        </w:tc>
      </w:tr>
      <w:tr w14:paraId="5FF9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10" w:type="dxa"/>
            <w:noWrap w:val="0"/>
            <w:vAlign w:val="center"/>
          </w:tcPr>
          <w:p w14:paraId="5169BD52">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737" w:type="dxa"/>
            <w:noWrap w:val="0"/>
            <w:vAlign w:val="center"/>
          </w:tcPr>
          <w:p w14:paraId="65278F2A">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hAnsi="宋体" w:cs="宋体"/>
                <w:color w:val="auto"/>
                <w:highlight w:val="none"/>
                <w:lang w:eastAsia="zh-CN"/>
              </w:rPr>
              <w:t>金融大厦直饮水项目</w:t>
            </w:r>
            <w:r>
              <w:rPr>
                <w:rFonts w:hint="eastAsia" w:ascii="宋体" w:hAnsi="宋体" w:eastAsia="宋体" w:cs="宋体"/>
                <w:color w:val="auto"/>
                <w:highlight w:val="none"/>
              </w:rPr>
              <w:t xml:space="preserve"> </w:t>
            </w:r>
          </w:p>
        </w:tc>
        <w:tc>
          <w:tcPr>
            <w:tcW w:w="1279" w:type="dxa"/>
            <w:noWrap w:val="0"/>
            <w:vAlign w:val="center"/>
          </w:tcPr>
          <w:p w14:paraId="3DB1A4C5">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490" w:type="dxa"/>
            <w:noWrap w:val="0"/>
            <w:vAlign w:val="center"/>
          </w:tcPr>
          <w:p w14:paraId="53ECD4CC">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lang w:eastAsia="zh-CN"/>
              </w:rPr>
            </w:pPr>
            <w:r>
              <w:rPr>
                <w:rFonts w:hint="eastAsia" w:hAnsi="宋体" w:cs="宋体"/>
                <w:color w:val="auto"/>
                <w:highlight w:val="none"/>
                <w:lang w:val="en-US" w:eastAsia="zh-CN"/>
              </w:rPr>
              <w:t>批</w:t>
            </w:r>
          </w:p>
        </w:tc>
        <w:tc>
          <w:tcPr>
            <w:tcW w:w="2682" w:type="dxa"/>
            <w:noWrap w:val="0"/>
            <w:vAlign w:val="center"/>
          </w:tcPr>
          <w:p w14:paraId="61DF54FD">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p>
        </w:tc>
      </w:tr>
      <w:tr w14:paraId="3D99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4547" w:type="dxa"/>
            <w:gridSpan w:val="2"/>
            <w:noWrap w:val="0"/>
            <w:vAlign w:val="center"/>
          </w:tcPr>
          <w:p w14:paraId="36A793EC">
            <w:pPr>
              <w:pStyle w:val="2"/>
              <w:keepNext w:val="0"/>
              <w:keepLines w:val="0"/>
              <w:suppressLineNumbers w:val="0"/>
              <w:shd w:val="clear"/>
              <w:adjustRightInd w:val="0"/>
              <w:snapToGrid w:val="0"/>
              <w:spacing w:before="0" w:beforeAutospacing="0" w:after="0" w:afterAutospacing="0"/>
              <w:ind w:left="0" w:right="0" w:firstLine="0" w:firstLineChars="0"/>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投标报价</w:t>
            </w:r>
          </w:p>
        </w:tc>
        <w:tc>
          <w:tcPr>
            <w:tcW w:w="5451" w:type="dxa"/>
            <w:gridSpan w:val="3"/>
            <w:noWrap w:val="0"/>
            <w:vAlign w:val="center"/>
          </w:tcPr>
          <w:p w14:paraId="3A2C2279">
            <w:pPr>
              <w:pStyle w:val="2"/>
              <w:keepNext w:val="0"/>
              <w:keepLines w:val="0"/>
              <w:suppressLineNumbers w:val="0"/>
              <w:shd w:val="clear"/>
              <w:adjustRightInd w:val="0"/>
              <w:snapToGrid w:val="0"/>
              <w:spacing w:before="0" w:beforeAutospacing="0" w:after="0" w:afterAutospacing="0"/>
              <w:ind w:left="0" w:right="0" w:firstLine="0" w:firstLineChars="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元；</w:t>
            </w:r>
          </w:p>
          <w:p w14:paraId="3623DC73">
            <w:pPr>
              <w:pStyle w:val="2"/>
              <w:keepNext w:val="0"/>
              <w:keepLines w:val="0"/>
              <w:suppressLineNumbers w:val="0"/>
              <w:shd w:val="clear"/>
              <w:adjustRightInd w:val="0"/>
              <w:snapToGrid w:val="0"/>
              <w:spacing w:before="0" w:beforeAutospacing="0" w:after="0" w:afterAutospacing="0"/>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u w:val="none"/>
              </w:rPr>
              <w:t xml:space="preserve">小写：￥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元。</w:t>
            </w:r>
          </w:p>
        </w:tc>
      </w:tr>
    </w:tbl>
    <w:p w14:paraId="4F5EDF8F">
      <w:pPr>
        <w:pStyle w:val="2"/>
        <w:shd w:val="clear"/>
        <w:adjustRightInd w:val="0"/>
        <w:snapToGrid w:val="0"/>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报价说明：</w:t>
      </w:r>
    </w:p>
    <w:p w14:paraId="0C16C74A">
      <w:pPr>
        <w:pStyle w:val="2"/>
        <w:shd w:val="clear"/>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1.本表内容完整填写，不得随意改变格式，采用印刷体打印，字迹清晰，否则以无效报价处理；</w:t>
      </w:r>
    </w:p>
    <w:p w14:paraId="57F3D489">
      <w:pPr>
        <w:pStyle w:val="2"/>
        <w:shd w:val="clear"/>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2.大写金额与小写金额不一致时，以大写金额为准。</w:t>
      </w:r>
    </w:p>
    <w:p w14:paraId="759E7647">
      <w:pPr>
        <w:shd w:val="clear"/>
        <w:snapToGrid w:val="0"/>
        <w:spacing w:line="480" w:lineRule="auto"/>
        <w:ind w:firstLine="42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78604CD2">
      <w:pPr>
        <w:shd w:val="clear"/>
        <w:ind w:firstLine="3780" w:firstLineChars="180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highlight w:val="none"/>
        </w:rPr>
        <w:t xml:space="preserve">供应商全称（盖章）：                         </w:t>
      </w:r>
    </w:p>
    <w:p w14:paraId="67F72B2C">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5CA350AB">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13F9F720">
      <w:pPr>
        <w:shd w:val="clear"/>
        <w:wordWrap w:val="0"/>
        <w:ind w:firstLine="420"/>
        <w:jc w:val="center"/>
        <w:rPr>
          <w:rFonts w:hint="eastAsia" w:ascii="宋体" w:hAnsi="宋体" w:eastAsia="宋体" w:cs="宋体"/>
          <w:b/>
          <w:color w:val="auto"/>
          <w:highlight w:val="none"/>
        </w:rPr>
      </w:pPr>
      <w:r>
        <w:rPr>
          <w:rFonts w:hint="eastAsia" w:ascii="宋体" w:hAnsi="宋体" w:eastAsia="宋体" w:cs="宋体"/>
          <w:color w:val="auto"/>
          <w:kern w:val="2"/>
          <w:sz w:val="24"/>
          <w:szCs w:val="20"/>
          <w:highlight w:val="none"/>
          <w:lang w:val="en-US" w:eastAsia="zh-CN" w:bidi="ar-SA"/>
        </w:rPr>
        <w:t xml:space="preserve">     </w:t>
      </w:r>
      <w:r>
        <w:rPr>
          <w:rFonts w:hint="eastAsia" w:ascii="宋体" w:hAnsi="宋体" w:eastAsia="宋体" w:cs="宋体"/>
          <w:color w:val="auto"/>
          <w:highlight w:val="none"/>
        </w:rPr>
        <w:t xml:space="preserve">    </w:t>
      </w:r>
    </w:p>
    <w:p w14:paraId="0E0E75EF">
      <w:pPr>
        <w:pStyle w:val="58"/>
        <w:shd w:val="clear"/>
        <w:rPr>
          <w:rFonts w:hint="eastAsia" w:ascii="宋体" w:hAnsi="宋体" w:eastAsia="宋体" w:cs="宋体"/>
          <w:b/>
          <w:color w:val="auto"/>
          <w:highlight w:val="none"/>
        </w:rPr>
      </w:pPr>
    </w:p>
    <w:p w14:paraId="750B5B16">
      <w:pPr>
        <w:shd w:val="clear"/>
        <w:spacing w:before="55"/>
        <w:ind w:firstLine="560"/>
        <w:rPr>
          <w:rFonts w:hint="eastAsia" w:ascii="宋体" w:hAnsi="宋体" w:eastAsia="宋体" w:cs="宋体"/>
          <w:color w:val="auto"/>
          <w:sz w:val="28"/>
          <w:szCs w:val="28"/>
          <w:highlight w:val="none"/>
        </w:rPr>
      </w:pPr>
      <w:bookmarkStart w:id="1996" w:name="_Toc293916986"/>
    </w:p>
    <w:p w14:paraId="7729FD37">
      <w:pPr>
        <w:shd w:val="clear"/>
        <w:spacing w:before="55"/>
        <w:ind w:left="0" w:leftChars="0" w:firstLine="0" w:firstLineChars="0"/>
        <w:rPr>
          <w:rFonts w:hint="eastAsia" w:ascii="宋体" w:hAnsi="宋体" w:eastAsia="宋体" w:cs="宋体"/>
          <w:color w:val="auto"/>
          <w:sz w:val="28"/>
          <w:szCs w:val="28"/>
          <w:highlight w:val="none"/>
        </w:rPr>
      </w:pPr>
    </w:p>
    <w:p w14:paraId="1C8E0C80">
      <w:pPr>
        <w:shd w:val="clear"/>
        <w:ind w:firstLine="0" w:firstLineChars="0"/>
        <w:outlineLvl w:val="9"/>
        <w:rPr>
          <w:rFonts w:hint="eastAsia" w:ascii="宋体" w:hAnsi="宋体" w:eastAsia="宋体" w:cs="宋体"/>
          <w:b/>
          <w:bCs/>
          <w:color w:val="auto"/>
          <w:highlight w:val="none"/>
        </w:rPr>
      </w:pPr>
      <w:bookmarkStart w:id="1997" w:name="_Toc9797"/>
    </w:p>
    <w:bookmarkEnd w:id="1996"/>
    <w:bookmarkEnd w:id="1997"/>
    <w:p w14:paraId="39BB7419">
      <w:pPr>
        <w:shd w:val="clear"/>
        <w:spacing w:line="400" w:lineRule="exact"/>
        <w:ind w:firstLine="0" w:firstLineChars="0"/>
        <w:jc w:val="left"/>
        <w:outlineLvl w:val="9"/>
        <w:rPr>
          <w:rFonts w:hint="eastAsia" w:ascii="宋体" w:hAnsi="宋体" w:eastAsia="宋体" w:cs="宋体"/>
          <w:b/>
          <w:color w:val="auto"/>
          <w:highlight w:val="none"/>
          <w:lang w:val="en-GB"/>
        </w:rPr>
      </w:pPr>
      <w:bookmarkStart w:id="1998" w:name="_Toc15056"/>
    </w:p>
    <w:p w14:paraId="34C27A23">
      <w:pPr>
        <w:shd w:val="clear"/>
        <w:spacing w:line="400" w:lineRule="exact"/>
        <w:ind w:firstLine="0" w:firstLineChars="0"/>
        <w:jc w:val="left"/>
        <w:outlineLvl w:val="9"/>
        <w:rPr>
          <w:rFonts w:hint="eastAsia" w:ascii="宋体" w:hAnsi="宋体" w:eastAsia="宋体" w:cs="宋体"/>
          <w:b/>
          <w:color w:val="auto"/>
          <w:highlight w:val="none"/>
          <w:lang w:val="en-GB"/>
        </w:rPr>
      </w:pPr>
    </w:p>
    <w:p w14:paraId="7263B04E">
      <w:pPr>
        <w:shd w:val="clear"/>
        <w:spacing w:line="400" w:lineRule="exact"/>
        <w:ind w:firstLine="0" w:firstLineChars="0"/>
        <w:jc w:val="left"/>
        <w:outlineLvl w:val="9"/>
        <w:rPr>
          <w:rFonts w:hint="eastAsia" w:ascii="宋体" w:hAnsi="宋体" w:eastAsia="宋体" w:cs="宋体"/>
          <w:b/>
          <w:color w:val="auto"/>
          <w:highlight w:val="none"/>
          <w:lang w:val="en-GB"/>
        </w:rPr>
      </w:pPr>
    </w:p>
    <w:p w14:paraId="2CF7C17B">
      <w:pPr>
        <w:shd w:val="clear"/>
        <w:spacing w:line="400" w:lineRule="exact"/>
        <w:ind w:firstLine="0" w:firstLineChars="0"/>
        <w:jc w:val="left"/>
        <w:outlineLvl w:val="9"/>
        <w:rPr>
          <w:rFonts w:hint="eastAsia" w:ascii="宋体" w:hAnsi="宋体" w:eastAsia="宋体" w:cs="宋体"/>
          <w:b/>
          <w:color w:val="auto"/>
          <w:highlight w:val="none"/>
          <w:lang w:val="en-GB"/>
        </w:rPr>
      </w:pPr>
    </w:p>
    <w:p w14:paraId="703A2B6C">
      <w:pPr>
        <w:shd w:val="clear"/>
        <w:spacing w:line="400" w:lineRule="exact"/>
        <w:ind w:firstLine="0" w:firstLineChars="0"/>
        <w:jc w:val="left"/>
        <w:outlineLvl w:val="9"/>
        <w:rPr>
          <w:rFonts w:hint="eastAsia" w:ascii="宋体" w:hAnsi="宋体" w:eastAsia="宋体" w:cs="宋体"/>
          <w:b/>
          <w:color w:val="auto"/>
          <w:highlight w:val="none"/>
          <w:lang w:val="en-GB"/>
        </w:rPr>
      </w:pPr>
    </w:p>
    <w:p w14:paraId="2B1E0C44">
      <w:pPr>
        <w:shd w:val="clear"/>
        <w:spacing w:line="400" w:lineRule="exact"/>
        <w:ind w:firstLine="0" w:firstLineChars="0"/>
        <w:jc w:val="left"/>
        <w:outlineLvl w:val="0"/>
        <w:rPr>
          <w:rFonts w:hint="default" w:ascii="宋体" w:hAnsi="宋体" w:eastAsia="宋体" w:cs="宋体"/>
          <w:b/>
          <w:color w:val="auto"/>
          <w:sz w:val="30"/>
          <w:szCs w:val="30"/>
          <w:highlight w:val="none"/>
          <w:lang w:val="en-US"/>
        </w:rPr>
      </w:pPr>
      <w:bookmarkStart w:id="1999" w:name="_Toc20481"/>
      <w:bookmarkStart w:id="2000" w:name="_Toc31042"/>
      <w:r>
        <w:rPr>
          <w:rFonts w:hint="eastAsia" w:ascii="宋体" w:hAnsi="宋体" w:eastAsia="宋体" w:cs="宋体"/>
          <w:b/>
          <w:color w:val="auto"/>
          <w:highlight w:val="none"/>
          <w:lang w:val="en-GB"/>
        </w:rPr>
        <w:t>附件</w:t>
      </w:r>
      <w:bookmarkEnd w:id="1994"/>
      <w:bookmarkEnd w:id="1995"/>
      <w:bookmarkEnd w:id="1998"/>
      <w:bookmarkEnd w:id="1999"/>
      <w:r>
        <w:rPr>
          <w:rFonts w:hint="eastAsia" w:ascii="宋体" w:hAnsi="宋体" w:cs="宋体"/>
          <w:b/>
          <w:color w:val="auto"/>
          <w:highlight w:val="none"/>
          <w:lang w:val="en-US" w:eastAsia="zh-CN"/>
        </w:rPr>
        <w:t>11</w:t>
      </w:r>
      <w:bookmarkEnd w:id="2000"/>
    </w:p>
    <w:p w14:paraId="59D89B81">
      <w:pPr>
        <w:shd w:val="clear"/>
        <w:ind w:firstLine="0" w:firstLineChars="0"/>
        <w:jc w:val="center"/>
        <w:outlineLvl w:val="0"/>
        <w:rPr>
          <w:rFonts w:hint="default" w:ascii="宋体" w:hAnsi="宋体" w:cs="宋体"/>
          <w:b/>
          <w:bCs/>
          <w:color w:val="auto"/>
          <w:highlight w:val="none"/>
          <w:lang w:val="en-US" w:eastAsia="zh-CN"/>
        </w:rPr>
      </w:pPr>
      <w:bookmarkStart w:id="2001" w:name="_Toc2402"/>
      <w:r>
        <w:rPr>
          <w:rFonts w:hint="eastAsia" w:ascii="宋体" w:hAnsi="宋体" w:eastAsia="宋体"/>
          <w:b/>
          <w:color w:val="auto"/>
          <w:spacing w:val="-4"/>
          <w:sz w:val="32"/>
          <w:szCs w:val="32"/>
          <w:highlight w:val="none"/>
          <w:lang w:val="en-US" w:eastAsia="zh-CN"/>
        </w:rPr>
        <w:t>清单报价明细表</w:t>
      </w:r>
      <w:bookmarkEnd w:id="2001"/>
    </w:p>
    <w:p w14:paraId="2F02DE9A">
      <w:pPr>
        <w:shd w:val="clear"/>
        <w:tabs>
          <w:tab w:val="left" w:pos="900"/>
        </w:tabs>
        <w:spacing w:line="360" w:lineRule="auto"/>
        <w:ind w:firstLine="0" w:firstLineChars="0"/>
        <w:jc w:val="center"/>
        <w:outlineLvl w:val="9"/>
        <w:rPr>
          <w:rFonts w:ascii="宋体" w:hAnsi="宋体"/>
          <w:color w:val="auto"/>
          <w:spacing w:val="-4"/>
          <w:highlight w:val="none"/>
        </w:rPr>
      </w:pPr>
    </w:p>
    <w:p w14:paraId="457C4124">
      <w:pPr>
        <w:pStyle w:val="2"/>
        <w:shd w:val="clea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755FEC9C">
      <w:pPr>
        <w:pStyle w:val="2"/>
        <w:shd w:val="clear"/>
        <w:adjustRightInd w:val="0"/>
        <w:snapToGrid w:val="0"/>
        <w:spacing w:line="360" w:lineRule="auto"/>
        <w:ind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项目编号：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（价格单位：元</w:t>
      </w:r>
      <w:r>
        <w:rPr>
          <w:rFonts w:hint="eastAsia" w:hAnsi="宋体" w:cs="宋体"/>
          <w:color w:val="auto"/>
          <w:highlight w:val="none"/>
          <w:lang w:val="en-US" w:eastAsia="zh-CN"/>
        </w:rPr>
        <w:t>/</w:t>
      </w:r>
      <w:r>
        <w:rPr>
          <w:rFonts w:hint="eastAsia" w:ascii="宋体" w:hAnsi="宋体" w:eastAsia="宋体" w:cs="宋体"/>
          <w:color w:val="auto"/>
          <w:highlight w:val="none"/>
        </w:rPr>
        <w:t>人民币）</w:t>
      </w:r>
    </w:p>
    <w:tbl>
      <w:tblPr>
        <w:tblStyle w:val="41"/>
        <w:tblW w:w="10378"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60"/>
        <w:gridCol w:w="1075"/>
        <w:gridCol w:w="1211"/>
        <w:gridCol w:w="1060"/>
        <w:gridCol w:w="1087"/>
        <w:gridCol w:w="1366"/>
        <w:gridCol w:w="1243"/>
        <w:gridCol w:w="1726"/>
      </w:tblGrid>
      <w:tr w14:paraId="4D31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0" w:type="dxa"/>
            <w:vAlign w:val="center"/>
          </w:tcPr>
          <w:p w14:paraId="4C080688">
            <w:pPr>
              <w:keepNext w:val="0"/>
              <w:keepLines w:val="0"/>
              <w:suppressLineNumbers w:val="0"/>
              <w:shd w:val="clear"/>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860" w:type="dxa"/>
            <w:vAlign w:val="center"/>
          </w:tcPr>
          <w:p w14:paraId="3CC9B52F">
            <w:pPr>
              <w:keepNext w:val="0"/>
              <w:keepLines w:val="0"/>
              <w:suppressLineNumbers w:val="0"/>
              <w:shd w:val="clear"/>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075" w:type="dxa"/>
          </w:tcPr>
          <w:p w14:paraId="54BD1A01">
            <w:pPr>
              <w:keepNext w:val="0"/>
              <w:keepLines w:val="0"/>
              <w:suppressLineNumbers w:val="0"/>
              <w:shd w:val="clear"/>
              <w:spacing w:before="0" w:beforeAutospacing="0" w:after="0" w:afterAutospacing="0" w:line="360" w:lineRule="auto"/>
              <w:ind w:left="0" w:leftChars="0" w:right="0" w:firstLine="0" w:firstLineChars="0"/>
              <w:jc w:val="both"/>
              <w:rPr>
                <w:rFonts w:hint="eastAsia" w:ascii="宋体" w:hAnsi="宋体" w:cs="宋体"/>
                <w:b/>
                <w:color w:val="auto"/>
                <w:sz w:val="24"/>
                <w:highlight w:val="none"/>
              </w:rPr>
            </w:pPr>
          </w:p>
          <w:p w14:paraId="492E6C95">
            <w:pPr>
              <w:keepNext w:val="0"/>
              <w:keepLines w:val="0"/>
              <w:suppressLineNumbers w:val="0"/>
              <w:shd w:val="clear"/>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品牌</w:t>
            </w:r>
          </w:p>
        </w:tc>
        <w:tc>
          <w:tcPr>
            <w:tcW w:w="1211" w:type="dxa"/>
            <w:vAlign w:val="center"/>
          </w:tcPr>
          <w:p w14:paraId="2EB5826B">
            <w:pPr>
              <w:keepNext w:val="0"/>
              <w:keepLines w:val="0"/>
              <w:suppressLineNumbers w:val="0"/>
              <w:shd w:val="clear"/>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1060" w:type="dxa"/>
            <w:vAlign w:val="center"/>
          </w:tcPr>
          <w:p w14:paraId="2BCA2C21">
            <w:pPr>
              <w:keepNext w:val="0"/>
              <w:keepLines w:val="0"/>
              <w:suppressLineNumbers w:val="0"/>
              <w:shd w:val="clear"/>
              <w:spacing w:before="0" w:beforeAutospacing="0" w:after="0" w:afterAutospacing="0" w:line="360" w:lineRule="auto"/>
              <w:ind w:left="0" w:leftChars="0" w:right="0" w:firstLine="0" w:firstLineChars="0"/>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产地</w:t>
            </w:r>
          </w:p>
        </w:tc>
        <w:tc>
          <w:tcPr>
            <w:tcW w:w="1087" w:type="dxa"/>
            <w:vAlign w:val="center"/>
          </w:tcPr>
          <w:p w14:paraId="26B0D799">
            <w:pPr>
              <w:keepNext w:val="0"/>
              <w:keepLines w:val="0"/>
              <w:suppressLineNumbers w:val="0"/>
              <w:shd w:val="clear"/>
              <w:spacing w:before="0" w:beforeAutospacing="0" w:after="0" w:afterAutospacing="0" w:line="360" w:lineRule="auto"/>
              <w:ind w:left="0" w:leftChars="0" w:right="0" w:firstLine="0" w:firstLineChars="0"/>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数量</w:t>
            </w:r>
            <w:r>
              <w:rPr>
                <w:rFonts w:hint="eastAsia" w:ascii="宋体" w:hAnsi="宋体" w:cs="宋体"/>
                <w:b/>
                <w:color w:val="auto"/>
                <w:sz w:val="24"/>
                <w:highlight w:val="none"/>
                <w:lang w:val="en-US" w:eastAsia="zh-CN"/>
              </w:rPr>
              <w:t>及单位</w:t>
            </w:r>
          </w:p>
        </w:tc>
        <w:tc>
          <w:tcPr>
            <w:tcW w:w="1366" w:type="dxa"/>
            <w:vAlign w:val="center"/>
          </w:tcPr>
          <w:p w14:paraId="39602280">
            <w:pPr>
              <w:keepNext w:val="0"/>
              <w:keepLines w:val="0"/>
              <w:suppressLineNumbers w:val="0"/>
              <w:shd w:val="clear"/>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单价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tc>
        <w:tc>
          <w:tcPr>
            <w:tcW w:w="1243" w:type="dxa"/>
            <w:vAlign w:val="center"/>
          </w:tcPr>
          <w:p w14:paraId="2707F349">
            <w:pPr>
              <w:keepNext w:val="0"/>
              <w:keepLines w:val="0"/>
              <w:suppressLineNumbers w:val="0"/>
              <w:shd w:val="clear"/>
              <w:spacing w:before="0" w:beforeAutospacing="0" w:after="0" w:afterAutospacing="0" w:line="360" w:lineRule="auto"/>
              <w:ind w:left="0" w:leftChars="0" w:right="0" w:firstLine="0" w:firstLineChars="0"/>
              <w:jc w:val="both"/>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合计</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tc>
        <w:tc>
          <w:tcPr>
            <w:tcW w:w="1726" w:type="dxa"/>
            <w:vAlign w:val="center"/>
          </w:tcPr>
          <w:p w14:paraId="54DEE9C3">
            <w:pPr>
              <w:keepNext w:val="0"/>
              <w:keepLines w:val="0"/>
              <w:suppressLineNumbers w:val="0"/>
              <w:shd w:val="clear"/>
              <w:spacing w:before="0" w:beforeAutospacing="0" w:after="0" w:afterAutospacing="0" w:line="360" w:lineRule="auto"/>
              <w:ind w:left="0" w:right="0"/>
              <w:jc w:val="center"/>
              <w:rPr>
                <w:rFonts w:hint="default" w:ascii="宋体" w:hAnsi="宋体" w:cs="宋体"/>
                <w:b/>
                <w:color w:val="auto"/>
                <w:sz w:val="24"/>
                <w:highlight w:val="none"/>
              </w:rPr>
            </w:pPr>
          </w:p>
          <w:p w14:paraId="269376D8">
            <w:pPr>
              <w:keepNext w:val="0"/>
              <w:keepLines w:val="0"/>
              <w:suppressLineNumbers w:val="0"/>
              <w:shd w:val="clear"/>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备注（如果有）</w:t>
            </w:r>
          </w:p>
          <w:p w14:paraId="2FFB5DD1">
            <w:pPr>
              <w:keepNext w:val="0"/>
              <w:keepLines w:val="0"/>
              <w:suppressLineNumbers w:val="0"/>
              <w:shd w:val="clear"/>
              <w:spacing w:before="0" w:beforeAutospacing="0" w:after="0" w:afterAutospacing="0" w:line="360" w:lineRule="auto"/>
              <w:ind w:left="0" w:right="0"/>
              <w:jc w:val="center"/>
              <w:rPr>
                <w:rFonts w:hint="default" w:ascii="宋体" w:hAnsi="宋体" w:cs="宋体"/>
                <w:b/>
                <w:color w:val="auto"/>
                <w:sz w:val="24"/>
                <w:highlight w:val="none"/>
              </w:rPr>
            </w:pPr>
          </w:p>
        </w:tc>
      </w:tr>
      <w:tr w14:paraId="229D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0" w:type="dxa"/>
            <w:vAlign w:val="center"/>
          </w:tcPr>
          <w:p w14:paraId="7629B470">
            <w:pPr>
              <w:keepNext w:val="0"/>
              <w:keepLines w:val="0"/>
              <w:suppressLineNumbers w:val="0"/>
              <w:shd w:val="clear"/>
              <w:spacing w:before="0" w:beforeAutospacing="0" w:after="0" w:afterAutospacing="0" w:line="360" w:lineRule="auto"/>
              <w:ind w:left="0" w:leftChars="0" w:right="0" w:firstLine="0" w:firstLineChars="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860" w:type="dxa"/>
            <w:vAlign w:val="center"/>
          </w:tcPr>
          <w:p w14:paraId="697064AC">
            <w:pPr>
              <w:keepNext w:val="0"/>
              <w:keepLines w:val="0"/>
              <w:suppressLineNumbers w:val="0"/>
              <w:shd w:val="clear"/>
              <w:snapToGrid w:val="0"/>
              <w:spacing w:before="0" w:beforeAutospacing="0" w:after="0" w:afterAutospacing="0" w:line="360" w:lineRule="auto"/>
              <w:ind w:left="0" w:leftChars="0" w:right="0" w:firstLine="0" w:firstLineChars="0"/>
              <w:jc w:val="center"/>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075" w:type="dxa"/>
            <w:vAlign w:val="center"/>
          </w:tcPr>
          <w:p w14:paraId="41EC8A33">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3409C5FE">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1E35153D">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17157D64">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3FA0671C">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621D047E">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0B2F42DB">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r>
      <w:tr w14:paraId="1299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27FD873C">
            <w:pPr>
              <w:keepNext w:val="0"/>
              <w:keepLines w:val="0"/>
              <w:suppressLineNumbers w:val="0"/>
              <w:shd w:val="clear"/>
              <w:spacing w:before="0" w:beforeAutospacing="0" w:after="0" w:afterAutospacing="0" w:line="360" w:lineRule="auto"/>
              <w:ind w:left="0" w:leftChars="0" w:right="0" w:firstLine="0" w:firstLineChars="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860" w:type="dxa"/>
            <w:vAlign w:val="center"/>
          </w:tcPr>
          <w:p w14:paraId="41BCE995">
            <w:pPr>
              <w:keepNext w:val="0"/>
              <w:keepLines w:val="0"/>
              <w:suppressLineNumbers w:val="0"/>
              <w:shd w:val="clear"/>
              <w:snapToGrid w:val="0"/>
              <w:spacing w:before="0" w:beforeAutospacing="0" w:after="0" w:afterAutospacing="0" w:line="360" w:lineRule="auto"/>
              <w:ind w:left="0" w:leftChars="0" w:right="0" w:firstLine="0" w:firstLineChars="0"/>
              <w:jc w:val="center"/>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075" w:type="dxa"/>
            <w:vAlign w:val="center"/>
          </w:tcPr>
          <w:p w14:paraId="269348A5">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60EB97A6">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0477BB4F">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168A641A">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5F572EF7">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13B90D8D">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6985252F">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r>
      <w:tr w14:paraId="0D71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4BF4CBAA">
            <w:pPr>
              <w:keepNext w:val="0"/>
              <w:keepLines w:val="0"/>
              <w:suppressLineNumbers w:val="0"/>
              <w:shd w:val="clear"/>
              <w:spacing w:before="0" w:beforeAutospacing="0" w:after="0" w:afterAutospacing="0" w:line="360" w:lineRule="auto"/>
              <w:ind w:left="0" w:leftChars="0" w:right="0" w:firstLine="0" w:firstLineChars="0"/>
              <w:jc w:val="both"/>
              <w:rPr>
                <w:rFonts w:hint="default" w:ascii="宋体" w:hAnsi="宋体" w:cs="宋体"/>
                <w:color w:val="auto"/>
                <w:sz w:val="24"/>
                <w:highlight w:val="none"/>
              </w:rPr>
            </w:pPr>
            <w:r>
              <w:rPr>
                <w:rFonts w:hint="eastAsia" w:ascii="宋体" w:hAnsi="宋体" w:cs="宋体"/>
                <w:color w:val="auto"/>
                <w:sz w:val="24"/>
                <w:highlight w:val="none"/>
                <w:lang w:eastAsia="zh-CN"/>
              </w:rPr>
              <w:t>……</w:t>
            </w:r>
          </w:p>
        </w:tc>
        <w:tc>
          <w:tcPr>
            <w:tcW w:w="860" w:type="dxa"/>
            <w:vAlign w:val="center"/>
          </w:tcPr>
          <w:p w14:paraId="0625DB1F">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75" w:type="dxa"/>
            <w:vAlign w:val="center"/>
          </w:tcPr>
          <w:p w14:paraId="161AA519">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12368748">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7D43F950">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51F9728C">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50293A49">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67865345">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201A5329">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r>
      <w:tr w14:paraId="514B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3E1F28C4">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860" w:type="dxa"/>
            <w:vAlign w:val="center"/>
          </w:tcPr>
          <w:p w14:paraId="0A48CE42">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75" w:type="dxa"/>
            <w:vAlign w:val="center"/>
          </w:tcPr>
          <w:p w14:paraId="749A515F">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26006F04">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72A49CF3">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766098A7">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789403F7">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1F7639FD">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61380EF0">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r>
      <w:tr w14:paraId="2A27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381F42F3">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860" w:type="dxa"/>
            <w:vAlign w:val="center"/>
          </w:tcPr>
          <w:p w14:paraId="7CD52D24">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75" w:type="dxa"/>
            <w:vAlign w:val="center"/>
          </w:tcPr>
          <w:p w14:paraId="318DBC17">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6C5C45F0">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6165F2EB">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6C9B3552">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6D92C0DE">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1C670B8C">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6E2C7E1B">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r>
      <w:tr w14:paraId="61C3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956" w:type="dxa"/>
            <w:gridSpan w:val="5"/>
            <w:vAlign w:val="center"/>
          </w:tcPr>
          <w:p w14:paraId="7DAA3A46">
            <w:pPr>
              <w:keepNext w:val="0"/>
              <w:keepLines w:val="0"/>
              <w:suppressLineNumbers w:val="0"/>
              <w:shd w:val="clear"/>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报价合计（小写）</w:t>
            </w:r>
          </w:p>
        </w:tc>
        <w:tc>
          <w:tcPr>
            <w:tcW w:w="5422" w:type="dxa"/>
            <w:gridSpan w:val="4"/>
            <w:vAlign w:val="center"/>
          </w:tcPr>
          <w:p w14:paraId="5A044516">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r>
      <w:tr w14:paraId="1BDE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56" w:type="dxa"/>
            <w:gridSpan w:val="5"/>
            <w:vAlign w:val="center"/>
          </w:tcPr>
          <w:p w14:paraId="2597F5C6">
            <w:pPr>
              <w:keepNext w:val="0"/>
              <w:keepLines w:val="0"/>
              <w:suppressLineNumbers w:val="0"/>
              <w:shd w:val="clear"/>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报价合计（大写）</w:t>
            </w:r>
          </w:p>
        </w:tc>
        <w:tc>
          <w:tcPr>
            <w:tcW w:w="5422" w:type="dxa"/>
            <w:gridSpan w:val="4"/>
            <w:vAlign w:val="center"/>
          </w:tcPr>
          <w:p w14:paraId="3EC1C79B">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 w:val="24"/>
                <w:highlight w:val="none"/>
              </w:rPr>
            </w:pPr>
          </w:p>
        </w:tc>
      </w:tr>
    </w:tbl>
    <w:p w14:paraId="62903F1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注：1. 本表为《开标一览表》所述内容的报价明细清单，如有缺项、漏项，视为投标报价中已包含相关费用，采购人无需另外支付任何费用。</w:t>
      </w:r>
    </w:p>
    <w:p w14:paraId="55980CD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2.“报价明细表”中的报价合计应与“开标一览表”中的投标报价相一致，不一致时，以开标一览表为准。</w:t>
      </w:r>
    </w:p>
    <w:p w14:paraId="485A325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00" w:lineRule="exact"/>
        <w:ind w:left="0" w:leftChars="0" w:right="0" w:firstLine="4080" w:firstLineChars="1700"/>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投标人全称（盖章）：</w:t>
      </w:r>
      <w:r>
        <w:rPr>
          <w:rFonts w:hint="default" w:ascii="Times New Roman" w:hAnsi="Times New Roman" w:eastAsia="宋体" w:cs="Times New Roman"/>
          <w:color w:val="auto"/>
          <w:kern w:val="2"/>
          <w:sz w:val="24"/>
          <w:szCs w:val="24"/>
          <w:highlight w:val="none"/>
          <w:lang w:val="en-US" w:eastAsia="zh-CN" w:bidi="ar"/>
        </w:rPr>
        <w:t xml:space="preserve">                         </w:t>
      </w:r>
    </w:p>
    <w:p w14:paraId="1A08C901">
      <w:pPr>
        <w:keepNext w:val="0"/>
        <w:keepLines w:val="0"/>
        <w:widowControl w:val="0"/>
        <w:suppressLineNumbers w:val="0"/>
        <w:shd w:val="clear"/>
        <w:spacing w:before="0" w:beforeAutospacing="0" w:after="0" w:afterAutospacing="0" w:line="500" w:lineRule="exact"/>
        <w:ind w:left="0" w:right="0" w:firstLine="4320" w:firstLineChars="18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法定代表人或授权代理人（签字或盖章）：</w:t>
      </w:r>
    </w:p>
    <w:p w14:paraId="28248759">
      <w:pPr>
        <w:keepNext w:val="0"/>
        <w:keepLines w:val="0"/>
        <w:widowControl w:val="0"/>
        <w:suppressLineNumbers w:val="0"/>
        <w:shd w:val="clear"/>
        <w:spacing w:before="0" w:beforeAutospacing="0" w:after="0" w:afterAutospacing="0" w:line="500" w:lineRule="exact"/>
        <w:ind w:left="0" w:right="0" w:firstLine="4320" w:firstLineChars="18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日期：</w:t>
      </w:r>
      <w:r>
        <w:rPr>
          <w:rFonts w:hint="eastAsia" w:ascii="宋体" w:hAnsi="宋体" w:cs="宋体"/>
          <w:color w:val="auto"/>
          <w:kern w:val="2"/>
          <w:sz w:val="24"/>
          <w:szCs w:val="24"/>
          <w:highlight w:val="non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F5AF741">
      <w:pPr>
        <w:shd w:val="clear"/>
        <w:spacing w:line="360" w:lineRule="auto"/>
        <w:ind w:firstLine="0" w:firstLineChars="0"/>
        <w:jc w:val="center"/>
        <w:rPr>
          <w:rFonts w:hint="eastAsia" w:ascii="宋体" w:hAnsi="宋体" w:eastAsia="宋体" w:cs="宋体"/>
          <w:b/>
          <w:color w:val="auto"/>
          <w:sz w:val="30"/>
          <w:szCs w:val="30"/>
          <w:highlight w:val="none"/>
          <w:lang w:val="en-GB"/>
        </w:rPr>
      </w:pPr>
    </w:p>
    <w:p w14:paraId="3D56DEFA">
      <w:pPr>
        <w:shd w:val="clear"/>
        <w:spacing w:line="360" w:lineRule="auto"/>
        <w:ind w:firstLine="0" w:firstLineChars="0"/>
        <w:jc w:val="center"/>
        <w:rPr>
          <w:rFonts w:hint="eastAsia" w:ascii="宋体" w:hAnsi="宋体" w:eastAsia="宋体" w:cs="宋体"/>
          <w:b/>
          <w:color w:val="auto"/>
          <w:sz w:val="30"/>
          <w:szCs w:val="30"/>
          <w:highlight w:val="none"/>
          <w:lang w:val="en-GB"/>
        </w:rPr>
      </w:pPr>
    </w:p>
    <w:p w14:paraId="3BD51575">
      <w:pPr>
        <w:shd w:val="clear"/>
        <w:spacing w:line="360" w:lineRule="auto"/>
        <w:ind w:firstLine="0" w:firstLineChars="0"/>
        <w:jc w:val="center"/>
        <w:rPr>
          <w:rFonts w:hint="eastAsia" w:ascii="宋体" w:hAnsi="宋体" w:eastAsia="宋体" w:cs="宋体"/>
          <w:b/>
          <w:color w:val="auto"/>
          <w:sz w:val="30"/>
          <w:szCs w:val="30"/>
          <w:highlight w:val="none"/>
          <w:lang w:val="en-GB"/>
        </w:rPr>
      </w:pPr>
    </w:p>
    <w:p w14:paraId="1BABE198">
      <w:pPr>
        <w:shd w:val="clear"/>
        <w:spacing w:line="360" w:lineRule="auto"/>
        <w:ind w:firstLine="0" w:firstLineChars="0"/>
        <w:jc w:val="center"/>
        <w:rPr>
          <w:rFonts w:hint="eastAsia" w:ascii="宋体" w:hAnsi="宋体" w:eastAsia="宋体" w:cs="宋体"/>
          <w:b/>
          <w:color w:val="auto"/>
          <w:sz w:val="30"/>
          <w:szCs w:val="30"/>
          <w:highlight w:val="none"/>
          <w:lang w:val="en-GB"/>
        </w:rPr>
      </w:pPr>
    </w:p>
    <w:p w14:paraId="71D3E15C">
      <w:pPr>
        <w:shd w:val="clear"/>
        <w:spacing w:line="360" w:lineRule="auto"/>
        <w:ind w:firstLine="0" w:firstLineChars="0"/>
        <w:jc w:val="center"/>
        <w:rPr>
          <w:rFonts w:hint="eastAsia" w:ascii="宋体" w:hAnsi="宋体" w:eastAsia="宋体" w:cs="宋体"/>
          <w:b/>
          <w:color w:val="auto"/>
          <w:sz w:val="30"/>
          <w:szCs w:val="30"/>
          <w:highlight w:val="none"/>
          <w:lang w:val="en-GB"/>
        </w:rPr>
      </w:pPr>
    </w:p>
    <w:p w14:paraId="77C1A20A">
      <w:pPr>
        <w:shd w:val="clear"/>
        <w:spacing w:line="400" w:lineRule="exact"/>
        <w:ind w:firstLine="0" w:firstLineChars="0"/>
        <w:jc w:val="left"/>
        <w:outlineLvl w:val="0"/>
        <w:rPr>
          <w:rFonts w:hint="default" w:ascii="宋体" w:hAnsi="宋体" w:eastAsia="宋体" w:cs="宋体"/>
          <w:b/>
          <w:color w:val="auto"/>
          <w:sz w:val="30"/>
          <w:szCs w:val="30"/>
          <w:highlight w:val="none"/>
          <w:lang w:val="en-US"/>
        </w:rPr>
      </w:pPr>
      <w:bookmarkStart w:id="2002" w:name="_Toc5141"/>
      <w:r>
        <w:rPr>
          <w:rFonts w:hint="eastAsia" w:ascii="宋体" w:hAnsi="宋体" w:eastAsia="宋体" w:cs="宋体"/>
          <w:b/>
          <w:color w:val="auto"/>
          <w:highlight w:val="none"/>
          <w:lang w:val="en-GB"/>
        </w:rPr>
        <w:t>附件</w:t>
      </w:r>
      <w:r>
        <w:rPr>
          <w:rFonts w:hint="eastAsia" w:ascii="宋体" w:hAnsi="宋体" w:cs="宋体"/>
          <w:b/>
          <w:color w:val="auto"/>
          <w:highlight w:val="none"/>
          <w:lang w:val="en-US" w:eastAsia="zh-CN"/>
        </w:rPr>
        <w:t>12</w:t>
      </w:r>
      <w:bookmarkEnd w:id="2002"/>
    </w:p>
    <w:p w14:paraId="55112648">
      <w:pPr>
        <w:shd w:val="clear"/>
        <w:spacing w:line="360" w:lineRule="auto"/>
        <w:ind w:firstLine="0" w:firstLineChars="0"/>
        <w:jc w:val="center"/>
        <w:rPr>
          <w:rFonts w:ascii="宋体" w:hAnsi="宋体" w:cs="宋体"/>
          <w:b/>
          <w:color w:val="auto"/>
          <w:sz w:val="30"/>
          <w:szCs w:val="30"/>
          <w:highlight w:val="none"/>
          <w:lang w:val="en-GB"/>
        </w:rPr>
      </w:pPr>
      <w:r>
        <w:rPr>
          <w:rFonts w:hint="eastAsia" w:ascii="宋体" w:hAnsi="宋体" w:cs="宋体"/>
          <w:b/>
          <w:color w:val="auto"/>
          <w:sz w:val="30"/>
          <w:szCs w:val="30"/>
          <w:highlight w:val="none"/>
          <w:lang w:val="en-GB"/>
        </w:rPr>
        <w:t>中小企业声明函、监狱企业、残疾人福利性单位及其他相关的充分的证明材料中小企业声明函及其相关的充分的证明材料</w:t>
      </w:r>
    </w:p>
    <w:p w14:paraId="624510F4">
      <w:pPr>
        <w:shd w:val="clear"/>
        <w:snapToGrid w:val="0"/>
        <w:spacing w:line="420" w:lineRule="exact"/>
        <w:ind w:firstLine="0" w:firstLineChars="0"/>
        <w:jc w:val="center"/>
        <w:rPr>
          <w:rFonts w:hint="eastAsia" w:ascii="宋体" w:hAnsi="宋体" w:cs="宋体"/>
          <w:b/>
          <w:bCs/>
          <w:color w:val="auto"/>
          <w:kern w:val="0"/>
          <w:sz w:val="32"/>
          <w:szCs w:val="36"/>
          <w:highlight w:val="none"/>
        </w:rPr>
      </w:pPr>
      <w:r>
        <w:rPr>
          <w:rFonts w:hint="eastAsia" w:ascii="宋体" w:hAnsi="宋体" w:cs="宋体"/>
          <w:b/>
          <w:bCs/>
          <w:color w:val="auto"/>
          <w:kern w:val="0"/>
          <w:sz w:val="32"/>
          <w:szCs w:val="36"/>
          <w:highlight w:val="none"/>
        </w:rPr>
        <w:t>中小企业声明函（货物）</w:t>
      </w:r>
    </w:p>
    <w:p w14:paraId="490453D5">
      <w:pPr>
        <w:shd w:val="clea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本公司（联合体）郑重声明，根据《政府采购促进中小 企业发展管理办法》（财库﹝2020﹞46 号）的规定，本公司 （联合体）参加</w:t>
      </w:r>
      <w:r>
        <w:rPr>
          <w:rFonts w:hint="eastAsia" w:ascii="宋体" w:hAnsi="宋体" w:cs="宋体"/>
          <w:color w:val="auto"/>
          <w:kern w:val="0"/>
          <w:sz w:val="22"/>
          <w:szCs w:val="20"/>
          <w:highlight w:val="none"/>
          <w:u w:val="single"/>
        </w:rPr>
        <w:t>（单位名称）</w:t>
      </w:r>
      <w:r>
        <w:rPr>
          <w:rFonts w:hint="eastAsia" w:ascii="宋体" w:hAnsi="宋体" w:cs="宋体"/>
          <w:color w:val="auto"/>
          <w:kern w:val="0"/>
          <w:sz w:val="22"/>
          <w:szCs w:val="20"/>
          <w:highlight w:val="none"/>
        </w:rPr>
        <w:t>的</w:t>
      </w:r>
      <w:r>
        <w:rPr>
          <w:rFonts w:hint="eastAsia" w:ascii="宋体" w:hAnsi="宋体" w:cs="宋体"/>
          <w:color w:val="auto"/>
          <w:kern w:val="0"/>
          <w:sz w:val="22"/>
          <w:szCs w:val="20"/>
          <w:highlight w:val="none"/>
          <w:u w:val="single"/>
        </w:rPr>
        <w:t>（项目名称）</w:t>
      </w:r>
      <w:r>
        <w:rPr>
          <w:rFonts w:hint="eastAsia" w:ascii="宋体" w:hAnsi="宋体" w:cs="宋体"/>
          <w:color w:val="auto"/>
          <w:kern w:val="0"/>
          <w:sz w:val="22"/>
          <w:szCs w:val="20"/>
          <w:highlight w:val="none"/>
        </w:rPr>
        <w:t>采购活动，提 供的货物全部由符合政策要求的中小企业制造。相关企业 （含联合体中的中小企业、签订分包意向协议的中小企业） 的具体情况如下：</w:t>
      </w:r>
    </w:p>
    <w:p w14:paraId="224D757E">
      <w:pPr>
        <w:shd w:val="clea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 1. </w:t>
      </w:r>
      <w:r>
        <w:rPr>
          <w:rFonts w:hint="eastAsia" w:ascii="宋体" w:hAnsi="宋体" w:cs="宋体"/>
          <w:color w:val="auto"/>
          <w:kern w:val="0"/>
          <w:sz w:val="22"/>
          <w:szCs w:val="20"/>
          <w:highlight w:val="none"/>
          <w:u w:val="single"/>
        </w:rPr>
        <w:t>（标的名称）</w:t>
      </w:r>
      <w:r>
        <w:rPr>
          <w:rFonts w:hint="eastAsia" w:ascii="宋体" w:hAnsi="宋体" w:cs="宋体"/>
          <w:color w:val="auto"/>
          <w:kern w:val="0"/>
          <w:sz w:val="22"/>
          <w:szCs w:val="20"/>
          <w:highlight w:val="none"/>
        </w:rPr>
        <w:t>，属于</w:t>
      </w:r>
      <w:r>
        <w:rPr>
          <w:rFonts w:hint="eastAsia" w:ascii="宋体" w:hAnsi="宋体" w:cs="宋体"/>
          <w:color w:val="auto"/>
          <w:kern w:val="0"/>
          <w:sz w:val="22"/>
          <w:szCs w:val="20"/>
          <w:highlight w:val="none"/>
          <w:u w:val="single"/>
        </w:rPr>
        <w:t>工业</w:t>
      </w:r>
      <w:r>
        <w:rPr>
          <w:rFonts w:hint="eastAsia" w:ascii="宋体" w:hAnsi="宋体" w:cs="宋体"/>
          <w:color w:val="auto"/>
          <w:kern w:val="0"/>
          <w:sz w:val="22"/>
          <w:szCs w:val="20"/>
          <w:highlight w:val="none"/>
        </w:rPr>
        <w:t>；制造商为</w:t>
      </w:r>
      <w:r>
        <w:rPr>
          <w:rFonts w:hint="eastAsia" w:ascii="宋体" w:hAnsi="宋体" w:cs="宋体"/>
          <w:color w:val="auto"/>
          <w:kern w:val="0"/>
          <w:sz w:val="22"/>
          <w:szCs w:val="20"/>
          <w:highlight w:val="none"/>
          <w:u w:val="single"/>
        </w:rPr>
        <w:t>（企业名称）</w:t>
      </w:r>
      <w:r>
        <w:rPr>
          <w:rFonts w:hint="eastAsia" w:ascii="宋体" w:hAnsi="宋体" w:cs="宋体"/>
          <w:color w:val="auto"/>
          <w:kern w:val="0"/>
          <w:sz w:val="22"/>
          <w:szCs w:val="20"/>
          <w:highlight w:val="none"/>
        </w:rPr>
        <w:t>，从业人员</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人，营业收入为</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万元，资产总额为</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万元（注1），属于</w:t>
      </w:r>
      <w:r>
        <w:rPr>
          <w:rFonts w:hint="eastAsia" w:ascii="宋体" w:hAnsi="宋体" w:cs="宋体"/>
          <w:color w:val="auto"/>
          <w:kern w:val="0"/>
          <w:sz w:val="22"/>
          <w:szCs w:val="20"/>
          <w:highlight w:val="none"/>
          <w:u w:val="single"/>
        </w:rPr>
        <w:t>（中型企业、小型企业、微型企业）</w:t>
      </w:r>
      <w:r>
        <w:rPr>
          <w:rFonts w:hint="eastAsia" w:ascii="宋体" w:hAnsi="宋体" w:cs="宋体"/>
          <w:color w:val="auto"/>
          <w:kern w:val="0"/>
          <w:sz w:val="22"/>
          <w:szCs w:val="20"/>
          <w:highlight w:val="none"/>
        </w:rPr>
        <w:t>；</w:t>
      </w:r>
    </w:p>
    <w:p w14:paraId="3893E8D9">
      <w:pPr>
        <w:shd w:val="clea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2. </w:t>
      </w:r>
      <w:r>
        <w:rPr>
          <w:rFonts w:hint="eastAsia" w:ascii="宋体" w:hAnsi="宋体" w:cs="宋体"/>
          <w:color w:val="auto"/>
          <w:kern w:val="0"/>
          <w:sz w:val="22"/>
          <w:szCs w:val="20"/>
          <w:highlight w:val="none"/>
          <w:u w:val="single"/>
        </w:rPr>
        <w:t>（标的名称）</w:t>
      </w:r>
      <w:r>
        <w:rPr>
          <w:rFonts w:hint="eastAsia" w:ascii="宋体" w:hAnsi="宋体" w:cs="宋体"/>
          <w:color w:val="auto"/>
          <w:kern w:val="0"/>
          <w:sz w:val="22"/>
          <w:szCs w:val="20"/>
          <w:highlight w:val="none"/>
        </w:rPr>
        <w:t>，属于</w:t>
      </w:r>
      <w:r>
        <w:rPr>
          <w:rFonts w:hint="eastAsia" w:ascii="宋体" w:hAnsi="宋体" w:cs="宋体"/>
          <w:color w:val="auto"/>
          <w:kern w:val="0"/>
          <w:sz w:val="22"/>
          <w:szCs w:val="20"/>
          <w:highlight w:val="none"/>
          <w:u w:val="single"/>
        </w:rPr>
        <w:t>工业</w:t>
      </w:r>
      <w:r>
        <w:rPr>
          <w:rFonts w:hint="eastAsia" w:ascii="宋体" w:hAnsi="宋体" w:cs="宋体"/>
          <w:color w:val="auto"/>
          <w:kern w:val="0"/>
          <w:sz w:val="22"/>
          <w:szCs w:val="20"/>
          <w:highlight w:val="none"/>
        </w:rPr>
        <w:t>；制造商为</w:t>
      </w:r>
      <w:r>
        <w:rPr>
          <w:rFonts w:hint="eastAsia" w:ascii="宋体" w:hAnsi="宋体" w:cs="宋体"/>
          <w:color w:val="auto"/>
          <w:kern w:val="0"/>
          <w:sz w:val="22"/>
          <w:szCs w:val="20"/>
          <w:highlight w:val="none"/>
          <w:u w:val="single"/>
        </w:rPr>
        <w:t>（企业名称）</w:t>
      </w:r>
      <w:r>
        <w:rPr>
          <w:rFonts w:hint="eastAsia" w:ascii="宋体" w:hAnsi="宋体" w:cs="宋体"/>
          <w:color w:val="auto"/>
          <w:kern w:val="0"/>
          <w:sz w:val="22"/>
          <w:szCs w:val="20"/>
          <w:highlight w:val="none"/>
        </w:rPr>
        <w:t>，从业人员</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人，营业收入为</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万元，资产总额为</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万元，属于</w:t>
      </w:r>
      <w:r>
        <w:rPr>
          <w:rFonts w:hint="eastAsia" w:ascii="宋体" w:hAnsi="宋体" w:cs="宋体"/>
          <w:color w:val="auto"/>
          <w:kern w:val="0"/>
          <w:sz w:val="22"/>
          <w:szCs w:val="20"/>
          <w:highlight w:val="none"/>
          <w:u w:val="single"/>
        </w:rPr>
        <w:t>（中型企业、小型企业、微型企业）</w:t>
      </w:r>
      <w:r>
        <w:rPr>
          <w:rFonts w:hint="eastAsia" w:ascii="宋体" w:hAnsi="宋体" w:cs="宋体"/>
          <w:color w:val="auto"/>
          <w:kern w:val="0"/>
          <w:sz w:val="22"/>
          <w:szCs w:val="20"/>
          <w:highlight w:val="none"/>
        </w:rPr>
        <w:t>；</w:t>
      </w:r>
    </w:p>
    <w:p w14:paraId="7A3490E1">
      <w:pPr>
        <w:shd w:val="clea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 …… </w:t>
      </w:r>
    </w:p>
    <w:p w14:paraId="5D67209A">
      <w:pPr>
        <w:shd w:val="clea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以上企业，不属于大企业的分支机构，不存在控股股东为大企业的情形，也不存在与大企业的负责人为同一人的情形。 </w:t>
      </w:r>
    </w:p>
    <w:p w14:paraId="469E0544">
      <w:pPr>
        <w:shd w:val="clea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本企业对上述声明内容的真实性负责。如有虚假，将依 法承担相应责任。 </w:t>
      </w:r>
    </w:p>
    <w:p w14:paraId="31397E9D">
      <w:pPr>
        <w:shd w:val="clear"/>
        <w:snapToGrid w:val="0"/>
        <w:spacing w:line="420" w:lineRule="exact"/>
        <w:ind w:firstLine="3740" w:firstLineChars="17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企业名称（盖章）： </w:t>
      </w:r>
    </w:p>
    <w:p w14:paraId="3185D0A6">
      <w:pPr>
        <w:shd w:val="clear"/>
        <w:snapToGrid w:val="0"/>
        <w:spacing w:line="420" w:lineRule="exact"/>
        <w:ind w:firstLine="3740" w:firstLineChars="17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日 期：</w:t>
      </w:r>
    </w:p>
    <w:p w14:paraId="1A41AAE0">
      <w:pPr>
        <w:pBdr>
          <w:bottom w:val="single" w:color="auto" w:sz="6" w:space="1"/>
        </w:pBdr>
        <w:shd w:val="clear"/>
        <w:snapToGrid w:val="0"/>
        <w:spacing w:line="420" w:lineRule="exact"/>
        <w:ind w:firstLine="464" w:firstLineChars="200"/>
        <w:rPr>
          <w:rFonts w:hint="eastAsia" w:ascii="宋体" w:hAnsi="宋体" w:cs="宋体"/>
          <w:color w:val="auto"/>
          <w:spacing w:val="6"/>
          <w:kern w:val="0"/>
          <w:sz w:val="22"/>
          <w:szCs w:val="22"/>
          <w:highlight w:val="none"/>
        </w:rPr>
      </w:pPr>
    </w:p>
    <w:p w14:paraId="41E844B5">
      <w:pPr>
        <w:pBdr>
          <w:bottom w:val="single" w:color="auto" w:sz="6" w:space="1"/>
        </w:pBdr>
        <w:shd w:val="clear"/>
        <w:snapToGrid w:val="0"/>
        <w:spacing w:line="420" w:lineRule="exact"/>
        <w:ind w:firstLine="464" w:firstLineChars="200"/>
        <w:rPr>
          <w:rFonts w:hint="eastAsia" w:ascii="宋体" w:hAnsi="宋体" w:cs="宋体"/>
          <w:color w:val="auto"/>
          <w:kern w:val="0"/>
          <w:sz w:val="22"/>
          <w:szCs w:val="22"/>
          <w:highlight w:val="none"/>
        </w:rPr>
      </w:pPr>
      <w:r>
        <w:rPr>
          <w:rFonts w:hint="eastAsia" w:ascii="宋体" w:hAnsi="宋体" w:cs="宋体"/>
          <w:color w:val="auto"/>
          <w:spacing w:val="6"/>
          <w:kern w:val="0"/>
          <w:sz w:val="22"/>
          <w:szCs w:val="22"/>
          <w:highlight w:val="none"/>
        </w:rPr>
        <w:t>（注1）从业人员、营业收入、资产总额填报上一年度数据，无上一年度数据的新成立企业可不填</w:t>
      </w:r>
      <w:r>
        <w:rPr>
          <w:rFonts w:hint="eastAsia" w:ascii="宋体" w:hAnsi="宋体" w:cs="宋体"/>
          <w:color w:val="auto"/>
          <w:kern w:val="0"/>
          <w:sz w:val="22"/>
          <w:szCs w:val="22"/>
          <w:highlight w:val="none"/>
        </w:rPr>
        <w:t>报。</w:t>
      </w:r>
    </w:p>
    <w:p w14:paraId="77075396">
      <w:pPr>
        <w:shd w:val="clear"/>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填写说明：</w:t>
      </w:r>
    </w:p>
    <w:p w14:paraId="7CF9A5AB">
      <w:pPr>
        <w:shd w:val="clear"/>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1）投标人为中型、小型、微型企业的提供此函；</w:t>
      </w:r>
    </w:p>
    <w:p w14:paraId="12058EEC">
      <w:pPr>
        <w:shd w:val="clear"/>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2）中型企业不享受价格扣除，小型、微型企业的行业类别由评审专家结合投标人出具的证明材料认定；经认定不符合小型、微型企业标准的，不享受价格扣除；</w:t>
      </w:r>
    </w:p>
    <w:p w14:paraId="725AADB3">
      <w:pPr>
        <w:shd w:val="clear"/>
        <w:snapToGrid w:val="0"/>
        <w:spacing w:line="360" w:lineRule="auto"/>
        <w:ind w:firstLine="440" w:firstLineChars="200"/>
        <w:rPr>
          <w:rFonts w:hint="eastAsia" w:ascii="宋体" w:hAnsi="宋体" w:cs="宋体"/>
          <w:b/>
          <w:color w:val="auto"/>
          <w:kern w:val="0"/>
          <w:sz w:val="22"/>
          <w:szCs w:val="22"/>
          <w:highlight w:val="none"/>
        </w:rPr>
      </w:pPr>
      <w:r>
        <w:rPr>
          <w:rFonts w:hint="eastAsia" w:ascii="宋体" w:hAnsi="宋体" w:cs="宋体"/>
          <w:color w:val="auto"/>
          <w:kern w:val="0"/>
          <w:sz w:val="22"/>
          <w:szCs w:val="22"/>
          <w:highlight w:val="none"/>
        </w:rPr>
        <w:t>3）注：小型、微型企业参加政府采购活动时，应提供：a）《中小企业声明函》；上述证明材料提供不齐全的，不能享受价格扣除。</w:t>
      </w:r>
    </w:p>
    <w:p w14:paraId="35CE1DD2">
      <w:pPr>
        <w:shd w:val="clear"/>
        <w:spacing w:line="360" w:lineRule="auto"/>
        <w:ind w:firstLine="0" w:firstLineChars="0"/>
        <w:jc w:val="center"/>
        <w:rPr>
          <w:rFonts w:hint="eastAsia" w:ascii="宋体" w:hAnsi="宋体" w:eastAsia="宋体" w:cs="宋体"/>
          <w:b/>
          <w:color w:val="auto"/>
          <w:sz w:val="30"/>
          <w:szCs w:val="30"/>
          <w:highlight w:val="none"/>
          <w:lang w:val="zh-CN"/>
        </w:rPr>
      </w:pPr>
    </w:p>
    <w:p w14:paraId="2918BE3A">
      <w:pPr>
        <w:pStyle w:val="2"/>
        <w:rPr>
          <w:rFonts w:hint="eastAsia"/>
          <w:lang w:val="zh-CN"/>
        </w:rPr>
      </w:pPr>
    </w:p>
    <w:p w14:paraId="5EF645CF">
      <w:pPr>
        <w:pStyle w:val="40"/>
        <w:shd w:val="clear"/>
        <w:rPr>
          <w:rFonts w:hint="eastAsia"/>
          <w:color w:val="auto"/>
          <w:highlight w:val="none"/>
          <w:lang w:val="zh-CN"/>
        </w:rPr>
      </w:pPr>
    </w:p>
    <w:p w14:paraId="317B15BF">
      <w:pPr>
        <w:shd w:val="clear"/>
        <w:spacing w:line="360" w:lineRule="auto"/>
        <w:ind w:firstLine="0" w:firstLineChars="0"/>
        <w:jc w:val="center"/>
        <w:rPr>
          <w:rFonts w:hint="eastAsia" w:ascii="宋体" w:hAnsi="宋体" w:eastAsia="宋体" w:cs="宋体"/>
          <w:b/>
          <w:color w:val="auto"/>
          <w:sz w:val="30"/>
          <w:szCs w:val="30"/>
          <w:highlight w:val="none"/>
          <w:lang w:val="zh-CN"/>
        </w:rPr>
      </w:pPr>
    </w:p>
    <w:p w14:paraId="5AD8D96A">
      <w:pPr>
        <w:shd w:val="clear"/>
        <w:spacing w:line="360" w:lineRule="auto"/>
        <w:ind w:firstLine="0" w:firstLineChars="0"/>
        <w:jc w:val="center"/>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监狱企业声明函</w:t>
      </w:r>
    </w:p>
    <w:p w14:paraId="6B3261A3">
      <w:pPr>
        <w:shd w:val="clear"/>
        <w:spacing w:line="360" w:lineRule="auto"/>
        <w:ind w:firstLine="0" w:firstLineChars="0"/>
        <w:jc w:val="center"/>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【非监狱企业不需提供】</w:t>
      </w:r>
    </w:p>
    <w:p w14:paraId="2F9E2495">
      <w:pPr>
        <w:widowControl/>
        <w:shd w:val="clear"/>
        <w:adjustRightInd w:val="0"/>
        <w:snapToGrid w:val="0"/>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本企业郑重声明，根据《关于政府采购支持监狱企业发展有关问题的通知》（财库</w:t>
      </w:r>
      <w:r>
        <w:rPr>
          <w:rFonts w:hint="eastAsia" w:ascii="宋体" w:hAnsi="宋体" w:eastAsia="宋体" w:cs="宋体"/>
          <w:color w:val="auto"/>
          <w:highlight w:val="none"/>
        </w:rPr>
        <w:t>〔2014〕</w:t>
      </w:r>
      <w:r>
        <w:rPr>
          <w:rFonts w:hint="eastAsia" w:ascii="宋体" w:hAnsi="宋体" w:eastAsia="宋体" w:cs="宋体"/>
          <w:color w:val="auto"/>
          <w:szCs w:val="21"/>
          <w:highlight w:val="none"/>
        </w:rPr>
        <w:t>68号）的规定，本企业为</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w:t>
      </w:r>
    </w:p>
    <w:p w14:paraId="7A8D3EE8">
      <w:pPr>
        <w:widowControl/>
        <w:shd w:val="clear"/>
        <w:adjustRightInd w:val="0"/>
        <w:snapToGrid w:val="0"/>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根据上述标准，我企业属于</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的理由为：</w:t>
      </w:r>
    </w:p>
    <w:p w14:paraId="3DE437E3">
      <w:pPr>
        <w:widowControl/>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本企业为参加（项目名称：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）采购活动提供本企业的产品。</w:t>
      </w:r>
    </w:p>
    <w:p w14:paraId="7FC0825B">
      <w:pPr>
        <w:widowControl/>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本企业对上述声明的真实性负责。如有虚假，将依法承担相应责任。</w:t>
      </w:r>
    </w:p>
    <w:p w14:paraId="483B6460">
      <w:pPr>
        <w:shd w:val="clear"/>
        <w:adjustRightInd w:val="0"/>
        <w:snapToGrid w:val="0"/>
        <w:ind w:firstLine="480"/>
        <w:jc w:val="center"/>
        <w:rPr>
          <w:rFonts w:hint="eastAsia" w:ascii="宋体" w:hAnsi="宋体" w:eastAsia="宋体" w:cs="宋体"/>
          <w:color w:val="auto"/>
          <w:szCs w:val="21"/>
          <w:highlight w:val="none"/>
        </w:rPr>
      </w:pPr>
    </w:p>
    <w:p w14:paraId="7AFE5B19">
      <w:pPr>
        <w:shd w:val="clear"/>
        <w:adjustRightInd w:val="0"/>
        <w:snapToGrid w:val="0"/>
        <w:ind w:firstLine="480"/>
        <w:jc w:val="center"/>
        <w:rPr>
          <w:rFonts w:hint="eastAsia" w:ascii="宋体" w:hAnsi="宋体" w:eastAsia="宋体" w:cs="宋体"/>
          <w:color w:val="auto"/>
          <w:szCs w:val="21"/>
          <w:highlight w:val="none"/>
        </w:rPr>
      </w:pPr>
    </w:p>
    <w:p w14:paraId="40E7089C">
      <w:pPr>
        <w:shd w:val="clear"/>
        <w:adjustRightInd w:val="0"/>
        <w:snapToGrid w:val="0"/>
        <w:ind w:firstLine="480"/>
        <w:jc w:val="center"/>
        <w:rPr>
          <w:rFonts w:hint="eastAsia" w:ascii="宋体" w:hAnsi="宋体" w:eastAsia="宋体" w:cs="宋体"/>
          <w:color w:val="auto"/>
          <w:szCs w:val="21"/>
          <w:highlight w:val="none"/>
        </w:rPr>
      </w:pPr>
    </w:p>
    <w:p w14:paraId="783BDB51">
      <w:pPr>
        <w:shd w:val="clear"/>
        <w:adjustRightInd w:val="0"/>
        <w:snapToGrid w:val="0"/>
        <w:ind w:firstLine="480"/>
        <w:rPr>
          <w:rFonts w:hint="eastAsia" w:ascii="宋体" w:hAnsi="宋体" w:eastAsia="宋体" w:cs="宋体"/>
          <w:color w:val="auto"/>
          <w:szCs w:val="21"/>
          <w:highlight w:val="none"/>
        </w:rPr>
      </w:pPr>
    </w:p>
    <w:p w14:paraId="0A0DDB1F">
      <w:pPr>
        <w:shd w:val="clear"/>
        <w:adjustRightInd w:val="0"/>
        <w:snapToGrid w:val="0"/>
        <w:ind w:firstLine="480"/>
        <w:jc w:val="center"/>
        <w:rPr>
          <w:rFonts w:hint="eastAsia" w:ascii="宋体" w:hAnsi="宋体" w:eastAsia="宋体" w:cs="宋体"/>
          <w:color w:val="auto"/>
          <w:szCs w:val="21"/>
          <w:highlight w:val="none"/>
        </w:rPr>
      </w:pPr>
    </w:p>
    <w:p w14:paraId="50493C07">
      <w:pPr>
        <w:shd w:val="clear"/>
        <w:adjustRightInd w:val="0"/>
        <w:snapToGrid w:val="0"/>
        <w:ind w:firstLine="480"/>
        <w:jc w:val="center"/>
        <w:rPr>
          <w:rFonts w:hint="eastAsia" w:ascii="宋体" w:hAnsi="宋体" w:eastAsia="宋体" w:cs="宋体"/>
          <w:color w:val="auto"/>
          <w:szCs w:val="21"/>
          <w:highlight w:val="none"/>
        </w:rPr>
      </w:pPr>
    </w:p>
    <w:p w14:paraId="1E012F66">
      <w:pPr>
        <w:shd w:val="clear"/>
        <w:adjustRightInd w:val="0"/>
        <w:snapToGrid w:val="0"/>
        <w:ind w:firstLine="480"/>
        <w:jc w:val="center"/>
        <w:rPr>
          <w:rFonts w:hint="eastAsia" w:ascii="宋体" w:hAnsi="宋体" w:eastAsia="宋体" w:cs="宋体"/>
          <w:color w:val="auto"/>
          <w:szCs w:val="21"/>
          <w:highlight w:val="none"/>
        </w:rPr>
      </w:pPr>
    </w:p>
    <w:p w14:paraId="237FBB30">
      <w:pPr>
        <w:shd w:val="clear"/>
        <w:adjustRightInd w:val="0"/>
        <w:snapToGrid w:val="0"/>
        <w:ind w:firstLine="480"/>
        <w:jc w:val="center"/>
        <w:rPr>
          <w:rFonts w:hint="eastAsia" w:ascii="宋体" w:hAnsi="宋体" w:eastAsia="宋体" w:cs="宋体"/>
          <w:color w:val="auto"/>
          <w:szCs w:val="21"/>
          <w:highlight w:val="none"/>
        </w:rPr>
      </w:pPr>
    </w:p>
    <w:p w14:paraId="0A44219D">
      <w:pPr>
        <w:shd w:val="clear"/>
        <w:adjustRightInd w:val="0"/>
        <w:snapToGrid w:val="0"/>
        <w:ind w:firstLine="5040" w:firstLineChars="2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19DB66EC">
      <w:pPr>
        <w:shd w:val="clear"/>
        <w:adjustRightInd w:val="0"/>
        <w:snapToGrid w:val="0"/>
        <w:ind w:firstLine="3600" w:firstLineChars="1500"/>
        <w:rPr>
          <w:rFonts w:hint="eastAsia" w:ascii="宋体" w:hAnsi="宋体" w:eastAsia="宋体" w:cs="宋体"/>
          <w:color w:val="auto"/>
          <w:szCs w:val="21"/>
          <w:highlight w:val="none"/>
        </w:rPr>
      </w:pPr>
    </w:p>
    <w:p w14:paraId="243BDDAC">
      <w:pPr>
        <w:shd w:val="clear"/>
        <w:adjustRightInd w:val="0"/>
        <w:snapToGrid w:val="0"/>
        <w:ind w:firstLine="504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1E0CCEF5">
      <w:pPr>
        <w:widowControl/>
        <w:shd w:val="clear"/>
        <w:snapToGrid w:val="0"/>
        <w:ind w:firstLine="480"/>
        <w:rPr>
          <w:rFonts w:hint="eastAsia" w:ascii="宋体" w:hAnsi="宋体" w:eastAsia="宋体" w:cs="宋体"/>
          <w:color w:val="auto"/>
          <w:szCs w:val="21"/>
          <w:highlight w:val="none"/>
        </w:rPr>
      </w:pPr>
    </w:p>
    <w:p w14:paraId="2BE57FEF">
      <w:pPr>
        <w:widowControl/>
        <w:shd w:val="clear"/>
        <w:snapToGrid w:val="0"/>
        <w:ind w:firstLine="480"/>
        <w:rPr>
          <w:rFonts w:hint="eastAsia" w:ascii="宋体" w:hAnsi="宋体" w:eastAsia="宋体" w:cs="宋体"/>
          <w:color w:val="auto"/>
          <w:szCs w:val="21"/>
          <w:highlight w:val="none"/>
        </w:rPr>
      </w:pPr>
    </w:p>
    <w:p w14:paraId="16B770B9">
      <w:pPr>
        <w:pStyle w:val="3"/>
        <w:numPr>
          <w:ilvl w:val="0"/>
          <w:numId w:val="0"/>
        </w:numPr>
        <w:shd w:val="clear"/>
        <w:spacing w:before="312" w:after="312"/>
        <w:jc w:val="both"/>
        <w:outlineLvl w:val="9"/>
        <w:rPr>
          <w:rFonts w:hint="eastAsia" w:ascii="宋体" w:hAnsi="宋体" w:eastAsia="宋体" w:cs="宋体"/>
          <w:color w:val="auto"/>
          <w:highlight w:val="none"/>
        </w:rPr>
      </w:pPr>
    </w:p>
    <w:p w14:paraId="4178F577">
      <w:pPr>
        <w:widowControl/>
        <w:shd w:val="clear"/>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供应商为监狱</w:t>
      </w:r>
      <w:r>
        <w:rPr>
          <w:rFonts w:hint="eastAsia" w:ascii="宋体" w:hAnsi="宋体" w:eastAsia="宋体" w:cs="宋体"/>
          <w:color w:val="auto"/>
          <w:szCs w:val="21"/>
          <w:highlight w:val="none"/>
          <w:lang w:eastAsia="zh-CN"/>
        </w:rPr>
        <w:t>企业</w:t>
      </w:r>
      <w:r>
        <w:rPr>
          <w:rFonts w:hint="eastAsia" w:ascii="宋体" w:hAnsi="宋体" w:eastAsia="宋体" w:cs="宋体"/>
          <w:color w:val="auto"/>
          <w:szCs w:val="21"/>
          <w:highlight w:val="none"/>
        </w:rPr>
        <w:t>提供此函。</w:t>
      </w:r>
    </w:p>
    <w:p w14:paraId="60E0C79C">
      <w:pPr>
        <w:widowControl/>
        <w:shd w:val="clear"/>
        <w:snapToGrid w:val="0"/>
        <w:ind w:firstLine="48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监狱企业参加政府采购活动时，应当提供由省级以上监狱管理局、戒毒管理局（含新疆生产建设兵团）出具的属于监狱企业的证明文件。</w:t>
      </w:r>
    </w:p>
    <w:p w14:paraId="00BFD4F8">
      <w:pPr>
        <w:shd w:val="clear"/>
        <w:adjustRightInd w:val="0"/>
        <w:snapToGrid w:val="0"/>
        <w:ind w:firstLine="0" w:firstLineChars="0"/>
        <w:jc w:val="center"/>
        <w:textAlignment w:val="baseline"/>
        <w:outlineLvl w:val="0"/>
        <w:rPr>
          <w:rFonts w:hint="eastAsia" w:ascii="宋体" w:hAnsi="宋体" w:eastAsia="宋体" w:cs="宋体"/>
          <w:color w:val="auto"/>
          <w:sz w:val="28"/>
          <w:szCs w:val="28"/>
          <w:highlight w:val="none"/>
        </w:rPr>
      </w:pPr>
      <w:bookmarkStart w:id="2003" w:name="_Toc7928"/>
      <w:bookmarkStart w:id="2004" w:name="_Toc8733"/>
      <w:bookmarkStart w:id="2005" w:name="_Toc10196"/>
      <w:bookmarkStart w:id="2006" w:name="_Toc3390"/>
      <w:bookmarkStart w:id="2007" w:name="_Toc25838"/>
      <w:bookmarkStart w:id="2008" w:name="_Toc4216"/>
      <w:bookmarkStart w:id="2009" w:name="_Toc9599"/>
      <w:bookmarkStart w:id="2010" w:name="_Toc1090"/>
      <w:bookmarkStart w:id="2011" w:name="_Toc10803"/>
      <w:bookmarkStart w:id="2012" w:name="_Toc25334"/>
      <w:bookmarkStart w:id="2013" w:name="_Toc469"/>
      <w:bookmarkStart w:id="2014" w:name="_Toc27943"/>
      <w:bookmarkStart w:id="2015" w:name="_Toc24012"/>
      <w:bookmarkStart w:id="2016" w:name="_Toc24573"/>
      <w:bookmarkStart w:id="2017" w:name="_Toc27651"/>
      <w:bookmarkStart w:id="2018" w:name="_Toc28340"/>
      <w:bookmarkStart w:id="2019" w:name="_Toc25215"/>
      <w:bookmarkStart w:id="2020" w:name="_Toc29991"/>
      <w:bookmarkStart w:id="2021" w:name="_Toc21443"/>
      <w:bookmarkStart w:id="2022" w:name="_Toc18008"/>
      <w:bookmarkStart w:id="2023" w:name="_Toc1825"/>
      <w:bookmarkStart w:id="2024" w:name="_Toc15249"/>
      <w:bookmarkStart w:id="2025" w:name="_Toc14085"/>
      <w:bookmarkStart w:id="2026" w:name="_Toc3807"/>
      <w:r>
        <w:rPr>
          <w:rFonts w:hint="eastAsia" w:ascii="宋体" w:hAnsi="宋体" w:eastAsia="宋体" w:cs="宋体"/>
          <w:b/>
          <w:bCs/>
          <w:color w:val="auto"/>
          <w:sz w:val="28"/>
          <w:szCs w:val="28"/>
          <w:highlight w:val="none"/>
        </w:rPr>
        <w:t>残疾人福利性单位声明函</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14:paraId="75796CC7">
      <w:pPr>
        <w:shd w:val="clear"/>
        <w:autoSpaceDE w:val="0"/>
        <w:autoSpaceDN w:val="0"/>
        <w:adjustRightInd w:val="0"/>
        <w:snapToGrid w:val="0"/>
        <w:spacing w:after="312" w:afterLines="100"/>
        <w:ind w:firstLine="0" w:firstLineChars="0"/>
        <w:jc w:val="center"/>
        <w:outlineLvl w:val="0"/>
        <w:rPr>
          <w:rFonts w:hint="eastAsia" w:ascii="宋体" w:hAnsi="宋体" w:eastAsia="宋体" w:cs="宋体"/>
          <w:color w:val="auto"/>
          <w:sz w:val="28"/>
          <w:szCs w:val="28"/>
          <w:highlight w:val="none"/>
        </w:rPr>
      </w:pPr>
      <w:bookmarkStart w:id="2027" w:name="_Toc22421"/>
      <w:bookmarkStart w:id="2028" w:name="_Toc31591"/>
      <w:bookmarkStart w:id="2029" w:name="_Toc12560"/>
      <w:bookmarkStart w:id="2030" w:name="_Toc24968"/>
      <w:bookmarkStart w:id="2031" w:name="_Toc11676"/>
      <w:bookmarkStart w:id="2032" w:name="_Toc29768"/>
      <w:bookmarkStart w:id="2033" w:name="_Toc31408"/>
      <w:bookmarkStart w:id="2034" w:name="_Toc18269"/>
      <w:bookmarkStart w:id="2035" w:name="_Toc32537"/>
      <w:bookmarkStart w:id="2036" w:name="_Toc15231"/>
      <w:bookmarkStart w:id="2037" w:name="_Toc16520"/>
      <w:bookmarkStart w:id="2038" w:name="_Toc32409"/>
      <w:bookmarkStart w:id="2039" w:name="_Toc21056"/>
      <w:bookmarkStart w:id="2040" w:name="_Toc24336"/>
      <w:bookmarkStart w:id="2041" w:name="_Toc16906"/>
      <w:bookmarkStart w:id="2042" w:name="_Toc29152"/>
      <w:bookmarkStart w:id="2043" w:name="_Toc14425"/>
      <w:bookmarkStart w:id="2044" w:name="_Toc31062"/>
      <w:bookmarkStart w:id="2045" w:name="_Toc19046"/>
      <w:bookmarkStart w:id="2046" w:name="_Toc19455"/>
      <w:bookmarkStart w:id="2047" w:name="_Toc9848"/>
      <w:bookmarkStart w:id="2048" w:name="_Toc10855"/>
      <w:bookmarkStart w:id="2049" w:name="_Toc31187"/>
      <w:bookmarkStart w:id="2050" w:name="_Toc19720"/>
      <w:bookmarkStart w:id="2051" w:name="_Toc28464"/>
      <w:bookmarkStart w:id="2052" w:name="_Toc22594"/>
      <w:bookmarkStart w:id="2053" w:name="_Toc17040"/>
      <w:bookmarkStart w:id="2054" w:name="_Toc25262"/>
      <w:bookmarkStart w:id="2055" w:name="_Toc3769"/>
      <w:bookmarkStart w:id="2056" w:name="_Toc20197"/>
      <w:bookmarkStart w:id="2057" w:name="_Toc20856"/>
      <w:bookmarkStart w:id="2058" w:name="_Toc1650"/>
      <w:bookmarkStart w:id="2059" w:name="_Toc24609"/>
      <w:bookmarkStart w:id="2060" w:name="_Toc31645"/>
      <w:bookmarkStart w:id="2061" w:name="_Toc13934"/>
      <w:bookmarkStart w:id="2062" w:name="_Toc22388"/>
      <w:bookmarkStart w:id="2063" w:name="_Toc7253"/>
      <w:bookmarkStart w:id="2064" w:name="_Toc18725"/>
      <w:bookmarkStart w:id="2065" w:name="_Toc32388"/>
      <w:bookmarkStart w:id="2066" w:name="_Toc8744"/>
      <w:bookmarkStart w:id="2067" w:name="_Toc20083"/>
      <w:r>
        <w:rPr>
          <w:rFonts w:hint="eastAsia" w:ascii="宋体" w:hAnsi="宋体" w:eastAsia="宋体" w:cs="宋体"/>
          <w:color w:val="auto"/>
          <w:sz w:val="28"/>
          <w:szCs w:val="28"/>
          <w:highlight w:val="none"/>
        </w:rPr>
        <w:t>【非残疾人福利性单位不需提供】</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14:paraId="1FA9E381">
      <w:pPr>
        <w:shd w:val="clear"/>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9450C03">
      <w:pPr>
        <w:shd w:val="clear"/>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0A30F461">
      <w:pPr>
        <w:shd w:val="clear"/>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00A9ECD">
      <w:pPr>
        <w:shd w:val="clear"/>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661FC7A">
      <w:pPr>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9031844">
      <w:pPr>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78921C8">
      <w:pPr>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3383E8B">
      <w:pPr>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429DB13">
      <w:pPr>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4251780">
      <w:pPr>
        <w:shd w:val="clear"/>
        <w:adjustRightInd w:val="0"/>
        <w:snapToGrid w:val="0"/>
        <w:ind w:firstLine="4080" w:firstLineChars="17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08A9E525">
      <w:pPr>
        <w:shd w:val="clear"/>
        <w:adjustRightInd w:val="0"/>
        <w:snapToGrid w:val="0"/>
        <w:ind w:firstLine="3600" w:firstLineChars="1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76862D5">
      <w:pPr>
        <w:shd w:val="clear"/>
        <w:adjustRightInd w:val="0"/>
        <w:snapToGrid w:val="0"/>
        <w:ind w:firstLine="408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0D2CBC1">
      <w:pPr>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CED4E00">
      <w:pPr>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E7D96E9">
      <w:pPr>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9671592">
      <w:pPr>
        <w:shd w:val="clea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供应商为残疾人福利性</w:t>
      </w:r>
      <w:r>
        <w:rPr>
          <w:rFonts w:hint="eastAsia" w:ascii="宋体" w:hAnsi="宋体" w:eastAsia="宋体" w:cs="宋体"/>
          <w:color w:val="auto"/>
          <w:szCs w:val="21"/>
          <w:highlight w:val="none"/>
          <w:lang w:eastAsia="zh-CN"/>
        </w:rPr>
        <w:t>单位</w:t>
      </w:r>
      <w:r>
        <w:rPr>
          <w:rFonts w:hint="eastAsia" w:ascii="宋体" w:hAnsi="宋体" w:eastAsia="宋体" w:cs="宋体"/>
          <w:color w:val="auto"/>
          <w:szCs w:val="21"/>
          <w:highlight w:val="none"/>
        </w:rPr>
        <w:t>提供此函。</w:t>
      </w:r>
    </w:p>
    <w:p w14:paraId="3462C9D6">
      <w:pPr>
        <w:shd w:val="clear"/>
        <w:spacing w:before="100" w:beforeAutospacing="1" w:after="120"/>
        <w:ind w:firstLine="480"/>
        <w:rPr>
          <w:rFonts w:hint="eastAsia" w:ascii="宋体" w:hAnsi="宋体" w:eastAsia="宋体" w:cs="宋体"/>
          <w:color w:val="auto"/>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为残疾人福利性单位的，应当随中标结果同时公告其《残疾人福利性单位声明函》，接受社会监督。</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sectPr>
      <w:headerReference r:id="rId5" w:type="default"/>
      <w:footerReference r:id="rId6" w:type="default"/>
      <w:pgSz w:w="11906" w:h="16838"/>
      <w:pgMar w:top="1440" w:right="1080" w:bottom="1440" w:left="1080" w:header="737" w:footer="850" w:gutter="0"/>
      <w:pgBorders>
        <w:top w:val="thinThickSmallGap" w:color="auto" w:sz="12" w:space="10"/>
        <w:left w:val="none" w:sz="0" w:space="0"/>
        <w:bottom w:val="thinThickSmallGap" w:color="auto" w:sz="12" w:space="10"/>
        <w:right w:val="none" w:sz="0" w:space="0"/>
      </w:pgBorders>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780A301-ABE0-4B5E-BC14-7F176998DC4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9076A010-5CB0-4F01-8559-6EA7D7C1365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embedRegular r:id="rId3" w:fontKey="{612077A7-C85D-4839-B66F-364C6411C0D5}"/>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B730A728-238E-4BF7-B6D8-C0E725206A71}"/>
  </w:font>
  <w:font w:name="微软雅黑 Light">
    <w:panose1 w:val="020B0502040204020203"/>
    <w:charset w:val="86"/>
    <w:family w:val="swiss"/>
    <w:pitch w:val="default"/>
    <w:sig w:usb0="80000287" w:usb1="2ACF001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FangSong_GB2312">
    <w:altName w:val="仿宋"/>
    <w:panose1 w:val="00000000000000000000"/>
    <w:charset w:val="86"/>
    <w:family w:val="modern"/>
    <w:pitch w:val="default"/>
    <w:sig w:usb0="00000000" w:usb1="00000000" w:usb2="00000010" w:usb3="00000000" w:csb0="00040001" w:csb1="00000000"/>
  </w:font>
  <w:font w:name="Wingdings 2">
    <w:altName w:val="Wingdings"/>
    <w:panose1 w:val="05020102010507070707"/>
    <w:charset w:val="02"/>
    <w:family w:val="roman"/>
    <w:pitch w:val="default"/>
    <w:sig w:usb0="00000000" w:usb1="00000000" w:usb2="00000000" w:usb3="00000000" w:csb0="80000000" w:csb1="00000000"/>
    <w:embedRegular r:id="rId5" w:fontKey="{D607C4EE-A8B7-4BFC-A98F-0EF3248801C9}"/>
  </w:font>
  <w:font w:name="方正仿宋_GB2312">
    <w:panose1 w:val="02000000000000000000"/>
    <w:charset w:val="86"/>
    <w:family w:val="auto"/>
    <w:pitch w:val="default"/>
    <w:sig w:usb0="A00002BF" w:usb1="184F6CFA" w:usb2="00000012" w:usb3="00000000" w:csb0="00040001" w:csb1="00000000"/>
    <w:embedRegular r:id="rId6" w:fontKey="{D49C785E-7894-4991-BC59-C51B4C75600C}"/>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D7CFF">
    <w:pPr>
      <w:pStyle w:val="28"/>
      <w:ind w:left="0" w:leftChars="0" w:firstLine="0" w:firstLineChars="0"/>
      <w:rPr>
        <w:rFonts w:hint="default" w:ascii="宋体" w:hAnsi="宋体" w:cs="宋体"/>
        <w:b/>
        <w:bCs/>
        <w:lang w:val="en-US" w:eastAsia="zh-CN"/>
      </w:rPr>
    </w:pPr>
    <w:r>
      <w:rPr>
        <w:rFonts w:ascii="宋体" w:hAnsi="宋体" w:cs="宋体"/>
        <w:b/>
        <w:bCs/>
      </w:rPr>
      <mc:AlternateContent>
        <mc:Choice Requires="wps">
          <w:drawing>
            <wp:anchor distT="0" distB="0" distL="114300" distR="114300" simplePos="0" relativeHeight="251659264" behindDoc="1" locked="0" layoutInCell="1" allowOverlap="1">
              <wp:simplePos x="0" y="0"/>
              <wp:positionH relativeFrom="margin">
                <wp:posOffset>2476500</wp:posOffset>
              </wp:positionH>
              <wp:positionV relativeFrom="page">
                <wp:posOffset>9839325</wp:posOffset>
              </wp:positionV>
              <wp:extent cx="1500505" cy="489585"/>
              <wp:effectExtent l="0" t="0" r="0" b="0"/>
              <wp:wrapTight wrapText="bothSides">
                <wp:wrapPolygon>
                  <wp:start x="46" y="140"/>
                  <wp:lineTo x="21554" y="140"/>
                  <wp:lineTo x="21554" y="21460"/>
                  <wp:lineTo x="46" y="21460"/>
                  <wp:lineTo x="46" y="140"/>
                </wp:wrapPolygon>
              </wp:wrapTight>
              <wp:docPr id="1" name="文本框 1"/>
              <wp:cNvGraphicFramePr/>
              <a:graphic xmlns:a="http://schemas.openxmlformats.org/drawingml/2006/main">
                <a:graphicData uri="http://schemas.microsoft.com/office/word/2010/wordprocessingShape">
                  <wps:wsp>
                    <wps:cNvSpPr txBox="1"/>
                    <wps:spPr>
                      <a:xfrm>
                        <a:off x="0" y="0"/>
                        <a:ext cx="1500505" cy="489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DAB43">
                          <w:pPr>
                            <w:pStyle w:val="28"/>
                            <w:ind w:left="0" w:leftChars="0" w:firstLine="0" w:firstLineChars="0"/>
                            <w:rPr>
                              <w:rFonts w:hint="eastAsia" w:ascii="宋体" w:hAnsi="宋体" w:cs="宋体"/>
                              <w:b/>
                              <w:bCs/>
                              <w:lang w:val="en-US" w:eastAsia="zh-CN"/>
                            </w:rPr>
                          </w:pPr>
                          <w:r>
                            <w:rPr>
                              <w:rFonts w:hint="eastAsia" w:ascii="宋体" w:hAnsi="宋体" w:cs="宋体"/>
                              <w:b/>
                              <w:bCs/>
                              <w:lang w:val="en-US" w:eastAsia="zh-CN"/>
                            </w:rPr>
                            <w:t xml:space="preserve">第 </w:t>
                          </w:r>
                          <w:r>
                            <w:rPr>
                              <w:rFonts w:hint="eastAsia" w:ascii="宋体" w:hAnsi="宋体" w:cs="宋体"/>
                              <w:b/>
                              <w:bCs/>
                              <w:lang w:val="en-US" w:eastAsia="zh-CN"/>
                            </w:rPr>
                            <w:fldChar w:fldCharType="begin"/>
                          </w:r>
                          <w:r>
                            <w:rPr>
                              <w:rFonts w:hint="eastAsia" w:ascii="宋体" w:hAnsi="宋体" w:cs="宋体"/>
                              <w:b/>
                              <w:bCs/>
                              <w:lang w:val="en-US" w:eastAsia="zh-CN"/>
                            </w:rPr>
                            <w:instrText xml:space="preserve"> PAGE  \* MERGEFORMAT </w:instrText>
                          </w:r>
                          <w:r>
                            <w:rPr>
                              <w:rFonts w:hint="eastAsia" w:ascii="宋体" w:hAnsi="宋体" w:cs="宋体"/>
                              <w:b/>
                              <w:bCs/>
                              <w:lang w:val="en-US" w:eastAsia="zh-CN"/>
                            </w:rPr>
                            <w:fldChar w:fldCharType="separate"/>
                          </w:r>
                          <w:r>
                            <w:rPr>
                              <w:rFonts w:hint="eastAsia" w:ascii="宋体" w:hAnsi="宋体" w:cs="宋体"/>
                              <w:b/>
                              <w:bCs/>
                              <w:lang w:val="en-US" w:eastAsia="zh-CN"/>
                            </w:rPr>
                            <w:t>2</w:t>
                          </w:r>
                          <w:r>
                            <w:rPr>
                              <w:rFonts w:hint="eastAsia" w:ascii="宋体" w:hAnsi="宋体" w:cs="宋体"/>
                              <w:b/>
                              <w:bCs/>
                              <w:lang w:val="en-US" w:eastAsia="zh-CN"/>
                            </w:rPr>
                            <w:fldChar w:fldCharType="end"/>
                          </w:r>
                          <w:r>
                            <w:rPr>
                              <w:rFonts w:hint="eastAsia" w:ascii="宋体" w:hAnsi="宋体" w:cs="宋体"/>
                              <w:b/>
                              <w:bCs/>
                              <w:lang w:val="en-US" w:eastAsia="zh-CN"/>
                            </w:rPr>
                            <w:t xml:space="preserve"> 页 共 </w:t>
                          </w:r>
                          <w:r>
                            <w:rPr>
                              <w:rFonts w:hint="eastAsia" w:ascii="宋体" w:hAnsi="宋体" w:cs="宋体"/>
                              <w:b/>
                              <w:bCs/>
                              <w:lang w:val="en-US" w:eastAsia="zh-CN"/>
                            </w:rPr>
                            <w:fldChar w:fldCharType="begin"/>
                          </w:r>
                          <w:r>
                            <w:rPr>
                              <w:rFonts w:hint="eastAsia" w:ascii="宋体" w:hAnsi="宋体" w:cs="宋体"/>
                              <w:b/>
                              <w:bCs/>
                              <w:lang w:val="en-US" w:eastAsia="zh-CN"/>
                            </w:rPr>
                            <w:instrText xml:space="preserve"> NUMPAGES  \* MERGEFORMAT </w:instrText>
                          </w:r>
                          <w:r>
                            <w:rPr>
                              <w:rFonts w:hint="eastAsia" w:ascii="宋体" w:hAnsi="宋体" w:cs="宋体"/>
                              <w:b/>
                              <w:bCs/>
                              <w:lang w:val="en-US" w:eastAsia="zh-CN"/>
                            </w:rPr>
                            <w:fldChar w:fldCharType="separate"/>
                          </w:r>
                          <w:r>
                            <w:rPr>
                              <w:rFonts w:hint="eastAsia" w:ascii="宋体" w:hAnsi="宋体" w:cs="宋体"/>
                              <w:b/>
                              <w:bCs/>
                              <w:lang w:val="en-US" w:eastAsia="zh-CN"/>
                            </w:rPr>
                            <w:t>70</w:t>
                          </w:r>
                          <w:r>
                            <w:rPr>
                              <w:rFonts w:hint="eastAsia" w:ascii="宋体" w:hAnsi="宋体" w:cs="宋体"/>
                              <w:b/>
                              <w:bCs/>
                              <w:lang w:val="en-US" w:eastAsia="zh-CN"/>
                            </w:rPr>
                            <w:fldChar w:fldCharType="end"/>
                          </w:r>
                          <w:r>
                            <w:rPr>
                              <w:rFonts w:hint="eastAsia" w:ascii="宋体" w:hAnsi="宋体" w:cs="宋体"/>
                              <w:b/>
                              <w:bCs/>
                              <w:lang w:val="en-US" w:eastAsia="zh-CN"/>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774.75pt;height:38.55pt;width:118.15pt;mso-position-horizontal-relative:margin;mso-position-vertical-relative:page;mso-wrap-distance-left:9pt;mso-wrap-distance-right:9pt;z-index:-251657216;mso-width-relative:page;mso-height-relative:page;" filled="f" stroked="f" coordsize="21600,21600" wrapcoords="46 140 21554 140 21554 21460 46 21460 46 140" o:gfxdata="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r+qpv2gAAAA0BAAAPAAAAAAAAAAEAIAAAACIAAABkcnMvZG93bnJldi54&#10;bWxQSwECFAAUAAAACACHTuJARHcGhTECAABWBAAADgAAAAAAAAABACAAAAApAQAAZHJzL2Uyb0Rv&#10;Yy54bWxQSwUGAAAAAAYABgBZAQAAzAUAAAAA&#10;">
              <v:fill on="f" focussize="0,0"/>
              <v:stroke on="f" weight="0.5pt"/>
              <v:imagedata o:title=""/>
              <o:lock v:ext="edit" aspectratio="f"/>
              <v:textbox inset="0mm,0mm,0mm,0mm">
                <w:txbxContent>
                  <w:p w14:paraId="687DAB43">
                    <w:pPr>
                      <w:pStyle w:val="28"/>
                      <w:ind w:left="0" w:leftChars="0" w:firstLine="0" w:firstLineChars="0"/>
                      <w:rPr>
                        <w:rFonts w:hint="eastAsia" w:ascii="宋体" w:hAnsi="宋体" w:cs="宋体"/>
                        <w:b/>
                        <w:bCs/>
                        <w:lang w:val="en-US" w:eastAsia="zh-CN"/>
                      </w:rPr>
                    </w:pPr>
                    <w:r>
                      <w:rPr>
                        <w:rFonts w:hint="eastAsia" w:ascii="宋体" w:hAnsi="宋体" w:cs="宋体"/>
                        <w:b/>
                        <w:bCs/>
                        <w:lang w:val="en-US" w:eastAsia="zh-CN"/>
                      </w:rPr>
                      <w:t xml:space="preserve">第 </w:t>
                    </w:r>
                    <w:r>
                      <w:rPr>
                        <w:rFonts w:hint="eastAsia" w:ascii="宋体" w:hAnsi="宋体" w:cs="宋体"/>
                        <w:b/>
                        <w:bCs/>
                        <w:lang w:val="en-US" w:eastAsia="zh-CN"/>
                      </w:rPr>
                      <w:fldChar w:fldCharType="begin"/>
                    </w:r>
                    <w:r>
                      <w:rPr>
                        <w:rFonts w:hint="eastAsia" w:ascii="宋体" w:hAnsi="宋体" w:cs="宋体"/>
                        <w:b/>
                        <w:bCs/>
                        <w:lang w:val="en-US" w:eastAsia="zh-CN"/>
                      </w:rPr>
                      <w:instrText xml:space="preserve"> PAGE  \* MERGEFORMAT </w:instrText>
                    </w:r>
                    <w:r>
                      <w:rPr>
                        <w:rFonts w:hint="eastAsia" w:ascii="宋体" w:hAnsi="宋体" w:cs="宋体"/>
                        <w:b/>
                        <w:bCs/>
                        <w:lang w:val="en-US" w:eastAsia="zh-CN"/>
                      </w:rPr>
                      <w:fldChar w:fldCharType="separate"/>
                    </w:r>
                    <w:r>
                      <w:rPr>
                        <w:rFonts w:hint="eastAsia" w:ascii="宋体" w:hAnsi="宋体" w:cs="宋体"/>
                        <w:b/>
                        <w:bCs/>
                        <w:lang w:val="en-US" w:eastAsia="zh-CN"/>
                      </w:rPr>
                      <w:t>2</w:t>
                    </w:r>
                    <w:r>
                      <w:rPr>
                        <w:rFonts w:hint="eastAsia" w:ascii="宋体" w:hAnsi="宋体" w:cs="宋体"/>
                        <w:b/>
                        <w:bCs/>
                        <w:lang w:val="en-US" w:eastAsia="zh-CN"/>
                      </w:rPr>
                      <w:fldChar w:fldCharType="end"/>
                    </w:r>
                    <w:r>
                      <w:rPr>
                        <w:rFonts w:hint="eastAsia" w:ascii="宋体" w:hAnsi="宋体" w:cs="宋体"/>
                        <w:b/>
                        <w:bCs/>
                        <w:lang w:val="en-US" w:eastAsia="zh-CN"/>
                      </w:rPr>
                      <w:t xml:space="preserve"> 页 共 </w:t>
                    </w:r>
                    <w:r>
                      <w:rPr>
                        <w:rFonts w:hint="eastAsia" w:ascii="宋体" w:hAnsi="宋体" w:cs="宋体"/>
                        <w:b/>
                        <w:bCs/>
                        <w:lang w:val="en-US" w:eastAsia="zh-CN"/>
                      </w:rPr>
                      <w:fldChar w:fldCharType="begin"/>
                    </w:r>
                    <w:r>
                      <w:rPr>
                        <w:rFonts w:hint="eastAsia" w:ascii="宋体" w:hAnsi="宋体" w:cs="宋体"/>
                        <w:b/>
                        <w:bCs/>
                        <w:lang w:val="en-US" w:eastAsia="zh-CN"/>
                      </w:rPr>
                      <w:instrText xml:space="preserve"> NUMPAGES  \* MERGEFORMAT </w:instrText>
                    </w:r>
                    <w:r>
                      <w:rPr>
                        <w:rFonts w:hint="eastAsia" w:ascii="宋体" w:hAnsi="宋体" w:cs="宋体"/>
                        <w:b/>
                        <w:bCs/>
                        <w:lang w:val="en-US" w:eastAsia="zh-CN"/>
                      </w:rPr>
                      <w:fldChar w:fldCharType="separate"/>
                    </w:r>
                    <w:r>
                      <w:rPr>
                        <w:rFonts w:hint="eastAsia" w:ascii="宋体" w:hAnsi="宋体" w:cs="宋体"/>
                        <w:b/>
                        <w:bCs/>
                        <w:lang w:val="en-US" w:eastAsia="zh-CN"/>
                      </w:rPr>
                      <w:t>70</w:t>
                    </w:r>
                    <w:r>
                      <w:rPr>
                        <w:rFonts w:hint="eastAsia" w:ascii="宋体" w:hAnsi="宋体" w:cs="宋体"/>
                        <w:b/>
                        <w:bCs/>
                        <w:lang w:val="en-US" w:eastAsia="zh-CN"/>
                      </w:rPr>
                      <w:fldChar w:fldCharType="end"/>
                    </w:r>
                    <w:r>
                      <w:rPr>
                        <w:rFonts w:hint="eastAsia" w:ascii="宋体" w:hAnsi="宋体" w:cs="宋体"/>
                        <w:b/>
                        <w:bCs/>
                        <w:lang w:val="en-US" w:eastAsia="zh-CN"/>
                      </w:rPr>
                      <w:t xml:space="preserve"> 页</w:t>
                    </w:r>
                  </w:p>
                </w:txbxContent>
              </v:textbox>
              <w10:wrap type="tight"/>
            </v:shape>
          </w:pict>
        </mc:Fallback>
      </mc:AlternateContent>
    </w:r>
    <w:r>
      <w:rPr>
        <w:rFonts w:hint="eastAsia" w:ascii="宋体" w:hAnsi="宋体" w:cs="宋体"/>
        <w:b/>
        <w:bCs/>
        <w:lang w:val="en-US" w:eastAsia="zh-CN"/>
      </w:rPr>
      <w:t>浙江新诚信工程咨询有限公司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669B">
    <w:pPr>
      <w:pStyle w:val="29"/>
      <w:pBdr>
        <w:bottom w:val="none" w:color="auto" w:sz="0" w:space="1"/>
      </w:pBdr>
      <w:ind w:firstLine="0" w:firstLineChars="0"/>
      <w:jc w:val="left"/>
    </w:pPr>
    <w:r>
      <w:rPr>
        <w:rFonts w:hint="eastAsia" w:ascii="宋体" w:hAnsi="宋体" w:cs="宋体"/>
        <w:sz w:val="15"/>
        <w:szCs w:val="15"/>
        <w:lang w:eastAsia="zh-CN"/>
      </w:rPr>
      <w:t>金融大厦直饮水项目</w:t>
    </w:r>
    <w:r>
      <w:rPr>
        <w:rFonts w:hint="eastAsia" w:ascii="宋体" w:hAnsi="宋体" w:cs="宋体"/>
        <w:sz w:val="15"/>
        <w:szCs w:val="15"/>
      </w:rPr>
      <w:t>的公开招标文件</w:t>
    </w:r>
    <w:r>
      <w:rPr>
        <w:rFonts w:hint="eastAsia" w:ascii="宋体" w:hAnsi="宋体" w:cs="宋体"/>
        <w:sz w:val="15"/>
        <w:szCs w:val="15"/>
        <w:lang w:val="en-US" w:eastAsia="zh-CN"/>
      </w:rPr>
      <w:t xml:space="preserve">   </w:t>
    </w:r>
    <w:r>
      <w:rPr>
        <w:rFonts w:hint="eastAsia" w:ascii="宋体" w:hAnsi="宋体" w:cs="宋体"/>
        <w:sz w:val="15"/>
        <w:szCs w:val="15"/>
      </w:rPr>
      <w:t xml:space="preserve"> </w:t>
    </w:r>
    <w:r>
      <w:rPr>
        <w:rFonts w:hint="eastAsia" w:ascii="宋体" w:hAnsi="宋体" w:cs="宋体"/>
        <w:sz w:val="15"/>
        <w:szCs w:val="15"/>
        <w:lang w:val="en-US" w:eastAsia="zh-CN"/>
      </w:rPr>
      <w:t xml:space="preserve">                                                                            </w:t>
    </w:r>
    <w:r>
      <w:rPr>
        <w:rFonts w:hint="eastAsia" w:ascii="宋体" w:hAnsi="宋体" w:cs="宋体"/>
        <w:sz w:val="15"/>
        <w:szCs w:val="15"/>
        <w:lang w:eastAsia="zh-CN"/>
      </w:rPr>
      <w:t xml:space="preserve">LYCG2025XCX-004 </w:t>
    </w:r>
    <w:r>
      <w:rPr>
        <w:rFonts w:hint="eastAsia" w:ascii="宋体" w:hAnsi="宋体" w:cs="宋体"/>
        <w:sz w:val="15"/>
        <w:szCs w:val="15"/>
      </w:rPr>
      <w:t xml:space="preserve">  </w:t>
    </w:r>
    <w:r>
      <w:rPr>
        <w:rFonts w:hint="eastAsia" w:ascii="宋体" w:hAnsi="宋体" w:cs="宋体"/>
        <w:sz w:val="15"/>
        <w:szCs w:val="15"/>
        <w:lang w:val="en-US" w:eastAsia="zh-CN"/>
      </w:rPr>
      <w:t xml:space="preserve">                                  </w:t>
    </w:r>
    <w:r>
      <w:rPr>
        <w:rFonts w:hint="eastAsia" w:ascii="宋体" w:hAnsi="宋体" w:cs="宋体"/>
        <w:sz w:val="15"/>
        <w:szCs w:val="15"/>
        <w:lang w:eastAsia="zh-CN"/>
      </w:rPr>
      <w:t xml:space="preserve"> </w:t>
    </w:r>
    <w:r>
      <w:rPr>
        <w:rFonts w:hint="eastAsia" w:ascii="宋体" w:hAnsi="宋体" w:cs="宋体"/>
        <w:sz w:val="15"/>
        <w:szCs w:val="15"/>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70516"/>
    <w:multiLevelType w:val="multilevel"/>
    <w:tmpl w:val="8E870516"/>
    <w:lvl w:ilvl="0" w:tentative="0">
      <w:start w:val="3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
    <w:nsid w:val="947EBF98"/>
    <w:multiLevelType w:val="multilevel"/>
    <w:tmpl w:val="947EBF98"/>
    <w:lvl w:ilvl="0" w:tentative="0">
      <w:start w:val="2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bCs/>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
    <w:nsid w:val="96C99190"/>
    <w:multiLevelType w:val="multilevel"/>
    <w:tmpl w:val="96C99190"/>
    <w:lvl w:ilvl="0" w:tentative="0">
      <w:start w:val="25"/>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
    <w:nsid w:val="9B82EAED"/>
    <w:multiLevelType w:val="singleLevel"/>
    <w:tmpl w:val="9B82EAED"/>
    <w:lvl w:ilvl="0" w:tentative="0">
      <w:start w:val="1"/>
      <w:numFmt w:val="decimal"/>
      <w:lvlText w:val="%1."/>
      <w:lvlJc w:val="left"/>
      <w:pPr>
        <w:ind w:left="425" w:hanging="425"/>
      </w:pPr>
      <w:rPr>
        <w:rFonts w:hint="default"/>
      </w:rPr>
    </w:lvl>
  </w:abstractNum>
  <w:abstractNum w:abstractNumId="4">
    <w:nsid w:val="9BB90EE9"/>
    <w:multiLevelType w:val="multilevel"/>
    <w:tmpl w:val="9BB90EE9"/>
    <w:lvl w:ilvl="0" w:tentative="0">
      <w:start w:val="3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5">
    <w:nsid w:val="AB3B11DE"/>
    <w:multiLevelType w:val="multilevel"/>
    <w:tmpl w:val="AB3B11DE"/>
    <w:lvl w:ilvl="0" w:tentative="0">
      <w:start w:val="22"/>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6">
    <w:nsid w:val="C6FCDB65"/>
    <w:multiLevelType w:val="multilevel"/>
    <w:tmpl w:val="C6FCDB65"/>
    <w:lvl w:ilvl="0" w:tentative="0">
      <w:start w:val="5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7">
    <w:nsid w:val="C9E241E8"/>
    <w:multiLevelType w:val="multilevel"/>
    <w:tmpl w:val="C9E241E8"/>
    <w:lvl w:ilvl="0" w:tentative="0">
      <w:start w:val="11"/>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宋体" w:hAnsi="宋体" w:eastAsia="宋体" w:cs="宋体"/>
        <w:sz w:val="24"/>
        <w:szCs w:val="24"/>
      </w:rPr>
    </w:lvl>
    <w:lvl w:ilvl="2" w:tentative="0">
      <w:start w:val="1"/>
      <w:numFmt w:val="decimal"/>
      <w:suff w:val="nothing"/>
      <w:lvlText w:val="%1.%2.%3."/>
      <w:lvlJc w:val="left"/>
      <w:pPr>
        <w:tabs>
          <w:tab w:val="left" w:pos="0"/>
        </w:tabs>
        <w:ind w:left="709" w:hanging="709"/>
      </w:pPr>
      <w:rPr>
        <w:rFonts w:hint="default" w:ascii="黑体" w:hAnsi="黑体" w:eastAsia="黑体"/>
      </w:rPr>
    </w:lvl>
    <w:lvl w:ilvl="3" w:tentative="0">
      <w:start w:val="1"/>
      <w:numFmt w:val="decimal"/>
      <w:suff w:val="nothing"/>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CD076AE0"/>
    <w:multiLevelType w:val="singleLevel"/>
    <w:tmpl w:val="CD076AE0"/>
    <w:lvl w:ilvl="0" w:tentative="0">
      <w:start w:val="3"/>
      <w:numFmt w:val="decimal"/>
      <w:suff w:val="nothing"/>
      <w:lvlText w:val="%1、"/>
      <w:lvlJc w:val="left"/>
    </w:lvl>
  </w:abstractNum>
  <w:abstractNum w:abstractNumId="9">
    <w:nsid w:val="D5B8C7FA"/>
    <w:multiLevelType w:val="multilevel"/>
    <w:tmpl w:val="D5B8C7FA"/>
    <w:lvl w:ilvl="0" w:tentative="0">
      <w:start w:val="2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0">
    <w:nsid w:val="DA13D165"/>
    <w:multiLevelType w:val="multilevel"/>
    <w:tmpl w:val="DA13D165"/>
    <w:lvl w:ilvl="0" w:tentative="0">
      <w:start w:val="5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1">
    <w:nsid w:val="DB5FE334"/>
    <w:multiLevelType w:val="multilevel"/>
    <w:tmpl w:val="DB5FE334"/>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2">
    <w:nsid w:val="F11A53AA"/>
    <w:multiLevelType w:val="multilevel"/>
    <w:tmpl w:val="F11A53AA"/>
    <w:lvl w:ilvl="0" w:tentative="0">
      <w:start w:val="5"/>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黑体" w:hAnsi="黑体" w:eastAsia="黑体" w:cs="黑体"/>
        <w:sz w:val="22"/>
      </w:rPr>
    </w:lvl>
    <w:lvl w:ilvl="2" w:tentative="0">
      <w:start w:val="1"/>
      <w:numFmt w:val="decimal"/>
      <w:suff w:val="nothing"/>
      <w:lvlText w:val="%1.%2.%3."/>
      <w:lvlJc w:val="left"/>
      <w:pPr>
        <w:tabs>
          <w:tab w:val="left" w:pos="0"/>
        </w:tabs>
        <w:ind w:left="709" w:hanging="709"/>
      </w:pPr>
      <w:rPr>
        <w:rFonts w:hint="default" w:ascii="宋体" w:hAnsi="宋体" w:eastAsia="宋体" w:cs="宋体"/>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00000001"/>
    <w:multiLevelType w:val="singleLevel"/>
    <w:tmpl w:val="00000001"/>
    <w:lvl w:ilvl="0" w:tentative="0">
      <w:start w:val="1"/>
      <w:numFmt w:val="decimal"/>
      <w:suff w:val="nothing"/>
      <w:lvlText w:val="（%1）"/>
      <w:lvlJc w:val="left"/>
      <w:rPr>
        <w:rFonts w:cs="Times New Roman"/>
      </w:rPr>
    </w:lvl>
  </w:abstractNum>
  <w:abstractNum w:abstractNumId="14">
    <w:nsid w:val="0000001C"/>
    <w:multiLevelType w:val="singleLevel"/>
    <w:tmpl w:val="0000001C"/>
    <w:lvl w:ilvl="0" w:tentative="0">
      <w:start w:val="1"/>
      <w:numFmt w:val="decimal"/>
      <w:pStyle w:val="128"/>
      <w:lvlText w:val="(%1)"/>
      <w:lvlJc w:val="left"/>
      <w:pPr>
        <w:tabs>
          <w:tab w:val="left" w:pos="750"/>
        </w:tabs>
        <w:ind w:left="750" w:hanging="270"/>
      </w:pPr>
      <w:rPr>
        <w:rFonts w:hint="default"/>
      </w:rPr>
    </w:lvl>
  </w:abstractNum>
  <w:abstractNum w:abstractNumId="15">
    <w:nsid w:val="03526A12"/>
    <w:multiLevelType w:val="singleLevel"/>
    <w:tmpl w:val="03526A12"/>
    <w:lvl w:ilvl="0" w:tentative="0">
      <w:start w:val="1"/>
      <w:numFmt w:val="decimal"/>
      <w:pStyle w:val="12"/>
      <w:lvlText w:val="%1."/>
      <w:lvlJc w:val="left"/>
      <w:pPr>
        <w:tabs>
          <w:tab w:val="left" w:pos="360"/>
        </w:tabs>
        <w:ind w:left="360" w:hanging="360"/>
      </w:pPr>
    </w:lvl>
  </w:abstractNum>
  <w:abstractNum w:abstractNumId="16">
    <w:nsid w:val="0818F3E6"/>
    <w:multiLevelType w:val="multilevel"/>
    <w:tmpl w:val="0818F3E6"/>
    <w:lvl w:ilvl="0" w:tentative="0">
      <w:start w:val="2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7">
    <w:nsid w:val="08667BF1"/>
    <w:multiLevelType w:val="singleLevel"/>
    <w:tmpl w:val="08667BF1"/>
    <w:lvl w:ilvl="0" w:tentative="0">
      <w:start w:val="1"/>
      <w:numFmt w:val="chineseCounting"/>
      <w:suff w:val="nothing"/>
      <w:lvlText w:val="%1、"/>
      <w:lvlJc w:val="left"/>
      <w:rPr>
        <w:rFonts w:hint="eastAsia"/>
      </w:rPr>
    </w:lvl>
  </w:abstractNum>
  <w:abstractNum w:abstractNumId="18">
    <w:nsid w:val="1F3C1DAA"/>
    <w:multiLevelType w:val="multilevel"/>
    <w:tmpl w:val="1F3C1DAA"/>
    <w:lvl w:ilvl="0" w:tentative="0">
      <w:start w:val="34"/>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9">
    <w:nsid w:val="20B324A2"/>
    <w:multiLevelType w:val="multilevel"/>
    <w:tmpl w:val="20B324A2"/>
    <w:lvl w:ilvl="0" w:tentative="0">
      <w:start w:val="1"/>
      <w:numFmt w:val="decimal"/>
      <w:suff w:val="nothing"/>
      <w:lvlText w:val="（%1）"/>
      <w:lvlJc w:val="left"/>
      <w:pPr>
        <w:ind w:left="0" w:firstLine="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2977F60"/>
    <w:multiLevelType w:val="singleLevel"/>
    <w:tmpl w:val="22977F60"/>
    <w:lvl w:ilvl="0" w:tentative="0">
      <w:start w:val="1"/>
      <w:numFmt w:val="decimal"/>
      <w:lvlText w:val="%1."/>
      <w:lvlJc w:val="left"/>
      <w:pPr>
        <w:tabs>
          <w:tab w:val="left" w:pos="312"/>
        </w:tabs>
      </w:pPr>
    </w:lvl>
  </w:abstractNum>
  <w:abstractNum w:abstractNumId="21">
    <w:nsid w:val="2A498524"/>
    <w:multiLevelType w:val="multilevel"/>
    <w:tmpl w:val="2A498524"/>
    <w:lvl w:ilvl="0" w:tentative="0">
      <w:start w:val="3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2">
    <w:nsid w:val="2A89B273"/>
    <w:multiLevelType w:val="singleLevel"/>
    <w:tmpl w:val="2A89B273"/>
    <w:lvl w:ilvl="0" w:tentative="0">
      <w:start w:val="1"/>
      <w:numFmt w:val="decimal"/>
      <w:suff w:val="nothing"/>
      <w:lvlText w:val="(%1)"/>
      <w:lvlJc w:val="left"/>
      <w:pPr>
        <w:tabs>
          <w:tab w:val="left" w:pos="420"/>
        </w:tabs>
        <w:ind w:left="425" w:hanging="425"/>
      </w:pPr>
      <w:rPr>
        <w:rFonts w:hint="default" w:ascii="宋体" w:hAnsi="宋体" w:eastAsia="宋体" w:cs="宋体"/>
        <w:sz w:val="22"/>
        <w:szCs w:val="22"/>
      </w:rPr>
    </w:lvl>
  </w:abstractNum>
  <w:abstractNum w:abstractNumId="23">
    <w:nsid w:val="30BF2976"/>
    <w:multiLevelType w:val="multilevel"/>
    <w:tmpl w:val="30BF2976"/>
    <w:lvl w:ilvl="0" w:tentative="0">
      <w:start w:val="2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4">
    <w:nsid w:val="367C7BC0"/>
    <w:multiLevelType w:val="singleLevel"/>
    <w:tmpl w:val="367C7BC0"/>
    <w:lvl w:ilvl="0" w:tentative="0">
      <w:start w:val="1"/>
      <w:numFmt w:val="decimal"/>
      <w:suff w:val="nothing"/>
      <w:lvlText w:val="%1．"/>
      <w:lvlJc w:val="left"/>
      <w:pPr>
        <w:ind w:left="0" w:firstLine="400"/>
      </w:pPr>
      <w:rPr>
        <w:rFonts w:hint="default"/>
      </w:rPr>
    </w:lvl>
  </w:abstractNum>
  <w:abstractNum w:abstractNumId="25">
    <w:nsid w:val="3B053898"/>
    <w:multiLevelType w:val="multilevel"/>
    <w:tmpl w:val="3B053898"/>
    <w:lvl w:ilvl="0" w:tentative="0">
      <w:start w:val="29"/>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6">
    <w:nsid w:val="42AD7AA0"/>
    <w:multiLevelType w:val="multilevel"/>
    <w:tmpl w:val="42AD7AA0"/>
    <w:lvl w:ilvl="0" w:tentative="0">
      <w:start w:val="5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7">
    <w:nsid w:val="435328E5"/>
    <w:multiLevelType w:val="singleLevel"/>
    <w:tmpl w:val="435328E5"/>
    <w:lvl w:ilvl="0" w:tentative="0">
      <w:start w:val="3"/>
      <w:numFmt w:val="chineseCounting"/>
      <w:suff w:val="space"/>
      <w:lvlText w:val="第%1章"/>
      <w:lvlJc w:val="left"/>
      <w:rPr>
        <w:rFonts w:hint="eastAsia"/>
      </w:rPr>
    </w:lvl>
  </w:abstractNum>
  <w:abstractNum w:abstractNumId="28">
    <w:nsid w:val="47BDF845"/>
    <w:multiLevelType w:val="multilevel"/>
    <w:tmpl w:val="47BDF845"/>
    <w:lvl w:ilvl="0" w:tentative="0">
      <w:start w:val="3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9">
    <w:nsid w:val="57D95C57"/>
    <w:multiLevelType w:val="singleLevel"/>
    <w:tmpl w:val="57D95C57"/>
    <w:lvl w:ilvl="0" w:tentative="0">
      <w:start w:val="1"/>
      <w:numFmt w:val="decimal"/>
      <w:suff w:val="nothing"/>
      <w:lvlText w:val="%1、"/>
      <w:lvlJc w:val="left"/>
    </w:lvl>
  </w:abstractNum>
  <w:abstractNum w:abstractNumId="30">
    <w:nsid w:val="584A6597"/>
    <w:multiLevelType w:val="multilevel"/>
    <w:tmpl w:val="584A6597"/>
    <w:lvl w:ilvl="0" w:tentative="0">
      <w:start w:val="45"/>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1">
    <w:nsid w:val="5ABB7CDF"/>
    <w:multiLevelType w:val="multilevel"/>
    <w:tmpl w:val="5ABB7CDF"/>
    <w:lvl w:ilvl="0" w:tentative="0">
      <w:start w:val="2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2">
    <w:nsid w:val="621669EB"/>
    <w:multiLevelType w:val="multilevel"/>
    <w:tmpl w:val="621669EB"/>
    <w:lvl w:ilvl="0" w:tentative="0">
      <w:start w:val="1"/>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3">
    <w:nsid w:val="63C6A213"/>
    <w:multiLevelType w:val="multilevel"/>
    <w:tmpl w:val="63C6A213"/>
    <w:lvl w:ilvl="0" w:tentative="0">
      <w:start w:val="2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4">
    <w:nsid w:val="6437CFB1"/>
    <w:multiLevelType w:val="singleLevel"/>
    <w:tmpl w:val="6437CFB1"/>
    <w:lvl w:ilvl="0" w:tentative="0">
      <w:start w:val="1"/>
      <w:numFmt w:val="chineseCounting"/>
      <w:suff w:val="nothing"/>
      <w:lvlText w:val="（%1）"/>
      <w:lvlJc w:val="left"/>
      <w:rPr>
        <w:rFonts w:hint="eastAsia"/>
      </w:rPr>
    </w:lvl>
  </w:abstractNum>
  <w:abstractNum w:abstractNumId="35">
    <w:nsid w:val="67214492"/>
    <w:multiLevelType w:val="multilevel"/>
    <w:tmpl w:val="67214492"/>
    <w:lvl w:ilvl="0" w:tentative="0">
      <w:start w:val="5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6">
    <w:nsid w:val="758A98E8"/>
    <w:multiLevelType w:val="multilevel"/>
    <w:tmpl w:val="758A98E8"/>
    <w:lvl w:ilvl="0" w:tentative="0">
      <w:start w:val="4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7">
    <w:nsid w:val="774BA95D"/>
    <w:multiLevelType w:val="singleLevel"/>
    <w:tmpl w:val="774BA95D"/>
    <w:lvl w:ilvl="0" w:tentative="0">
      <w:start w:val="2"/>
      <w:numFmt w:val="chineseCounting"/>
      <w:suff w:val="nothing"/>
      <w:lvlText w:val="（%1）"/>
      <w:lvlJc w:val="left"/>
      <w:rPr>
        <w:rFonts w:hint="eastAsia"/>
      </w:rPr>
    </w:lvl>
  </w:abstractNum>
  <w:num w:numId="1">
    <w:abstractNumId w:val="11"/>
  </w:num>
  <w:num w:numId="2">
    <w:abstractNumId w:val="15"/>
  </w:num>
  <w:num w:numId="3">
    <w:abstractNumId w:val="14"/>
  </w:num>
  <w:num w:numId="4">
    <w:abstractNumId w:val="32"/>
  </w:num>
  <w:num w:numId="5">
    <w:abstractNumId w:val="12"/>
  </w:num>
  <w:num w:numId="6">
    <w:abstractNumId w:val="22"/>
  </w:num>
  <w:num w:numId="7">
    <w:abstractNumId w:val="7"/>
  </w:num>
  <w:num w:numId="8">
    <w:abstractNumId w:val="1"/>
  </w:num>
  <w:num w:numId="9">
    <w:abstractNumId w:val="16"/>
  </w:num>
  <w:num w:numId="10">
    <w:abstractNumId w:val="33"/>
  </w:num>
  <w:num w:numId="11">
    <w:abstractNumId w:val="5"/>
  </w:num>
  <w:num w:numId="12">
    <w:abstractNumId w:val="31"/>
  </w:num>
  <w:num w:numId="13">
    <w:abstractNumId w:val="2"/>
  </w:num>
  <w:num w:numId="14">
    <w:abstractNumId w:val="9"/>
  </w:num>
  <w:num w:numId="15">
    <w:abstractNumId w:val="23"/>
  </w:num>
  <w:num w:numId="16">
    <w:abstractNumId w:val="25"/>
  </w:num>
  <w:num w:numId="17">
    <w:abstractNumId w:val="4"/>
  </w:num>
  <w:num w:numId="18">
    <w:abstractNumId w:val="0"/>
  </w:num>
  <w:num w:numId="19">
    <w:abstractNumId w:val="18"/>
  </w:num>
  <w:num w:numId="20">
    <w:abstractNumId w:val="28"/>
  </w:num>
  <w:num w:numId="21">
    <w:abstractNumId w:val="21"/>
  </w:num>
  <w:num w:numId="22">
    <w:abstractNumId w:val="30"/>
  </w:num>
  <w:num w:numId="23">
    <w:abstractNumId w:val="36"/>
  </w:num>
  <w:num w:numId="24">
    <w:abstractNumId w:val="26"/>
  </w:num>
  <w:num w:numId="25">
    <w:abstractNumId w:val="35"/>
  </w:num>
  <w:num w:numId="26">
    <w:abstractNumId w:val="6"/>
  </w:num>
  <w:num w:numId="27">
    <w:abstractNumId w:val="10"/>
  </w:num>
  <w:num w:numId="28">
    <w:abstractNumId w:val="27"/>
  </w:num>
  <w:num w:numId="29">
    <w:abstractNumId w:val="17"/>
  </w:num>
  <w:num w:numId="30">
    <w:abstractNumId w:val="37"/>
  </w:num>
  <w:num w:numId="31">
    <w:abstractNumId w:val="20"/>
  </w:num>
  <w:num w:numId="32">
    <w:abstractNumId w:val="13"/>
  </w:num>
  <w:num w:numId="33">
    <w:abstractNumId w:val="34"/>
  </w:num>
  <w:num w:numId="34">
    <w:abstractNumId w:val="24"/>
  </w:num>
  <w:num w:numId="35">
    <w:abstractNumId w:val="3"/>
  </w:num>
  <w:num w:numId="36">
    <w:abstractNumId w:val="19"/>
  </w:num>
  <w:num w:numId="37">
    <w:abstractNumId w:val="2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NDc2YzJiNDkwOWVhNWQ3OTlmOTVkNmRiZTRjNWIifQ=="/>
    <w:docVar w:name="KSO_WPS_MARK_KEY" w:val="957c998e-d817-4e86-9d49-1648f64c691d"/>
  </w:docVars>
  <w:rsids>
    <w:rsidRoot w:val="00172A27"/>
    <w:rsid w:val="00001B86"/>
    <w:rsid w:val="0001574A"/>
    <w:rsid w:val="00030CA1"/>
    <w:rsid w:val="000720FD"/>
    <w:rsid w:val="000749E3"/>
    <w:rsid w:val="00075658"/>
    <w:rsid w:val="00087E9B"/>
    <w:rsid w:val="00095BB3"/>
    <w:rsid w:val="000B12C4"/>
    <w:rsid w:val="000B4D49"/>
    <w:rsid w:val="000C1FF9"/>
    <w:rsid w:val="000D001F"/>
    <w:rsid w:val="000E6CB8"/>
    <w:rsid w:val="000F4724"/>
    <w:rsid w:val="00110020"/>
    <w:rsid w:val="001135EF"/>
    <w:rsid w:val="00131DED"/>
    <w:rsid w:val="00134482"/>
    <w:rsid w:val="00160C00"/>
    <w:rsid w:val="00162517"/>
    <w:rsid w:val="00166B83"/>
    <w:rsid w:val="00172A27"/>
    <w:rsid w:val="00174D1F"/>
    <w:rsid w:val="001B43B8"/>
    <w:rsid w:val="001B669C"/>
    <w:rsid w:val="001D2A2C"/>
    <w:rsid w:val="001D3AC9"/>
    <w:rsid w:val="001E3818"/>
    <w:rsid w:val="0023244A"/>
    <w:rsid w:val="00240CE3"/>
    <w:rsid w:val="00244B1B"/>
    <w:rsid w:val="00250784"/>
    <w:rsid w:val="00276FCD"/>
    <w:rsid w:val="00280EB2"/>
    <w:rsid w:val="002A3277"/>
    <w:rsid w:val="002B06D1"/>
    <w:rsid w:val="002B5669"/>
    <w:rsid w:val="002C2150"/>
    <w:rsid w:val="002C6DBF"/>
    <w:rsid w:val="003206DB"/>
    <w:rsid w:val="00321511"/>
    <w:rsid w:val="0032359B"/>
    <w:rsid w:val="00324240"/>
    <w:rsid w:val="0034086A"/>
    <w:rsid w:val="003532FE"/>
    <w:rsid w:val="00356D83"/>
    <w:rsid w:val="003661AC"/>
    <w:rsid w:val="00372743"/>
    <w:rsid w:val="00382DEE"/>
    <w:rsid w:val="00393AC1"/>
    <w:rsid w:val="003A1C52"/>
    <w:rsid w:val="003D28DF"/>
    <w:rsid w:val="003E3AC5"/>
    <w:rsid w:val="003F163D"/>
    <w:rsid w:val="003F28D5"/>
    <w:rsid w:val="00434F99"/>
    <w:rsid w:val="00442E9B"/>
    <w:rsid w:val="00456C36"/>
    <w:rsid w:val="00464A79"/>
    <w:rsid w:val="004A6B6E"/>
    <w:rsid w:val="004B29DF"/>
    <w:rsid w:val="004C0647"/>
    <w:rsid w:val="004C1068"/>
    <w:rsid w:val="004D68B1"/>
    <w:rsid w:val="004D6CFA"/>
    <w:rsid w:val="004E2821"/>
    <w:rsid w:val="005067AA"/>
    <w:rsid w:val="00517DE5"/>
    <w:rsid w:val="00530FC5"/>
    <w:rsid w:val="00535E7A"/>
    <w:rsid w:val="005A5587"/>
    <w:rsid w:val="005A66C9"/>
    <w:rsid w:val="005C620B"/>
    <w:rsid w:val="005D65F3"/>
    <w:rsid w:val="00637F97"/>
    <w:rsid w:val="00656C7F"/>
    <w:rsid w:val="00665BAD"/>
    <w:rsid w:val="00666327"/>
    <w:rsid w:val="00681239"/>
    <w:rsid w:val="00682233"/>
    <w:rsid w:val="00687FD5"/>
    <w:rsid w:val="00691733"/>
    <w:rsid w:val="00695207"/>
    <w:rsid w:val="006D2E0A"/>
    <w:rsid w:val="006D5C1D"/>
    <w:rsid w:val="006F1760"/>
    <w:rsid w:val="006F7D98"/>
    <w:rsid w:val="00712D43"/>
    <w:rsid w:val="007170A5"/>
    <w:rsid w:val="00720531"/>
    <w:rsid w:val="007271D6"/>
    <w:rsid w:val="00732090"/>
    <w:rsid w:val="00741652"/>
    <w:rsid w:val="00741A6D"/>
    <w:rsid w:val="00745A51"/>
    <w:rsid w:val="00771A04"/>
    <w:rsid w:val="00794D0F"/>
    <w:rsid w:val="00796568"/>
    <w:rsid w:val="007A53BE"/>
    <w:rsid w:val="007A7EC2"/>
    <w:rsid w:val="007B5D5A"/>
    <w:rsid w:val="007B6021"/>
    <w:rsid w:val="007D6C87"/>
    <w:rsid w:val="0081086A"/>
    <w:rsid w:val="00826647"/>
    <w:rsid w:val="008332A0"/>
    <w:rsid w:val="0087167F"/>
    <w:rsid w:val="008A56F1"/>
    <w:rsid w:val="008A7D2D"/>
    <w:rsid w:val="008B1210"/>
    <w:rsid w:val="00911744"/>
    <w:rsid w:val="00914E9F"/>
    <w:rsid w:val="009301A9"/>
    <w:rsid w:val="00951D06"/>
    <w:rsid w:val="0095235D"/>
    <w:rsid w:val="00954876"/>
    <w:rsid w:val="00960603"/>
    <w:rsid w:val="00961809"/>
    <w:rsid w:val="009722FA"/>
    <w:rsid w:val="00977B14"/>
    <w:rsid w:val="0099154C"/>
    <w:rsid w:val="009E7C52"/>
    <w:rsid w:val="009F1C84"/>
    <w:rsid w:val="00A04C1C"/>
    <w:rsid w:val="00A101EE"/>
    <w:rsid w:val="00A17AD8"/>
    <w:rsid w:val="00A37ED3"/>
    <w:rsid w:val="00A65FA9"/>
    <w:rsid w:val="00A73D7D"/>
    <w:rsid w:val="00A9539D"/>
    <w:rsid w:val="00AD217A"/>
    <w:rsid w:val="00AE043D"/>
    <w:rsid w:val="00B23941"/>
    <w:rsid w:val="00B25D5D"/>
    <w:rsid w:val="00B32474"/>
    <w:rsid w:val="00B34E87"/>
    <w:rsid w:val="00B41252"/>
    <w:rsid w:val="00B61F45"/>
    <w:rsid w:val="00B9055E"/>
    <w:rsid w:val="00BA4C66"/>
    <w:rsid w:val="00BE5EAE"/>
    <w:rsid w:val="00C05CBB"/>
    <w:rsid w:val="00C12965"/>
    <w:rsid w:val="00C25FE8"/>
    <w:rsid w:val="00C324D2"/>
    <w:rsid w:val="00C358F9"/>
    <w:rsid w:val="00C41BE3"/>
    <w:rsid w:val="00C65E39"/>
    <w:rsid w:val="00C77BA6"/>
    <w:rsid w:val="00C82755"/>
    <w:rsid w:val="00C85511"/>
    <w:rsid w:val="00C95363"/>
    <w:rsid w:val="00D047D9"/>
    <w:rsid w:val="00D27920"/>
    <w:rsid w:val="00D4030B"/>
    <w:rsid w:val="00D46B8D"/>
    <w:rsid w:val="00D553F0"/>
    <w:rsid w:val="00D735A6"/>
    <w:rsid w:val="00D82BEA"/>
    <w:rsid w:val="00DB32A1"/>
    <w:rsid w:val="00DC6BD3"/>
    <w:rsid w:val="00DD51F1"/>
    <w:rsid w:val="00DD5630"/>
    <w:rsid w:val="00DE3A1B"/>
    <w:rsid w:val="00DF0E7E"/>
    <w:rsid w:val="00DF4EE0"/>
    <w:rsid w:val="00E02C38"/>
    <w:rsid w:val="00E12664"/>
    <w:rsid w:val="00E14CA4"/>
    <w:rsid w:val="00E27EAD"/>
    <w:rsid w:val="00E367D5"/>
    <w:rsid w:val="00E57A29"/>
    <w:rsid w:val="00E6702C"/>
    <w:rsid w:val="00E76D46"/>
    <w:rsid w:val="00E80370"/>
    <w:rsid w:val="00E80E0C"/>
    <w:rsid w:val="00E92EA4"/>
    <w:rsid w:val="00EA263A"/>
    <w:rsid w:val="00EA78D6"/>
    <w:rsid w:val="00EB51E8"/>
    <w:rsid w:val="00ED68A7"/>
    <w:rsid w:val="00F036C9"/>
    <w:rsid w:val="00F05400"/>
    <w:rsid w:val="00F148F7"/>
    <w:rsid w:val="00F166FD"/>
    <w:rsid w:val="00F453C0"/>
    <w:rsid w:val="00F46DAC"/>
    <w:rsid w:val="00F8095F"/>
    <w:rsid w:val="00F85681"/>
    <w:rsid w:val="00F9432B"/>
    <w:rsid w:val="00F96F51"/>
    <w:rsid w:val="00F9798D"/>
    <w:rsid w:val="00FA023A"/>
    <w:rsid w:val="00FA7BB3"/>
    <w:rsid w:val="00FB3CEF"/>
    <w:rsid w:val="00FC6550"/>
    <w:rsid w:val="00FE08C8"/>
    <w:rsid w:val="00FE4E96"/>
    <w:rsid w:val="00FF2AB9"/>
    <w:rsid w:val="01023BF0"/>
    <w:rsid w:val="0103164E"/>
    <w:rsid w:val="010333FC"/>
    <w:rsid w:val="010B405F"/>
    <w:rsid w:val="010C27DA"/>
    <w:rsid w:val="01192C1F"/>
    <w:rsid w:val="011E7A06"/>
    <w:rsid w:val="012045F7"/>
    <w:rsid w:val="0134060D"/>
    <w:rsid w:val="013435B5"/>
    <w:rsid w:val="0136616B"/>
    <w:rsid w:val="013864CB"/>
    <w:rsid w:val="01457570"/>
    <w:rsid w:val="014C6B51"/>
    <w:rsid w:val="0150385C"/>
    <w:rsid w:val="015B4FE6"/>
    <w:rsid w:val="016B421D"/>
    <w:rsid w:val="01706634"/>
    <w:rsid w:val="01714809"/>
    <w:rsid w:val="01757B4B"/>
    <w:rsid w:val="017D14D2"/>
    <w:rsid w:val="018B23A4"/>
    <w:rsid w:val="018C1643"/>
    <w:rsid w:val="018D0F17"/>
    <w:rsid w:val="018D431C"/>
    <w:rsid w:val="01906A31"/>
    <w:rsid w:val="01944054"/>
    <w:rsid w:val="0196601E"/>
    <w:rsid w:val="019B0ED7"/>
    <w:rsid w:val="019C2519"/>
    <w:rsid w:val="019D55FE"/>
    <w:rsid w:val="01A25893"/>
    <w:rsid w:val="01A56261"/>
    <w:rsid w:val="01A802A3"/>
    <w:rsid w:val="01A96691"/>
    <w:rsid w:val="01AA4EAC"/>
    <w:rsid w:val="01AD47CF"/>
    <w:rsid w:val="01AF4639"/>
    <w:rsid w:val="01B11310"/>
    <w:rsid w:val="01C033CB"/>
    <w:rsid w:val="01C2347D"/>
    <w:rsid w:val="01C34A92"/>
    <w:rsid w:val="01CF32DE"/>
    <w:rsid w:val="01D42A2B"/>
    <w:rsid w:val="01D61657"/>
    <w:rsid w:val="01E176EE"/>
    <w:rsid w:val="01E7687A"/>
    <w:rsid w:val="01E84AF7"/>
    <w:rsid w:val="01ED1932"/>
    <w:rsid w:val="01FF1E15"/>
    <w:rsid w:val="02014380"/>
    <w:rsid w:val="020B3367"/>
    <w:rsid w:val="021A0D6B"/>
    <w:rsid w:val="023702FD"/>
    <w:rsid w:val="023D73FF"/>
    <w:rsid w:val="02443B62"/>
    <w:rsid w:val="02471622"/>
    <w:rsid w:val="024C71F6"/>
    <w:rsid w:val="02533F0F"/>
    <w:rsid w:val="025A0DEA"/>
    <w:rsid w:val="02632EF4"/>
    <w:rsid w:val="026F1557"/>
    <w:rsid w:val="027619AC"/>
    <w:rsid w:val="02801659"/>
    <w:rsid w:val="02923524"/>
    <w:rsid w:val="0295277A"/>
    <w:rsid w:val="029640FE"/>
    <w:rsid w:val="0299656C"/>
    <w:rsid w:val="029A7D90"/>
    <w:rsid w:val="029F0F02"/>
    <w:rsid w:val="02A05AD0"/>
    <w:rsid w:val="02A4249C"/>
    <w:rsid w:val="02A73BBD"/>
    <w:rsid w:val="02A76009"/>
    <w:rsid w:val="02A93B2F"/>
    <w:rsid w:val="02A97FD3"/>
    <w:rsid w:val="02B96C5E"/>
    <w:rsid w:val="02BF77F6"/>
    <w:rsid w:val="02C866AB"/>
    <w:rsid w:val="02CE3596"/>
    <w:rsid w:val="02D037B2"/>
    <w:rsid w:val="02D07463"/>
    <w:rsid w:val="02D22B2F"/>
    <w:rsid w:val="02E132C9"/>
    <w:rsid w:val="02E96323"/>
    <w:rsid w:val="02EC044F"/>
    <w:rsid w:val="02EC3DA4"/>
    <w:rsid w:val="030A3426"/>
    <w:rsid w:val="030B22E9"/>
    <w:rsid w:val="030F59F5"/>
    <w:rsid w:val="030F6088"/>
    <w:rsid w:val="03101E00"/>
    <w:rsid w:val="03123DCA"/>
    <w:rsid w:val="0317378E"/>
    <w:rsid w:val="0321400D"/>
    <w:rsid w:val="03282B7E"/>
    <w:rsid w:val="03284B8C"/>
    <w:rsid w:val="032C73AC"/>
    <w:rsid w:val="0333397C"/>
    <w:rsid w:val="03337D64"/>
    <w:rsid w:val="03345AEF"/>
    <w:rsid w:val="0339068B"/>
    <w:rsid w:val="033B3E59"/>
    <w:rsid w:val="033C431B"/>
    <w:rsid w:val="033E7C14"/>
    <w:rsid w:val="034A5312"/>
    <w:rsid w:val="0353648E"/>
    <w:rsid w:val="035B4572"/>
    <w:rsid w:val="035C5C24"/>
    <w:rsid w:val="0361024E"/>
    <w:rsid w:val="03630182"/>
    <w:rsid w:val="03676838"/>
    <w:rsid w:val="03725FE8"/>
    <w:rsid w:val="037405E1"/>
    <w:rsid w:val="03773D39"/>
    <w:rsid w:val="037C1244"/>
    <w:rsid w:val="037E4FBC"/>
    <w:rsid w:val="038B23A2"/>
    <w:rsid w:val="039676A9"/>
    <w:rsid w:val="039850D9"/>
    <w:rsid w:val="039B54A3"/>
    <w:rsid w:val="03A323A1"/>
    <w:rsid w:val="03A72764"/>
    <w:rsid w:val="03A964DC"/>
    <w:rsid w:val="03B33B11"/>
    <w:rsid w:val="03BB0082"/>
    <w:rsid w:val="03BC0A98"/>
    <w:rsid w:val="03C6116F"/>
    <w:rsid w:val="03CB00BA"/>
    <w:rsid w:val="03CC3F79"/>
    <w:rsid w:val="03DD1CE2"/>
    <w:rsid w:val="03E64263"/>
    <w:rsid w:val="03E700DD"/>
    <w:rsid w:val="03EA2651"/>
    <w:rsid w:val="03F51722"/>
    <w:rsid w:val="03F85B2F"/>
    <w:rsid w:val="03FC232D"/>
    <w:rsid w:val="04021749"/>
    <w:rsid w:val="0402799B"/>
    <w:rsid w:val="04065EFF"/>
    <w:rsid w:val="04164480"/>
    <w:rsid w:val="04221DEB"/>
    <w:rsid w:val="0424106F"/>
    <w:rsid w:val="042F62B6"/>
    <w:rsid w:val="043438CC"/>
    <w:rsid w:val="043D4E77"/>
    <w:rsid w:val="0446138B"/>
    <w:rsid w:val="0458580D"/>
    <w:rsid w:val="045A77D7"/>
    <w:rsid w:val="045D7CA1"/>
    <w:rsid w:val="046E5030"/>
    <w:rsid w:val="0472058F"/>
    <w:rsid w:val="047F2D99"/>
    <w:rsid w:val="04901171"/>
    <w:rsid w:val="04901414"/>
    <w:rsid w:val="049116C0"/>
    <w:rsid w:val="04934A97"/>
    <w:rsid w:val="04936A23"/>
    <w:rsid w:val="04983E5B"/>
    <w:rsid w:val="049B4192"/>
    <w:rsid w:val="049D08B8"/>
    <w:rsid w:val="049F168E"/>
    <w:rsid w:val="04A143E4"/>
    <w:rsid w:val="04A276AB"/>
    <w:rsid w:val="04B41B16"/>
    <w:rsid w:val="04B47F34"/>
    <w:rsid w:val="04B72CCE"/>
    <w:rsid w:val="04B751A7"/>
    <w:rsid w:val="04C1395E"/>
    <w:rsid w:val="04C9495C"/>
    <w:rsid w:val="04CC1D57"/>
    <w:rsid w:val="04DD3F64"/>
    <w:rsid w:val="04DF4324"/>
    <w:rsid w:val="04E92820"/>
    <w:rsid w:val="04F05A45"/>
    <w:rsid w:val="04F90435"/>
    <w:rsid w:val="04FD05F7"/>
    <w:rsid w:val="04FD7C2A"/>
    <w:rsid w:val="051341F3"/>
    <w:rsid w:val="05156EEC"/>
    <w:rsid w:val="051712DA"/>
    <w:rsid w:val="051C1E78"/>
    <w:rsid w:val="051C2CDE"/>
    <w:rsid w:val="051D78E1"/>
    <w:rsid w:val="052C3B6E"/>
    <w:rsid w:val="052E77A1"/>
    <w:rsid w:val="053172CC"/>
    <w:rsid w:val="053C11CD"/>
    <w:rsid w:val="05441FF6"/>
    <w:rsid w:val="05492F7F"/>
    <w:rsid w:val="05540C99"/>
    <w:rsid w:val="055B3C3D"/>
    <w:rsid w:val="05654685"/>
    <w:rsid w:val="056567AD"/>
    <w:rsid w:val="056C0D1F"/>
    <w:rsid w:val="05772978"/>
    <w:rsid w:val="057934E6"/>
    <w:rsid w:val="057A4A8F"/>
    <w:rsid w:val="05827F45"/>
    <w:rsid w:val="058A5E99"/>
    <w:rsid w:val="058B37B8"/>
    <w:rsid w:val="058E5FA2"/>
    <w:rsid w:val="059B1E55"/>
    <w:rsid w:val="059B3313"/>
    <w:rsid w:val="059E28D3"/>
    <w:rsid w:val="05A131E3"/>
    <w:rsid w:val="05AE18D3"/>
    <w:rsid w:val="05B147D4"/>
    <w:rsid w:val="05B81D48"/>
    <w:rsid w:val="05C8457A"/>
    <w:rsid w:val="05CC7F08"/>
    <w:rsid w:val="05CF3AC9"/>
    <w:rsid w:val="05DE61E6"/>
    <w:rsid w:val="05E530D0"/>
    <w:rsid w:val="05EC0669"/>
    <w:rsid w:val="05EC0902"/>
    <w:rsid w:val="05F0381A"/>
    <w:rsid w:val="05FE58B2"/>
    <w:rsid w:val="06094F71"/>
    <w:rsid w:val="060F3F53"/>
    <w:rsid w:val="061609DC"/>
    <w:rsid w:val="061614DB"/>
    <w:rsid w:val="0619721E"/>
    <w:rsid w:val="062067FE"/>
    <w:rsid w:val="06227002"/>
    <w:rsid w:val="062430A3"/>
    <w:rsid w:val="06270B33"/>
    <w:rsid w:val="06272FEA"/>
    <w:rsid w:val="062F6A28"/>
    <w:rsid w:val="063127B9"/>
    <w:rsid w:val="06400C4E"/>
    <w:rsid w:val="0640428E"/>
    <w:rsid w:val="06541E3A"/>
    <w:rsid w:val="06603A00"/>
    <w:rsid w:val="0661460E"/>
    <w:rsid w:val="067032E2"/>
    <w:rsid w:val="06731BEF"/>
    <w:rsid w:val="067601CC"/>
    <w:rsid w:val="0680729D"/>
    <w:rsid w:val="068400A0"/>
    <w:rsid w:val="06896151"/>
    <w:rsid w:val="068D7C64"/>
    <w:rsid w:val="068E5516"/>
    <w:rsid w:val="068F128E"/>
    <w:rsid w:val="069B03E5"/>
    <w:rsid w:val="069B0F45"/>
    <w:rsid w:val="069B307B"/>
    <w:rsid w:val="069D39AB"/>
    <w:rsid w:val="06A7132C"/>
    <w:rsid w:val="06A92350"/>
    <w:rsid w:val="06AD1A86"/>
    <w:rsid w:val="06B31420"/>
    <w:rsid w:val="06B50CF4"/>
    <w:rsid w:val="06BB3D5C"/>
    <w:rsid w:val="06BD5D71"/>
    <w:rsid w:val="06C62F02"/>
    <w:rsid w:val="06CB676A"/>
    <w:rsid w:val="06D575E9"/>
    <w:rsid w:val="06D8039E"/>
    <w:rsid w:val="06DB2355"/>
    <w:rsid w:val="06DC0977"/>
    <w:rsid w:val="06F400A7"/>
    <w:rsid w:val="06FF4174"/>
    <w:rsid w:val="07025814"/>
    <w:rsid w:val="07093827"/>
    <w:rsid w:val="070C28DE"/>
    <w:rsid w:val="071E2F3F"/>
    <w:rsid w:val="073360BD"/>
    <w:rsid w:val="07337778"/>
    <w:rsid w:val="074104B4"/>
    <w:rsid w:val="07416A2C"/>
    <w:rsid w:val="074309F6"/>
    <w:rsid w:val="074602F4"/>
    <w:rsid w:val="074B4CEF"/>
    <w:rsid w:val="074C6649"/>
    <w:rsid w:val="07511973"/>
    <w:rsid w:val="07561F05"/>
    <w:rsid w:val="07623294"/>
    <w:rsid w:val="076B1CFB"/>
    <w:rsid w:val="076D2D2B"/>
    <w:rsid w:val="07741E75"/>
    <w:rsid w:val="07750484"/>
    <w:rsid w:val="077A1300"/>
    <w:rsid w:val="078828AD"/>
    <w:rsid w:val="078C71BF"/>
    <w:rsid w:val="07A95C73"/>
    <w:rsid w:val="07AB7DE9"/>
    <w:rsid w:val="07B214E9"/>
    <w:rsid w:val="07C5140B"/>
    <w:rsid w:val="07CF2B0E"/>
    <w:rsid w:val="07D72A16"/>
    <w:rsid w:val="07DA303C"/>
    <w:rsid w:val="07DD160C"/>
    <w:rsid w:val="07DE69F8"/>
    <w:rsid w:val="07E1193E"/>
    <w:rsid w:val="07E757DD"/>
    <w:rsid w:val="07E775D3"/>
    <w:rsid w:val="07F24573"/>
    <w:rsid w:val="07F72BA6"/>
    <w:rsid w:val="07F7358F"/>
    <w:rsid w:val="07F8458B"/>
    <w:rsid w:val="07FB3286"/>
    <w:rsid w:val="08075E2A"/>
    <w:rsid w:val="080C1275"/>
    <w:rsid w:val="080F2EBC"/>
    <w:rsid w:val="080F30D9"/>
    <w:rsid w:val="081C4DA3"/>
    <w:rsid w:val="08232C66"/>
    <w:rsid w:val="082425D6"/>
    <w:rsid w:val="08260334"/>
    <w:rsid w:val="082757A5"/>
    <w:rsid w:val="08306989"/>
    <w:rsid w:val="08387E2F"/>
    <w:rsid w:val="083E12EC"/>
    <w:rsid w:val="08406CE4"/>
    <w:rsid w:val="084B2667"/>
    <w:rsid w:val="084F33CB"/>
    <w:rsid w:val="08512AD9"/>
    <w:rsid w:val="08560F6B"/>
    <w:rsid w:val="08564759"/>
    <w:rsid w:val="08566507"/>
    <w:rsid w:val="085B1B32"/>
    <w:rsid w:val="085D7896"/>
    <w:rsid w:val="08670714"/>
    <w:rsid w:val="08722947"/>
    <w:rsid w:val="0878647D"/>
    <w:rsid w:val="087D1CE6"/>
    <w:rsid w:val="08812363"/>
    <w:rsid w:val="08836BD0"/>
    <w:rsid w:val="088A5836"/>
    <w:rsid w:val="088C71AD"/>
    <w:rsid w:val="08917363"/>
    <w:rsid w:val="089474E5"/>
    <w:rsid w:val="08A13C26"/>
    <w:rsid w:val="08A7323A"/>
    <w:rsid w:val="08AC1E89"/>
    <w:rsid w:val="08BA6A96"/>
    <w:rsid w:val="08C37475"/>
    <w:rsid w:val="08C47915"/>
    <w:rsid w:val="08C96CD9"/>
    <w:rsid w:val="08CC463A"/>
    <w:rsid w:val="08D06CD2"/>
    <w:rsid w:val="08E5207E"/>
    <w:rsid w:val="08EA14B6"/>
    <w:rsid w:val="08EB1612"/>
    <w:rsid w:val="08EF5980"/>
    <w:rsid w:val="08F17FDE"/>
    <w:rsid w:val="08F20C25"/>
    <w:rsid w:val="08F22AA0"/>
    <w:rsid w:val="08FC0E5C"/>
    <w:rsid w:val="09011900"/>
    <w:rsid w:val="09047D11"/>
    <w:rsid w:val="090D60CD"/>
    <w:rsid w:val="09154475"/>
    <w:rsid w:val="091F0D16"/>
    <w:rsid w:val="093051ED"/>
    <w:rsid w:val="093920B1"/>
    <w:rsid w:val="09455276"/>
    <w:rsid w:val="094D501E"/>
    <w:rsid w:val="09540C99"/>
    <w:rsid w:val="096F5AD2"/>
    <w:rsid w:val="09722120"/>
    <w:rsid w:val="097430E9"/>
    <w:rsid w:val="09866978"/>
    <w:rsid w:val="09931921"/>
    <w:rsid w:val="0994504E"/>
    <w:rsid w:val="09951BEF"/>
    <w:rsid w:val="099579E7"/>
    <w:rsid w:val="099E0166"/>
    <w:rsid w:val="09A86984"/>
    <w:rsid w:val="09B554AF"/>
    <w:rsid w:val="09C26F59"/>
    <w:rsid w:val="09C46E19"/>
    <w:rsid w:val="09CC2D1E"/>
    <w:rsid w:val="09D122E9"/>
    <w:rsid w:val="09D46050"/>
    <w:rsid w:val="09D608DD"/>
    <w:rsid w:val="09D75580"/>
    <w:rsid w:val="09DA6E2A"/>
    <w:rsid w:val="09E702DD"/>
    <w:rsid w:val="09F2225F"/>
    <w:rsid w:val="09F2400E"/>
    <w:rsid w:val="0A00672A"/>
    <w:rsid w:val="0A065003"/>
    <w:rsid w:val="0A12645E"/>
    <w:rsid w:val="0A14667A"/>
    <w:rsid w:val="0A242C6D"/>
    <w:rsid w:val="0A25744F"/>
    <w:rsid w:val="0A287A2F"/>
    <w:rsid w:val="0A2A5EEF"/>
    <w:rsid w:val="0A342E64"/>
    <w:rsid w:val="0A3463D4"/>
    <w:rsid w:val="0A414455"/>
    <w:rsid w:val="0A4347C8"/>
    <w:rsid w:val="0A454634"/>
    <w:rsid w:val="0A466107"/>
    <w:rsid w:val="0A4707FD"/>
    <w:rsid w:val="0A482C69"/>
    <w:rsid w:val="0A4E393A"/>
    <w:rsid w:val="0A595E3B"/>
    <w:rsid w:val="0A5A4272"/>
    <w:rsid w:val="0A613063"/>
    <w:rsid w:val="0A621193"/>
    <w:rsid w:val="0A694687"/>
    <w:rsid w:val="0A6A0048"/>
    <w:rsid w:val="0A6C7BC6"/>
    <w:rsid w:val="0A723725"/>
    <w:rsid w:val="0A784EBD"/>
    <w:rsid w:val="0A785488"/>
    <w:rsid w:val="0A7B2E0A"/>
    <w:rsid w:val="0A83110A"/>
    <w:rsid w:val="0A8448A0"/>
    <w:rsid w:val="0A856C30"/>
    <w:rsid w:val="0A883255"/>
    <w:rsid w:val="0A913826"/>
    <w:rsid w:val="0A9F0EAA"/>
    <w:rsid w:val="0A9F3102"/>
    <w:rsid w:val="0AA96DC2"/>
    <w:rsid w:val="0AAC48A7"/>
    <w:rsid w:val="0AAE06DA"/>
    <w:rsid w:val="0AB37545"/>
    <w:rsid w:val="0AB424D0"/>
    <w:rsid w:val="0AB45767"/>
    <w:rsid w:val="0AB90398"/>
    <w:rsid w:val="0ABA506A"/>
    <w:rsid w:val="0ABC5B35"/>
    <w:rsid w:val="0ABC5BC4"/>
    <w:rsid w:val="0ABF0C3B"/>
    <w:rsid w:val="0ACA0AE6"/>
    <w:rsid w:val="0AD025A1"/>
    <w:rsid w:val="0AD13CC7"/>
    <w:rsid w:val="0AE24082"/>
    <w:rsid w:val="0AEB73DB"/>
    <w:rsid w:val="0AEC4F01"/>
    <w:rsid w:val="0AEC6CAF"/>
    <w:rsid w:val="0AEE0C79"/>
    <w:rsid w:val="0AEE5CC9"/>
    <w:rsid w:val="0AEF7E7E"/>
    <w:rsid w:val="0AF142C5"/>
    <w:rsid w:val="0AF26D60"/>
    <w:rsid w:val="0B00170D"/>
    <w:rsid w:val="0B073AE9"/>
    <w:rsid w:val="0B077F8D"/>
    <w:rsid w:val="0B0C55A3"/>
    <w:rsid w:val="0B156206"/>
    <w:rsid w:val="0B195DEC"/>
    <w:rsid w:val="0B2B61AC"/>
    <w:rsid w:val="0B320A29"/>
    <w:rsid w:val="0B330D82"/>
    <w:rsid w:val="0B375A37"/>
    <w:rsid w:val="0B37608B"/>
    <w:rsid w:val="0B491D94"/>
    <w:rsid w:val="0B507DED"/>
    <w:rsid w:val="0B5558F0"/>
    <w:rsid w:val="0B5A3A72"/>
    <w:rsid w:val="0B5C5BE2"/>
    <w:rsid w:val="0B5F3925"/>
    <w:rsid w:val="0B5F71F3"/>
    <w:rsid w:val="0B6131F9"/>
    <w:rsid w:val="0B640F3B"/>
    <w:rsid w:val="0B662015"/>
    <w:rsid w:val="0B6B22C9"/>
    <w:rsid w:val="0B6B7431"/>
    <w:rsid w:val="0B7D5340"/>
    <w:rsid w:val="0B815649"/>
    <w:rsid w:val="0B8213C1"/>
    <w:rsid w:val="0B877EBE"/>
    <w:rsid w:val="0B8D0492"/>
    <w:rsid w:val="0B9D4CB5"/>
    <w:rsid w:val="0BA23811"/>
    <w:rsid w:val="0BA45365"/>
    <w:rsid w:val="0BAB69EC"/>
    <w:rsid w:val="0BAD643E"/>
    <w:rsid w:val="0BB26C0D"/>
    <w:rsid w:val="0BB61C22"/>
    <w:rsid w:val="0BC77592"/>
    <w:rsid w:val="0BC96FF0"/>
    <w:rsid w:val="0BD22349"/>
    <w:rsid w:val="0BD56F10"/>
    <w:rsid w:val="0BDF124C"/>
    <w:rsid w:val="0BDF2CAC"/>
    <w:rsid w:val="0BE66D02"/>
    <w:rsid w:val="0BF2478A"/>
    <w:rsid w:val="0BF60CFA"/>
    <w:rsid w:val="0BF65F60"/>
    <w:rsid w:val="0BF75417"/>
    <w:rsid w:val="0BF87C3C"/>
    <w:rsid w:val="0BF978D5"/>
    <w:rsid w:val="0BFA07CA"/>
    <w:rsid w:val="0C0054E2"/>
    <w:rsid w:val="0C075659"/>
    <w:rsid w:val="0C090D3D"/>
    <w:rsid w:val="0C0A5DFC"/>
    <w:rsid w:val="0C1E558E"/>
    <w:rsid w:val="0C2E0D0E"/>
    <w:rsid w:val="0C2F1549"/>
    <w:rsid w:val="0C332F3F"/>
    <w:rsid w:val="0C353FE5"/>
    <w:rsid w:val="0C3703FE"/>
    <w:rsid w:val="0C3A4DF1"/>
    <w:rsid w:val="0C4245AA"/>
    <w:rsid w:val="0C450D6C"/>
    <w:rsid w:val="0C4A6383"/>
    <w:rsid w:val="0C4F67E2"/>
    <w:rsid w:val="0C522348"/>
    <w:rsid w:val="0C523489"/>
    <w:rsid w:val="0C654F6B"/>
    <w:rsid w:val="0C6E2563"/>
    <w:rsid w:val="0C6F136A"/>
    <w:rsid w:val="0C6F1945"/>
    <w:rsid w:val="0C721436"/>
    <w:rsid w:val="0C755305"/>
    <w:rsid w:val="0C7767A9"/>
    <w:rsid w:val="0C7B29E0"/>
    <w:rsid w:val="0C8B4B82"/>
    <w:rsid w:val="0C8C49FD"/>
    <w:rsid w:val="0C8C4C5A"/>
    <w:rsid w:val="0CA05FA3"/>
    <w:rsid w:val="0CA5180B"/>
    <w:rsid w:val="0CB01370"/>
    <w:rsid w:val="0CB07099"/>
    <w:rsid w:val="0CB25637"/>
    <w:rsid w:val="0CBF36BB"/>
    <w:rsid w:val="0CD56030"/>
    <w:rsid w:val="0CD84A23"/>
    <w:rsid w:val="0CDF4D1D"/>
    <w:rsid w:val="0CEE78D1"/>
    <w:rsid w:val="0CF100B4"/>
    <w:rsid w:val="0CF35DAA"/>
    <w:rsid w:val="0D0B3AEB"/>
    <w:rsid w:val="0D0D6F08"/>
    <w:rsid w:val="0D110C4F"/>
    <w:rsid w:val="0D1424ED"/>
    <w:rsid w:val="0D1C7D1F"/>
    <w:rsid w:val="0D21323C"/>
    <w:rsid w:val="0D240982"/>
    <w:rsid w:val="0D2F4203"/>
    <w:rsid w:val="0D3D7AFE"/>
    <w:rsid w:val="0D3E2F48"/>
    <w:rsid w:val="0D411534"/>
    <w:rsid w:val="0D440F4F"/>
    <w:rsid w:val="0D4E13AE"/>
    <w:rsid w:val="0D533015"/>
    <w:rsid w:val="0D5374B9"/>
    <w:rsid w:val="0D556D8D"/>
    <w:rsid w:val="0D5A43A4"/>
    <w:rsid w:val="0D6A65BF"/>
    <w:rsid w:val="0D6B5D0D"/>
    <w:rsid w:val="0D725B91"/>
    <w:rsid w:val="0D72790F"/>
    <w:rsid w:val="0D902199"/>
    <w:rsid w:val="0D995086"/>
    <w:rsid w:val="0DA02503"/>
    <w:rsid w:val="0DA3593E"/>
    <w:rsid w:val="0DAB4895"/>
    <w:rsid w:val="0DAE46EF"/>
    <w:rsid w:val="0DAF2891"/>
    <w:rsid w:val="0DB25F8E"/>
    <w:rsid w:val="0DB8731C"/>
    <w:rsid w:val="0DC0193D"/>
    <w:rsid w:val="0DC141F2"/>
    <w:rsid w:val="0DC51A08"/>
    <w:rsid w:val="0DC65EDD"/>
    <w:rsid w:val="0DCD4F6C"/>
    <w:rsid w:val="0DD02F0F"/>
    <w:rsid w:val="0DD405FA"/>
    <w:rsid w:val="0DD4472D"/>
    <w:rsid w:val="0DD8076D"/>
    <w:rsid w:val="0DD979BE"/>
    <w:rsid w:val="0DDB451D"/>
    <w:rsid w:val="0DE10191"/>
    <w:rsid w:val="0DF04D08"/>
    <w:rsid w:val="0DF20A80"/>
    <w:rsid w:val="0DF3323F"/>
    <w:rsid w:val="0DF376DD"/>
    <w:rsid w:val="0DF90060"/>
    <w:rsid w:val="0DFC59CE"/>
    <w:rsid w:val="0E0A1E1D"/>
    <w:rsid w:val="0E0B1B42"/>
    <w:rsid w:val="0E0E45D2"/>
    <w:rsid w:val="0E19425F"/>
    <w:rsid w:val="0E1F1149"/>
    <w:rsid w:val="0E237841"/>
    <w:rsid w:val="0E2844A2"/>
    <w:rsid w:val="0E29730F"/>
    <w:rsid w:val="0E2D7BE3"/>
    <w:rsid w:val="0E320E7D"/>
    <w:rsid w:val="0E342E47"/>
    <w:rsid w:val="0E3D06A0"/>
    <w:rsid w:val="0E462C4C"/>
    <w:rsid w:val="0E4B1A1C"/>
    <w:rsid w:val="0E4D215A"/>
    <w:rsid w:val="0E504189"/>
    <w:rsid w:val="0E536E32"/>
    <w:rsid w:val="0E5556B2"/>
    <w:rsid w:val="0E561CB2"/>
    <w:rsid w:val="0E572FD9"/>
    <w:rsid w:val="0E583303"/>
    <w:rsid w:val="0E5C693D"/>
    <w:rsid w:val="0E6179B4"/>
    <w:rsid w:val="0E680D42"/>
    <w:rsid w:val="0E721BC1"/>
    <w:rsid w:val="0E7B2823"/>
    <w:rsid w:val="0E8012D9"/>
    <w:rsid w:val="0E810684"/>
    <w:rsid w:val="0E833B53"/>
    <w:rsid w:val="0E836136"/>
    <w:rsid w:val="0E8813E4"/>
    <w:rsid w:val="0E8C1749"/>
    <w:rsid w:val="0E9059C9"/>
    <w:rsid w:val="0E957C7E"/>
    <w:rsid w:val="0E972E44"/>
    <w:rsid w:val="0E9F1FF3"/>
    <w:rsid w:val="0EA7314F"/>
    <w:rsid w:val="0EAA11F9"/>
    <w:rsid w:val="0EAE0E4B"/>
    <w:rsid w:val="0EBC360E"/>
    <w:rsid w:val="0EC3752D"/>
    <w:rsid w:val="0ECC307F"/>
    <w:rsid w:val="0ECE4A09"/>
    <w:rsid w:val="0ED57430"/>
    <w:rsid w:val="0ED729EE"/>
    <w:rsid w:val="0EDC5E02"/>
    <w:rsid w:val="0EDE2DB2"/>
    <w:rsid w:val="0EDF706C"/>
    <w:rsid w:val="0EE6424E"/>
    <w:rsid w:val="0EEC1973"/>
    <w:rsid w:val="0EEF4FBF"/>
    <w:rsid w:val="0EF146A7"/>
    <w:rsid w:val="0EF31966"/>
    <w:rsid w:val="0EF83E74"/>
    <w:rsid w:val="0EF93AF3"/>
    <w:rsid w:val="0EFA4090"/>
    <w:rsid w:val="0EFB1BB6"/>
    <w:rsid w:val="0F046CBD"/>
    <w:rsid w:val="0F056591"/>
    <w:rsid w:val="0F0942D3"/>
    <w:rsid w:val="0F0A1DF9"/>
    <w:rsid w:val="0F1133CB"/>
    <w:rsid w:val="0F1173AD"/>
    <w:rsid w:val="0F234C69"/>
    <w:rsid w:val="0F244060"/>
    <w:rsid w:val="0F3B6457"/>
    <w:rsid w:val="0F405BCB"/>
    <w:rsid w:val="0F427144"/>
    <w:rsid w:val="0F4444D7"/>
    <w:rsid w:val="0F454276"/>
    <w:rsid w:val="0F4C41C0"/>
    <w:rsid w:val="0F4E5368"/>
    <w:rsid w:val="0F5D698D"/>
    <w:rsid w:val="0F5F5CA1"/>
    <w:rsid w:val="0F672DA8"/>
    <w:rsid w:val="0F6874B0"/>
    <w:rsid w:val="0F6B6D3C"/>
    <w:rsid w:val="0F73799F"/>
    <w:rsid w:val="0F847DFE"/>
    <w:rsid w:val="0F881ACB"/>
    <w:rsid w:val="0F890F70"/>
    <w:rsid w:val="0F8C5688"/>
    <w:rsid w:val="0F911ACA"/>
    <w:rsid w:val="0F915CF4"/>
    <w:rsid w:val="0F93489A"/>
    <w:rsid w:val="0FA97864"/>
    <w:rsid w:val="0FAC06D9"/>
    <w:rsid w:val="0FAD016D"/>
    <w:rsid w:val="0FAE4E7B"/>
    <w:rsid w:val="0FAF0058"/>
    <w:rsid w:val="0FB54297"/>
    <w:rsid w:val="0FBD5F7F"/>
    <w:rsid w:val="0FC1744F"/>
    <w:rsid w:val="0FC226D4"/>
    <w:rsid w:val="0FC63BDB"/>
    <w:rsid w:val="0FC64AEA"/>
    <w:rsid w:val="0FD41D0C"/>
    <w:rsid w:val="0FDC5544"/>
    <w:rsid w:val="0FDF6DE2"/>
    <w:rsid w:val="0FE66BBE"/>
    <w:rsid w:val="0FED0C0B"/>
    <w:rsid w:val="0FEF5F5D"/>
    <w:rsid w:val="0FF02D9D"/>
    <w:rsid w:val="0FF0673A"/>
    <w:rsid w:val="0FF42037"/>
    <w:rsid w:val="0FF54080"/>
    <w:rsid w:val="0FF65639"/>
    <w:rsid w:val="0FF7412C"/>
    <w:rsid w:val="100B407B"/>
    <w:rsid w:val="100F142D"/>
    <w:rsid w:val="101229E9"/>
    <w:rsid w:val="101565F4"/>
    <w:rsid w:val="10156CA8"/>
    <w:rsid w:val="101A3E7C"/>
    <w:rsid w:val="101C0036"/>
    <w:rsid w:val="102313C5"/>
    <w:rsid w:val="1025642B"/>
    <w:rsid w:val="1027514F"/>
    <w:rsid w:val="10285F85"/>
    <w:rsid w:val="102B29FC"/>
    <w:rsid w:val="102D1D40"/>
    <w:rsid w:val="10304C1F"/>
    <w:rsid w:val="10305890"/>
    <w:rsid w:val="103A2396"/>
    <w:rsid w:val="10455091"/>
    <w:rsid w:val="10473C4E"/>
    <w:rsid w:val="10497F6A"/>
    <w:rsid w:val="104A6951"/>
    <w:rsid w:val="104F6378"/>
    <w:rsid w:val="10516984"/>
    <w:rsid w:val="105B5D70"/>
    <w:rsid w:val="105C0433"/>
    <w:rsid w:val="105C7C29"/>
    <w:rsid w:val="105F3958"/>
    <w:rsid w:val="10627D00"/>
    <w:rsid w:val="106663EC"/>
    <w:rsid w:val="10670626"/>
    <w:rsid w:val="106A6FF4"/>
    <w:rsid w:val="1072039F"/>
    <w:rsid w:val="10855BDB"/>
    <w:rsid w:val="10867E54"/>
    <w:rsid w:val="1088747A"/>
    <w:rsid w:val="108A4A7A"/>
    <w:rsid w:val="108D2CE2"/>
    <w:rsid w:val="108D5748"/>
    <w:rsid w:val="109113BA"/>
    <w:rsid w:val="10914580"/>
    <w:rsid w:val="109802C9"/>
    <w:rsid w:val="109A1D19"/>
    <w:rsid w:val="10A122E9"/>
    <w:rsid w:val="10A15A4A"/>
    <w:rsid w:val="10A2678D"/>
    <w:rsid w:val="10AF4A06"/>
    <w:rsid w:val="10B169D0"/>
    <w:rsid w:val="10B448AF"/>
    <w:rsid w:val="10B77B5F"/>
    <w:rsid w:val="10BA1685"/>
    <w:rsid w:val="10BA6FC7"/>
    <w:rsid w:val="10C03740"/>
    <w:rsid w:val="10C62793"/>
    <w:rsid w:val="10CC380A"/>
    <w:rsid w:val="10E01064"/>
    <w:rsid w:val="10E137BD"/>
    <w:rsid w:val="10E16330"/>
    <w:rsid w:val="10E24DDC"/>
    <w:rsid w:val="10E304B7"/>
    <w:rsid w:val="10E403DD"/>
    <w:rsid w:val="10E51C43"/>
    <w:rsid w:val="10EC7A09"/>
    <w:rsid w:val="10FB1CFE"/>
    <w:rsid w:val="10FB57F0"/>
    <w:rsid w:val="11020FDA"/>
    <w:rsid w:val="11050ACA"/>
    <w:rsid w:val="11054F59"/>
    <w:rsid w:val="111451B1"/>
    <w:rsid w:val="11161E06"/>
    <w:rsid w:val="111B4847"/>
    <w:rsid w:val="11221ADC"/>
    <w:rsid w:val="11241AA9"/>
    <w:rsid w:val="11266649"/>
    <w:rsid w:val="112847B9"/>
    <w:rsid w:val="11297EC9"/>
    <w:rsid w:val="112A22DF"/>
    <w:rsid w:val="11381CFF"/>
    <w:rsid w:val="113969C6"/>
    <w:rsid w:val="113E2E5F"/>
    <w:rsid w:val="114430CC"/>
    <w:rsid w:val="1149532B"/>
    <w:rsid w:val="114E421F"/>
    <w:rsid w:val="11517434"/>
    <w:rsid w:val="11537A88"/>
    <w:rsid w:val="11673533"/>
    <w:rsid w:val="11687794"/>
    <w:rsid w:val="116B3023"/>
    <w:rsid w:val="11761FC4"/>
    <w:rsid w:val="11777E64"/>
    <w:rsid w:val="11795660"/>
    <w:rsid w:val="117A4ECD"/>
    <w:rsid w:val="117B268D"/>
    <w:rsid w:val="117F6ACF"/>
    <w:rsid w:val="118529A6"/>
    <w:rsid w:val="11877731"/>
    <w:rsid w:val="11880F61"/>
    <w:rsid w:val="11902A8A"/>
    <w:rsid w:val="11913A5E"/>
    <w:rsid w:val="11954167"/>
    <w:rsid w:val="119B4C98"/>
    <w:rsid w:val="11AB27E4"/>
    <w:rsid w:val="11AB3900"/>
    <w:rsid w:val="11B62E1B"/>
    <w:rsid w:val="11B76268"/>
    <w:rsid w:val="11BA71FD"/>
    <w:rsid w:val="11BF6ECB"/>
    <w:rsid w:val="11BF7BE1"/>
    <w:rsid w:val="11D54941"/>
    <w:rsid w:val="11E44B84"/>
    <w:rsid w:val="11E9219A"/>
    <w:rsid w:val="11F500D0"/>
    <w:rsid w:val="11FE3E97"/>
    <w:rsid w:val="1207193D"/>
    <w:rsid w:val="12080872"/>
    <w:rsid w:val="120A52F6"/>
    <w:rsid w:val="120A5FBD"/>
    <w:rsid w:val="120F1501"/>
    <w:rsid w:val="121012A0"/>
    <w:rsid w:val="12107727"/>
    <w:rsid w:val="1211524D"/>
    <w:rsid w:val="12131DF4"/>
    <w:rsid w:val="12166633"/>
    <w:rsid w:val="121D56EB"/>
    <w:rsid w:val="12282E23"/>
    <w:rsid w:val="12331667"/>
    <w:rsid w:val="12340914"/>
    <w:rsid w:val="123632B2"/>
    <w:rsid w:val="12415B32"/>
    <w:rsid w:val="12445D62"/>
    <w:rsid w:val="124878CD"/>
    <w:rsid w:val="124C3DA0"/>
    <w:rsid w:val="1255782F"/>
    <w:rsid w:val="125B6724"/>
    <w:rsid w:val="125C7FF5"/>
    <w:rsid w:val="125E66E4"/>
    <w:rsid w:val="1260465A"/>
    <w:rsid w:val="12641E84"/>
    <w:rsid w:val="126924BD"/>
    <w:rsid w:val="126D2DCB"/>
    <w:rsid w:val="126D63D9"/>
    <w:rsid w:val="127E28A6"/>
    <w:rsid w:val="127F754C"/>
    <w:rsid w:val="12883761"/>
    <w:rsid w:val="128B4FFF"/>
    <w:rsid w:val="128C11D9"/>
    <w:rsid w:val="128E689D"/>
    <w:rsid w:val="12986019"/>
    <w:rsid w:val="129A025D"/>
    <w:rsid w:val="129F0AAB"/>
    <w:rsid w:val="12A460C1"/>
    <w:rsid w:val="12AC3A9D"/>
    <w:rsid w:val="12BD0474"/>
    <w:rsid w:val="12BD412E"/>
    <w:rsid w:val="12C61325"/>
    <w:rsid w:val="12D40754"/>
    <w:rsid w:val="12DE5A77"/>
    <w:rsid w:val="12E55783"/>
    <w:rsid w:val="12E806A4"/>
    <w:rsid w:val="12E84200"/>
    <w:rsid w:val="12EA7F78"/>
    <w:rsid w:val="12F217F1"/>
    <w:rsid w:val="130A100F"/>
    <w:rsid w:val="131A6229"/>
    <w:rsid w:val="131D3F6B"/>
    <w:rsid w:val="13205400"/>
    <w:rsid w:val="13262314"/>
    <w:rsid w:val="13271C39"/>
    <w:rsid w:val="132971BE"/>
    <w:rsid w:val="1332514D"/>
    <w:rsid w:val="133905DA"/>
    <w:rsid w:val="1356560D"/>
    <w:rsid w:val="135936B5"/>
    <w:rsid w:val="135B7C44"/>
    <w:rsid w:val="135C4646"/>
    <w:rsid w:val="13637D2A"/>
    <w:rsid w:val="136441CE"/>
    <w:rsid w:val="136715C8"/>
    <w:rsid w:val="136A6D5A"/>
    <w:rsid w:val="137150A6"/>
    <w:rsid w:val="13751FD7"/>
    <w:rsid w:val="13842174"/>
    <w:rsid w:val="138C4596"/>
    <w:rsid w:val="138E2FF9"/>
    <w:rsid w:val="13912AE9"/>
    <w:rsid w:val="139D6DE1"/>
    <w:rsid w:val="13A35760"/>
    <w:rsid w:val="13A605C4"/>
    <w:rsid w:val="13A91BE1"/>
    <w:rsid w:val="13A9508B"/>
    <w:rsid w:val="13AE71F7"/>
    <w:rsid w:val="13B14F39"/>
    <w:rsid w:val="13B231DF"/>
    <w:rsid w:val="13B42D6D"/>
    <w:rsid w:val="13BF593A"/>
    <w:rsid w:val="13C36B5C"/>
    <w:rsid w:val="13C509A3"/>
    <w:rsid w:val="13C62793"/>
    <w:rsid w:val="13C70B45"/>
    <w:rsid w:val="13CC5951"/>
    <w:rsid w:val="13D84274"/>
    <w:rsid w:val="13E0137B"/>
    <w:rsid w:val="13EE2074"/>
    <w:rsid w:val="13F416E5"/>
    <w:rsid w:val="13F624FF"/>
    <w:rsid w:val="13FB15C8"/>
    <w:rsid w:val="1404577A"/>
    <w:rsid w:val="140C2170"/>
    <w:rsid w:val="140C5DFC"/>
    <w:rsid w:val="14112514"/>
    <w:rsid w:val="1416601D"/>
    <w:rsid w:val="14171240"/>
    <w:rsid w:val="141A780C"/>
    <w:rsid w:val="141B2DFD"/>
    <w:rsid w:val="141D25CF"/>
    <w:rsid w:val="14213E6D"/>
    <w:rsid w:val="1423576F"/>
    <w:rsid w:val="1427164E"/>
    <w:rsid w:val="142C52A1"/>
    <w:rsid w:val="14397409"/>
    <w:rsid w:val="143D7C6D"/>
    <w:rsid w:val="143F42F3"/>
    <w:rsid w:val="14426230"/>
    <w:rsid w:val="14450686"/>
    <w:rsid w:val="145062A0"/>
    <w:rsid w:val="14554F87"/>
    <w:rsid w:val="145767D9"/>
    <w:rsid w:val="145F25C9"/>
    <w:rsid w:val="14643764"/>
    <w:rsid w:val="146C5A05"/>
    <w:rsid w:val="14706BA3"/>
    <w:rsid w:val="14765768"/>
    <w:rsid w:val="147B7480"/>
    <w:rsid w:val="147E74D6"/>
    <w:rsid w:val="14853605"/>
    <w:rsid w:val="148D26ED"/>
    <w:rsid w:val="14901E99"/>
    <w:rsid w:val="149068D0"/>
    <w:rsid w:val="14943B26"/>
    <w:rsid w:val="14963666"/>
    <w:rsid w:val="149B5BB4"/>
    <w:rsid w:val="149D34E2"/>
    <w:rsid w:val="14A04957"/>
    <w:rsid w:val="14A34882"/>
    <w:rsid w:val="14A5684C"/>
    <w:rsid w:val="14A62D61"/>
    <w:rsid w:val="14AD74AF"/>
    <w:rsid w:val="14B44CE1"/>
    <w:rsid w:val="14B65343"/>
    <w:rsid w:val="14C30A80"/>
    <w:rsid w:val="14C341FF"/>
    <w:rsid w:val="14C92AA1"/>
    <w:rsid w:val="14D233B9"/>
    <w:rsid w:val="14D26F15"/>
    <w:rsid w:val="14D34889"/>
    <w:rsid w:val="14E354DA"/>
    <w:rsid w:val="14E82BDD"/>
    <w:rsid w:val="14EF3F6B"/>
    <w:rsid w:val="14EF5D19"/>
    <w:rsid w:val="14F670A8"/>
    <w:rsid w:val="14F7137E"/>
    <w:rsid w:val="1501324B"/>
    <w:rsid w:val="15035321"/>
    <w:rsid w:val="150455D1"/>
    <w:rsid w:val="15091012"/>
    <w:rsid w:val="15136330"/>
    <w:rsid w:val="15233018"/>
    <w:rsid w:val="152B6F63"/>
    <w:rsid w:val="152D0EF1"/>
    <w:rsid w:val="152F7206"/>
    <w:rsid w:val="15314A2C"/>
    <w:rsid w:val="153B22BF"/>
    <w:rsid w:val="153E788E"/>
    <w:rsid w:val="15447FF0"/>
    <w:rsid w:val="154871D8"/>
    <w:rsid w:val="154C7EE7"/>
    <w:rsid w:val="1558225D"/>
    <w:rsid w:val="155B515D"/>
    <w:rsid w:val="155E69FB"/>
    <w:rsid w:val="155F58F6"/>
    <w:rsid w:val="156E0F20"/>
    <w:rsid w:val="1571257F"/>
    <w:rsid w:val="157224A6"/>
    <w:rsid w:val="15852C95"/>
    <w:rsid w:val="159D14F7"/>
    <w:rsid w:val="15AA1C40"/>
    <w:rsid w:val="15AD04C1"/>
    <w:rsid w:val="15B45973"/>
    <w:rsid w:val="15B74140"/>
    <w:rsid w:val="15B825AF"/>
    <w:rsid w:val="15BC293A"/>
    <w:rsid w:val="15BD6FF9"/>
    <w:rsid w:val="15C90318"/>
    <w:rsid w:val="15CA0E7F"/>
    <w:rsid w:val="15CA22E2"/>
    <w:rsid w:val="15D21EDE"/>
    <w:rsid w:val="15D81EF7"/>
    <w:rsid w:val="15DD3DC4"/>
    <w:rsid w:val="15DE174F"/>
    <w:rsid w:val="15E056A4"/>
    <w:rsid w:val="15E2762C"/>
    <w:rsid w:val="15E3366A"/>
    <w:rsid w:val="15FD10AF"/>
    <w:rsid w:val="16010AFE"/>
    <w:rsid w:val="16063AA0"/>
    <w:rsid w:val="16092E0B"/>
    <w:rsid w:val="16117F11"/>
    <w:rsid w:val="16134D55"/>
    <w:rsid w:val="161A6DC6"/>
    <w:rsid w:val="161C0D90"/>
    <w:rsid w:val="16241D49"/>
    <w:rsid w:val="162972B9"/>
    <w:rsid w:val="162B2D81"/>
    <w:rsid w:val="162B4B2F"/>
    <w:rsid w:val="16347871"/>
    <w:rsid w:val="163C065A"/>
    <w:rsid w:val="163D73D7"/>
    <w:rsid w:val="163F05DA"/>
    <w:rsid w:val="164901B2"/>
    <w:rsid w:val="16534086"/>
    <w:rsid w:val="165406D0"/>
    <w:rsid w:val="165A18B8"/>
    <w:rsid w:val="165D6CB3"/>
    <w:rsid w:val="16677B31"/>
    <w:rsid w:val="166813E7"/>
    <w:rsid w:val="16687394"/>
    <w:rsid w:val="16711794"/>
    <w:rsid w:val="167469B2"/>
    <w:rsid w:val="167A6959"/>
    <w:rsid w:val="168240D2"/>
    <w:rsid w:val="16826719"/>
    <w:rsid w:val="1686191E"/>
    <w:rsid w:val="1686445B"/>
    <w:rsid w:val="16873D30"/>
    <w:rsid w:val="16893979"/>
    <w:rsid w:val="168E4F39"/>
    <w:rsid w:val="169A1CB5"/>
    <w:rsid w:val="16A4068F"/>
    <w:rsid w:val="16A62408"/>
    <w:rsid w:val="16A9014A"/>
    <w:rsid w:val="16AB6DCA"/>
    <w:rsid w:val="16B533FE"/>
    <w:rsid w:val="16B56757"/>
    <w:rsid w:val="16BF2C26"/>
    <w:rsid w:val="16C65FA2"/>
    <w:rsid w:val="16C808CD"/>
    <w:rsid w:val="16C91141"/>
    <w:rsid w:val="16CD208A"/>
    <w:rsid w:val="16CD3E38"/>
    <w:rsid w:val="16D30323"/>
    <w:rsid w:val="16DD1801"/>
    <w:rsid w:val="16DE20A4"/>
    <w:rsid w:val="16DE7170"/>
    <w:rsid w:val="16E42F30"/>
    <w:rsid w:val="16EC15B1"/>
    <w:rsid w:val="16ED44DA"/>
    <w:rsid w:val="16F54E7E"/>
    <w:rsid w:val="16F64EA3"/>
    <w:rsid w:val="1703785A"/>
    <w:rsid w:val="1703788F"/>
    <w:rsid w:val="170749A4"/>
    <w:rsid w:val="170D692B"/>
    <w:rsid w:val="171A4B88"/>
    <w:rsid w:val="171B1048"/>
    <w:rsid w:val="172004E9"/>
    <w:rsid w:val="172C5BE5"/>
    <w:rsid w:val="17326391"/>
    <w:rsid w:val="173D00AC"/>
    <w:rsid w:val="174F0CF1"/>
    <w:rsid w:val="1759391E"/>
    <w:rsid w:val="17600902"/>
    <w:rsid w:val="17602EFE"/>
    <w:rsid w:val="17650515"/>
    <w:rsid w:val="176A5686"/>
    <w:rsid w:val="176B0033"/>
    <w:rsid w:val="176C5A33"/>
    <w:rsid w:val="17712A16"/>
    <w:rsid w:val="177A6F24"/>
    <w:rsid w:val="177E3384"/>
    <w:rsid w:val="17827370"/>
    <w:rsid w:val="178564C1"/>
    <w:rsid w:val="178C3191"/>
    <w:rsid w:val="178E022A"/>
    <w:rsid w:val="179235A8"/>
    <w:rsid w:val="17926D92"/>
    <w:rsid w:val="17932454"/>
    <w:rsid w:val="17973558"/>
    <w:rsid w:val="179761F4"/>
    <w:rsid w:val="179B7A92"/>
    <w:rsid w:val="17A20C6B"/>
    <w:rsid w:val="17AC1A7D"/>
    <w:rsid w:val="17AC1CA0"/>
    <w:rsid w:val="17AD05D4"/>
    <w:rsid w:val="17AD5A18"/>
    <w:rsid w:val="17AE0DB1"/>
    <w:rsid w:val="17AE3C6A"/>
    <w:rsid w:val="17B002FD"/>
    <w:rsid w:val="17B747D9"/>
    <w:rsid w:val="17C37A7E"/>
    <w:rsid w:val="17C57205"/>
    <w:rsid w:val="17CD2F28"/>
    <w:rsid w:val="17D86098"/>
    <w:rsid w:val="17DB3497"/>
    <w:rsid w:val="17DE3E23"/>
    <w:rsid w:val="17DF7A9B"/>
    <w:rsid w:val="17E01949"/>
    <w:rsid w:val="17E62C77"/>
    <w:rsid w:val="17EC0950"/>
    <w:rsid w:val="17F35B20"/>
    <w:rsid w:val="17F92A0B"/>
    <w:rsid w:val="17F954FC"/>
    <w:rsid w:val="18007FB7"/>
    <w:rsid w:val="1804388A"/>
    <w:rsid w:val="180514C3"/>
    <w:rsid w:val="18057779"/>
    <w:rsid w:val="18083C32"/>
    <w:rsid w:val="180C2556"/>
    <w:rsid w:val="180E582C"/>
    <w:rsid w:val="18105B6F"/>
    <w:rsid w:val="181250C7"/>
    <w:rsid w:val="181B0BD3"/>
    <w:rsid w:val="181E2472"/>
    <w:rsid w:val="18297794"/>
    <w:rsid w:val="18300B23"/>
    <w:rsid w:val="184620F4"/>
    <w:rsid w:val="186802BC"/>
    <w:rsid w:val="186B56B7"/>
    <w:rsid w:val="187148A9"/>
    <w:rsid w:val="188326D7"/>
    <w:rsid w:val="18871757"/>
    <w:rsid w:val="188B645A"/>
    <w:rsid w:val="189152F2"/>
    <w:rsid w:val="18A706B9"/>
    <w:rsid w:val="18A8690B"/>
    <w:rsid w:val="18AB2506"/>
    <w:rsid w:val="18AB4F78"/>
    <w:rsid w:val="18B51CE9"/>
    <w:rsid w:val="18C96988"/>
    <w:rsid w:val="18D45946"/>
    <w:rsid w:val="18E53E06"/>
    <w:rsid w:val="18E831AB"/>
    <w:rsid w:val="18E851E1"/>
    <w:rsid w:val="18EC510F"/>
    <w:rsid w:val="18F75BB9"/>
    <w:rsid w:val="18FE29CF"/>
    <w:rsid w:val="1904772F"/>
    <w:rsid w:val="19081158"/>
    <w:rsid w:val="19103F29"/>
    <w:rsid w:val="19117AEC"/>
    <w:rsid w:val="19177273"/>
    <w:rsid w:val="19185113"/>
    <w:rsid w:val="1919248B"/>
    <w:rsid w:val="192352E4"/>
    <w:rsid w:val="192A633A"/>
    <w:rsid w:val="19346A48"/>
    <w:rsid w:val="193527BE"/>
    <w:rsid w:val="19363C15"/>
    <w:rsid w:val="193742C8"/>
    <w:rsid w:val="193A2C96"/>
    <w:rsid w:val="193F21E0"/>
    <w:rsid w:val="19434886"/>
    <w:rsid w:val="194523AD"/>
    <w:rsid w:val="19481E9C"/>
    <w:rsid w:val="194E0E5A"/>
    <w:rsid w:val="19512905"/>
    <w:rsid w:val="19543ABE"/>
    <w:rsid w:val="19566367"/>
    <w:rsid w:val="195B5233"/>
    <w:rsid w:val="195B559E"/>
    <w:rsid w:val="196A4428"/>
    <w:rsid w:val="196C557D"/>
    <w:rsid w:val="19754608"/>
    <w:rsid w:val="197B7B7C"/>
    <w:rsid w:val="197C0D71"/>
    <w:rsid w:val="19831E34"/>
    <w:rsid w:val="199302EE"/>
    <w:rsid w:val="199B6A17"/>
    <w:rsid w:val="19A64A85"/>
    <w:rsid w:val="19AC1A4C"/>
    <w:rsid w:val="19BC195B"/>
    <w:rsid w:val="19C64D56"/>
    <w:rsid w:val="19CB567A"/>
    <w:rsid w:val="19D86F64"/>
    <w:rsid w:val="19DB4ABE"/>
    <w:rsid w:val="19EB7A42"/>
    <w:rsid w:val="19EC0A79"/>
    <w:rsid w:val="19EF6A61"/>
    <w:rsid w:val="19F32962"/>
    <w:rsid w:val="19F32E2F"/>
    <w:rsid w:val="19F978BA"/>
    <w:rsid w:val="19FD1C49"/>
    <w:rsid w:val="1A023DF9"/>
    <w:rsid w:val="1A08042B"/>
    <w:rsid w:val="1A0F5222"/>
    <w:rsid w:val="1A111A09"/>
    <w:rsid w:val="1A136006"/>
    <w:rsid w:val="1A152F2F"/>
    <w:rsid w:val="1A1621C7"/>
    <w:rsid w:val="1A18361C"/>
    <w:rsid w:val="1A1A6026"/>
    <w:rsid w:val="1A1C2C19"/>
    <w:rsid w:val="1A202A12"/>
    <w:rsid w:val="1A204BC7"/>
    <w:rsid w:val="1A24540D"/>
    <w:rsid w:val="1A2A3350"/>
    <w:rsid w:val="1A2A59B6"/>
    <w:rsid w:val="1A345F7C"/>
    <w:rsid w:val="1A37758D"/>
    <w:rsid w:val="1A3E71FD"/>
    <w:rsid w:val="1A422994"/>
    <w:rsid w:val="1A4C59BC"/>
    <w:rsid w:val="1A542310"/>
    <w:rsid w:val="1A7647E7"/>
    <w:rsid w:val="1A7E3DE6"/>
    <w:rsid w:val="1A8018D6"/>
    <w:rsid w:val="1A8A15D9"/>
    <w:rsid w:val="1A911621"/>
    <w:rsid w:val="1A91517D"/>
    <w:rsid w:val="1A967D99"/>
    <w:rsid w:val="1A976C37"/>
    <w:rsid w:val="1A9F7BE2"/>
    <w:rsid w:val="1AA50C28"/>
    <w:rsid w:val="1AAE21D3"/>
    <w:rsid w:val="1AB07CF9"/>
    <w:rsid w:val="1AB231D3"/>
    <w:rsid w:val="1AB26E57"/>
    <w:rsid w:val="1AB51FEC"/>
    <w:rsid w:val="1AB86F6A"/>
    <w:rsid w:val="1ABB08E4"/>
    <w:rsid w:val="1AC56101"/>
    <w:rsid w:val="1AD11A1D"/>
    <w:rsid w:val="1AD5775F"/>
    <w:rsid w:val="1AD734D7"/>
    <w:rsid w:val="1AD90B28"/>
    <w:rsid w:val="1AE4114C"/>
    <w:rsid w:val="1AE5074D"/>
    <w:rsid w:val="1AFA54C9"/>
    <w:rsid w:val="1B0167A6"/>
    <w:rsid w:val="1B060372"/>
    <w:rsid w:val="1B067919"/>
    <w:rsid w:val="1B0D70EF"/>
    <w:rsid w:val="1B0E2C71"/>
    <w:rsid w:val="1B134833"/>
    <w:rsid w:val="1B170CA1"/>
    <w:rsid w:val="1B1D009E"/>
    <w:rsid w:val="1B216501"/>
    <w:rsid w:val="1B240AD9"/>
    <w:rsid w:val="1B267FBB"/>
    <w:rsid w:val="1B3A53E7"/>
    <w:rsid w:val="1B3C5CF6"/>
    <w:rsid w:val="1B3F1E98"/>
    <w:rsid w:val="1B44346C"/>
    <w:rsid w:val="1B447883"/>
    <w:rsid w:val="1B481EA2"/>
    <w:rsid w:val="1B5468D6"/>
    <w:rsid w:val="1B555DD3"/>
    <w:rsid w:val="1B5F3E2D"/>
    <w:rsid w:val="1B662AAD"/>
    <w:rsid w:val="1B6947EA"/>
    <w:rsid w:val="1B713592"/>
    <w:rsid w:val="1B7156DA"/>
    <w:rsid w:val="1B7818DE"/>
    <w:rsid w:val="1B803EA7"/>
    <w:rsid w:val="1B810C12"/>
    <w:rsid w:val="1B8D3B96"/>
    <w:rsid w:val="1B9A62B3"/>
    <w:rsid w:val="1B9A6B18"/>
    <w:rsid w:val="1B9C027D"/>
    <w:rsid w:val="1BA96CA8"/>
    <w:rsid w:val="1BAA7852"/>
    <w:rsid w:val="1BAF1D5E"/>
    <w:rsid w:val="1BB90E2F"/>
    <w:rsid w:val="1BBD01E0"/>
    <w:rsid w:val="1BC33A5C"/>
    <w:rsid w:val="1BC44079"/>
    <w:rsid w:val="1BCA4F7A"/>
    <w:rsid w:val="1BD45C69"/>
    <w:rsid w:val="1BD605F3"/>
    <w:rsid w:val="1BDC422A"/>
    <w:rsid w:val="1BE75189"/>
    <w:rsid w:val="1BEA548C"/>
    <w:rsid w:val="1BF01FFA"/>
    <w:rsid w:val="1BF115FF"/>
    <w:rsid w:val="1BF9122C"/>
    <w:rsid w:val="1BFA1DAE"/>
    <w:rsid w:val="1C013A85"/>
    <w:rsid w:val="1C0A00B2"/>
    <w:rsid w:val="1C0D72D6"/>
    <w:rsid w:val="1C194EA0"/>
    <w:rsid w:val="1C2072E4"/>
    <w:rsid w:val="1C2107F5"/>
    <w:rsid w:val="1C2A7637"/>
    <w:rsid w:val="1C36422E"/>
    <w:rsid w:val="1C4454C3"/>
    <w:rsid w:val="1C4671C1"/>
    <w:rsid w:val="1C49566C"/>
    <w:rsid w:val="1C4B6499"/>
    <w:rsid w:val="1C521ECE"/>
    <w:rsid w:val="1C5446B4"/>
    <w:rsid w:val="1C551849"/>
    <w:rsid w:val="1C5648D0"/>
    <w:rsid w:val="1C5773CB"/>
    <w:rsid w:val="1C5F6D67"/>
    <w:rsid w:val="1C646FED"/>
    <w:rsid w:val="1C7020CB"/>
    <w:rsid w:val="1C7C60E2"/>
    <w:rsid w:val="1C861D86"/>
    <w:rsid w:val="1C9325FA"/>
    <w:rsid w:val="1C9F6277"/>
    <w:rsid w:val="1CB12E70"/>
    <w:rsid w:val="1CB54FBC"/>
    <w:rsid w:val="1CB67720"/>
    <w:rsid w:val="1CB7443F"/>
    <w:rsid w:val="1CBF2475"/>
    <w:rsid w:val="1CC00F43"/>
    <w:rsid w:val="1CC27F18"/>
    <w:rsid w:val="1CCE2454"/>
    <w:rsid w:val="1CCE70FA"/>
    <w:rsid w:val="1CD31210"/>
    <w:rsid w:val="1CD51C99"/>
    <w:rsid w:val="1CD6156D"/>
    <w:rsid w:val="1CD80D2E"/>
    <w:rsid w:val="1CDA5429"/>
    <w:rsid w:val="1CDA7C08"/>
    <w:rsid w:val="1CDC3027"/>
    <w:rsid w:val="1CDF5444"/>
    <w:rsid w:val="1CE33463"/>
    <w:rsid w:val="1CEE68B6"/>
    <w:rsid w:val="1CF245F9"/>
    <w:rsid w:val="1CFA525B"/>
    <w:rsid w:val="1CFE7CC5"/>
    <w:rsid w:val="1CFF32CC"/>
    <w:rsid w:val="1D0428D1"/>
    <w:rsid w:val="1D067052"/>
    <w:rsid w:val="1D083E1C"/>
    <w:rsid w:val="1D087914"/>
    <w:rsid w:val="1D0C4F8F"/>
    <w:rsid w:val="1D0D796C"/>
    <w:rsid w:val="1D0E51AB"/>
    <w:rsid w:val="1D0F292C"/>
    <w:rsid w:val="1D0F39CD"/>
    <w:rsid w:val="1D100F23"/>
    <w:rsid w:val="1D1628DD"/>
    <w:rsid w:val="1D183933"/>
    <w:rsid w:val="1D187DD7"/>
    <w:rsid w:val="1D247B2E"/>
    <w:rsid w:val="1D3D6E21"/>
    <w:rsid w:val="1D3F7112"/>
    <w:rsid w:val="1D440BCC"/>
    <w:rsid w:val="1D4A104F"/>
    <w:rsid w:val="1D5105FE"/>
    <w:rsid w:val="1D566256"/>
    <w:rsid w:val="1D5A219E"/>
    <w:rsid w:val="1D5D57EA"/>
    <w:rsid w:val="1D5E2B68"/>
    <w:rsid w:val="1D682760"/>
    <w:rsid w:val="1D684BFF"/>
    <w:rsid w:val="1D6F3E9B"/>
    <w:rsid w:val="1D70376F"/>
    <w:rsid w:val="1D773AAF"/>
    <w:rsid w:val="1D7777EA"/>
    <w:rsid w:val="1D790876"/>
    <w:rsid w:val="1D7C0366"/>
    <w:rsid w:val="1D81450B"/>
    <w:rsid w:val="1D8151DC"/>
    <w:rsid w:val="1D827D4F"/>
    <w:rsid w:val="1D862C10"/>
    <w:rsid w:val="1D8B7007"/>
    <w:rsid w:val="1D9236E6"/>
    <w:rsid w:val="1D9317D5"/>
    <w:rsid w:val="1D980D8A"/>
    <w:rsid w:val="1D990F18"/>
    <w:rsid w:val="1D994785"/>
    <w:rsid w:val="1D9C1C9E"/>
    <w:rsid w:val="1DA17DCD"/>
    <w:rsid w:val="1DA83D78"/>
    <w:rsid w:val="1DAA1FCD"/>
    <w:rsid w:val="1DAE7300"/>
    <w:rsid w:val="1DB37F40"/>
    <w:rsid w:val="1DBC69B5"/>
    <w:rsid w:val="1DC94A18"/>
    <w:rsid w:val="1DCA7323"/>
    <w:rsid w:val="1DCF11AF"/>
    <w:rsid w:val="1DD43CFE"/>
    <w:rsid w:val="1DD737EE"/>
    <w:rsid w:val="1DE71932"/>
    <w:rsid w:val="1E010982"/>
    <w:rsid w:val="1E067FD0"/>
    <w:rsid w:val="1E131252"/>
    <w:rsid w:val="1E1C296E"/>
    <w:rsid w:val="1E220F0E"/>
    <w:rsid w:val="1E2527AC"/>
    <w:rsid w:val="1E254DA8"/>
    <w:rsid w:val="1E2A7DC2"/>
    <w:rsid w:val="1E2B296F"/>
    <w:rsid w:val="1E3B1FCF"/>
    <w:rsid w:val="1E3B3DBE"/>
    <w:rsid w:val="1E3B5B2B"/>
    <w:rsid w:val="1E455902"/>
    <w:rsid w:val="1E482113"/>
    <w:rsid w:val="1E4A0224"/>
    <w:rsid w:val="1E4A0464"/>
    <w:rsid w:val="1E5135AB"/>
    <w:rsid w:val="1E566A9B"/>
    <w:rsid w:val="1E5B11C2"/>
    <w:rsid w:val="1E625BA4"/>
    <w:rsid w:val="1E685343"/>
    <w:rsid w:val="1E696B3C"/>
    <w:rsid w:val="1E6C2189"/>
    <w:rsid w:val="1E6D7CAF"/>
    <w:rsid w:val="1E6E4153"/>
    <w:rsid w:val="1E6F1C79"/>
    <w:rsid w:val="1E8411D7"/>
    <w:rsid w:val="1E860D4B"/>
    <w:rsid w:val="1E8B091C"/>
    <w:rsid w:val="1E8C6387"/>
    <w:rsid w:val="1E911BEF"/>
    <w:rsid w:val="1E94348E"/>
    <w:rsid w:val="1EA17CFA"/>
    <w:rsid w:val="1EA2204E"/>
    <w:rsid w:val="1EA77665"/>
    <w:rsid w:val="1EA85C77"/>
    <w:rsid w:val="1EA94266"/>
    <w:rsid w:val="1EAC638B"/>
    <w:rsid w:val="1EAF2075"/>
    <w:rsid w:val="1EB37DB8"/>
    <w:rsid w:val="1EB549B3"/>
    <w:rsid w:val="1EBB6C6C"/>
    <w:rsid w:val="1EBF49AE"/>
    <w:rsid w:val="1EC21DA9"/>
    <w:rsid w:val="1EC732BD"/>
    <w:rsid w:val="1ECC0E79"/>
    <w:rsid w:val="1ED76559"/>
    <w:rsid w:val="1EE9292A"/>
    <w:rsid w:val="1EEC6E65"/>
    <w:rsid w:val="1F065805"/>
    <w:rsid w:val="1F0717E1"/>
    <w:rsid w:val="1F095C2A"/>
    <w:rsid w:val="1F0B6573"/>
    <w:rsid w:val="1F10520A"/>
    <w:rsid w:val="1F122490"/>
    <w:rsid w:val="1F1866B4"/>
    <w:rsid w:val="1F274071"/>
    <w:rsid w:val="1F2D3EE7"/>
    <w:rsid w:val="1F3031B6"/>
    <w:rsid w:val="1F306B65"/>
    <w:rsid w:val="1F3429E6"/>
    <w:rsid w:val="1F394761"/>
    <w:rsid w:val="1F42113B"/>
    <w:rsid w:val="1F433F60"/>
    <w:rsid w:val="1F453CAA"/>
    <w:rsid w:val="1F4C5B16"/>
    <w:rsid w:val="1F510CDC"/>
    <w:rsid w:val="1F57306A"/>
    <w:rsid w:val="1F58672D"/>
    <w:rsid w:val="1F5C21FD"/>
    <w:rsid w:val="1F621928"/>
    <w:rsid w:val="1F6826DC"/>
    <w:rsid w:val="1F705CA9"/>
    <w:rsid w:val="1F721A21"/>
    <w:rsid w:val="1F75506D"/>
    <w:rsid w:val="1F7F116C"/>
    <w:rsid w:val="1F817EB6"/>
    <w:rsid w:val="1F837CBF"/>
    <w:rsid w:val="1F841754"/>
    <w:rsid w:val="1F975732"/>
    <w:rsid w:val="1F9A2CFD"/>
    <w:rsid w:val="1F9C1C18"/>
    <w:rsid w:val="1F9C64CE"/>
    <w:rsid w:val="1FA40111"/>
    <w:rsid w:val="1FA82BC2"/>
    <w:rsid w:val="1FAB4F33"/>
    <w:rsid w:val="1FB137B2"/>
    <w:rsid w:val="1FB45C7C"/>
    <w:rsid w:val="1FBA6F24"/>
    <w:rsid w:val="1FBF6C2C"/>
    <w:rsid w:val="1FC73B9A"/>
    <w:rsid w:val="1FD06747"/>
    <w:rsid w:val="1FD20DA4"/>
    <w:rsid w:val="1FD46237"/>
    <w:rsid w:val="1FE44B36"/>
    <w:rsid w:val="1FEE637A"/>
    <w:rsid w:val="1FEF26C4"/>
    <w:rsid w:val="1FF56E00"/>
    <w:rsid w:val="1FF959D3"/>
    <w:rsid w:val="20022A1A"/>
    <w:rsid w:val="200C67DD"/>
    <w:rsid w:val="20120B0E"/>
    <w:rsid w:val="20127FCD"/>
    <w:rsid w:val="201362E7"/>
    <w:rsid w:val="20157DC4"/>
    <w:rsid w:val="20182154"/>
    <w:rsid w:val="201A0C7D"/>
    <w:rsid w:val="201F2DDD"/>
    <w:rsid w:val="202069BA"/>
    <w:rsid w:val="202D1DEC"/>
    <w:rsid w:val="202F2518"/>
    <w:rsid w:val="203109E5"/>
    <w:rsid w:val="203117E9"/>
    <w:rsid w:val="20314407"/>
    <w:rsid w:val="20322137"/>
    <w:rsid w:val="203D0CD3"/>
    <w:rsid w:val="204B5225"/>
    <w:rsid w:val="20522205"/>
    <w:rsid w:val="20564E9E"/>
    <w:rsid w:val="205D090C"/>
    <w:rsid w:val="20682939"/>
    <w:rsid w:val="20721DF5"/>
    <w:rsid w:val="207277FE"/>
    <w:rsid w:val="207C0588"/>
    <w:rsid w:val="208512E0"/>
    <w:rsid w:val="20856C7D"/>
    <w:rsid w:val="20875058"/>
    <w:rsid w:val="208C3AFA"/>
    <w:rsid w:val="208F03B0"/>
    <w:rsid w:val="209239FD"/>
    <w:rsid w:val="209617EF"/>
    <w:rsid w:val="20971013"/>
    <w:rsid w:val="20A4708F"/>
    <w:rsid w:val="20B006CB"/>
    <w:rsid w:val="20B97912"/>
    <w:rsid w:val="20BA4E89"/>
    <w:rsid w:val="20BB11A5"/>
    <w:rsid w:val="20BD1908"/>
    <w:rsid w:val="20BE47F2"/>
    <w:rsid w:val="20C63AE1"/>
    <w:rsid w:val="20C718F8"/>
    <w:rsid w:val="20C742D6"/>
    <w:rsid w:val="20D31457"/>
    <w:rsid w:val="20D83B05"/>
    <w:rsid w:val="20E029BA"/>
    <w:rsid w:val="20E802BA"/>
    <w:rsid w:val="20EA01C4"/>
    <w:rsid w:val="20EA1F62"/>
    <w:rsid w:val="20EA55E7"/>
    <w:rsid w:val="20EB02CA"/>
    <w:rsid w:val="20EB4E1A"/>
    <w:rsid w:val="20EF35E8"/>
    <w:rsid w:val="20EF4493"/>
    <w:rsid w:val="20F070A1"/>
    <w:rsid w:val="210A7749"/>
    <w:rsid w:val="21115269"/>
    <w:rsid w:val="21121E38"/>
    <w:rsid w:val="2112799E"/>
    <w:rsid w:val="2113462E"/>
    <w:rsid w:val="211A0471"/>
    <w:rsid w:val="212C4C52"/>
    <w:rsid w:val="21323553"/>
    <w:rsid w:val="213663E1"/>
    <w:rsid w:val="213960B7"/>
    <w:rsid w:val="213C47A6"/>
    <w:rsid w:val="213D197A"/>
    <w:rsid w:val="214617D8"/>
    <w:rsid w:val="214A6377"/>
    <w:rsid w:val="214B42B4"/>
    <w:rsid w:val="214B42D7"/>
    <w:rsid w:val="214B6D4C"/>
    <w:rsid w:val="215277DE"/>
    <w:rsid w:val="21547189"/>
    <w:rsid w:val="21576A6A"/>
    <w:rsid w:val="215E2E66"/>
    <w:rsid w:val="21630741"/>
    <w:rsid w:val="217016BE"/>
    <w:rsid w:val="21741D06"/>
    <w:rsid w:val="217961F5"/>
    <w:rsid w:val="217A2887"/>
    <w:rsid w:val="218A7CDE"/>
    <w:rsid w:val="218B39F0"/>
    <w:rsid w:val="21902632"/>
    <w:rsid w:val="219B4CCB"/>
    <w:rsid w:val="219D08AB"/>
    <w:rsid w:val="21AB4A3D"/>
    <w:rsid w:val="21B836A9"/>
    <w:rsid w:val="21BA4448"/>
    <w:rsid w:val="21C04848"/>
    <w:rsid w:val="21CB366A"/>
    <w:rsid w:val="21CE1561"/>
    <w:rsid w:val="21D94524"/>
    <w:rsid w:val="21E21860"/>
    <w:rsid w:val="21F22A09"/>
    <w:rsid w:val="21F36C2E"/>
    <w:rsid w:val="21F8464F"/>
    <w:rsid w:val="21FB3E29"/>
    <w:rsid w:val="21FE134A"/>
    <w:rsid w:val="22006ABB"/>
    <w:rsid w:val="22036CED"/>
    <w:rsid w:val="22065492"/>
    <w:rsid w:val="22086D5F"/>
    <w:rsid w:val="220A23E4"/>
    <w:rsid w:val="220B6F2C"/>
    <w:rsid w:val="22105521"/>
    <w:rsid w:val="22127D94"/>
    <w:rsid w:val="2219008B"/>
    <w:rsid w:val="221943D6"/>
    <w:rsid w:val="22197164"/>
    <w:rsid w:val="221E6AC9"/>
    <w:rsid w:val="222334A6"/>
    <w:rsid w:val="222734EC"/>
    <w:rsid w:val="22291DDB"/>
    <w:rsid w:val="222B4109"/>
    <w:rsid w:val="222F1E4B"/>
    <w:rsid w:val="223B689D"/>
    <w:rsid w:val="223C5356"/>
    <w:rsid w:val="223E5BEA"/>
    <w:rsid w:val="22405E06"/>
    <w:rsid w:val="224D22D1"/>
    <w:rsid w:val="22576CAC"/>
    <w:rsid w:val="22577E9D"/>
    <w:rsid w:val="225A171B"/>
    <w:rsid w:val="225A547C"/>
    <w:rsid w:val="225B5797"/>
    <w:rsid w:val="225C1B8B"/>
    <w:rsid w:val="226A7B50"/>
    <w:rsid w:val="226B29C3"/>
    <w:rsid w:val="226C2CA6"/>
    <w:rsid w:val="2273006A"/>
    <w:rsid w:val="22735ACB"/>
    <w:rsid w:val="22791318"/>
    <w:rsid w:val="227D1357"/>
    <w:rsid w:val="227F3541"/>
    <w:rsid w:val="227F5DD8"/>
    <w:rsid w:val="228D6B72"/>
    <w:rsid w:val="22971DEB"/>
    <w:rsid w:val="229D5613"/>
    <w:rsid w:val="229E5854"/>
    <w:rsid w:val="229F30BB"/>
    <w:rsid w:val="229F6964"/>
    <w:rsid w:val="22A243CB"/>
    <w:rsid w:val="22A73404"/>
    <w:rsid w:val="22A74473"/>
    <w:rsid w:val="22AA1450"/>
    <w:rsid w:val="22AA194C"/>
    <w:rsid w:val="22AA7E1E"/>
    <w:rsid w:val="22B45EAC"/>
    <w:rsid w:val="22CC31F6"/>
    <w:rsid w:val="22CF3CDA"/>
    <w:rsid w:val="22D629CA"/>
    <w:rsid w:val="22D8603F"/>
    <w:rsid w:val="22E319F7"/>
    <w:rsid w:val="22E5250A"/>
    <w:rsid w:val="22E92FB8"/>
    <w:rsid w:val="22EC6B17"/>
    <w:rsid w:val="22EF2060"/>
    <w:rsid w:val="22EF5136"/>
    <w:rsid w:val="22F15272"/>
    <w:rsid w:val="2303009E"/>
    <w:rsid w:val="230D7B6D"/>
    <w:rsid w:val="231132FF"/>
    <w:rsid w:val="23183019"/>
    <w:rsid w:val="231F5D2B"/>
    <w:rsid w:val="232079E6"/>
    <w:rsid w:val="23243032"/>
    <w:rsid w:val="232F3BA6"/>
    <w:rsid w:val="23307C29"/>
    <w:rsid w:val="23321A81"/>
    <w:rsid w:val="235012F5"/>
    <w:rsid w:val="23581DF3"/>
    <w:rsid w:val="23623B5A"/>
    <w:rsid w:val="23636E2B"/>
    <w:rsid w:val="236A6CF0"/>
    <w:rsid w:val="23704BA9"/>
    <w:rsid w:val="23767606"/>
    <w:rsid w:val="237678AA"/>
    <w:rsid w:val="2379775D"/>
    <w:rsid w:val="238F24D8"/>
    <w:rsid w:val="23944A7B"/>
    <w:rsid w:val="239864BD"/>
    <w:rsid w:val="239947B9"/>
    <w:rsid w:val="239B10BB"/>
    <w:rsid w:val="239E2206"/>
    <w:rsid w:val="23AD0555"/>
    <w:rsid w:val="23B148E2"/>
    <w:rsid w:val="23C21C08"/>
    <w:rsid w:val="23D5257E"/>
    <w:rsid w:val="23D700A4"/>
    <w:rsid w:val="23D82812"/>
    <w:rsid w:val="23D8346C"/>
    <w:rsid w:val="23D84773"/>
    <w:rsid w:val="23D8777A"/>
    <w:rsid w:val="23E52427"/>
    <w:rsid w:val="23E71185"/>
    <w:rsid w:val="23E85E15"/>
    <w:rsid w:val="23EF2B7E"/>
    <w:rsid w:val="23F016A2"/>
    <w:rsid w:val="23F376B7"/>
    <w:rsid w:val="23F44ED4"/>
    <w:rsid w:val="23FD2161"/>
    <w:rsid w:val="23FD6E50"/>
    <w:rsid w:val="23FE3401"/>
    <w:rsid w:val="24013373"/>
    <w:rsid w:val="240F5C1B"/>
    <w:rsid w:val="240F5CB6"/>
    <w:rsid w:val="241D402C"/>
    <w:rsid w:val="2423778D"/>
    <w:rsid w:val="243D1692"/>
    <w:rsid w:val="244008F1"/>
    <w:rsid w:val="244140D2"/>
    <w:rsid w:val="24467E41"/>
    <w:rsid w:val="24491132"/>
    <w:rsid w:val="24507E57"/>
    <w:rsid w:val="245B3B5C"/>
    <w:rsid w:val="245C4A4D"/>
    <w:rsid w:val="246851A0"/>
    <w:rsid w:val="246C3480"/>
    <w:rsid w:val="246F652F"/>
    <w:rsid w:val="247023F2"/>
    <w:rsid w:val="24704055"/>
    <w:rsid w:val="2472648D"/>
    <w:rsid w:val="24733DEA"/>
    <w:rsid w:val="247578BD"/>
    <w:rsid w:val="2477721B"/>
    <w:rsid w:val="247E2C16"/>
    <w:rsid w:val="247E6772"/>
    <w:rsid w:val="24833D88"/>
    <w:rsid w:val="24861ACA"/>
    <w:rsid w:val="249661B1"/>
    <w:rsid w:val="24985DA7"/>
    <w:rsid w:val="249A1A6B"/>
    <w:rsid w:val="249A6118"/>
    <w:rsid w:val="24A969C4"/>
    <w:rsid w:val="24AA7567"/>
    <w:rsid w:val="24BB1FD8"/>
    <w:rsid w:val="24BE74B6"/>
    <w:rsid w:val="24BF215E"/>
    <w:rsid w:val="24C05D6D"/>
    <w:rsid w:val="24CF38A9"/>
    <w:rsid w:val="24D23C9C"/>
    <w:rsid w:val="24ED6857"/>
    <w:rsid w:val="24EE6FBD"/>
    <w:rsid w:val="24F001C4"/>
    <w:rsid w:val="24F353B2"/>
    <w:rsid w:val="24F86524"/>
    <w:rsid w:val="24F904EE"/>
    <w:rsid w:val="24FA4BE3"/>
    <w:rsid w:val="24FB6014"/>
    <w:rsid w:val="2501017D"/>
    <w:rsid w:val="2501732F"/>
    <w:rsid w:val="25042435"/>
    <w:rsid w:val="250A5532"/>
    <w:rsid w:val="25145328"/>
    <w:rsid w:val="25195BF6"/>
    <w:rsid w:val="251B0465"/>
    <w:rsid w:val="252217F3"/>
    <w:rsid w:val="252D30DC"/>
    <w:rsid w:val="252F0691"/>
    <w:rsid w:val="25315EDA"/>
    <w:rsid w:val="25393756"/>
    <w:rsid w:val="253C2302"/>
    <w:rsid w:val="253E63EB"/>
    <w:rsid w:val="254B4E37"/>
    <w:rsid w:val="254F0B82"/>
    <w:rsid w:val="25537674"/>
    <w:rsid w:val="25565941"/>
    <w:rsid w:val="255676EF"/>
    <w:rsid w:val="255F11D7"/>
    <w:rsid w:val="256242E5"/>
    <w:rsid w:val="25673A5B"/>
    <w:rsid w:val="25773499"/>
    <w:rsid w:val="257768A5"/>
    <w:rsid w:val="25787665"/>
    <w:rsid w:val="258904E5"/>
    <w:rsid w:val="25951FC5"/>
    <w:rsid w:val="259F2E44"/>
    <w:rsid w:val="25A05602"/>
    <w:rsid w:val="25A302BA"/>
    <w:rsid w:val="25A62424"/>
    <w:rsid w:val="25AA2900"/>
    <w:rsid w:val="25B82B80"/>
    <w:rsid w:val="25BB35C5"/>
    <w:rsid w:val="25C1499B"/>
    <w:rsid w:val="25C56630"/>
    <w:rsid w:val="25C603D0"/>
    <w:rsid w:val="25CE08CA"/>
    <w:rsid w:val="25D1537F"/>
    <w:rsid w:val="25DB5394"/>
    <w:rsid w:val="25E604E0"/>
    <w:rsid w:val="25ED5E58"/>
    <w:rsid w:val="25EF583A"/>
    <w:rsid w:val="25F077EA"/>
    <w:rsid w:val="25F464C3"/>
    <w:rsid w:val="25F47529"/>
    <w:rsid w:val="25FA62CC"/>
    <w:rsid w:val="2601765A"/>
    <w:rsid w:val="26026E9C"/>
    <w:rsid w:val="260D4251"/>
    <w:rsid w:val="260F68D2"/>
    <w:rsid w:val="2616406B"/>
    <w:rsid w:val="261E3E24"/>
    <w:rsid w:val="26233A75"/>
    <w:rsid w:val="26241C37"/>
    <w:rsid w:val="26297314"/>
    <w:rsid w:val="26301CEE"/>
    <w:rsid w:val="264634D2"/>
    <w:rsid w:val="26530E12"/>
    <w:rsid w:val="265E4AAD"/>
    <w:rsid w:val="26617176"/>
    <w:rsid w:val="266A5EAB"/>
    <w:rsid w:val="266B71CA"/>
    <w:rsid w:val="267017DF"/>
    <w:rsid w:val="267243CA"/>
    <w:rsid w:val="2677489A"/>
    <w:rsid w:val="267B07EE"/>
    <w:rsid w:val="267C13D7"/>
    <w:rsid w:val="267E5188"/>
    <w:rsid w:val="268732F1"/>
    <w:rsid w:val="26964247"/>
    <w:rsid w:val="2698180C"/>
    <w:rsid w:val="269A360B"/>
    <w:rsid w:val="269B6CA4"/>
    <w:rsid w:val="26B2676D"/>
    <w:rsid w:val="26B648E9"/>
    <w:rsid w:val="26BB1EFF"/>
    <w:rsid w:val="26BB2FF0"/>
    <w:rsid w:val="26CC6DAE"/>
    <w:rsid w:val="26DB1108"/>
    <w:rsid w:val="26DD3326"/>
    <w:rsid w:val="26E03714"/>
    <w:rsid w:val="26E07A13"/>
    <w:rsid w:val="26EF7DFB"/>
    <w:rsid w:val="26FB55E0"/>
    <w:rsid w:val="26FB7E82"/>
    <w:rsid w:val="26FE0477"/>
    <w:rsid w:val="270278E7"/>
    <w:rsid w:val="27062D33"/>
    <w:rsid w:val="270A5E16"/>
    <w:rsid w:val="271C6CEB"/>
    <w:rsid w:val="27247AA4"/>
    <w:rsid w:val="27264508"/>
    <w:rsid w:val="27275308"/>
    <w:rsid w:val="272B69DA"/>
    <w:rsid w:val="27300FF9"/>
    <w:rsid w:val="27306961"/>
    <w:rsid w:val="27346B8F"/>
    <w:rsid w:val="273E7F40"/>
    <w:rsid w:val="27435A51"/>
    <w:rsid w:val="27452AAD"/>
    <w:rsid w:val="275D2FB6"/>
    <w:rsid w:val="27627884"/>
    <w:rsid w:val="276471EB"/>
    <w:rsid w:val="27653C19"/>
    <w:rsid w:val="276C6AAD"/>
    <w:rsid w:val="276F1C0A"/>
    <w:rsid w:val="277A535B"/>
    <w:rsid w:val="27815711"/>
    <w:rsid w:val="27921D05"/>
    <w:rsid w:val="27B11893"/>
    <w:rsid w:val="27B25C5D"/>
    <w:rsid w:val="27B301F5"/>
    <w:rsid w:val="27B343EB"/>
    <w:rsid w:val="27B917D9"/>
    <w:rsid w:val="27BB67F2"/>
    <w:rsid w:val="27C2106B"/>
    <w:rsid w:val="27C22E19"/>
    <w:rsid w:val="27CB7F20"/>
    <w:rsid w:val="27CE17BE"/>
    <w:rsid w:val="27D112AE"/>
    <w:rsid w:val="27D66A0D"/>
    <w:rsid w:val="27D75C67"/>
    <w:rsid w:val="27D95470"/>
    <w:rsid w:val="27DD3E45"/>
    <w:rsid w:val="27DF1C1D"/>
    <w:rsid w:val="27E03472"/>
    <w:rsid w:val="27E7741F"/>
    <w:rsid w:val="27E965F8"/>
    <w:rsid w:val="27EE38FE"/>
    <w:rsid w:val="27EE440B"/>
    <w:rsid w:val="27EF7920"/>
    <w:rsid w:val="27F0062F"/>
    <w:rsid w:val="27F01B2B"/>
    <w:rsid w:val="27F33EE4"/>
    <w:rsid w:val="27F409D5"/>
    <w:rsid w:val="28017DE6"/>
    <w:rsid w:val="2802590C"/>
    <w:rsid w:val="280612FE"/>
    <w:rsid w:val="280C5045"/>
    <w:rsid w:val="280D0DD8"/>
    <w:rsid w:val="280D43ED"/>
    <w:rsid w:val="28125B4F"/>
    <w:rsid w:val="281774F5"/>
    <w:rsid w:val="281F026C"/>
    <w:rsid w:val="282615FA"/>
    <w:rsid w:val="282F4953"/>
    <w:rsid w:val="28304227"/>
    <w:rsid w:val="28342F2F"/>
    <w:rsid w:val="2845433C"/>
    <w:rsid w:val="28464198"/>
    <w:rsid w:val="284A1C4B"/>
    <w:rsid w:val="284B2E0F"/>
    <w:rsid w:val="284C629E"/>
    <w:rsid w:val="285409FA"/>
    <w:rsid w:val="285443B9"/>
    <w:rsid w:val="28575C58"/>
    <w:rsid w:val="285D1191"/>
    <w:rsid w:val="285F1FD2"/>
    <w:rsid w:val="286345FC"/>
    <w:rsid w:val="286839C1"/>
    <w:rsid w:val="28690923"/>
    <w:rsid w:val="28771E56"/>
    <w:rsid w:val="28786FFD"/>
    <w:rsid w:val="287F70C8"/>
    <w:rsid w:val="28822F06"/>
    <w:rsid w:val="2886653D"/>
    <w:rsid w:val="28880DF6"/>
    <w:rsid w:val="28921CDC"/>
    <w:rsid w:val="289D1D9F"/>
    <w:rsid w:val="289E0BE5"/>
    <w:rsid w:val="28A07DA6"/>
    <w:rsid w:val="28A12C95"/>
    <w:rsid w:val="28AD37B2"/>
    <w:rsid w:val="28B041DE"/>
    <w:rsid w:val="28B96D7F"/>
    <w:rsid w:val="28BC3D0D"/>
    <w:rsid w:val="28C4446D"/>
    <w:rsid w:val="28C50E13"/>
    <w:rsid w:val="28C976D2"/>
    <w:rsid w:val="28CD36A6"/>
    <w:rsid w:val="28E05C4D"/>
    <w:rsid w:val="28E868B0"/>
    <w:rsid w:val="28EA2628"/>
    <w:rsid w:val="28EF49A4"/>
    <w:rsid w:val="28F507E0"/>
    <w:rsid w:val="28F9286B"/>
    <w:rsid w:val="28FE0A0E"/>
    <w:rsid w:val="28FF1471"/>
    <w:rsid w:val="28FF3418"/>
    <w:rsid w:val="29015BC3"/>
    <w:rsid w:val="290424DB"/>
    <w:rsid w:val="290731DA"/>
    <w:rsid w:val="290C43B0"/>
    <w:rsid w:val="290D7D10"/>
    <w:rsid w:val="291612ED"/>
    <w:rsid w:val="29180602"/>
    <w:rsid w:val="29192F0D"/>
    <w:rsid w:val="292178F6"/>
    <w:rsid w:val="292264E0"/>
    <w:rsid w:val="29286333"/>
    <w:rsid w:val="292A728C"/>
    <w:rsid w:val="29386107"/>
    <w:rsid w:val="29394CEC"/>
    <w:rsid w:val="294D5D35"/>
    <w:rsid w:val="294F692F"/>
    <w:rsid w:val="29501316"/>
    <w:rsid w:val="29613FA7"/>
    <w:rsid w:val="296F1718"/>
    <w:rsid w:val="29720F92"/>
    <w:rsid w:val="29725FA9"/>
    <w:rsid w:val="297D16EE"/>
    <w:rsid w:val="298A5BB9"/>
    <w:rsid w:val="29905D8B"/>
    <w:rsid w:val="2991644E"/>
    <w:rsid w:val="29964799"/>
    <w:rsid w:val="2996630C"/>
    <w:rsid w:val="2999687A"/>
    <w:rsid w:val="29A22E9A"/>
    <w:rsid w:val="29A22F02"/>
    <w:rsid w:val="29AC3294"/>
    <w:rsid w:val="29AF6A79"/>
    <w:rsid w:val="29B15C29"/>
    <w:rsid w:val="29BA46F0"/>
    <w:rsid w:val="29C53C70"/>
    <w:rsid w:val="29C664AF"/>
    <w:rsid w:val="29C70BBB"/>
    <w:rsid w:val="29C966E1"/>
    <w:rsid w:val="29D42826"/>
    <w:rsid w:val="29E17ECF"/>
    <w:rsid w:val="29E26E7A"/>
    <w:rsid w:val="29E7769C"/>
    <w:rsid w:val="29EB19A2"/>
    <w:rsid w:val="29EC7864"/>
    <w:rsid w:val="29EF7509"/>
    <w:rsid w:val="29F06E6F"/>
    <w:rsid w:val="29F174B1"/>
    <w:rsid w:val="29FD282F"/>
    <w:rsid w:val="2A0911D4"/>
    <w:rsid w:val="2A0A1BE0"/>
    <w:rsid w:val="2A0B4F4C"/>
    <w:rsid w:val="2A106F1F"/>
    <w:rsid w:val="2A110088"/>
    <w:rsid w:val="2A143BA5"/>
    <w:rsid w:val="2A16738C"/>
    <w:rsid w:val="2A17569E"/>
    <w:rsid w:val="2A1B4A63"/>
    <w:rsid w:val="2A1F176D"/>
    <w:rsid w:val="2A216FA0"/>
    <w:rsid w:val="2A261D85"/>
    <w:rsid w:val="2A2978A7"/>
    <w:rsid w:val="2A2C5E20"/>
    <w:rsid w:val="2A2F1F1E"/>
    <w:rsid w:val="2A3E0295"/>
    <w:rsid w:val="2A3F69A3"/>
    <w:rsid w:val="2A401D9D"/>
    <w:rsid w:val="2A443655"/>
    <w:rsid w:val="2A467D32"/>
    <w:rsid w:val="2A473AAA"/>
    <w:rsid w:val="2A510485"/>
    <w:rsid w:val="2A5E426D"/>
    <w:rsid w:val="2A61691A"/>
    <w:rsid w:val="2A663F30"/>
    <w:rsid w:val="2A701253"/>
    <w:rsid w:val="2A713C7F"/>
    <w:rsid w:val="2A7147D9"/>
    <w:rsid w:val="2A75037D"/>
    <w:rsid w:val="2A78126D"/>
    <w:rsid w:val="2A783938"/>
    <w:rsid w:val="2A7E4C21"/>
    <w:rsid w:val="2A7F214F"/>
    <w:rsid w:val="2A816DE6"/>
    <w:rsid w:val="2A832D10"/>
    <w:rsid w:val="2A8416C3"/>
    <w:rsid w:val="2A873F66"/>
    <w:rsid w:val="2A8947DB"/>
    <w:rsid w:val="2A8D1AFD"/>
    <w:rsid w:val="2A8E3487"/>
    <w:rsid w:val="2A8F6FEE"/>
    <w:rsid w:val="2A921248"/>
    <w:rsid w:val="2A922F77"/>
    <w:rsid w:val="2A9271E7"/>
    <w:rsid w:val="2A965385"/>
    <w:rsid w:val="2A97233B"/>
    <w:rsid w:val="2A972457"/>
    <w:rsid w:val="2A981BB1"/>
    <w:rsid w:val="2AA1140C"/>
    <w:rsid w:val="2AA8279A"/>
    <w:rsid w:val="2AB00E6E"/>
    <w:rsid w:val="2AB40FBA"/>
    <w:rsid w:val="2AB41D0B"/>
    <w:rsid w:val="2AE17A5A"/>
    <w:rsid w:val="2AE632C3"/>
    <w:rsid w:val="2AE729DA"/>
    <w:rsid w:val="2AEE0A48"/>
    <w:rsid w:val="2AF1047D"/>
    <w:rsid w:val="2AF91248"/>
    <w:rsid w:val="2AF92FF6"/>
    <w:rsid w:val="2AFE060C"/>
    <w:rsid w:val="2AFE7F0C"/>
    <w:rsid w:val="2B0379D1"/>
    <w:rsid w:val="2B0A3ECC"/>
    <w:rsid w:val="2B1971F4"/>
    <w:rsid w:val="2B253DEB"/>
    <w:rsid w:val="2B294DB1"/>
    <w:rsid w:val="2B33447D"/>
    <w:rsid w:val="2B3C0196"/>
    <w:rsid w:val="2B3E5D0E"/>
    <w:rsid w:val="2B5621F6"/>
    <w:rsid w:val="2B567AF0"/>
    <w:rsid w:val="2B5C5333"/>
    <w:rsid w:val="2B603075"/>
    <w:rsid w:val="2B610732"/>
    <w:rsid w:val="2B7D025F"/>
    <w:rsid w:val="2B886128"/>
    <w:rsid w:val="2B9335DC"/>
    <w:rsid w:val="2B983ECA"/>
    <w:rsid w:val="2B9B22FF"/>
    <w:rsid w:val="2BA75ECB"/>
    <w:rsid w:val="2BAA2542"/>
    <w:rsid w:val="2BBD71D9"/>
    <w:rsid w:val="2BCB64AE"/>
    <w:rsid w:val="2BCD7BD5"/>
    <w:rsid w:val="2BD1187D"/>
    <w:rsid w:val="2BD56AC3"/>
    <w:rsid w:val="2BD92CCC"/>
    <w:rsid w:val="2BE3340F"/>
    <w:rsid w:val="2BE73D2C"/>
    <w:rsid w:val="2BEA0B91"/>
    <w:rsid w:val="2BEB6DE3"/>
    <w:rsid w:val="2BEE1499"/>
    <w:rsid w:val="2BEE5CA9"/>
    <w:rsid w:val="2BF612E4"/>
    <w:rsid w:val="2BF71D69"/>
    <w:rsid w:val="2BFB575E"/>
    <w:rsid w:val="2C035777"/>
    <w:rsid w:val="2C0E6DA4"/>
    <w:rsid w:val="2C0E70A9"/>
    <w:rsid w:val="2C0E7286"/>
    <w:rsid w:val="2C1339D0"/>
    <w:rsid w:val="2C1F1AC9"/>
    <w:rsid w:val="2C236410"/>
    <w:rsid w:val="2C251BC9"/>
    <w:rsid w:val="2C275941"/>
    <w:rsid w:val="2C2A243C"/>
    <w:rsid w:val="2C304F8C"/>
    <w:rsid w:val="2C4A329A"/>
    <w:rsid w:val="2C4B0C83"/>
    <w:rsid w:val="2C4B162F"/>
    <w:rsid w:val="2C4E1904"/>
    <w:rsid w:val="2C4F180B"/>
    <w:rsid w:val="2C5016D4"/>
    <w:rsid w:val="2C623873"/>
    <w:rsid w:val="2C673F8F"/>
    <w:rsid w:val="2C6E286E"/>
    <w:rsid w:val="2C6F788B"/>
    <w:rsid w:val="2C7963E8"/>
    <w:rsid w:val="2C7F39CF"/>
    <w:rsid w:val="2C817F6A"/>
    <w:rsid w:val="2C82199F"/>
    <w:rsid w:val="2C822C4A"/>
    <w:rsid w:val="2C8479B6"/>
    <w:rsid w:val="2C8949FE"/>
    <w:rsid w:val="2C90798A"/>
    <w:rsid w:val="2C9254B0"/>
    <w:rsid w:val="2C994A91"/>
    <w:rsid w:val="2C9A4365"/>
    <w:rsid w:val="2CA54C62"/>
    <w:rsid w:val="2CAA1BF4"/>
    <w:rsid w:val="2CB24425"/>
    <w:rsid w:val="2CB82A3D"/>
    <w:rsid w:val="2CC1414B"/>
    <w:rsid w:val="2CC901ED"/>
    <w:rsid w:val="2CCB451E"/>
    <w:rsid w:val="2CD56B9F"/>
    <w:rsid w:val="2CD62E42"/>
    <w:rsid w:val="2CD63A16"/>
    <w:rsid w:val="2CDC08C3"/>
    <w:rsid w:val="2CE675AA"/>
    <w:rsid w:val="2CE7730B"/>
    <w:rsid w:val="2CEE1257"/>
    <w:rsid w:val="2CEF2903"/>
    <w:rsid w:val="2CFD5684"/>
    <w:rsid w:val="2D042986"/>
    <w:rsid w:val="2D0C1B61"/>
    <w:rsid w:val="2D186DEB"/>
    <w:rsid w:val="2D1E19DF"/>
    <w:rsid w:val="2D2D342B"/>
    <w:rsid w:val="2D320D31"/>
    <w:rsid w:val="2D354363"/>
    <w:rsid w:val="2D3F044C"/>
    <w:rsid w:val="2D47136C"/>
    <w:rsid w:val="2D4744ED"/>
    <w:rsid w:val="2D546C0A"/>
    <w:rsid w:val="2D5504D7"/>
    <w:rsid w:val="2D5664DE"/>
    <w:rsid w:val="2D5E5392"/>
    <w:rsid w:val="2D626C0E"/>
    <w:rsid w:val="2D636E4D"/>
    <w:rsid w:val="2D6410DD"/>
    <w:rsid w:val="2D6918FE"/>
    <w:rsid w:val="2D722E96"/>
    <w:rsid w:val="2D780B50"/>
    <w:rsid w:val="2D7D7839"/>
    <w:rsid w:val="2D875713"/>
    <w:rsid w:val="2D8C01F5"/>
    <w:rsid w:val="2D8D245B"/>
    <w:rsid w:val="2D92328E"/>
    <w:rsid w:val="2D937732"/>
    <w:rsid w:val="2D962D7E"/>
    <w:rsid w:val="2D9A6AF9"/>
    <w:rsid w:val="2D9B7F27"/>
    <w:rsid w:val="2DA03BFD"/>
    <w:rsid w:val="2DAC25A2"/>
    <w:rsid w:val="2DAC3CE4"/>
    <w:rsid w:val="2DB24C88"/>
    <w:rsid w:val="2DBB08D7"/>
    <w:rsid w:val="2DC2044B"/>
    <w:rsid w:val="2DC62405"/>
    <w:rsid w:val="2DCA69B9"/>
    <w:rsid w:val="2DD32494"/>
    <w:rsid w:val="2DE00249"/>
    <w:rsid w:val="2DE51610"/>
    <w:rsid w:val="2DE955A4"/>
    <w:rsid w:val="2DF94BAE"/>
    <w:rsid w:val="2DFA6269"/>
    <w:rsid w:val="2E0221C2"/>
    <w:rsid w:val="2E022272"/>
    <w:rsid w:val="2E03257A"/>
    <w:rsid w:val="2E041285"/>
    <w:rsid w:val="2E0979F4"/>
    <w:rsid w:val="2E0C560D"/>
    <w:rsid w:val="2E0F1BDF"/>
    <w:rsid w:val="2E0F5C61"/>
    <w:rsid w:val="2E165C6D"/>
    <w:rsid w:val="2E2170F9"/>
    <w:rsid w:val="2E262354"/>
    <w:rsid w:val="2E2760CC"/>
    <w:rsid w:val="2E291E44"/>
    <w:rsid w:val="2E301AD7"/>
    <w:rsid w:val="2E385BE3"/>
    <w:rsid w:val="2E393A97"/>
    <w:rsid w:val="2E3A195C"/>
    <w:rsid w:val="2E3A2E51"/>
    <w:rsid w:val="2E3A5DFF"/>
    <w:rsid w:val="2E3D4AF1"/>
    <w:rsid w:val="2E4D2C29"/>
    <w:rsid w:val="2E501652"/>
    <w:rsid w:val="2E514DC3"/>
    <w:rsid w:val="2E520D92"/>
    <w:rsid w:val="2E532A1D"/>
    <w:rsid w:val="2E5C3FC8"/>
    <w:rsid w:val="2E60513A"/>
    <w:rsid w:val="2E690493"/>
    <w:rsid w:val="2E6C1D31"/>
    <w:rsid w:val="2E741287"/>
    <w:rsid w:val="2E770CDA"/>
    <w:rsid w:val="2E7F0376"/>
    <w:rsid w:val="2E804559"/>
    <w:rsid w:val="2E8C4181"/>
    <w:rsid w:val="2E924F48"/>
    <w:rsid w:val="2E9279E9"/>
    <w:rsid w:val="2E975000"/>
    <w:rsid w:val="2E9A064C"/>
    <w:rsid w:val="2E9A566C"/>
    <w:rsid w:val="2E9B0AC6"/>
    <w:rsid w:val="2EA43279"/>
    <w:rsid w:val="2EA63495"/>
    <w:rsid w:val="2EB401C1"/>
    <w:rsid w:val="2EB55486"/>
    <w:rsid w:val="2EC04955"/>
    <w:rsid w:val="2EC41B6D"/>
    <w:rsid w:val="2EC753D2"/>
    <w:rsid w:val="2ED26BAD"/>
    <w:rsid w:val="2EDA40AD"/>
    <w:rsid w:val="2EDF0755"/>
    <w:rsid w:val="2EEA497C"/>
    <w:rsid w:val="2EEB0EA8"/>
    <w:rsid w:val="2EF444CA"/>
    <w:rsid w:val="2EF75A9F"/>
    <w:rsid w:val="2EFB298B"/>
    <w:rsid w:val="2F01691D"/>
    <w:rsid w:val="2F0A4903"/>
    <w:rsid w:val="2F0B0FAD"/>
    <w:rsid w:val="2F0E1FB4"/>
    <w:rsid w:val="2F0E4F72"/>
    <w:rsid w:val="2F1679A2"/>
    <w:rsid w:val="2F174C3D"/>
    <w:rsid w:val="2F206E4A"/>
    <w:rsid w:val="2F250E3B"/>
    <w:rsid w:val="2F2B157A"/>
    <w:rsid w:val="2F451C2D"/>
    <w:rsid w:val="2F454A5C"/>
    <w:rsid w:val="2F513423"/>
    <w:rsid w:val="2F541C99"/>
    <w:rsid w:val="2F565A42"/>
    <w:rsid w:val="2F57046A"/>
    <w:rsid w:val="2F5A089B"/>
    <w:rsid w:val="2F612A17"/>
    <w:rsid w:val="2F672985"/>
    <w:rsid w:val="2F682106"/>
    <w:rsid w:val="2F692858"/>
    <w:rsid w:val="2F6A2714"/>
    <w:rsid w:val="2F6D5D61"/>
    <w:rsid w:val="2F740093"/>
    <w:rsid w:val="2F7B66D0"/>
    <w:rsid w:val="2F8376E0"/>
    <w:rsid w:val="2F89769B"/>
    <w:rsid w:val="2F8F20DF"/>
    <w:rsid w:val="2F940399"/>
    <w:rsid w:val="2F9B467C"/>
    <w:rsid w:val="2F9C21A2"/>
    <w:rsid w:val="2FA01C92"/>
    <w:rsid w:val="2FAD69F4"/>
    <w:rsid w:val="2FAE702D"/>
    <w:rsid w:val="2FB2219A"/>
    <w:rsid w:val="2FB43990"/>
    <w:rsid w:val="2FB614B6"/>
    <w:rsid w:val="2FB63AAC"/>
    <w:rsid w:val="2FBD4A1A"/>
    <w:rsid w:val="2FC0489B"/>
    <w:rsid w:val="2FC46619"/>
    <w:rsid w:val="2FC82F97"/>
    <w:rsid w:val="2FCC0CD9"/>
    <w:rsid w:val="2FCF694B"/>
    <w:rsid w:val="2FD472F4"/>
    <w:rsid w:val="2FDA5E67"/>
    <w:rsid w:val="2FDB009E"/>
    <w:rsid w:val="2FDD1780"/>
    <w:rsid w:val="2FE34275"/>
    <w:rsid w:val="2FE9706B"/>
    <w:rsid w:val="2FFB1A6A"/>
    <w:rsid w:val="2FFE7458"/>
    <w:rsid w:val="30000983"/>
    <w:rsid w:val="30006BD5"/>
    <w:rsid w:val="30055990"/>
    <w:rsid w:val="30063EE1"/>
    <w:rsid w:val="300940E0"/>
    <w:rsid w:val="300B6158"/>
    <w:rsid w:val="300C2CDA"/>
    <w:rsid w:val="300D700E"/>
    <w:rsid w:val="300F5CEA"/>
    <w:rsid w:val="30126B4E"/>
    <w:rsid w:val="30143EEF"/>
    <w:rsid w:val="30153346"/>
    <w:rsid w:val="301C0738"/>
    <w:rsid w:val="30233B2A"/>
    <w:rsid w:val="302D30A6"/>
    <w:rsid w:val="302F3B93"/>
    <w:rsid w:val="30376DDC"/>
    <w:rsid w:val="3039312C"/>
    <w:rsid w:val="30403C29"/>
    <w:rsid w:val="304A55B1"/>
    <w:rsid w:val="305807BF"/>
    <w:rsid w:val="305B3A4A"/>
    <w:rsid w:val="30644772"/>
    <w:rsid w:val="30706524"/>
    <w:rsid w:val="30722FEE"/>
    <w:rsid w:val="307A6987"/>
    <w:rsid w:val="307B25E8"/>
    <w:rsid w:val="308642B3"/>
    <w:rsid w:val="30890978"/>
    <w:rsid w:val="309537C1"/>
    <w:rsid w:val="3095556F"/>
    <w:rsid w:val="30AA3658"/>
    <w:rsid w:val="30AE2286"/>
    <w:rsid w:val="30B644A3"/>
    <w:rsid w:val="30CC7D78"/>
    <w:rsid w:val="30CE166B"/>
    <w:rsid w:val="30DB50D5"/>
    <w:rsid w:val="30DD2A72"/>
    <w:rsid w:val="30DD3F27"/>
    <w:rsid w:val="30E107B4"/>
    <w:rsid w:val="30E87D95"/>
    <w:rsid w:val="30EC089E"/>
    <w:rsid w:val="30F027A5"/>
    <w:rsid w:val="30F304E8"/>
    <w:rsid w:val="30F52CFA"/>
    <w:rsid w:val="30FA7AC8"/>
    <w:rsid w:val="31014620"/>
    <w:rsid w:val="310149B3"/>
    <w:rsid w:val="31017ADC"/>
    <w:rsid w:val="310B6B56"/>
    <w:rsid w:val="310E68AD"/>
    <w:rsid w:val="310F6C24"/>
    <w:rsid w:val="3118459C"/>
    <w:rsid w:val="311917B6"/>
    <w:rsid w:val="311A453C"/>
    <w:rsid w:val="31231DD2"/>
    <w:rsid w:val="31263806"/>
    <w:rsid w:val="31274909"/>
    <w:rsid w:val="312F5B44"/>
    <w:rsid w:val="3131279D"/>
    <w:rsid w:val="313A6116"/>
    <w:rsid w:val="313D15C5"/>
    <w:rsid w:val="313F19C4"/>
    <w:rsid w:val="31465BAC"/>
    <w:rsid w:val="314B257E"/>
    <w:rsid w:val="314B328A"/>
    <w:rsid w:val="315045FA"/>
    <w:rsid w:val="31523460"/>
    <w:rsid w:val="315630E8"/>
    <w:rsid w:val="31574285"/>
    <w:rsid w:val="31597B9A"/>
    <w:rsid w:val="315E3A28"/>
    <w:rsid w:val="315F5803"/>
    <w:rsid w:val="3160383C"/>
    <w:rsid w:val="3162469E"/>
    <w:rsid w:val="31695273"/>
    <w:rsid w:val="316A2F37"/>
    <w:rsid w:val="316B62D0"/>
    <w:rsid w:val="316C03DF"/>
    <w:rsid w:val="317062B6"/>
    <w:rsid w:val="317258B0"/>
    <w:rsid w:val="31725D9D"/>
    <w:rsid w:val="31771119"/>
    <w:rsid w:val="3179289B"/>
    <w:rsid w:val="31795FC2"/>
    <w:rsid w:val="317B6181"/>
    <w:rsid w:val="317F50EB"/>
    <w:rsid w:val="31864EB8"/>
    <w:rsid w:val="31864FFD"/>
    <w:rsid w:val="318869AB"/>
    <w:rsid w:val="318B4309"/>
    <w:rsid w:val="318D6246"/>
    <w:rsid w:val="319B4E07"/>
    <w:rsid w:val="319B5AB3"/>
    <w:rsid w:val="31A65BBC"/>
    <w:rsid w:val="31BB24EE"/>
    <w:rsid w:val="31BC3137"/>
    <w:rsid w:val="31BD1974"/>
    <w:rsid w:val="31C27FA8"/>
    <w:rsid w:val="31D125D7"/>
    <w:rsid w:val="31D418BD"/>
    <w:rsid w:val="31D57C0E"/>
    <w:rsid w:val="31D641D8"/>
    <w:rsid w:val="31D75713"/>
    <w:rsid w:val="31DD71CE"/>
    <w:rsid w:val="31E00A6C"/>
    <w:rsid w:val="31E340B8"/>
    <w:rsid w:val="31E61640"/>
    <w:rsid w:val="31EC5663"/>
    <w:rsid w:val="31ED6B4D"/>
    <w:rsid w:val="31F44517"/>
    <w:rsid w:val="31F50B96"/>
    <w:rsid w:val="31F57241"/>
    <w:rsid w:val="32013206"/>
    <w:rsid w:val="3201418F"/>
    <w:rsid w:val="3202637A"/>
    <w:rsid w:val="320704FF"/>
    <w:rsid w:val="32075FF9"/>
    <w:rsid w:val="320843AF"/>
    <w:rsid w:val="32191325"/>
    <w:rsid w:val="321B7CF6"/>
    <w:rsid w:val="321D3A6E"/>
    <w:rsid w:val="32244DFC"/>
    <w:rsid w:val="32245A6E"/>
    <w:rsid w:val="32263DE0"/>
    <w:rsid w:val="322842EF"/>
    <w:rsid w:val="322E468E"/>
    <w:rsid w:val="323443E6"/>
    <w:rsid w:val="32351D9D"/>
    <w:rsid w:val="32430E48"/>
    <w:rsid w:val="324C7EAF"/>
    <w:rsid w:val="324D0BFE"/>
    <w:rsid w:val="32503088"/>
    <w:rsid w:val="32516877"/>
    <w:rsid w:val="3252061C"/>
    <w:rsid w:val="325D3E6B"/>
    <w:rsid w:val="326276D3"/>
    <w:rsid w:val="32634ED6"/>
    <w:rsid w:val="326351F9"/>
    <w:rsid w:val="326F3B9E"/>
    <w:rsid w:val="32722C3D"/>
    <w:rsid w:val="32736509"/>
    <w:rsid w:val="32785148"/>
    <w:rsid w:val="327B181C"/>
    <w:rsid w:val="327B1FC7"/>
    <w:rsid w:val="328E671A"/>
    <w:rsid w:val="32902319"/>
    <w:rsid w:val="32917FB8"/>
    <w:rsid w:val="32976BE6"/>
    <w:rsid w:val="32981347"/>
    <w:rsid w:val="32A47CEB"/>
    <w:rsid w:val="32A71F93"/>
    <w:rsid w:val="32AB773A"/>
    <w:rsid w:val="32B024C8"/>
    <w:rsid w:val="32B75C71"/>
    <w:rsid w:val="32B954BB"/>
    <w:rsid w:val="32BE6D38"/>
    <w:rsid w:val="32C97752"/>
    <w:rsid w:val="32CE034A"/>
    <w:rsid w:val="32CE37B6"/>
    <w:rsid w:val="32CE3F9C"/>
    <w:rsid w:val="32D103B5"/>
    <w:rsid w:val="32D14ADB"/>
    <w:rsid w:val="32D417A9"/>
    <w:rsid w:val="32D54349"/>
    <w:rsid w:val="32D57EA5"/>
    <w:rsid w:val="32DC3334"/>
    <w:rsid w:val="32DF2BCE"/>
    <w:rsid w:val="32E35176"/>
    <w:rsid w:val="32E427DE"/>
    <w:rsid w:val="32ED1692"/>
    <w:rsid w:val="32ED5BC4"/>
    <w:rsid w:val="33016D23"/>
    <w:rsid w:val="33061DB1"/>
    <w:rsid w:val="330771D2"/>
    <w:rsid w:val="3308789D"/>
    <w:rsid w:val="330B463D"/>
    <w:rsid w:val="33155ECA"/>
    <w:rsid w:val="3316226B"/>
    <w:rsid w:val="33177600"/>
    <w:rsid w:val="3323216C"/>
    <w:rsid w:val="332535FA"/>
    <w:rsid w:val="33270F22"/>
    <w:rsid w:val="332C0FF0"/>
    <w:rsid w:val="3333106F"/>
    <w:rsid w:val="333371F3"/>
    <w:rsid w:val="33360887"/>
    <w:rsid w:val="333D0637"/>
    <w:rsid w:val="333D0CEC"/>
    <w:rsid w:val="333F17C2"/>
    <w:rsid w:val="33423060"/>
    <w:rsid w:val="334A3A91"/>
    <w:rsid w:val="334C5311"/>
    <w:rsid w:val="334D56E0"/>
    <w:rsid w:val="334E5EA9"/>
    <w:rsid w:val="3350065B"/>
    <w:rsid w:val="33547F33"/>
    <w:rsid w:val="335740A1"/>
    <w:rsid w:val="3362288A"/>
    <w:rsid w:val="33631E0B"/>
    <w:rsid w:val="33641F81"/>
    <w:rsid w:val="336A4256"/>
    <w:rsid w:val="3374417F"/>
    <w:rsid w:val="33774F37"/>
    <w:rsid w:val="33865643"/>
    <w:rsid w:val="33872C3D"/>
    <w:rsid w:val="338A5133"/>
    <w:rsid w:val="33973635"/>
    <w:rsid w:val="339A78CE"/>
    <w:rsid w:val="339B73B9"/>
    <w:rsid w:val="33A32227"/>
    <w:rsid w:val="33A361F5"/>
    <w:rsid w:val="33A67108"/>
    <w:rsid w:val="33B273BE"/>
    <w:rsid w:val="33B95251"/>
    <w:rsid w:val="33BC2E13"/>
    <w:rsid w:val="33C50529"/>
    <w:rsid w:val="33D04B10"/>
    <w:rsid w:val="33D75164"/>
    <w:rsid w:val="33D94875"/>
    <w:rsid w:val="33DF6B01"/>
    <w:rsid w:val="33ED121E"/>
    <w:rsid w:val="33EF3432"/>
    <w:rsid w:val="33FA5772"/>
    <w:rsid w:val="33FC5A09"/>
    <w:rsid w:val="34000F51"/>
    <w:rsid w:val="34007024"/>
    <w:rsid w:val="34052A0C"/>
    <w:rsid w:val="34067514"/>
    <w:rsid w:val="34086C8B"/>
    <w:rsid w:val="34136117"/>
    <w:rsid w:val="34164C19"/>
    <w:rsid w:val="341B48A9"/>
    <w:rsid w:val="341E106E"/>
    <w:rsid w:val="341E4DC2"/>
    <w:rsid w:val="3423623B"/>
    <w:rsid w:val="34272E4C"/>
    <w:rsid w:val="342A5F2C"/>
    <w:rsid w:val="343126B5"/>
    <w:rsid w:val="34346E4D"/>
    <w:rsid w:val="3441181F"/>
    <w:rsid w:val="344233E9"/>
    <w:rsid w:val="34545741"/>
    <w:rsid w:val="345A2A58"/>
    <w:rsid w:val="34623692"/>
    <w:rsid w:val="34665642"/>
    <w:rsid w:val="346D124D"/>
    <w:rsid w:val="34790D04"/>
    <w:rsid w:val="34796F56"/>
    <w:rsid w:val="34800EF9"/>
    <w:rsid w:val="3480243A"/>
    <w:rsid w:val="3486019B"/>
    <w:rsid w:val="348C03ED"/>
    <w:rsid w:val="3491604D"/>
    <w:rsid w:val="34931A96"/>
    <w:rsid w:val="349561DB"/>
    <w:rsid w:val="34993154"/>
    <w:rsid w:val="349D086A"/>
    <w:rsid w:val="349F7FDC"/>
    <w:rsid w:val="34A03348"/>
    <w:rsid w:val="34A22009"/>
    <w:rsid w:val="34AA5361"/>
    <w:rsid w:val="34AF629B"/>
    <w:rsid w:val="34B02D58"/>
    <w:rsid w:val="34D649FE"/>
    <w:rsid w:val="34DB5BDC"/>
    <w:rsid w:val="34DF2FA2"/>
    <w:rsid w:val="34E206E1"/>
    <w:rsid w:val="34E263DB"/>
    <w:rsid w:val="34EC3AC9"/>
    <w:rsid w:val="34F14D3E"/>
    <w:rsid w:val="34F2533E"/>
    <w:rsid w:val="34F656CE"/>
    <w:rsid w:val="34F767F8"/>
    <w:rsid w:val="35072585"/>
    <w:rsid w:val="35080B6E"/>
    <w:rsid w:val="351533ED"/>
    <w:rsid w:val="3519008F"/>
    <w:rsid w:val="351C4BF8"/>
    <w:rsid w:val="351D7AE8"/>
    <w:rsid w:val="35275802"/>
    <w:rsid w:val="352944D8"/>
    <w:rsid w:val="35301EC3"/>
    <w:rsid w:val="35393682"/>
    <w:rsid w:val="353C420B"/>
    <w:rsid w:val="354168C4"/>
    <w:rsid w:val="3548790C"/>
    <w:rsid w:val="354E3F3E"/>
    <w:rsid w:val="355A6D87"/>
    <w:rsid w:val="355D42E6"/>
    <w:rsid w:val="355E6877"/>
    <w:rsid w:val="35654127"/>
    <w:rsid w:val="356B2D42"/>
    <w:rsid w:val="35731BF7"/>
    <w:rsid w:val="357557F7"/>
    <w:rsid w:val="357A4D33"/>
    <w:rsid w:val="357D1B56"/>
    <w:rsid w:val="357F52BC"/>
    <w:rsid w:val="357F56BE"/>
    <w:rsid w:val="35843E04"/>
    <w:rsid w:val="35861D2A"/>
    <w:rsid w:val="359258CF"/>
    <w:rsid w:val="359779FE"/>
    <w:rsid w:val="35984047"/>
    <w:rsid w:val="359E6503"/>
    <w:rsid w:val="35A3159E"/>
    <w:rsid w:val="35A86C4A"/>
    <w:rsid w:val="35B0680E"/>
    <w:rsid w:val="35B6181A"/>
    <w:rsid w:val="35BC4AD1"/>
    <w:rsid w:val="35BD7658"/>
    <w:rsid w:val="35BE11A8"/>
    <w:rsid w:val="35CD3B05"/>
    <w:rsid w:val="35CE07E8"/>
    <w:rsid w:val="35D450FC"/>
    <w:rsid w:val="35D723E7"/>
    <w:rsid w:val="35E23E2E"/>
    <w:rsid w:val="35E7439C"/>
    <w:rsid w:val="35E96725"/>
    <w:rsid w:val="35EC4FB4"/>
    <w:rsid w:val="35ED2F28"/>
    <w:rsid w:val="35F1149A"/>
    <w:rsid w:val="35F418C0"/>
    <w:rsid w:val="35F42D38"/>
    <w:rsid w:val="35FE5964"/>
    <w:rsid w:val="36025A84"/>
    <w:rsid w:val="360867E3"/>
    <w:rsid w:val="360F7B72"/>
    <w:rsid w:val="361138EA"/>
    <w:rsid w:val="36147018"/>
    <w:rsid w:val="362C24D2"/>
    <w:rsid w:val="362D52F2"/>
    <w:rsid w:val="36315D3A"/>
    <w:rsid w:val="3632560E"/>
    <w:rsid w:val="36360607"/>
    <w:rsid w:val="363C023B"/>
    <w:rsid w:val="363C4DE7"/>
    <w:rsid w:val="363D2F83"/>
    <w:rsid w:val="363E3FB3"/>
    <w:rsid w:val="36455341"/>
    <w:rsid w:val="36486BE0"/>
    <w:rsid w:val="364907A3"/>
    <w:rsid w:val="36571E8A"/>
    <w:rsid w:val="365924BA"/>
    <w:rsid w:val="365E430D"/>
    <w:rsid w:val="3667669B"/>
    <w:rsid w:val="36706B22"/>
    <w:rsid w:val="367865FB"/>
    <w:rsid w:val="367E35EC"/>
    <w:rsid w:val="36835E6A"/>
    <w:rsid w:val="36877708"/>
    <w:rsid w:val="369333B7"/>
    <w:rsid w:val="369F5C48"/>
    <w:rsid w:val="36A35C8D"/>
    <w:rsid w:val="36B97ADD"/>
    <w:rsid w:val="36BE73B3"/>
    <w:rsid w:val="36BF714A"/>
    <w:rsid w:val="36C41988"/>
    <w:rsid w:val="36CC43AF"/>
    <w:rsid w:val="36D13079"/>
    <w:rsid w:val="36DC35FA"/>
    <w:rsid w:val="36DE12F2"/>
    <w:rsid w:val="36E0221D"/>
    <w:rsid w:val="36E0288E"/>
    <w:rsid w:val="36E112E0"/>
    <w:rsid w:val="36E345A3"/>
    <w:rsid w:val="36E67111"/>
    <w:rsid w:val="36E67C80"/>
    <w:rsid w:val="36F2632E"/>
    <w:rsid w:val="37022F00"/>
    <w:rsid w:val="3709636F"/>
    <w:rsid w:val="370F5BF3"/>
    <w:rsid w:val="37117919"/>
    <w:rsid w:val="371F6FE6"/>
    <w:rsid w:val="372B776E"/>
    <w:rsid w:val="372C3876"/>
    <w:rsid w:val="372E2279"/>
    <w:rsid w:val="373762B5"/>
    <w:rsid w:val="373D426B"/>
    <w:rsid w:val="373F01CE"/>
    <w:rsid w:val="37400F91"/>
    <w:rsid w:val="37441A9D"/>
    <w:rsid w:val="37455673"/>
    <w:rsid w:val="37492C0F"/>
    <w:rsid w:val="374B03F6"/>
    <w:rsid w:val="375901B0"/>
    <w:rsid w:val="37592C62"/>
    <w:rsid w:val="375B2943"/>
    <w:rsid w:val="375F1848"/>
    <w:rsid w:val="37672250"/>
    <w:rsid w:val="37695EFA"/>
    <w:rsid w:val="376A7405"/>
    <w:rsid w:val="376B527C"/>
    <w:rsid w:val="376B62D4"/>
    <w:rsid w:val="377063EE"/>
    <w:rsid w:val="377834F5"/>
    <w:rsid w:val="37797999"/>
    <w:rsid w:val="377C4D93"/>
    <w:rsid w:val="377D6D5D"/>
    <w:rsid w:val="377E2FB7"/>
    <w:rsid w:val="37803CC9"/>
    <w:rsid w:val="378656E9"/>
    <w:rsid w:val="37893954"/>
    <w:rsid w:val="378C0712"/>
    <w:rsid w:val="378C393B"/>
    <w:rsid w:val="378D61E4"/>
    <w:rsid w:val="378F6E97"/>
    <w:rsid w:val="37910951"/>
    <w:rsid w:val="379320DC"/>
    <w:rsid w:val="379522F8"/>
    <w:rsid w:val="379561F9"/>
    <w:rsid w:val="379A346B"/>
    <w:rsid w:val="379A653D"/>
    <w:rsid w:val="379E7954"/>
    <w:rsid w:val="37A54D04"/>
    <w:rsid w:val="37A75B88"/>
    <w:rsid w:val="37A974A4"/>
    <w:rsid w:val="37AF7EE0"/>
    <w:rsid w:val="37B51B38"/>
    <w:rsid w:val="37BE08A2"/>
    <w:rsid w:val="37C87AAE"/>
    <w:rsid w:val="37CF1981"/>
    <w:rsid w:val="37D2440C"/>
    <w:rsid w:val="37D52435"/>
    <w:rsid w:val="37D83F93"/>
    <w:rsid w:val="37DB599D"/>
    <w:rsid w:val="37DF5322"/>
    <w:rsid w:val="37E07A38"/>
    <w:rsid w:val="37E22162"/>
    <w:rsid w:val="37F2136C"/>
    <w:rsid w:val="37F561E6"/>
    <w:rsid w:val="37F81D85"/>
    <w:rsid w:val="37FA274B"/>
    <w:rsid w:val="37FE1162"/>
    <w:rsid w:val="380940D8"/>
    <w:rsid w:val="380B6117"/>
    <w:rsid w:val="38105348"/>
    <w:rsid w:val="381730A5"/>
    <w:rsid w:val="381F29FC"/>
    <w:rsid w:val="38206AF7"/>
    <w:rsid w:val="38207E14"/>
    <w:rsid w:val="3825731A"/>
    <w:rsid w:val="3826627C"/>
    <w:rsid w:val="382A3096"/>
    <w:rsid w:val="382A6E0F"/>
    <w:rsid w:val="382D42DF"/>
    <w:rsid w:val="383D6DF5"/>
    <w:rsid w:val="384653A1"/>
    <w:rsid w:val="384818BA"/>
    <w:rsid w:val="38563D6C"/>
    <w:rsid w:val="385C2E16"/>
    <w:rsid w:val="385D0CEB"/>
    <w:rsid w:val="385E3DF5"/>
    <w:rsid w:val="3866173D"/>
    <w:rsid w:val="386D6DD1"/>
    <w:rsid w:val="3870241E"/>
    <w:rsid w:val="3870318F"/>
    <w:rsid w:val="38740160"/>
    <w:rsid w:val="38770423"/>
    <w:rsid w:val="387D5F26"/>
    <w:rsid w:val="38877407"/>
    <w:rsid w:val="388B06CF"/>
    <w:rsid w:val="388B5B4D"/>
    <w:rsid w:val="388D4D7E"/>
    <w:rsid w:val="38931E37"/>
    <w:rsid w:val="38936CED"/>
    <w:rsid w:val="389F684B"/>
    <w:rsid w:val="38A06A8B"/>
    <w:rsid w:val="38A32936"/>
    <w:rsid w:val="38B467AE"/>
    <w:rsid w:val="38BB18EB"/>
    <w:rsid w:val="38BD1B07"/>
    <w:rsid w:val="38BD38B5"/>
    <w:rsid w:val="38C20ECB"/>
    <w:rsid w:val="38C35493"/>
    <w:rsid w:val="38C81386"/>
    <w:rsid w:val="38C81E6C"/>
    <w:rsid w:val="38C92DDF"/>
    <w:rsid w:val="38CC3AF8"/>
    <w:rsid w:val="38D84F92"/>
    <w:rsid w:val="38D96215"/>
    <w:rsid w:val="38DE382B"/>
    <w:rsid w:val="38E2156D"/>
    <w:rsid w:val="38E452E6"/>
    <w:rsid w:val="38E52E0C"/>
    <w:rsid w:val="38EA7D3C"/>
    <w:rsid w:val="38F6617B"/>
    <w:rsid w:val="38F90665"/>
    <w:rsid w:val="38FC6146"/>
    <w:rsid w:val="391332F6"/>
    <w:rsid w:val="391667AB"/>
    <w:rsid w:val="391B05DB"/>
    <w:rsid w:val="391D4354"/>
    <w:rsid w:val="391E1AF1"/>
    <w:rsid w:val="391E7723"/>
    <w:rsid w:val="3922196A"/>
    <w:rsid w:val="39225AD9"/>
    <w:rsid w:val="3922727F"/>
    <w:rsid w:val="3932023F"/>
    <w:rsid w:val="39363667"/>
    <w:rsid w:val="393B2A2C"/>
    <w:rsid w:val="3947616A"/>
    <w:rsid w:val="3947680D"/>
    <w:rsid w:val="394A0EC1"/>
    <w:rsid w:val="394C69E7"/>
    <w:rsid w:val="394F7C70"/>
    <w:rsid w:val="39512953"/>
    <w:rsid w:val="39516275"/>
    <w:rsid w:val="39534219"/>
    <w:rsid w:val="39540160"/>
    <w:rsid w:val="395B30CE"/>
    <w:rsid w:val="395D1391"/>
    <w:rsid w:val="395D6313"/>
    <w:rsid w:val="396525B5"/>
    <w:rsid w:val="39660B6F"/>
    <w:rsid w:val="39676A46"/>
    <w:rsid w:val="396B18F5"/>
    <w:rsid w:val="396E6BFE"/>
    <w:rsid w:val="39711B5A"/>
    <w:rsid w:val="397228F1"/>
    <w:rsid w:val="397F31CA"/>
    <w:rsid w:val="39894B3E"/>
    <w:rsid w:val="398D10B4"/>
    <w:rsid w:val="399F745E"/>
    <w:rsid w:val="39A20CFD"/>
    <w:rsid w:val="39A75E83"/>
    <w:rsid w:val="39A77A0B"/>
    <w:rsid w:val="39B37E38"/>
    <w:rsid w:val="39B62978"/>
    <w:rsid w:val="39B747A8"/>
    <w:rsid w:val="39C944DB"/>
    <w:rsid w:val="39CC0F50"/>
    <w:rsid w:val="39EB2068"/>
    <w:rsid w:val="39F23A32"/>
    <w:rsid w:val="39F30880"/>
    <w:rsid w:val="39FB4D8F"/>
    <w:rsid w:val="39FC040D"/>
    <w:rsid w:val="39FE4EB6"/>
    <w:rsid w:val="39FF3A59"/>
    <w:rsid w:val="3A067163"/>
    <w:rsid w:val="3A0E43A9"/>
    <w:rsid w:val="3A131647"/>
    <w:rsid w:val="3A1F5EA9"/>
    <w:rsid w:val="3A207BDC"/>
    <w:rsid w:val="3A287AFD"/>
    <w:rsid w:val="3A2B0CF2"/>
    <w:rsid w:val="3A2B5401"/>
    <w:rsid w:val="3A2B7F6D"/>
    <w:rsid w:val="3A3B7187"/>
    <w:rsid w:val="3A4E7A20"/>
    <w:rsid w:val="3A4F49E1"/>
    <w:rsid w:val="3A5262EA"/>
    <w:rsid w:val="3A543DA5"/>
    <w:rsid w:val="3A5C62C1"/>
    <w:rsid w:val="3A5F274A"/>
    <w:rsid w:val="3A5F7D57"/>
    <w:rsid w:val="3A63048C"/>
    <w:rsid w:val="3A687850"/>
    <w:rsid w:val="3A6A7A6C"/>
    <w:rsid w:val="3A6B3DFF"/>
    <w:rsid w:val="3A6D1460"/>
    <w:rsid w:val="3A7152A8"/>
    <w:rsid w:val="3A763C53"/>
    <w:rsid w:val="3A7B3A28"/>
    <w:rsid w:val="3A7F3C43"/>
    <w:rsid w:val="3A830B2E"/>
    <w:rsid w:val="3A924750"/>
    <w:rsid w:val="3AA15401"/>
    <w:rsid w:val="3AA20FB4"/>
    <w:rsid w:val="3AA700A1"/>
    <w:rsid w:val="3AAA6FAD"/>
    <w:rsid w:val="3AAF6D39"/>
    <w:rsid w:val="3AAF7279"/>
    <w:rsid w:val="3AB46F3A"/>
    <w:rsid w:val="3AB502B9"/>
    <w:rsid w:val="3AB947E1"/>
    <w:rsid w:val="3AC32CD9"/>
    <w:rsid w:val="3AC727C9"/>
    <w:rsid w:val="3ACA22B9"/>
    <w:rsid w:val="3AD4138A"/>
    <w:rsid w:val="3AD924FC"/>
    <w:rsid w:val="3ADB2718"/>
    <w:rsid w:val="3ADD7E34"/>
    <w:rsid w:val="3ADE5D64"/>
    <w:rsid w:val="3AE32D17"/>
    <w:rsid w:val="3AE671D5"/>
    <w:rsid w:val="3AF17846"/>
    <w:rsid w:val="3AF21490"/>
    <w:rsid w:val="3AF216B0"/>
    <w:rsid w:val="3AF843A2"/>
    <w:rsid w:val="3AFA7DAE"/>
    <w:rsid w:val="3B044EA2"/>
    <w:rsid w:val="3B0752BB"/>
    <w:rsid w:val="3B097803"/>
    <w:rsid w:val="3B0E03F8"/>
    <w:rsid w:val="3B1A3241"/>
    <w:rsid w:val="3B1F5D8D"/>
    <w:rsid w:val="3B3616FD"/>
    <w:rsid w:val="3B390A93"/>
    <w:rsid w:val="3B392F9B"/>
    <w:rsid w:val="3B3A575C"/>
    <w:rsid w:val="3B3C5B1D"/>
    <w:rsid w:val="3B3E6803"/>
    <w:rsid w:val="3B3F4A55"/>
    <w:rsid w:val="3B424545"/>
    <w:rsid w:val="3B4410FC"/>
    <w:rsid w:val="3B4A5BBF"/>
    <w:rsid w:val="3B4E14F1"/>
    <w:rsid w:val="3B526BD4"/>
    <w:rsid w:val="3B5A31DA"/>
    <w:rsid w:val="3B5F50F7"/>
    <w:rsid w:val="3B614F1D"/>
    <w:rsid w:val="3B643511"/>
    <w:rsid w:val="3B691AD2"/>
    <w:rsid w:val="3B781D15"/>
    <w:rsid w:val="3B820DE6"/>
    <w:rsid w:val="3B90705F"/>
    <w:rsid w:val="3B916465"/>
    <w:rsid w:val="3B9B15AF"/>
    <w:rsid w:val="3B9C6D88"/>
    <w:rsid w:val="3B9D5C20"/>
    <w:rsid w:val="3B9E45CE"/>
    <w:rsid w:val="3BA50630"/>
    <w:rsid w:val="3BA63804"/>
    <w:rsid w:val="3BB84807"/>
    <w:rsid w:val="3BB95282"/>
    <w:rsid w:val="3BBA0580"/>
    <w:rsid w:val="3BC15248"/>
    <w:rsid w:val="3BC44F5A"/>
    <w:rsid w:val="3BC72FEC"/>
    <w:rsid w:val="3BC85C37"/>
    <w:rsid w:val="3BC907C3"/>
    <w:rsid w:val="3BDE524C"/>
    <w:rsid w:val="3BE26AE1"/>
    <w:rsid w:val="3BE439CC"/>
    <w:rsid w:val="3BEE1FD7"/>
    <w:rsid w:val="3BF22375"/>
    <w:rsid w:val="3BF35840"/>
    <w:rsid w:val="3BF375EE"/>
    <w:rsid w:val="3BFF2436"/>
    <w:rsid w:val="3C0161AE"/>
    <w:rsid w:val="3C141845"/>
    <w:rsid w:val="3C1C54DF"/>
    <w:rsid w:val="3C1E4473"/>
    <w:rsid w:val="3C212249"/>
    <w:rsid w:val="3C277DB9"/>
    <w:rsid w:val="3C2F4ACA"/>
    <w:rsid w:val="3C326368"/>
    <w:rsid w:val="3C405832"/>
    <w:rsid w:val="3C410359"/>
    <w:rsid w:val="3C516AEC"/>
    <w:rsid w:val="3C537E81"/>
    <w:rsid w:val="3C555A1E"/>
    <w:rsid w:val="3C575AEB"/>
    <w:rsid w:val="3C5B317F"/>
    <w:rsid w:val="3C651580"/>
    <w:rsid w:val="3C676344"/>
    <w:rsid w:val="3C712360"/>
    <w:rsid w:val="3C7523A0"/>
    <w:rsid w:val="3C770CF1"/>
    <w:rsid w:val="3C7954BD"/>
    <w:rsid w:val="3C7F0E81"/>
    <w:rsid w:val="3C871E4B"/>
    <w:rsid w:val="3C892371"/>
    <w:rsid w:val="3C9012E0"/>
    <w:rsid w:val="3C9506A5"/>
    <w:rsid w:val="3C987704"/>
    <w:rsid w:val="3C9C1A33"/>
    <w:rsid w:val="3CA07775"/>
    <w:rsid w:val="3CA16BA3"/>
    <w:rsid w:val="3CA35A73"/>
    <w:rsid w:val="3CA619B1"/>
    <w:rsid w:val="3CAA450F"/>
    <w:rsid w:val="3CAF3139"/>
    <w:rsid w:val="3CB13731"/>
    <w:rsid w:val="3CB27919"/>
    <w:rsid w:val="3CB60D47"/>
    <w:rsid w:val="3CC80C7F"/>
    <w:rsid w:val="3CCA034E"/>
    <w:rsid w:val="3CD66F1D"/>
    <w:rsid w:val="3CD916F6"/>
    <w:rsid w:val="3CE12EB8"/>
    <w:rsid w:val="3CE70DB8"/>
    <w:rsid w:val="3CE83692"/>
    <w:rsid w:val="3CEA565D"/>
    <w:rsid w:val="3CF35A94"/>
    <w:rsid w:val="3CF41400"/>
    <w:rsid w:val="3CF815A0"/>
    <w:rsid w:val="3CFC17D0"/>
    <w:rsid w:val="3CFE624A"/>
    <w:rsid w:val="3D037D04"/>
    <w:rsid w:val="3D0777F5"/>
    <w:rsid w:val="3D09356D"/>
    <w:rsid w:val="3D0D2931"/>
    <w:rsid w:val="3D0D2FB0"/>
    <w:rsid w:val="3D1513A5"/>
    <w:rsid w:val="3D180148"/>
    <w:rsid w:val="3D1825A2"/>
    <w:rsid w:val="3D191A51"/>
    <w:rsid w:val="3D1B6DFC"/>
    <w:rsid w:val="3D2A5291"/>
    <w:rsid w:val="3D2E3149"/>
    <w:rsid w:val="3D2F28A7"/>
    <w:rsid w:val="3D346474"/>
    <w:rsid w:val="3D3D01B2"/>
    <w:rsid w:val="3D3F340A"/>
    <w:rsid w:val="3D424389"/>
    <w:rsid w:val="3D430983"/>
    <w:rsid w:val="3D4358D5"/>
    <w:rsid w:val="3D467644"/>
    <w:rsid w:val="3D522A89"/>
    <w:rsid w:val="3D55447E"/>
    <w:rsid w:val="3D5642D8"/>
    <w:rsid w:val="3D581DFE"/>
    <w:rsid w:val="3D5A3DC8"/>
    <w:rsid w:val="3D6562C9"/>
    <w:rsid w:val="3D670293"/>
    <w:rsid w:val="3D6F73FC"/>
    <w:rsid w:val="3D73400A"/>
    <w:rsid w:val="3D766F81"/>
    <w:rsid w:val="3D7A1FE6"/>
    <w:rsid w:val="3D7B3D3F"/>
    <w:rsid w:val="3D8E0053"/>
    <w:rsid w:val="3D8E3A72"/>
    <w:rsid w:val="3D8F57D6"/>
    <w:rsid w:val="3D8F7BCA"/>
    <w:rsid w:val="3D9034BE"/>
    <w:rsid w:val="3D917CF4"/>
    <w:rsid w:val="3D923A7F"/>
    <w:rsid w:val="3D9C187B"/>
    <w:rsid w:val="3DA037A5"/>
    <w:rsid w:val="3DA9286A"/>
    <w:rsid w:val="3DAD45E9"/>
    <w:rsid w:val="3DB652AD"/>
    <w:rsid w:val="3DB8289D"/>
    <w:rsid w:val="3DBA03C3"/>
    <w:rsid w:val="3DBE0321"/>
    <w:rsid w:val="3DC41242"/>
    <w:rsid w:val="3DCF03F9"/>
    <w:rsid w:val="3DDF423F"/>
    <w:rsid w:val="3DEA07D5"/>
    <w:rsid w:val="3DEC0798"/>
    <w:rsid w:val="3DEF41EA"/>
    <w:rsid w:val="3DF136A1"/>
    <w:rsid w:val="3DF16CDF"/>
    <w:rsid w:val="3DF60BBB"/>
    <w:rsid w:val="3DFB09DB"/>
    <w:rsid w:val="3E014687"/>
    <w:rsid w:val="3E0C5604"/>
    <w:rsid w:val="3E18158D"/>
    <w:rsid w:val="3E1A3557"/>
    <w:rsid w:val="3E1D08B5"/>
    <w:rsid w:val="3E2239FA"/>
    <w:rsid w:val="3E24689A"/>
    <w:rsid w:val="3E2B7513"/>
    <w:rsid w:val="3E2F5AF8"/>
    <w:rsid w:val="3E342DF1"/>
    <w:rsid w:val="3E377C66"/>
    <w:rsid w:val="3E3846C5"/>
    <w:rsid w:val="3E3A0201"/>
    <w:rsid w:val="3E3A59A8"/>
    <w:rsid w:val="3E3C150D"/>
    <w:rsid w:val="3E42660A"/>
    <w:rsid w:val="3E4920FF"/>
    <w:rsid w:val="3E4A5B2A"/>
    <w:rsid w:val="3E5C147A"/>
    <w:rsid w:val="3E5C4D5B"/>
    <w:rsid w:val="3E647817"/>
    <w:rsid w:val="3E654263"/>
    <w:rsid w:val="3E7B46E8"/>
    <w:rsid w:val="3E7D64DF"/>
    <w:rsid w:val="3E7E66BF"/>
    <w:rsid w:val="3E9029A1"/>
    <w:rsid w:val="3E9514D0"/>
    <w:rsid w:val="3E9A368F"/>
    <w:rsid w:val="3E9E6530"/>
    <w:rsid w:val="3EA42E21"/>
    <w:rsid w:val="3EA6303D"/>
    <w:rsid w:val="3EAC1607"/>
    <w:rsid w:val="3EAD30B6"/>
    <w:rsid w:val="3EAD7F28"/>
    <w:rsid w:val="3EB81A14"/>
    <w:rsid w:val="3EB85781"/>
    <w:rsid w:val="3EB922F6"/>
    <w:rsid w:val="3EBA3015"/>
    <w:rsid w:val="3EBC016B"/>
    <w:rsid w:val="3EBF0C71"/>
    <w:rsid w:val="3EC52C0E"/>
    <w:rsid w:val="3EC60FE9"/>
    <w:rsid w:val="3ECC4F11"/>
    <w:rsid w:val="3ED90C96"/>
    <w:rsid w:val="3ED90D1D"/>
    <w:rsid w:val="3ED951C1"/>
    <w:rsid w:val="3EDE3962"/>
    <w:rsid w:val="3EF11F0E"/>
    <w:rsid w:val="3EF21DDE"/>
    <w:rsid w:val="3EF6342D"/>
    <w:rsid w:val="3EFE75EF"/>
    <w:rsid w:val="3F0B2EA0"/>
    <w:rsid w:val="3F104137"/>
    <w:rsid w:val="3F1400B3"/>
    <w:rsid w:val="3F152851"/>
    <w:rsid w:val="3F153934"/>
    <w:rsid w:val="3F1925D1"/>
    <w:rsid w:val="3F2006FA"/>
    <w:rsid w:val="3F2C52F0"/>
    <w:rsid w:val="3F312907"/>
    <w:rsid w:val="3F340649"/>
    <w:rsid w:val="3F3A0789"/>
    <w:rsid w:val="3F4168C2"/>
    <w:rsid w:val="3F433B90"/>
    <w:rsid w:val="3F456272"/>
    <w:rsid w:val="3F473ED8"/>
    <w:rsid w:val="3F4A5777"/>
    <w:rsid w:val="3F4F0FDF"/>
    <w:rsid w:val="3F507894"/>
    <w:rsid w:val="3F553CBB"/>
    <w:rsid w:val="3F563324"/>
    <w:rsid w:val="3F6F342F"/>
    <w:rsid w:val="3F704041"/>
    <w:rsid w:val="3F7222FD"/>
    <w:rsid w:val="3F774D39"/>
    <w:rsid w:val="3F88428B"/>
    <w:rsid w:val="3F90296F"/>
    <w:rsid w:val="3F92608C"/>
    <w:rsid w:val="3F9904AC"/>
    <w:rsid w:val="3F997779"/>
    <w:rsid w:val="3F9E4EE5"/>
    <w:rsid w:val="3FA0183A"/>
    <w:rsid w:val="3FA26DC7"/>
    <w:rsid w:val="3FB42F10"/>
    <w:rsid w:val="3FB84DD6"/>
    <w:rsid w:val="3FB928FC"/>
    <w:rsid w:val="3FBD4CDE"/>
    <w:rsid w:val="3FC67A28"/>
    <w:rsid w:val="3FC96FE3"/>
    <w:rsid w:val="3FCE45FA"/>
    <w:rsid w:val="3FD87226"/>
    <w:rsid w:val="3FD95BA1"/>
    <w:rsid w:val="3FDE235C"/>
    <w:rsid w:val="3FE0432D"/>
    <w:rsid w:val="3FE17B5F"/>
    <w:rsid w:val="3FE3596D"/>
    <w:rsid w:val="3FE63C5F"/>
    <w:rsid w:val="3FEF1759"/>
    <w:rsid w:val="3FEF50DC"/>
    <w:rsid w:val="3FF43FD3"/>
    <w:rsid w:val="3FF676AC"/>
    <w:rsid w:val="3FFD4EDF"/>
    <w:rsid w:val="400E2C48"/>
    <w:rsid w:val="400F2C87"/>
    <w:rsid w:val="401225C0"/>
    <w:rsid w:val="40155D85"/>
    <w:rsid w:val="401B7113"/>
    <w:rsid w:val="401C5365"/>
    <w:rsid w:val="401D04E8"/>
    <w:rsid w:val="40200374"/>
    <w:rsid w:val="40267F92"/>
    <w:rsid w:val="403673E9"/>
    <w:rsid w:val="40373AAA"/>
    <w:rsid w:val="403C641F"/>
    <w:rsid w:val="4044724F"/>
    <w:rsid w:val="40462F23"/>
    <w:rsid w:val="40464542"/>
    <w:rsid w:val="40545F0C"/>
    <w:rsid w:val="40550877"/>
    <w:rsid w:val="40645C96"/>
    <w:rsid w:val="4067459F"/>
    <w:rsid w:val="40694322"/>
    <w:rsid w:val="407056B1"/>
    <w:rsid w:val="40774DD8"/>
    <w:rsid w:val="407F3756"/>
    <w:rsid w:val="40890521"/>
    <w:rsid w:val="408D0011"/>
    <w:rsid w:val="4092255F"/>
    <w:rsid w:val="40924E1B"/>
    <w:rsid w:val="4093332D"/>
    <w:rsid w:val="409E0E32"/>
    <w:rsid w:val="40A04D80"/>
    <w:rsid w:val="40A05362"/>
    <w:rsid w:val="40A9471F"/>
    <w:rsid w:val="40AB27D1"/>
    <w:rsid w:val="40AB66E9"/>
    <w:rsid w:val="40B662AE"/>
    <w:rsid w:val="40BF3F42"/>
    <w:rsid w:val="40C1308E"/>
    <w:rsid w:val="40C13412"/>
    <w:rsid w:val="40CA06EF"/>
    <w:rsid w:val="40D72B2C"/>
    <w:rsid w:val="40DE2279"/>
    <w:rsid w:val="40DE42E4"/>
    <w:rsid w:val="40E02249"/>
    <w:rsid w:val="40E21AD4"/>
    <w:rsid w:val="40E83499"/>
    <w:rsid w:val="40E86F57"/>
    <w:rsid w:val="40EA121D"/>
    <w:rsid w:val="40EC2411"/>
    <w:rsid w:val="40F462E2"/>
    <w:rsid w:val="40F7192E"/>
    <w:rsid w:val="40FA4F7A"/>
    <w:rsid w:val="40FA7F99"/>
    <w:rsid w:val="40FC3E1B"/>
    <w:rsid w:val="41033741"/>
    <w:rsid w:val="41034E0B"/>
    <w:rsid w:val="41125455"/>
    <w:rsid w:val="411566A8"/>
    <w:rsid w:val="411B7EAC"/>
    <w:rsid w:val="41212130"/>
    <w:rsid w:val="41275362"/>
    <w:rsid w:val="412768C3"/>
    <w:rsid w:val="412828F9"/>
    <w:rsid w:val="41306979"/>
    <w:rsid w:val="41340BD4"/>
    <w:rsid w:val="413B567A"/>
    <w:rsid w:val="413C541D"/>
    <w:rsid w:val="413E755D"/>
    <w:rsid w:val="414B2885"/>
    <w:rsid w:val="414D154E"/>
    <w:rsid w:val="41555735"/>
    <w:rsid w:val="41566655"/>
    <w:rsid w:val="415A48B5"/>
    <w:rsid w:val="415E375B"/>
    <w:rsid w:val="4162149D"/>
    <w:rsid w:val="41646EE2"/>
    <w:rsid w:val="41651C42"/>
    <w:rsid w:val="4167521D"/>
    <w:rsid w:val="41681C6B"/>
    <w:rsid w:val="416C134E"/>
    <w:rsid w:val="416D4A6A"/>
    <w:rsid w:val="416E4340"/>
    <w:rsid w:val="416F4EB9"/>
    <w:rsid w:val="41727207"/>
    <w:rsid w:val="41752637"/>
    <w:rsid w:val="4176435E"/>
    <w:rsid w:val="417A606C"/>
    <w:rsid w:val="417B430D"/>
    <w:rsid w:val="41840C10"/>
    <w:rsid w:val="418469BC"/>
    <w:rsid w:val="418A2804"/>
    <w:rsid w:val="418F0F7A"/>
    <w:rsid w:val="41906AC2"/>
    <w:rsid w:val="419F015A"/>
    <w:rsid w:val="41A01FC6"/>
    <w:rsid w:val="41A360B9"/>
    <w:rsid w:val="41AA5E40"/>
    <w:rsid w:val="41AE2B8A"/>
    <w:rsid w:val="41AE4427"/>
    <w:rsid w:val="41BB2ECC"/>
    <w:rsid w:val="41BE7E42"/>
    <w:rsid w:val="41BF3E63"/>
    <w:rsid w:val="41D63F61"/>
    <w:rsid w:val="41D93F3F"/>
    <w:rsid w:val="41DC1B54"/>
    <w:rsid w:val="41DC7E80"/>
    <w:rsid w:val="41EA3241"/>
    <w:rsid w:val="41F57B8B"/>
    <w:rsid w:val="42022339"/>
    <w:rsid w:val="42031997"/>
    <w:rsid w:val="42072A91"/>
    <w:rsid w:val="42104B67"/>
    <w:rsid w:val="42130539"/>
    <w:rsid w:val="4217035F"/>
    <w:rsid w:val="42205707"/>
    <w:rsid w:val="42253C46"/>
    <w:rsid w:val="422961A5"/>
    <w:rsid w:val="422F6DE7"/>
    <w:rsid w:val="42326E07"/>
    <w:rsid w:val="42356728"/>
    <w:rsid w:val="42387954"/>
    <w:rsid w:val="423C4A11"/>
    <w:rsid w:val="423F5835"/>
    <w:rsid w:val="4240597B"/>
    <w:rsid w:val="4246491B"/>
    <w:rsid w:val="424665ED"/>
    <w:rsid w:val="42497F67"/>
    <w:rsid w:val="42513B85"/>
    <w:rsid w:val="425C413F"/>
    <w:rsid w:val="42671DAC"/>
    <w:rsid w:val="42687EB7"/>
    <w:rsid w:val="426A0AD7"/>
    <w:rsid w:val="426B6130"/>
    <w:rsid w:val="427D161B"/>
    <w:rsid w:val="42882FE1"/>
    <w:rsid w:val="42884F34"/>
    <w:rsid w:val="428972CE"/>
    <w:rsid w:val="428D4F27"/>
    <w:rsid w:val="42911747"/>
    <w:rsid w:val="42966B25"/>
    <w:rsid w:val="4299172F"/>
    <w:rsid w:val="42994B53"/>
    <w:rsid w:val="429B5BBB"/>
    <w:rsid w:val="42A13A3B"/>
    <w:rsid w:val="42A94EAA"/>
    <w:rsid w:val="42AA7468"/>
    <w:rsid w:val="42AB02FE"/>
    <w:rsid w:val="42B33603"/>
    <w:rsid w:val="42B429A1"/>
    <w:rsid w:val="42B5034E"/>
    <w:rsid w:val="42B77749"/>
    <w:rsid w:val="42BB1E4A"/>
    <w:rsid w:val="42C27D1A"/>
    <w:rsid w:val="42C53343"/>
    <w:rsid w:val="42CD2946"/>
    <w:rsid w:val="42CD6DEA"/>
    <w:rsid w:val="42D53EF1"/>
    <w:rsid w:val="42D67C1B"/>
    <w:rsid w:val="42D9385C"/>
    <w:rsid w:val="42DE686E"/>
    <w:rsid w:val="42E36494"/>
    <w:rsid w:val="42E3660E"/>
    <w:rsid w:val="42E47468"/>
    <w:rsid w:val="42E9367D"/>
    <w:rsid w:val="42EE327C"/>
    <w:rsid w:val="42F44377"/>
    <w:rsid w:val="42F75C15"/>
    <w:rsid w:val="42FA7493"/>
    <w:rsid w:val="42FC155B"/>
    <w:rsid w:val="42FE51F6"/>
    <w:rsid w:val="4304511C"/>
    <w:rsid w:val="43056584"/>
    <w:rsid w:val="430B02DB"/>
    <w:rsid w:val="4315253F"/>
    <w:rsid w:val="43156BD0"/>
    <w:rsid w:val="43237164"/>
    <w:rsid w:val="4324422F"/>
    <w:rsid w:val="432A3E57"/>
    <w:rsid w:val="432B58BF"/>
    <w:rsid w:val="432F1853"/>
    <w:rsid w:val="43305F01"/>
    <w:rsid w:val="43373E19"/>
    <w:rsid w:val="43374264"/>
    <w:rsid w:val="43394480"/>
    <w:rsid w:val="4341056B"/>
    <w:rsid w:val="434D7F2B"/>
    <w:rsid w:val="434F5A51"/>
    <w:rsid w:val="435172B7"/>
    <w:rsid w:val="43580B32"/>
    <w:rsid w:val="436112E1"/>
    <w:rsid w:val="43617EE7"/>
    <w:rsid w:val="43641EB1"/>
    <w:rsid w:val="43653B74"/>
    <w:rsid w:val="4365448B"/>
    <w:rsid w:val="436F0A2F"/>
    <w:rsid w:val="437159C8"/>
    <w:rsid w:val="4379487C"/>
    <w:rsid w:val="43825A45"/>
    <w:rsid w:val="43876962"/>
    <w:rsid w:val="438A6B52"/>
    <w:rsid w:val="438B2C9E"/>
    <w:rsid w:val="438E177B"/>
    <w:rsid w:val="438E6981"/>
    <w:rsid w:val="4391606A"/>
    <w:rsid w:val="43943464"/>
    <w:rsid w:val="43963680"/>
    <w:rsid w:val="439B47F3"/>
    <w:rsid w:val="43A318F9"/>
    <w:rsid w:val="43A44928"/>
    <w:rsid w:val="43A455EE"/>
    <w:rsid w:val="43A85162"/>
    <w:rsid w:val="43AF4ABE"/>
    <w:rsid w:val="43B20393"/>
    <w:rsid w:val="43B27D8E"/>
    <w:rsid w:val="43B47DBF"/>
    <w:rsid w:val="43B50C33"/>
    <w:rsid w:val="43B807E2"/>
    <w:rsid w:val="43C567F0"/>
    <w:rsid w:val="43CA57C8"/>
    <w:rsid w:val="43CF26EE"/>
    <w:rsid w:val="43D16466"/>
    <w:rsid w:val="43E443EC"/>
    <w:rsid w:val="43E51F12"/>
    <w:rsid w:val="43E84655"/>
    <w:rsid w:val="43EA7BD7"/>
    <w:rsid w:val="43EC11EF"/>
    <w:rsid w:val="43F860E9"/>
    <w:rsid w:val="43F87A6B"/>
    <w:rsid w:val="43F87E97"/>
    <w:rsid w:val="44047F47"/>
    <w:rsid w:val="44077C63"/>
    <w:rsid w:val="440B1E2F"/>
    <w:rsid w:val="440C3942"/>
    <w:rsid w:val="441402FB"/>
    <w:rsid w:val="44202F4A"/>
    <w:rsid w:val="442A5B77"/>
    <w:rsid w:val="442E2670"/>
    <w:rsid w:val="44313C40"/>
    <w:rsid w:val="443D2B78"/>
    <w:rsid w:val="44466BA0"/>
    <w:rsid w:val="444F63D4"/>
    <w:rsid w:val="4453331F"/>
    <w:rsid w:val="44550E45"/>
    <w:rsid w:val="44573F66"/>
    <w:rsid w:val="44587A26"/>
    <w:rsid w:val="446058AE"/>
    <w:rsid w:val="446537FA"/>
    <w:rsid w:val="4467501D"/>
    <w:rsid w:val="44730537"/>
    <w:rsid w:val="44741875"/>
    <w:rsid w:val="44770043"/>
    <w:rsid w:val="447D7693"/>
    <w:rsid w:val="447F5EC2"/>
    <w:rsid w:val="448524A9"/>
    <w:rsid w:val="44856A0F"/>
    <w:rsid w:val="4488746D"/>
    <w:rsid w:val="44966287"/>
    <w:rsid w:val="44986F84"/>
    <w:rsid w:val="449E610E"/>
    <w:rsid w:val="44AC72BB"/>
    <w:rsid w:val="44B31A22"/>
    <w:rsid w:val="44B8098A"/>
    <w:rsid w:val="44BA339E"/>
    <w:rsid w:val="44BB2766"/>
    <w:rsid w:val="44C775FA"/>
    <w:rsid w:val="44CA3141"/>
    <w:rsid w:val="44D012CD"/>
    <w:rsid w:val="44D206E8"/>
    <w:rsid w:val="44D523E6"/>
    <w:rsid w:val="44D97CC8"/>
    <w:rsid w:val="44DE1F09"/>
    <w:rsid w:val="44EC33B6"/>
    <w:rsid w:val="44EE129A"/>
    <w:rsid w:val="44F96329"/>
    <w:rsid w:val="44FD0994"/>
    <w:rsid w:val="450D7972"/>
    <w:rsid w:val="4513485D"/>
    <w:rsid w:val="45164116"/>
    <w:rsid w:val="45186B8F"/>
    <w:rsid w:val="451E1B7F"/>
    <w:rsid w:val="451F0756"/>
    <w:rsid w:val="4521341D"/>
    <w:rsid w:val="452162C7"/>
    <w:rsid w:val="45253CC8"/>
    <w:rsid w:val="452751D7"/>
    <w:rsid w:val="452B716C"/>
    <w:rsid w:val="452F5D1D"/>
    <w:rsid w:val="45301F07"/>
    <w:rsid w:val="45343151"/>
    <w:rsid w:val="45370A88"/>
    <w:rsid w:val="453B51F9"/>
    <w:rsid w:val="453E6E0B"/>
    <w:rsid w:val="453F236B"/>
    <w:rsid w:val="45454D35"/>
    <w:rsid w:val="45462260"/>
    <w:rsid w:val="45486BFC"/>
    <w:rsid w:val="454B2248"/>
    <w:rsid w:val="454C31E3"/>
    <w:rsid w:val="454C58BC"/>
    <w:rsid w:val="455410FD"/>
    <w:rsid w:val="455B5D37"/>
    <w:rsid w:val="455E3D2A"/>
    <w:rsid w:val="4561381A"/>
    <w:rsid w:val="456D40D6"/>
    <w:rsid w:val="4570237F"/>
    <w:rsid w:val="4571013B"/>
    <w:rsid w:val="457556F4"/>
    <w:rsid w:val="4577128F"/>
    <w:rsid w:val="45795008"/>
    <w:rsid w:val="457C0E68"/>
    <w:rsid w:val="457C0F3F"/>
    <w:rsid w:val="458539AC"/>
    <w:rsid w:val="458C0701"/>
    <w:rsid w:val="458F0387"/>
    <w:rsid w:val="45924862"/>
    <w:rsid w:val="45A71B75"/>
    <w:rsid w:val="45B55914"/>
    <w:rsid w:val="45B86804"/>
    <w:rsid w:val="45BE6EBE"/>
    <w:rsid w:val="45C51FFB"/>
    <w:rsid w:val="45CD0A54"/>
    <w:rsid w:val="45CF2E79"/>
    <w:rsid w:val="45D71243"/>
    <w:rsid w:val="45E52D76"/>
    <w:rsid w:val="45F56F89"/>
    <w:rsid w:val="45F75F2C"/>
    <w:rsid w:val="45F77A60"/>
    <w:rsid w:val="45F81C62"/>
    <w:rsid w:val="4605689B"/>
    <w:rsid w:val="46063770"/>
    <w:rsid w:val="460743C1"/>
    <w:rsid w:val="460A47DD"/>
    <w:rsid w:val="460F14C8"/>
    <w:rsid w:val="46122350"/>
    <w:rsid w:val="461261E1"/>
    <w:rsid w:val="46132D66"/>
    <w:rsid w:val="461B197A"/>
    <w:rsid w:val="46222FA9"/>
    <w:rsid w:val="46230DFA"/>
    <w:rsid w:val="462A6D85"/>
    <w:rsid w:val="46301D24"/>
    <w:rsid w:val="46333AFF"/>
    <w:rsid w:val="463E3B5B"/>
    <w:rsid w:val="46413BF9"/>
    <w:rsid w:val="464C7EEC"/>
    <w:rsid w:val="464F0520"/>
    <w:rsid w:val="465869CB"/>
    <w:rsid w:val="465A74D8"/>
    <w:rsid w:val="46622454"/>
    <w:rsid w:val="466261C9"/>
    <w:rsid w:val="46647A66"/>
    <w:rsid w:val="466510A1"/>
    <w:rsid w:val="466A4950"/>
    <w:rsid w:val="4670640B"/>
    <w:rsid w:val="46743E55"/>
    <w:rsid w:val="467D0B27"/>
    <w:rsid w:val="469638D6"/>
    <w:rsid w:val="46965D88"/>
    <w:rsid w:val="469B3E0F"/>
    <w:rsid w:val="469C7CE9"/>
    <w:rsid w:val="46A85FD1"/>
    <w:rsid w:val="46A911C0"/>
    <w:rsid w:val="46B03E5E"/>
    <w:rsid w:val="46BA1434"/>
    <w:rsid w:val="46C422B2"/>
    <w:rsid w:val="46C50352"/>
    <w:rsid w:val="46CB1893"/>
    <w:rsid w:val="46D67E95"/>
    <w:rsid w:val="46DC75FC"/>
    <w:rsid w:val="46E05A91"/>
    <w:rsid w:val="46E453C3"/>
    <w:rsid w:val="46E81FDA"/>
    <w:rsid w:val="46E85CFA"/>
    <w:rsid w:val="46EB5A91"/>
    <w:rsid w:val="46ED6157"/>
    <w:rsid w:val="46F03039"/>
    <w:rsid w:val="46F247B0"/>
    <w:rsid w:val="46F47709"/>
    <w:rsid w:val="46F55484"/>
    <w:rsid w:val="46FB611D"/>
    <w:rsid w:val="47000EBA"/>
    <w:rsid w:val="4700324F"/>
    <w:rsid w:val="470335AD"/>
    <w:rsid w:val="470531BC"/>
    <w:rsid w:val="470C6BD5"/>
    <w:rsid w:val="470D474B"/>
    <w:rsid w:val="47121268"/>
    <w:rsid w:val="47147829"/>
    <w:rsid w:val="47197F94"/>
    <w:rsid w:val="471E1980"/>
    <w:rsid w:val="472E1965"/>
    <w:rsid w:val="47325952"/>
    <w:rsid w:val="473311E6"/>
    <w:rsid w:val="47392CA0"/>
    <w:rsid w:val="473C62ED"/>
    <w:rsid w:val="4744717E"/>
    <w:rsid w:val="4751080C"/>
    <w:rsid w:val="4754272C"/>
    <w:rsid w:val="47580F9C"/>
    <w:rsid w:val="475B0A29"/>
    <w:rsid w:val="47657CF1"/>
    <w:rsid w:val="476D215C"/>
    <w:rsid w:val="476D46F8"/>
    <w:rsid w:val="4771702F"/>
    <w:rsid w:val="477240C5"/>
    <w:rsid w:val="477564FB"/>
    <w:rsid w:val="47797FC1"/>
    <w:rsid w:val="477A1E2D"/>
    <w:rsid w:val="478C70C4"/>
    <w:rsid w:val="47917A70"/>
    <w:rsid w:val="47A6205D"/>
    <w:rsid w:val="47B176A2"/>
    <w:rsid w:val="47B2035D"/>
    <w:rsid w:val="47BB36B5"/>
    <w:rsid w:val="47C336F1"/>
    <w:rsid w:val="47D47AA7"/>
    <w:rsid w:val="47D96D05"/>
    <w:rsid w:val="47D97FDF"/>
    <w:rsid w:val="47DB5B06"/>
    <w:rsid w:val="47DC7C21"/>
    <w:rsid w:val="47DE621E"/>
    <w:rsid w:val="47DF5582"/>
    <w:rsid w:val="47E623BE"/>
    <w:rsid w:val="47E66258"/>
    <w:rsid w:val="47EA2147"/>
    <w:rsid w:val="47F64CDE"/>
    <w:rsid w:val="47F92430"/>
    <w:rsid w:val="47F96FE2"/>
    <w:rsid w:val="47FB6455"/>
    <w:rsid w:val="47FC06F6"/>
    <w:rsid w:val="47FC5A7C"/>
    <w:rsid w:val="480144DA"/>
    <w:rsid w:val="48014FD9"/>
    <w:rsid w:val="4804261B"/>
    <w:rsid w:val="480A7EDF"/>
    <w:rsid w:val="480C3F11"/>
    <w:rsid w:val="480F1C53"/>
    <w:rsid w:val="48116838"/>
    <w:rsid w:val="481B05F8"/>
    <w:rsid w:val="481D766D"/>
    <w:rsid w:val="48217D2F"/>
    <w:rsid w:val="482C18D6"/>
    <w:rsid w:val="482E20D9"/>
    <w:rsid w:val="4831012F"/>
    <w:rsid w:val="483314F5"/>
    <w:rsid w:val="48337643"/>
    <w:rsid w:val="48376AB4"/>
    <w:rsid w:val="483E64A8"/>
    <w:rsid w:val="4840038A"/>
    <w:rsid w:val="48435459"/>
    <w:rsid w:val="48482A6B"/>
    <w:rsid w:val="48483C88"/>
    <w:rsid w:val="48507027"/>
    <w:rsid w:val="48517B76"/>
    <w:rsid w:val="485B6C46"/>
    <w:rsid w:val="485C1BAB"/>
    <w:rsid w:val="48627FD5"/>
    <w:rsid w:val="4867383D"/>
    <w:rsid w:val="48693111"/>
    <w:rsid w:val="48733F90"/>
    <w:rsid w:val="487B4BF3"/>
    <w:rsid w:val="488A3088"/>
    <w:rsid w:val="489C49CE"/>
    <w:rsid w:val="48A44149"/>
    <w:rsid w:val="48AC1250"/>
    <w:rsid w:val="48B33A52"/>
    <w:rsid w:val="48B55000"/>
    <w:rsid w:val="48B87BF5"/>
    <w:rsid w:val="48BA1BBF"/>
    <w:rsid w:val="48C06AA9"/>
    <w:rsid w:val="48C87033"/>
    <w:rsid w:val="48CE297D"/>
    <w:rsid w:val="48CF6744"/>
    <w:rsid w:val="48D81613"/>
    <w:rsid w:val="48D9080D"/>
    <w:rsid w:val="48E46C3C"/>
    <w:rsid w:val="48E94164"/>
    <w:rsid w:val="48EA5F1D"/>
    <w:rsid w:val="48EC3D42"/>
    <w:rsid w:val="48EC40CC"/>
    <w:rsid w:val="48EC71F7"/>
    <w:rsid w:val="48EE43F2"/>
    <w:rsid w:val="48F03833"/>
    <w:rsid w:val="48F15CCF"/>
    <w:rsid w:val="48F30756"/>
    <w:rsid w:val="48FD385A"/>
    <w:rsid w:val="490A460A"/>
    <w:rsid w:val="490C51FD"/>
    <w:rsid w:val="491D5B42"/>
    <w:rsid w:val="491E5F31"/>
    <w:rsid w:val="492732ED"/>
    <w:rsid w:val="49290AF3"/>
    <w:rsid w:val="492B486B"/>
    <w:rsid w:val="492D638D"/>
    <w:rsid w:val="492F7855"/>
    <w:rsid w:val="49303C2F"/>
    <w:rsid w:val="49373210"/>
    <w:rsid w:val="493915B4"/>
    <w:rsid w:val="493A5E87"/>
    <w:rsid w:val="493B3321"/>
    <w:rsid w:val="493E46DD"/>
    <w:rsid w:val="49404E3D"/>
    <w:rsid w:val="49455160"/>
    <w:rsid w:val="494B3609"/>
    <w:rsid w:val="494E2307"/>
    <w:rsid w:val="4950607F"/>
    <w:rsid w:val="4958673A"/>
    <w:rsid w:val="496164DE"/>
    <w:rsid w:val="496436C2"/>
    <w:rsid w:val="49697141"/>
    <w:rsid w:val="496D072A"/>
    <w:rsid w:val="49731300"/>
    <w:rsid w:val="4977360C"/>
    <w:rsid w:val="497C6E74"/>
    <w:rsid w:val="4989333F"/>
    <w:rsid w:val="498C5EA9"/>
    <w:rsid w:val="499833AA"/>
    <w:rsid w:val="49997FE4"/>
    <w:rsid w:val="49A563CB"/>
    <w:rsid w:val="49A65473"/>
    <w:rsid w:val="49A941EB"/>
    <w:rsid w:val="49AD05AC"/>
    <w:rsid w:val="49AF0FF8"/>
    <w:rsid w:val="49B70B21"/>
    <w:rsid w:val="49BC1967"/>
    <w:rsid w:val="49BC23EF"/>
    <w:rsid w:val="49BF6D61"/>
    <w:rsid w:val="49C03205"/>
    <w:rsid w:val="49C302EC"/>
    <w:rsid w:val="49C64593"/>
    <w:rsid w:val="49CA5E32"/>
    <w:rsid w:val="49CA7BE0"/>
    <w:rsid w:val="49CF3448"/>
    <w:rsid w:val="49D104C6"/>
    <w:rsid w:val="49D339AC"/>
    <w:rsid w:val="49E16C2E"/>
    <w:rsid w:val="49E54A1A"/>
    <w:rsid w:val="49E76045"/>
    <w:rsid w:val="49E92BC2"/>
    <w:rsid w:val="49ED7E45"/>
    <w:rsid w:val="49F67044"/>
    <w:rsid w:val="49FB7CC2"/>
    <w:rsid w:val="49FD5757"/>
    <w:rsid w:val="4A0045CB"/>
    <w:rsid w:val="4A0155CC"/>
    <w:rsid w:val="4A0A430E"/>
    <w:rsid w:val="4A0D5D1E"/>
    <w:rsid w:val="4A190449"/>
    <w:rsid w:val="4A19137E"/>
    <w:rsid w:val="4A1E1CDA"/>
    <w:rsid w:val="4A1E617D"/>
    <w:rsid w:val="4A203CA4"/>
    <w:rsid w:val="4A260D4B"/>
    <w:rsid w:val="4A275032"/>
    <w:rsid w:val="4A3A0FE8"/>
    <w:rsid w:val="4A3E794E"/>
    <w:rsid w:val="4A407FFE"/>
    <w:rsid w:val="4A45001D"/>
    <w:rsid w:val="4A477482"/>
    <w:rsid w:val="4A5B2F2E"/>
    <w:rsid w:val="4A5E7F48"/>
    <w:rsid w:val="4A607D77"/>
    <w:rsid w:val="4A6326F0"/>
    <w:rsid w:val="4A6609C3"/>
    <w:rsid w:val="4A6C59EA"/>
    <w:rsid w:val="4A6F0787"/>
    <w:rsid w:val="4A750DD0"/>
    <w:rsid w:val="4A761B16"/>
    <w:rsid w:val="4A7B537E"/>
    <w:rsid w:val="4A8119DE"/>
    <w:rsid w:val="4A816BF6"/>
    <w:rsid w:val="4A851FE2"/>
    <w:rsid w:val="4A8A3813"/>
    <w:rsid w:val="4A8A7705"/>
    <w:rsid w:val="4A915B36"/>
    <w:rsid w:val="4A926343"/>
    <w:rsid w:val="4A934476"/>
    <w:rsid w:val="4A954692"/>
    <w:rsid w:val="4A987CDE"/>
    <w:rsid w:val="4A9B1E46"/>
    <w:rsid w:val="4AA409BB"/>
    <w:rsid w:val="4AA5206A"/>
    <w:rsid w:val="4AB21186"/>
    <w:rsid w:val="4ABB58F0"/>
    <w:rsid w:val="4ABD1B22"/>
    <w:rsid w:val="4ACF60CC"/>
    <w:rsid w:val="4AD35751"/>
    <w:rsid w:val="4AD468AE"/>
    <w:rsid w:val="4AE178D7"/>
    <w:rsid w:val="4AE44CD1"/>
    <w:rsid w:val="4AE747C1"/>
    <w:rsid w:val="4AE82413"/>
    <w:rsid w:val="4AE91D72"/>
    <w:rsid w:val="4AEF38E4"/>
    <w:rsid w:val="4AEF7CB9"/>
    <w:rsid w:val="4AF60EA8"/>
    <w:rsid w:val="4AFB0F23"/>
    <w:rsid w:val="4AFD1366"/>
    <w:rsid w:val="4AFF792F"/>
    <w:rsid w:val="4B0435C5"/>
    <w:rsid w:val="4B053908"/>
    <w:rsid w:val="4B0C61BF"/>
    <w:rsid w:val="4B1F21AD"/>
    <w:rsid w:val="4B2952C4"/>
    <w:rsid w:val="4B3612A5"/>
    <w:rsid w:val="4B362460"/>
    <w:rsid w:val="4B3F36B0"/>
    <w:rsid w:val="4B400C48"/>
    <w:rsid w:val="4B4277BB"/>
    <w:rsid w:val="4B432E15"/>
    <w:rsid w:val="4B4734B2"/>
    <w:rsid w:val="4B5C5FAA"/>
    <w:rsid w:val="4B611731"/>
    <w:rsid w:val="4B640C01"/>
    <w:rsid w:val="4B644064"/>
    <w:rsid w:val="4B793EB9"/>
    <w:rsid w:val="4B841097"/>
    <w:rsid w:val="4B8E0948"/>
    <w:rsid w:val="4B992311"/>
    <w:rsid w:val="4BA26746"/>
    <w:rsid w:val="4BA43605"/>
    <w:rsid w:val="4BA66BB3"/>
    <w:rsid w:val="4BAB57EF"/>
    <w:rsid w:val="4BAD1567"/>
    <w:rsid w:val="4BBE2AEB"/>
    <w:rsid w:val="4BBF74EC"/>
    <w:rsid w:val="4BCB75EB"/>
    <w:rsid w:val="4BD028C4"/>
    <w:rsid w:val="4BD4433C"/>
    <w:rsid w:val="4BDC1831"/>
    <w:rsid w:val="4BE05D3B"/>
    <w:rsid w:val="4BE154E9"/>
    <w:rsid w:val="4BE62CCB"/>
    <w:rsid w:val="4BEA41FD"/>
    <w:rsid w:val="4BED6D03"/>
    <w:rsid w:val="4BF0670A"/>
    <w:rsid w:val="4BF13385"/>
    <w:rsid w:val="4BF60993"/>
    <w:rsid w:val="4BF6222F"/>
    <w:rsid w:val="4C0A4C0B"/>
    <w:rsid w:val="4C1415E6"/>
    <w:rsid w:val="4C1527C5"/>
    <w:rsid w:val="4C18651C"/>
    <w:rsid w:val="4C1F5620"/>
    <w:rsid w:val="4C2555A1"/>
    <w:rsid w:val="4C282812"/>
    <w:rsid w:val="4C2D08FA"/>
    <w:rsid w:val="4C2D5106"/>
    <w:rsid w:val="4C2F01CE"/>
    <w:rsid w:val="4C3A68AE"/>
    <w:rsid w:val="4C497E6E"/>
    <w:rsid w:val="4C561A87"/>
    <w:rsid w:val="4C594500"/>
    <w:rsid w:val="4C5C21C4"/>
    <w:rsid w:val="4C5C2F8D"/>
    <w:rsid w:val="4C616357"/>
    <w:rsid w:val="4C67500F"/>
    <w:rsid w:val="4C742FDA"/>
    <w:rsid w:val="4C8853C2"/>
    <w:rsid w:val="4C8A3125"/>
    <w:rsid w:val="4C8B1EE4"/>
    <w:rsid w:val="4C8E7373"/>
    <w:rsid w:val="4C8F3363"/>
    <w:rsid w:val="4C9046DD"/>
    <w:rsid w:val="4C9B5863"/>
    <w:rsid w:val="4C9F3A4C"/>
    <w:rsid w:val="4CB30DFF"/>
    <w:rsid w:val="4CB701C3"/>
    <w:rsid w:val="4CB74274"/>
    <w:rsid w:val="4CB85689"/>
    <w:rsid w:val="4CB86415"/>
    <w:rsid w:val="4CBE2D6A"/>
    <w:rsid w:val="4CC63A4B"/>
    <w:rsid w:val="4CC81333"/>
    <w:rsid w:val="4CC92202"/>
    <w:rsid w:val="4CCA4576"/>
    <w:rsid w:val="4CCA5655"/>
    <w:rsid w:val="4CCC3C6F"/>
    <w:rsid w:val="4CD77BB3"/>
    <w:rsid w:val="4CDE5D7E"/>
    <w:rsid w:val="4CDE7960"/>
    <w:rsid w:val="4CEA0599"/>
    <w:rsid w:val="4CEC7A64"/>
    <w:rsid w:val="4CF5242E"/>
    <w:rsid w:val="4CF569C8"/>
    <w:rsid w:val="4CF60CEC"/>
    <w:rsid w:val="4CF91FCC"/>
    <w:rsid w:val="4CFF4044"/>
    <w:rsid w:val="4CFF6B5B"/>
    <w:rsid w:val="4D090A1F"/>
    <w:rsid w:val="4D0A3706"/>
    <w:rsid w:val="4D0F059F"/>
    <w:rsid w:val="4D1B69A4"/>
    <w:rsid w:val="4D1E1728"/>
    <w:rsid w:val="4D1F6804"/>
    <w:rsid w:val="4D252975"/>
    <w:rsid w:val="4D2E6AE0"/>
    <w:rsid w:val="4D30352B"/>
    <w:rsid w:val="4D333CEE"/>
    <w:rsid w:val="4D34761C"/>
    <w:rsid w:val="4D5325E2"/>
    <w:rsid w:val="4D536117"/>
    <w:rsid w:val="4D53613E"/>
    <w:rsid w:val="4D5657A3"/>
    <w:rsid w:val="4D5B3250"/>
    <w:rsid w:val="4D720058"/>
    <w:rsid w:val="4D7215A8"/>
    <w:rsid w:val="4D765CAE"/>
    <w:rsid w:val="4D770AC3"/>
    <w:rsid w:val="4D784C61"/>
    <w:rsid w:val="4D79113C"/>
    <w:rsid w:val="4D7A4E0D"/>
    <w:rsid w:val="4D7B6D5F"/>
    <w:rsid w:val="4D7D194A"/>
    <w:rsid w:val="4D7E765F"/>
    <w:rsid w:val="4D8330FD"/>
    <w:rsid w:val="4D8B58D8"/>
    <w:rsid w:val="4D8D78A2"/>
    <w:rsid w:val="4D8F614E"/>
    <w:rsid w:val="4D970721"/>
    <w:rsid w:val="4D9A4ACC"/>
    <w:rsid w:val="4D9A7089"/>
    <w:rsid w:val="4DA65614"/>
    <w:rsid w:val="4DBC6F01"/>
    <w:rsid w:val="4DBD5EE2"/>
    <w:rsid w:val="4DBD6446"/>
    <w:rsid w:val="4DBE68BB"/>
    <w:rsid w:val="4DC332C4"/>
    <w:rsid w:val="4DC7118D"/>
    <w:rsid w:val="4DCC1EF1"/>
    <w:rsid w:val="4DD454D1"/>
    <w:rsid w:val="4DDB4ED1"/>
    <w:rsid w:val="4DE02888"/>
    <w:rsid w:val="4DE53D67"/>
    <w:rsid w:val="4DE90850"/>
    <w:rsid w:val="4DE96862"/>
    <w:rsid w:val="4DEB15BA"/>
    <w:rsid w:val="4DEC260A"/>
    <w:rsid w:val="4DF13C53"/>
    <w:rsid w:val="4DF23BA9"/>
    <w:rsid w:val="4DF7368F"/>
    <w:rsid w:val="4DF7375A"/>
    <w:rsid w:val="4E037EC3"/>
    <w:rsid w:val="4E1213FF"/>
    <w:rsid w:val="4E151983"/>
    <w:rsid w:val="4E1C5480"/>
    <w:rsid w:val="4E1F4EB6"/>
    <w:rsid w:val="4E223347"/>
    <w:rsid w:val="4E235B10"/>
    <w:rsid w:val="4E287DAD"/>
    <w:rsid w:val="4E2A50F1"/>
    <w:rsid w:val="4E31591A"/>
    <w:rsid w:val="4E35781A"/>
    <w:rsid w:val="4E385522"/>
    <w:rsid w:val="4E396368"/>
    <w:rsid w:val="4E3C6BD2"/>
    <w:rsid w:val="4E4168DE"/>
    <w:rsid w:val="4E4A7BCF"/>
    <w:rsid w:val="4E54712C"/>
    <w:rsid w:val="4E606D65"/>
    <w:rsid w:val="4E675DBB"/>
    <w:rsid w:val="4E683E6B"/>
    <w:rsid w:val="4E685894"/>
    <w:rsid w:val="4E7A3016"/>
    <w:rsid w:val="4E7B3B9E"/>
    <w:rsid w:val="4E8A5B90"/>
    <w:rsid w:val="4E943B74"/>
    <w:rsid w:val="4E9514C2"/>
    <w:rsid w:val="4E9D7BB0"/>
    <w:rsid w:val="4E9F52F3"/>
    <w:rsid w:val="4E9F6CDA"/>
    <w:rsid w:val="4EA12ED9"/>
    <w:rsid w:val="4EA65FA5"/>
    <w:rsid w:val="4EAA2AF5"/>
    <w:rsid w:val="4EAA6232"/>
    <w:rsid w:val="4EAD4A8B"/>
    <w:rsid w:val="4EB653D7"/>
    <w:rsid w:val="4EB90223"/>
    <w:rsid w:val="4EB97C9C"/>
    <w:rsid w:val="4EC05A5D"/>
    <w:rsid w:val="4EC33AFC"/>
    <w:rsid w:val="4EC372F3"/>
    <w:rsid w:val="4EC7378F"/>
    <w:rsid w:val="4ECE001C"/>
    <w:rsid w:val="4ECF54AB"/>
    <w:rsid w:val="4ED11A10"/>
    <w:rsid w:val="4ED92673"/>
    <w:rsid w:val="4EDE4C8A"/>
    <w:rsid w:val="4EF851EF"/>
    <w:rsid w:val="4EFA0F67"/>
    <w:rsid w:val="4F0065C6"/>
    <w:rsid w:val="4F0E67C1"/>
    <w:rsid w:val="4F1157D8"/>
    <w:rsid w:val="4F1B20E2"/>
    <w:rsid w:val="4F247867"/>
    <w:rsid w:val="4F2B5646"/>
    <w:rsid w:val="4F356E50"/>
    <w:rsid w:val="4F363A2B"/>
    <w:rsid w:val="4F4626F3"/>
    <w:rsid w:val="4F4B17C3"/>
    <w:rsid w:val="4F4E3061"/>
    <w:rsid w:val="4F562E5E"/>
    <w:rsid w:val="4F586999"/>
    <w:rsid w:val="4F5D14F6"/>
    <w:rsid w:val="4F5D32A4"/>
    <w:rsid w:val="4F6102D1"/>
    <w:rsid w:val="4F665099"/>
    <w:rsid w:val="4F786A15"/>
    <w:rsid w:val="4F7C239F"/>
    <w:rsid w:val="4F8115BD"/>
    <w:rsid w:val="4F813436"/>
    <w:rsid w:val="4F8D7575"/>
    <w:rsid w:val="4F93316A"/>
    <w:rsid w:val="4F974A08"/>
    <w:rsid w:val="4F980780"/>
    <w:rsid w:val="4F9C4764"/>
    <w:rsid w:val="4FA00D06"/>
    <w:rsid w:val="4FA42C81"/>
    <w:rsid w:val="4FAB09B6"/>
    <w:rsid w:val="4FAB2261"/>
    <w:rsid w:val="4FB159EC"/>
    <w:rsid w:val="4FB23A3B"/>
    <w:rsid w:val="4FB31116"/>
    <w:rsid w:val="4FB57E74"/>
    <w:rsid w:val="4FBB7878"/>
    <w:rsid w:val="4FBC621D"/>
    <w:rsid w:val="4FBD09B0"/>
    <w:rsid w:val="4FBD1088"/>
    <w:rsid w:val="4FBD4BBB"/>
    <w:rsid w:val="4FC652ED"/>
    <w:rsid w:val="4FD16062"/>
    <w:rsid w:val="4FD77DC0"/>
    <w:rsid w:val="4FDF1F0B"/>
    <w:rsid w:val="4FE11744"/>
    <w:rsid w:val="4FE17A31"/>
    <w:rsid w:val="4FE22A38"/>
    <w:rsid w:val="4FE439C5"/>
    <w:rsid w:val="4FE77CEF"/>
    <w:rsid w:val="4FF17B27"/>
    <w:rsid w:val="4FF57980"/>
    <w:rsid w:val="4FFC645A"/>
    <w:rsid w:val="4FFF435B"/>
    <w:rsid w:val="50011E81"/>
    <w:rsid w:val="50041972"/>
    <w:rsid w:val="50046123"/>
    <w:rsid w:val="50050846"/>
    <w:rsid w:val="500C0B37"/>
    <w:rsid w:val="500F2E98"/>
    <w:rsid w:val="50112786"/>
    <w:rsid w:val="502412EE"/>
    <w:rsid w:val="502845FF"/>
    <w:rsid w:val="50304F7E"/>
    <w:rsid w:val="504F4A7B"/>
    <w:rsid w:val="50500713"/>
    <w:rsid w:val="5060129E"/>
    <w:rsid w:val="50645117"/>
    <w:rsid w:val="5066033B"/>
    <w:rsid w:val="50663C75"/>
    <w:rsid w:val="506D5769"/>
    <w:rsid w:val="50764D94"/>
    <w:rsid w:val="507F0E7D"/>
    <w:rsid w:val="50817100"/>
    <w:rsid w:val="50845B41"/>
    <w:rsid w:val="50852AB2"/>
    <w:rsid w:val="508E078E"/>
    <w:rsid w:val="509168AF"/>
    <w:rsid w:val="509349BC"/>
    <w:rsid w:val="509C5AF8"/>
    <w:rsid w:val="50A069B5"/>
    <w:rsid w:val="50A8223C"/>
    <w:rsid w:val="50A96514"/>
    <w:rsid w:val="50AA076B"/>
    <w:rsid w:val="50AA2519"/>
    <w:rsid w:val="50AC5050"/>
    <w:rsid w:val="50AC6291"/>
    <w:rsid w:val="50AF7B2F"/>
    <w:rsid w:val="50B109A1"/>
    <w:rsid w:val="50B41422"/>
    <w:rsid w:val="50B9391E"/>
    <w:rsid w:val="50BE4216"/>
    <w:rsid w:val="50C07F8E"/>
    <w:rsid w:val="50C21B20"/>
    <w:rsid w:val="50C36206"/>
    <w:rsid w:val="50C52BEE"/>
    <w:rsid w:val="50C90D77"/>
    <w:rsid w:val="50ED7F4D"/>
    <w:rsid w:val="50F11EF6"/>
    <w:rsid w:val="50F145FC"/>
    <w:rsid w:val="50FA0581"/>
    <w:rsid w:val="50FA5805"/>
    <w:rsid w:val="50FA6E95"/>
    <w:rsid w:val="50FB0CEF"/>
    <w:rsid w:val="50FB33AC"/>
    <w:rsid w:val="50FD015E"/>
    <w:rsid w:val="51002139"/>
    <w:rsid w:val="511D6E11"/>
    <w:rsid w:val="511E7880"/>
    <w:rsid w:val="511F2F07"/>
    <w:rsid w:val="512027DB"/>
    <w:rsid w:val="514211CD"/>
    <w:rsid w:val="51451D9E"/>
    <w:rsid w:val="51452242"/>
    <w:rsid w:val="51543BA9"/>
    <w:rsid w:val="51566BAA"/>
    <w:rsid w:val="515A24AA"/>
    <w:rsid w:val="51677198"/>
    <w:rsid w:val="51696C3D"/>
    <w:rsid w:val="516B2E85"/>
    <w:rsid w:val="517111FF"/>
    <w:rsid w:val="51713037"/>
    <w:rsid w:val="51722E6E"/>
    <w:rsid w:val="517374E0"/>
    <w:rsid w:val="517448D5"/>
    <w:rsid w:val="51750350"/>
    <w:rsid w:val="51793207"/>
    <w:rsid w:val="517C2D91"/>
    <w:rsid w:val="51827E68"/>
    <w:rsid w:val="51932FAD"/>
    <w:rsid w:val="51937451"/>
    <w:rsid w:val="51955B7D"/>
    <w:rsid w:val="519568F3"/>
    <w:rsid w:val="51986815"/>
    <w:rsid w:val="51993FF5"/>
    <w:rsid w:val="519F1952"/>
    <w:rsid w:val="519F3032"/>
    <w:rsid w:val="51AB4B91"/>
    <w:rsid w:val="51B01DB1"/>
    <w:rsid w:val="51B178D7"/>
    <w:rsid w:val="51BA1DFF"/>
    <w:rsid w:val="51BC2848"/>
    <w:rsid w:val="51C3412D"/>
    <w:rsid w:val="51CC4711"/>
    <w:rsid w:val="51CF3F45"/>
    <w:rsid w:val="51D07D5D"/>
    <w:rsid w:val="51DB6FFE"/>
    <w:rsid w:val="51E152DC"/>
    <w:rsid w:val="51E406C2"/>
    <w:rsid w:val="51E47232"/>
    <w:rsid w:val="51E63A25"/>
    <w:rsid w:val="51ED15F6"/>
    <w:rsid w:val="51F06651"/>
    <w:rsid w:val="51F83758"/>
    <w:rsid w:val="51F9337C"/>
    <w:rsid w:val="51FC1391"/>
    <w:rsid w:val="52015F60"/>
    <w:rsid w:val="520370FC"/>
    <w:rsid w:val="52081B54"/>
    <w:rsid w:val="520C480A"/>
    <w:rsid w:val="520C4C6B"/>
    <w:rsid w:val="52143C1E"/>
    <w:rsid w:val="52146746"/>
    <w:rsid w:val="522510AD"/>
    <w:rsid w:val="5226558C"/>
    <w:rsid w:val="52293911"/>
    <w:rsid w:val="522E2CD6"/>
    <w:rsid w:val="523061C0"/>
    <w:rsid w:val="523233FB"/>
    <w:rsid w:val="52326C6A"/>
    <w:rsid w:val="523302EC"/>
    <w:rsid w:val="523621EC"/>
    <w:rsid w:val="52462A72"/>
    <w:rsid w:val="524D78D0"/>
    <w:rsid w:val="524E5126"/>
    <w:rsid w:val="525077B8"/>
    <w:rsid w:val="526861E8"/>
    <w:rsid w:val="52687C58"/>
    <w:rsid w:val="526A78D5"/>
    <w:rsid w:val="527B5EF3"/>
    <w:rsid w:val="527E5EBE"/>
    <w:rsid w:val="529B480F"/>
    <w:rsid w:val="52AB0D5A"/>
    <w:rsid w:val="52AD3580"/>
    <w:rsid w:val="52B04B3F"/>
    <w:rsid w:val="52B46657"/>
    <w:rsid w:val="52B61649"/>
    <w:rsid w:val="52BA3273"/>
    <w:rsid w:val="52BA5BDE"/>
    <w:rsid w:val="52BB0A0D"/>
    <w:rsid w:val="52BB31BE"/>
    <w:rsid w:val="52BC4786"/>
    <w:rsid w:val="52CD60C9"/>
    <w:rsid w:val="52D25F4F"/>
    <w:rsid w:val="52D675F5"/>
    <w:rsid w:val="52D816BB"/>
    <w:rsid w:val="52D834A1"/>
    <w:rsid w:val="52D86965"/>
    <w:rsid w:val="52D90E94"/>
    <w:rsid w:val="52E066C6"/>
    <w:rsid w:val="52E87329"/>
    <w:rsid w:val="52E873D0"/>
    <w:rsid w:val="52FA31DE"/>
    <w:rsid w:val="52FC4B82"/>
    <w:rsid w:val="52FE1B35"/>
    <w:rsid w:val="52FE6B4C"/>
    <w:rsid w:val="53111940"/>
    <w:rsid w:val="531776E2"/>
    <w:rsid w:val="531C1D5C"/>
    <w:rsid w:val="53207C88"/>
    <w:rsid w:val="53220A8C"/>
    <w:rsid w:val="5326161A"/>
    <w:rsid w:val="53263C79"/>
    <w:rsid w:val="53275D9B"/>
    <w:rsid w:val="533D4C44"/>
    <w:rsid w:val="533F3014"/>
    <w:rsid w:val="534810C4"/>
    <w:rsid w:val="534869C7"/>
    <w:rsid w:val="535078F5"/>
    <w:rsid w:val="53586AA4"/>
    <w:rsid w:val="535C6B19"/>
    <w:rsid w:val="536F35A6"/>
    <w:rsid w:val="537138C7"/>
    <w:rsid w:val="53761013"/>
    <w:rsid w:val="537B5AAA"/>
    <w:rsid w:val="537E4ACA"/>
    <w:rsid w:val="537F629B"/>
    <w:rsid w:val="53822C25"/>
    <w:rsid w:val="5385053F"/>
    <w:rsid w:val="53861605"/>
    <w:rsid w:val="538779D4"/>
    <w:rsid w:val="538C4314"/>
    <w:rsid w:val="53933738"/>
    <w:rsid w:val="53976292"/>
    <w:rsid w:val="539F050B"/>
    <w:rsid w:val="539F4F04"/>
    <w:rsid w:val="53A150D9"/>
    <w:rsid w:val="53A21BCD"/>
    <w:rsid w:val="53A92F5C"/>
    <w:rsid w:val="53B645B0"/>
    <w:rsid w:val="53BB6616"/>
    <w:rsid w:val="53BC6E3E"/>
    <w:rsid w:val="53C27B7A"/>
    <w:rsid w:val="53C30DAF"/>
    <w:rsid w:val="53C50E71"/>
    <w:rsid w:val="53C743DD"/>
    <w:rsid w:val="53CA4C80"/>
    <w:rsid w:val="53CC6C4A"/>
    <w:rsid w:val="53D578AD"/>
    <w:rsid w:val="53D76D2B"/>
    <w:rsid w:val="53E915AA"/>
    <w:rsid w:val="53EC109A"/>
    <w:rsid w:val="53F4213D"/>
    <w:rsid w:val="53F71F19"/>
    <w:rsid w:val="53FB0B46"/>
    <w:rsid w:val="540D5BAD"/>
    <w:rsid w:val="541C48A5"/>
    <w:rsid w:val="542E16B3"/>
    <w:rsid w:val="54375B73"/>
    <w:rsid w:val="54411FA2"/>
    <w:rsid w:val="54466335"/>
    <w:rsid w:val="54484523"/>
    <w:rsid w:val="545C1D7C"/>
    <w:rsid w:val="545C7FCE"/>
    <w:rsid w:val="546213C7"/>
    <w:rsid w:val="5483293F"/>
    <w:rsid w:val="5496746D"/>
    <w:rsid w:val="549F610D"/>
    <w:rsid w:val="54AE41A3"/>
    <w:rsid w:val="54B42CDF"/>
    <w:rsid w:val="54B716A8"/>
    <w:rsid w:val="54C55B73"/>
    <w:rsid w:val="54CB7CD3"/>
    <w:rsid w:val="54CF345E"/>
    <w:rsid w:val="54D2203E"/>
    <w:rsid w:val="54DD36E3"/>
    <w:rsid w:val="54DE7E84"/>
    <w:rsid w:val="54E35FFA"/>
    <w:rsid w:val="54E51D72"/>
    <w:rsid w:val="54E66A4D"/>
    <w:rsid w:val="54E77313"/>
    <w:rsid w:val="54E824C4"/>
    <w:rsid w:val="54EA03CE"/>
    <w:rsid w:val="54FA797C"/>
    <w:rsid w:val="55017C9A"/>
    <w:rsid w:val="55021383"/>
    <w:rsid w:val="550815AD"/>
    <w:rsid w:val="55083E20"/>
    <w:rsid w:val="550B6A5E"/>
    <w:rsid w:val="551408A9"/>
    <w:rsid w:val="55160A03"/>
    <w:rsid w:val="55172B07"/>
    <w:rsid w:val="55185554"/>
    <w:rsid w:val="551B1C37"/>
    <w:rsid w:val="551F7930"/>
    <w:rsid w:val="55236D3E"/>
    <w:rsid w:val="55274B8B"/>
    <w:rsid w:val="552A24B9"/>
    <w:rsid w:val="552A2DFC"/>
    <w:rsid w:val="55344AA7"/>
    <w:rsid w:val="55347222"/>
    <w:rsid w:val="553920BD"/>
    <w:rsid w:val="553A5BDD"/>
    <w:rsid w:val="553C1510"/>
    <w:rsid w:val="553D7BAB"/>
    <w:rsid w:val="553E34B3"/>
    <w:rsid w:val="55484B22"/>
    <w:rsid w:val="55490415"/>
    <w:rsid w:val="554C1057"/>
    <w:rsid w:val="55517407"/>
    <w:rsid w:val="55547B4D"/>
    <w:rsid w:val="55564A1D"/>
    <w:rsid w:val="555C7B5A"/>
    <w:rsid w:val="55653051"/>
    <w:rsid w:val="556A7BF9"/>
    <w:rsid w:val="55787B0F"/>
    <w:rsid w:val="557E721F"/>
    <w:rsid w:val="55872E29"/>
    <w:rsid w:val="558F2D83"/>
    <w:rsid w:val="559973BE"/>
    <w:rsid w:val="559E2882"/>
    <w:rsid w:val="55A25378"/>
    <w:rsid w:val="55AA1478"/>
    <w:rsid w:val="55B31E70"/>
    <w:rsid w:val="55B82787"/>
    <w:rsid w:val="55B900D0"/>
    <w:rsid w:val="55BB0D24"/>
    <w:rsid w:val="55BB3F38"/>
    <w:rsid w:val="55C025A8"/>
    <w:rsid w:val="55C0458D"/>
    <w:rsid w:val="55C27729"/>
    <w:rsid w:val="55C8590C"/>
    <w:rsid w:val="55CE0A58"/>
    <w:rsid w:val="55CE6CAA"/>
    <w:rsid w:val="55DB4F23"/>
    <w:rsid w:val="55E03708"/>
    <w:rsid w:val="55E65FDC"/>
    <w:rsid w:val="55F174E6"/>
    <w:rsid w:val="55F21B08"/>
    <w:rsid w:val="56091A90"/>
    <w:rsid w:val="560E6B90"/>
    <w:rsid w:val="56347138"/>
    <w:rsid w:val="563A5842"/>
    <w:rsid w:val="563E11C8"/>
    <w:rsid w:val="563F0EE4"/>
    <w:rsid w:val="564330AF"/>
    <w:rsid w:val="564B20A8"/>
    <w:rsid w:val="56503B63"/>
    <w:rsid w:val="565A053D"/>
    <w:rsid w:val="56674A08"/>
    <w:rsid w:val="56676126"/>
    <w:rsid w:val="566D4782"/>
    <w:rsid w:val="567048C3"/>
    <w:rsid w:val="56737851"/>
    <w:rsid w:val="56773959"/>
    <w:rsid w:val="56786C15"/>
    <w:rsid w:val="567A7A0A"/>
    <w:rsid w:val="56804250"/>
    <w:rsid w:val="569D48C4"/>
    <w:rsid w:val="56A570FE"/>
    <w:rsid w:val="56AA39DF"/>
    <w:rsid w:val="56B167A5"/>
    <w:rsid w:val="56B22127"/>
    <w:rsid w:val="56B57101"/>
    <w:rsid w:val="56B64591"/>
    <w:rsid w:val="56B97322"/>
    <w:rsid w:val="56C55F1E"/>
    <w:rsid w:val="56CD0598"/>
    <w:rsid w:val="56D20E7B"/>
    <w:rsid w:val="56D26FEF"/>
    <w:rsid w:val="56D40104"/>
    <w:rsid w:val="56D504FC"/>
    <w:rsid w:val="56DF58C0"/>
    <w:rsid w:val="56E74337"/>
    <w:rsid w:val="56E9366F"/>
    <w:rsid w:val="56F13B6C"/>
    <w:rsid w:val="56F24197"/>
    <w:rsid w:val="56F72230"/>
    <w:rsid w:val="56FE35BF"/>
    <w:rsid w:val="56FE711B"/>
    <w:rsid w:val="57013134"/>
    <w:rsid w:val="570255EE"/>
    <w:rsid w:val="57047E91"/>
    <w:rsid w:val="57160E80"/>
    <w:rsid w:val="571903F8"/>
    <w:rsid w:val="5722278A"/>
    <w:rsid w:val="57280E28"/>
    <w:rsid w:val="573A44C2"/>
    <w:rsid w:val="57454D4A"/>
    <w:rsid w:val="57492E02"/>
    <w:rsid w:val="575136EE"/>
    <w:rsid w:val="57541992"/>
    <w:rsid w:val="5759180F"/>
    <w:rsid w:val="575D64F8"/>
    <w:rsid w:val="57671164"/>
    <w:rsid w:val="576E7A69"/>
    <w:rsid w:val="57711101"/>
    <w:rsid w:val="57734909"/>
    <w:rsid w:val="577C44E3"/>
    <w:rsid w:val="5780605D"/>
    <w:rsid w:val="57840BFE"/>
    <w:rsid w:val="5784697D"/>
    <w:rsid w:val="578515EA"/>
    <w:rsid w:val="57895DA7"/>
    <w:rsid w:val="578A487E"/>
    <w:rsid w:val="57A31A70"/>
    <w:rsid w:val="57A8352A"/>
    <w:rsid w:val="57AD449F"/>
    <w:rsid w:val="57CF6D09"/>
    <w:rsid w:val="57D24312"/>
    <w:rsid w:val="57D4682F"/>
    <w:rsid w:val="57DF040E"/>
    <w:rsid w:val="57E04A72"/>
    <w:rsid w:val="57E521BA"/>
    <w:rsid w:val="57EB2F39"/>
    <w:rsid w:val="57EB5809"/>
    <w:rsid w:val="57F45209"/>
    <w:rsid w:val="57F675D1"/>
    <w:rsid w:val="57FF1CF3"/>
    <w:rsid w:val="58005114"/>
    <w:rsid w:val="58030761"/>
    <w:rsid w:val="58092ACC"/>
    <w:rsid w:val="58136982"/>
    <w:rsid w:val="581B3CFC"/>
    <w:rsid w:val="581D6813"/>
    <w:rsid w:val="58226D2A"/>
    <w:rsid w:val="582316B5"/>
    <w:rsid w:val="582368E1"/>
    <w:rsid w:val="58253C3E"/>
    <w:rsid w:val="58294CBE"/>
    <w:rsid w:val="582D4846"/>
    <w:rsid w:val="58346D28"/>
    <w:rsid w:val="58353010"/>
    <w:rsid w:val="5838762D"/>
    <w:rsid w:val="583B12A8"/>
    <w:rsid w:val="58411733"/>
    <w:rsid w:val="584414A5"/>
    <w:rsid w:val="584944DE"/>
    <w:rsid w:val="58513CB5"/>
    <w:rsid w:val="585766E9"/>
    <w:rsid w:val="585A65D3"/>
    <w:rsid w:val="585D2255"/>
    <w:rsid w:val="585D4315"/>
    <w:rsid w:val="58615653"/>
    <w:rsid w:val="58625BCC"/>
    <w:rsid w:val="58663BE5"/>
    <w:rsid w:val="5868282C"/>
    <w:rsid w:val="586B764B"/>
    <w:rsid w:val="587E182B"/>
    <w:rsid w:val="5882708A"/>
    <w:rsid w:val="588C69A8"/>
    <w:rsid w:val="58900246"/>
    <w:rsid w:val="5898359F"/>
    <w:rsid w:val="589A10C5"/>
    <w:rsid w:val="589F0257"/>
    <w:rsid w:val="58AB7214"/>
    <w:rsid w:val="58AD02DF"/>
    <w:rsid w:val="58B17390"/>
    <w:rsid w:val="58B909C7"/>
    <w:rsid w:val="58BB2E28"/>
    <w:rsid w:val="58BF6D7E"/>
    <w:rsid w:val="58BF7AF2"/>
    <w:rsid w:val="58C817A8"/>
    <w:rsid w:val="58C8591B"/>
    <w:rsid w:val="58CE6FC1"/>
    <w:rsid w:val="58D663CC"/>
    <w:rsid w:val="58DE20A4"/>
    <w:rsid w:val="58DF354B"/>
    <w:rsid w:val="58F00CE5"/>
    <w:rsid w:val="58F509F1"/>
    <w:rsid w:val="58FA005E"/>
    <w:rsid w:val="58FA7DB6"/>
    <w:rsid w:val="58FB4971"/>
    <w:rsid w:val="590039E6"/>
    <w:rsid w:val="590315FB"/>
    <w:rsid w:val="59103CDB"/>
    <w:rsid w:val="591231C6"/>
    <w:rsid w:val="59190C7F"/>
    <w:rsid w:val="591F15CA"/>
    <w:rsid w:val="59223548"/>
    <w:rsid w:val="593244F7"/>
    <w:rsid w:val="593439E9"/>
    <w:rsid w:val="59345076"/>
    <w:rsid w:val="593C03CE"/>
    <w:rsid w:val="593E7CA2"/>
    <w:rsid w:val="59402C3A"/>
    <w:rsid w:val="594149BA"/>
    <w:rsid w:val="5947124D"/>
    <w:rsid w:val="594A1371"/>
    <w:rsid w:val="59505A7A"/>
    <w:rsid w:val="595125BE"/>
    <w:rsid w:val="595B5175"/>
    <w:rsid w:val="596040BD"/>
    <w:rsid w:val="59607878"/>
    <w:rsid w:val="596A13DB"/>
    <w:rsid w:val="596A685A"/>
    <w:rsid w:val="596B480F"/>
    <w:rsid w:val="596D0A4F"/>
    <w:rsid w:val="597B59E0"/>
    <w:rsid w:val="597E7CD2"/>
    <w:rsid w:val="598730EE"/>
    <w:rsid w:val="598D6AC3"/>
    <w:rsid w:val="59910483"/>
    <w:rsid w:val="599B0EFC"/>
    <w:rsid w:val="59A07700"/>
    <w:rsid w:val="59A41DA7"/>
    <w:rsid w:val="59AC3230"/>
    <w:rsid w:val="59B60D7B"/>
    <w:rsid w:val="59B65BAF"/>
    <w:rsid w:val="59B86896"/>
    <w:rsid w:val="59BB12F3"/>
    <w:rsid w:val="59BD3A9E"/>
    <w:rsid w:val="59C25EAF"/>
    <w:rsid w:val="59C26B25"/>
    <w:rsid w:val="59C469A8"/>
    <w:rsid w:val="59D67CEC"/>
    <w:rsid w:val="59DA6D1C"/>
    <w:rsid w:val="59E036D4"/>
    <w:rsid w:val="59E07580"/>
    <w:rsid w:val="59E10BC6"/>
    <w:rsid w:val="59E30A31"/>
    <w:rsid w:val="59E54492"/>
    <w:rsid w:val="59E5617B"/>
    <w:rsid w:val="59EA607C"/>
    <w:rsid w:val="59EF06CC"/>
    <w:rsid w:val="59F51CFC"/>
    <w:rsid w:val="5A06315C"/>
    <w:rsid w:val="5A0709DC"/>
    <w:rsid w:val="5A1E1882"/>
    <w:rsid w:val="5A1F0F30"/>
    <w:rsid w:val="5A290775"/>
    <w:rsid w:val="5A2908F2"/>
    <w:rsid w:val="5A2E64FD"/>
    <w:rsid w:val="5A32309C"/>
    <w:rsid w:val="5A3643B2"/>
    <w:rsid w:val="5A484022"/>
    <w:rsid w:val="5A487EB0"/>
    <w:rsid w:val="5A4B6B1B"/>
    <w:rsid w:val="5A56726E"/>
    <w:rsid w:val="5A5F25C6"/>
    <w:rsid w:val="5A614E09"/>
    <w:rsid w:val="5A63069A"/>
    <w:rsid w:val="5A6574B1"/>
    <w:rsid w:val="5A6D4478"/>
    <w:rsid w:val="5A897643"/>
    <w:rsid w:val="5A8C2C8F"/>
    <w:rsid w:val="5A915ACF"/>
    <w:rsid w:val="5A9164F8"/>
    <w:rsid w:val="5A9234A3"/>
    <w:rsid w:val="5A981634"/>
    <w:rsid w:val="5AA601F5"/>
    <w:rsid w:val="5AA8188C"/>
    <w:rsid w:val="5AA91877"/>
    <w:rsid w:val="5ABB5323"/>
    <w:rsid w:val="5AC44642"/>
    <w:rsid w:val="5AC92D10"/>
    <w:rsid w:val="5ACB0984"/>
    <w:rsid w:val="5ACB4289"/>
    <w:rsid w:val="5ACB74F1"/>
    <w:rsid w:val="5ACC3540"/>
    <w:rsid w:val="5ACC583F"/>
    <w:rsid w:val="5ACF7EA7"/>
    <w:rsid w:val="5AD67599"/>
    <w:rsid w:val="5AD924D5"/>
    <w:rsid w:val="5ADA39FB"/>
    <w:rsid w:val="5ADA71D9"/>
    <w:rsid w:val="5AE34FA5"/>
    <w:rsid w:val="5AE919DD"/>
    <w:rsid w:val="5AF820D3"/>
    <w:rsid w:val="5B056A50"/>
    <w:rsid w:val="5B0A5CED"/>
    <w:rsid w:val="5B0D0525"/>
    <w:rsid w:val="5B0D2022"/>
    <w:rsid w:val="5B0E47D7"/>
    <w:rsid w:val="5B17446F"/>
    <w:rsid w:val="5B182775"/>
    <w:rsid w:val="5B242EC8"/>
    <w:rsid w:val="5B2D369A"/>
    <w:rsid w:val="5B2E1C8E"/>
    <w:rsid w:val="5B321A89"/>
    <w:rsid w:val="5B3A6B8F"/>
    <w:rsid w:val="5B3F2FF0"/>
    <w:rsid w:val="5B4578E7"/>
    <w:rsid w:val="5B496304"/>
    <w:rsid w:val="5B5A5CD8"/>
    <w:rsid w:val="5B5F2152"/>
    <w:rsid w:val="5B5F3495"/>
    <w:rsid w:val="5B69661C"/>
    <w:rsid w:val="5B6C0858"/>
    <w:rsid w:val="5B6E783F"/>
    <w:rsid w:val="5B797F42"/>
    <w:rsid w:val="5B7C04A8"/>
    <w:rsid w:val="5B8337E5"/>
    <w:rsid w:val="5B855579"/>
    <w:rsid w:val="5B867AC2"/>
    <w:rsid w:val="5B8743CF"/>
    <w:rsid w:val="5B8837FD"/>
    <w:rsid w:val="5B8D4F11"/>
    <w:rsid w:val="5B8F6EDB"/>
    <w:rsid w:val="5B90523D"/>
    <w:rsid w:val="5B9E4722"/>
    <w:rsid w:val="5BA81D4B"/>
    <w:rsid w:val="5BAB6D76"/>
    <w:rsid w:val="5BC03DE2"/>
    <w:rsid w:val="5BCA73D9"/>
    <w:rsid w:val="5BD97C6B"/>
    <w:rsid w:val="5BE070DC"/>
    <w:rsid w:val="5BE7170C"/>
    <w:rsid w:val="5BEC5D3A"/>
    <w:rsid w:val="5BEF41F8"/>
    <w:rsid w:val="5BF64864"/>
    <w:rsid w:val="5BFF7E6A"/>
    <w:rsid w:val="5C04435B"/>
    <w:rsid w:val="5C052CF9"/>
    <w:rsid w:val="5C0F1DCA"/>
    <w:rsid w:val="5C142F3C"/>
    <w:rsid w:val="5C186CD5"/>
    <w:rsid w:val="5C1A6677"/>
    <w:rsid w:val="5C1F25FB"/>
    <w:rsid w:val="5C261656"/>
    <w:rsid w:val="5C270EC2"/>
    <w:rsid w:val="5C2C2344"/>
    <w:rsid w:val="5C307FE1"/>
    <w:rsid w:val="5C321615"/>
    <w:rsid w:val="5C3A6E47"/>
    <w:rsid w:val="5C3B671B"/>
    <w:rsid w:val="5C3D172A"/>
    <w:rsid w:val="5C4004DF"/>
    <w:rsid w:val="5C43235A"/>
    <w:rsid w:val="5C481C4C"/>
    <w:rsid w:val="5C4F21B0"/>
    <w:rsid w:val="5C51136D"/>
    <w:rsid w:val="5C530162"/>
    <w:rsid w:val="5C550F13"/>
    <w:rsid w:val="5C552A3C"/>
    <w:rsid w:val="5C556EA6"/>
    <w:rsid w:val="5C5B500F"/>
    <w:rsid w:val="5C650FB0"/>
    <w:rsid w:val="5C702869"/>
    <w:rsid w:val="5C743C34"/>
    <w:rsid w:val="5C7560D1"/>
    <w:rsid w:val="5C7A4279"/>
    <w:rsid w:val="5C7B5266"/>
    <w:rsid w:val="5C8E17F7"/>
    <w:rsid w:val="5C8F0E4B"/>
    <w:rsid w:val="5C913139"/>
    <w:rsid w:val="5CA26B23"/>
    <w:rsid w:val="5CA354AC"/>
    <w:rsid w:val="5CB45F05"/>
    <w:rsid w:val="5CB55CD5"/>
    <w:rsid w:val="5CBC31B2"/>
    <w:rsid w:val="5CBC678C"/>
    <w:rsid w:val="5CBF3BEB"/>
    <w:rsid w:val="5CC76201"/>
    <w:rsid w:val="5CC77597"/>
    <w:rsid w:val="5CC834AE"/>
    <w:rsid w:val="5CC9106E"/>
    <w:rsid w:val="5CCB5CF1"/>
    <w:rsid w:val="5CCD0A5B"/>
    <w:rsid w:val="5CD50321"/>
    <w:rsid w:val="5CD50908"/>
    <w:rsid w:val="5CEE5E83"/>
    <w:rsid w:val="5CF21813"/>
    <w:rsid w:val="5CF934A1"/>
    <w:rsid w:val="5D011713"/>
    <w:rsid w:val="5D0336DD"/>
    <w:rsid w:val="5D041203"/>
    <w:rsid w:val="5D043BDE"/>
    <w:rsid w:val="5D0638C7"/>
    <w:rsid w:val="5D0B274A"/>
    <w:rsid w:val="5D2071FB"/>
    <w:rsid w:val="5D253F3F"/>
    <w:rsid w:val="5D2573D0"/>
    <w:rsid w:val="5D2A5237"/>
    <w:rsid w:val="5D2B6EAA"/>
    <w:rsid w:val="5D2E3846"/>
    <w:rsid w:val="5D395FE0"/>
    <w:rsid w:val="5D3C6BEF"/>
    <w:rsid w:val="5D413506"/>
    <w:rsid w:val="5D453167"/>
    <w:rsid w:val="5D4C593F"/>
    <w:rsid w:val="5D656145"/>
    <w:rsid w:val="5D683540"/>
    <w:rsid w:val="5D72616D"/>
    <w:rsid w:val="5D740137"/>
    <w:rsid w:val="5D7661BB"/>
    <w:rsid w:val="5D811D91"/>
    <w:rsid w:val="5D8331ED"/>
    <w:rsid w:val="5D84646B"/>
    <w:rsid w:val="5D8547EA"/>
    <w:rsid w:val="5D861C18"/>
    <w:rsid w:val="5D865943"/>
    <w:rsid w:val="5D892330"/>
    <w:rsid w:val="5D8C1B29"/>
    <w:rsid w:val="5D940211"/>
    <w:rsid w:val="5D9562FF"/>
    <w:rsid w:val="5D9761AF"/>
    <w:rsid w:val="5D9A027D"/>
    <w:rsid w:val="5DA97B86"/>
    <w:rsid w:val="5DB06C95"/>
    <w:rsid w:val="5DB865F0"/>
    <w:rsid w:val="5DB873CE"/>
    <w:rsid w:val="5DBC68D6"/>
    <w:rsid w:val="5DC7295C"/>
    <w:rsid w:val="5DC801B2"/>
    <w:rsid w:val="5DC92D73"/>
    <w:rsid w:val="5DCB1D21"/>
    <w:rsid w:val="5DCC4C82"/>
    <w:rsid w:val="5DCD5A99"/>
    <w:rsid w:val="5DD17991"/>
    <w:rsid w:val="5DD91735"/>
    <w:rsid w:val="5DDC7A8A"/>
    <w:rsid w:val="5DDE1A54"/>
    <w:rsid w:val="5DE033F9"/>
    <w:rsid w:val="5DE54B90"/>
    <w:rsid w:val="5DE66C20"/>
    <w:rsid w:val="5DF10618"/>
    <w:rsid w:val="5DF10B47"/>
    <w:rsid w:val="5DFB0858"/>
    <w:rsid w:val="5E046A15"/>
    <w:rsid w:val="5E056147"/>
    <w:rsid w:val="5E084D23"/>
    <w:rsid w:val="5E0A45F7"/>
    <w:rsid w:val="5E1611EE"/>
    <w:rsid w:val="5E162F9C"/>
    <w:rsid w:val="5E1C257C"/>
    <w:rsid w:val="5E1E4A95"/>
    <w:rsid w:val="5E2A6BBC"/>
    <w:rsid w:val="5E3A3ABF"/>
    <w:rsid w:val="5E3B6EA6"/>
    <w:rsid w:val="5E4107AB"/>
    <w:rsid w:val="5E45554E"/>
    <w:rsid w:val="5E473A9D"/>
    <w:rsid w:val="5E484188"/>
    <w:rsid w:val="5E48511F"/>
    <w:rsid w:val="5E4A5AF6"/>
    <w:rsid w:val="5E573E48"/>
    <w:rsid w:val="5E587A58"/>
    <w:rsid w:val="5E59597F"/>
    <w:rsid w:val="5E597ADD"/>
    <w:rsid w:val="5E5D6E1D"/>
    <w:rsid w:val="5E5F64F0"/>
    <w:rsid w:val="5E6036C0"/>
    <w:rsid w:val="5E6107E9"/>
    <w:rsid w:val="5E6C52B2"/>
    <w:rsid w:val="5E706AC9"/>
    <w:rsid w:val="5E785A05"/>
    <w:rsid w:val="5E792416"/>
    <w:rsid w:val="5E7A5C21"/>
    <w:rsid w:val="5E84084D"/>
    <w:rsid w:val="5E8817D8"/>
    <w:rsid w:val="5E8E347A"/>
    <w:rsid w:val="5E8F570F"/>
    <w:rsid w:val="5E9255DC"/>
    <w:rsid w:val="5E935F94"/>
    <w:rsid w:val="5E96029E"/>
    <w:rsid w:val="5E9622BA"/>
    <w:rsid w:val="5E9A3E64"/>
    <w:rsid w:val="5E9B254F"/>
    <w:rsid w:val="5EA7453C"/>
    <w:rsid w:val="5EA8071D"/>
    <w:rsid w:val="5EAB0A16"/>
    <w:rsid w:val="5EAF519E"/>
    <w:rsid w:val="5EB33CDC"/>
    <w:rsid w:val="5EB84053"/>
    <w:rsid w:val="5EC3244B"/>
    <w:rsid w:val="5EC8397E"/>
    <w:rsid w:val="5ECB2990"/>
    <w:rsid w:val="5ED80DC1"/>
    <w:rsid w:val="5ED9084B"/>
    <w:rsid w:val="5EDF0ADA"/>
    <w:rsid w:val="5EE10235"/>
    <w:rsid w:val="5EE44E48"/>
    <w:rsid w:val="5EED7FF0"/>
    <w:rsid w:val="5EF7101F"/>
    <w:rsid w:val="5EFC7E35"/>
    <w:rsid w:val="5F0059FA"/>
    <w:rsid w:val="5F021772"/>
    <w:rsid w:val="5F070A50"/>
    <w:rsid w:val="5F0813F1"/>
    <w:rsid w:val="5F0F2476"/>
    <w:rsid w:val="5F134BF5"/>
    <w:rsid w:val="5F142521"/>
    <w:rsid w:val="5F265461"/>
    <w:rsid w:val="5F365651"/>
    <w:rsid w:val="5F471F31"/>
    <w:rsid w:val="5F481892"/>
    <w:rsid w:val="5F4959FC"/>
    <w:rsid w:val="5F4B5F0B"/>
    <w:rsid w:val="5F506981"/>
    <w:rsid w:val="5F52038F"/>
    <w:rsid w:val="5F5854AC"/>
    <w:rsid w:val="5F6274AD"/>
    <w:rsid w:val="5F664883"/>
    <w:rsid w:val="5F6C7812"/>
    <w:rsid w:val="5F7B08DC"/>
    <w:rsid w:val="5F7B19F7"/>
    <w:rsid w:val="5F814D8D"/>
    <w:rsid w:val="5F8D54E0"/>
    <w:rsid w:val="5F9144A0"/>
    <w:rsid w:val="5F9745B0"/>
    <w:rsid w:val="5F9C0158"/>
    <w:rsid w:val="5F9C45C2"/>
    <w:rsid w:val="5F9D2510"/>
    <w:rsid w:val="5F9E593F"/>
    <w:rsid w:val="5FA12D39"/>
    <w:rsid w:val="5FB16998"/>
    <w:rsid w:val="5FB26231"/>
    <w:rsid w:val="5FB310AE"/>
    <w:rsid w:val="5FBC7B73"/>
    <w:rsid w:val="5FBE06A9"/>
    <w:rsid w:val="5FBF174F"/>
    <w:rsid w:val="5FC353A5"/>
    <w:rsid w:val="5FC36ABF"/>
    <w:rsid w:val="5FC41A99"/>
    <w:rsid w:val="5FCB3F5F"/>
    <w:rsid w:val="5FCB59BA"/>
    <w:rsid w:val="5FCD2D18"/>
    <w:rsid w:val="5FD43F14"/>
    <w:rsid w:val="5FD82F7C"/>
    <w:rsid w:val="5FD90725"/>
    <w:rsid w:val="5FE002F9"/>
    <w:rsid w:val="5FEF4E02"/>
    <w:rsid w:val="5FF62290"/>
    <w:rsid w:val="5FFD062D"/>
    <w:rsid w:val="600129B9"/>
    <w:rsid w:val="600357A2"/>
    <w:rsid w:val="600F4147"/>
    <w:rsid w:val="601D1CCD"/>
    <w:rsid w:val="60237F71"/>
    <w:rsid w:val="602816AC"/>
    <w:rsid w:val="602906AE"/>
    <w:rsid w:val="60290E01"/>
    <w:rsid w:val="602C19B8"/>
    <w:rsid w:val="602E3115"/>
    <w:rsid w:val="602F758B"/>
    <w:rsid w:val="603911C4"/>
    <w:rsid w:val="60394B3D"/>
    <w:rsid w:val="603E4A2C"/>
    <w:rsid w:val="60483AFC"/>
    <w:rsid w:val="604A35BC"/>
    <w:rsid w:val="604C2094"/>
    <w:rsid w:val="604C7149"/>
    <w:rsid w:val="604F6C39"/>
    <w:rsid w:val="605072BF"/>
    <w:rsid w:val="605424A1"/>
    <w:rsid w:val="60593614"/>
    <w:rsid w:val="60636240"/>
    <w:rsid w:val="6074044E"/>
    <w:rsid w:val="607C0D31"/>
    <w:rsid w:val="607D1EBB"/>
    <w:rsid w:val="60894CFD"/>
    <w:rsid w:val="608F69DA"/>
    <w:rsid w:val="60904C36"/>
    <w:rsid w:val="60916139"/>
    <w:rsid w:val="609D1752"/>
    <w:rsid w:val="609D32FC"/>
    <w:rsid w:val="60A109EB"/>
    <w:rsid w:val="60A46028"/>
    <w:rsid w:val="60B90EC4"/>
    <w:rsid w:val="60BB7E2A"/>
    <w:rsid w:val="60BC53FD"/>
    <w:rsid w:val="60C07B37"/>
    <w:rsid w:val="60C16719"/>
    <w:rsid w:val="60C929A8"/>
    <w:rsid w:val="60D66C58"/>
    <w:rsid w:val="60DE2AF7"/>
    <w:rsid w:val="60E229A9"/>
    <w:rsid w:val="60E708D0"/>
    <w:rsid w:val="60ED166D"/>
    <w:rsid w:val="60F31D02"/>
    <w:rsid w:val="60F66586"/>
    <w:rsid w:val="60F831B7"/>
    <w:rsid w:val="61027F57"/>
    <w:rsid w:val="61082A81"/>
    <w:rsid w:val="610A4290"/>
    <w:rsid w:val="610B6D0D"/>
    <w:rsid w:val="610E47E7"/>
    <w:rsid w:val="61125A96"/>
    <w:rsid w:val="61157B25"/>
    <w:rsid w:val="611A7247"/>
    <w:rsid w:val="6122434D"/>
    <w:rsid w:val="61247B2F"/>
    <w:rsid w:val="612E2CF2"/>
    <w:rsid w:val="61371BA7"/>
    <w:rsid w:val="613B2EC6"/>
    <w:rsid w:val="613D7AC0"/>
    <w:rsid w:val="613E5097"/>
    <w:rsid w:val="613F7BEC"/>
    <w:rsid w:val="61412A26"/>
    <w:rsid w:val="614372F4"/>
    <w:rsid w:val="61440E6E"/>
    <w:rsid w:val="61457884"/>
    <w:rsid w:val="6147112D"/>
    <w:rsid w:val="614A7148"/>
    <w:rsid w:val="6151253D"/>
    <w:rsid w:val="6160135D"/>
    <w:rsid w:val="6162474A"/>
    <w:rsid w:val="61631912"/>
    <w:rsid w:val="61655970"/>
    <w:rsid w:val="616F1841"/>
    <w:rsid w:val="61706E67"/>
    <w:rsid w:val="61767CB3"/>
    <w:rsid w:val="617952FC"/>
    <w:rsid w:val="617C53D9"/>
    <w:rsid w:val="61812E22"/>
    <w:rsid w:val="61834DEC"/>
    <w:rsid w:val="618C7139"/>
    <w:rsid w:val="6190308F"/>
    <w:rsid w:val="61936D8B"/>
    <w:rsid w:val="619F774C"/>
    <w:rsid w:val="61A56914"/>
    <w:rsid w:val="61AA2758"/>
    <w:rsid w:val="61AA6062"/>
    <w:rsid w:val="61B27CA1"/>
    <w:rsid w:val="61B3707D"/>
    <w:rsid w:val="61B72CE8"/>
    <w:rsid w:val="61BA6334"/>
    <w:rsid w:val="61C001CC"/>
    <w:rsid w:val="61C3343B"/>
    <w:rsid w:val="61C40F61"/>
    <w:rsid w:val="61C952DF"/>
    <w:rsid w:val="61D244C5"/>
    <w:rsid w:val="61D513C0"/>
    <w:rsid w:val="61DA7EB5"/>
    <w:rsid w:val="61EF0440"/>
    <w:rsid w:val="61FA1656"/>
    <w:rsid w:val="61FF27FC"/>
    <w:rsid w:val="620B4DE2"/>
    <w:rsid w:val="620C2033"/>
    <w:rsid w:val="620F48D2"/>
    <w:rsid w:val="620F6F18"/>
    <w:rsid w:val="62117EBD"/>
    <w:rsid w:val="62127F1E"/>
    <w:rsid w:val="62145A44"/>
    <w:rsid w:val="621C0778"/>
    <w:rsid w:val="621D05DD"/>
    <w:rsid w:val="622C4470"/>
    <w:rsid w:val="622D2E99"/>
    <w:rsid w:val="623119AC"/>
    <w:rsid w:val="623163A7"/>
    <w:rsid w:val="62360473"/>
    <w:rsid w:val="623F2EA5"/>
    <w:rsid w:val="62483940"/>
    <w:rsid w:val="625130FB"/>
    <w:rsid w:val="62514EEA"/>
    <w:rsid w:val="62556940"/>
    <w:rsid w:val="625C563D"/>
    <w:rsid w:val="625C57CE"/>
    <w:rsid w:val="625C615E"/>
    <w:rsid w:val="625F7ED6"/>
    <w:rsid w:val="626256DD"/>
    <w:rsid w:val="62683FE2"/>
    <w:rsid w:val="626B762E"/>
    <w:rsid w:val="626C0398"/>
    <w:rsid w:val="626D33A6"/>
    <w:rsid w:val="6271444B"/>
    <w:rsid w:val="627225DB"/>
    <w:rsid w:val="62864468"/>
    <w:rsid w:val="628935EF"/>
    <w:rsid w:val="6292105F"/>
    <w:rsid w:val="629870A2"/>
    <w:rsid w:val="629C61EA"/>
    <w:rsid w:val="62A74B0A"/>
    <w:rsid w:val="62AA63A9"/>
    <w:rsid w:val="62AC2121"/>
    <w:rsid w:val="62AE6250"/>
    <w:rsid w:val="62B1643E"/>
    <w:rsid w:val="62B45479"/>
    <w:rsid w:val="62BF209A"/>
    <w:rsid w:val="62C014B3"/>
    <w:rsid w:val="62C84A81"/>
    <w:rsid w:val="62CA2184"/>
    <w:rsid w:val="62CA6A4B"/>
    <w:rsid w:val="62CF5E0F"/>
    <w:rsid w:val="62D1322E"/>
    <w:rsid w:val="62D2496B"/>
    <w:rsid w:val="62EB733F"/>
    <w:rsid w:val="62FD472A"/>
    <w:rsid w:val="63007776"/>
    <w:rsid w:val="63011F0B"/>
    <w:rsid w:val="63027F93"/>
    <w:rsid w:val="6305370E"/>
    <w:rsid w:val="630D3399"/>
    <w:rsid w:val="630E7347"/>
    <w:rsid w:val="631F0B45"/>
    <w:rsid w:val="631F28F3"/>
    <w:rsid w:val="632175D9"/>
    <w:rsid w:val="63230C1F"/>
    <w:rsid w:val="632720A3"/>
    <w:rsid w:val="632779F9"/>
    <w:rsid w:val="63295C3E"/>
    <w:rsid w:val="63301201"/>
    <w:rsid w:val="63367D3F"/>
    <w:rsid w:val="6337605A"/>
    <w:rsid w:val="63384BF1"/>
    <w:rsid w:val="633F11E7"/>
    <w:rsid w:val="633F3CAA"/>
    <w:rsid w:val="634C3904"/>
    <w:rsid w:val="63584057"/>
    <w:rsid w:val="635E6E8C"/>
    <w:rsid w:val="635F6D2C"/>
    <w:rsid w:val="63615A0A"/>
    <w:rsid w:val="63624ED5"/>
    <w:rsid w:val="63690012"/>
    <w:rsid w:val="636F24BB"/>
    <w:rsid w:val="6381535B"/>
    <w:rsid w:val="63890E28"/>
    <w:rsid w:val="638E7A78"/>
    <w:rsid w:val="639170EF"/>
    <w:rsid w:val="639332E1"/>
    <w:rsid w:val="6395692D"/>
    <w:rsid w:val="639A01CB"/>
    <w:rsid w:val="63A1155A"/>
    <w:rsid w:val="63A8695F"/>
    <w:rsid w:val="63AB23D8"/>
    <w:rsid w:val="63BA169B"/>
    <w:rsid w:val="63BE035D"/>
    <w:rsid w:val="63C15836"/>
    <w:rsid w:val="63C455F9"/>
    <w:rsid w:val="63CD05A1"/>
    <w:rsid w:val="63D02078"/>
    <w:rsid w:val="63D062E3"/>
    <w:rsid w:val="63D119F0"/>
    <w:rsid w:val="63D27BE3"/>
    <w:rsid w:val="63DA2CBD"/>
    <w:rsid w:val="63DC1055"/>
    <w:rsid w:val="63DD33CD"/>
    <w:rsid w:val="63E8362C"/>
    <w:rsid w:val="63E90FE0"/>
    <w:rsid w:val="63EE6769"/>
    <w:rsid w:val="63EF49BB"/>
    <w:rsid w:val="63F749B9"/>
    <w:rsid w:val="63FB7C3B"/>
    <w:rsid w:val="63FC70D8"/>
    <w:rsid w:val="63FE4BFE"/>
    <w:rsid w:val="64002BE9"/>
    <w:rsid w:val="6404729C"/>
    <w:rsid w:val="64080705"/>
    <w:rsid w:val="640E2A8B"/>
    <w:rsid w:val="640F5CFD"/>
    <w:rsid w:val="64120C1E"/>
    <w:rsid w:val="64124205"/>
    <w:rsid w:val="642632AF"/>
    <w:rsid w:val="6428256E"/>
    <w:rsid w:val="64326656"/>
    <w:rsid w:val="64382901"/>
    <w:rsid w:val="643979E4"/>
    <w:rsid w:val="643A1643"/>
    <w:rsid w:val="643E2670"/>
    <w:rsid w:val="64430863"/>
    <w:rsid w:val="6445778C"/>
    <w:rsid w:val="644C515F"/>
    <w:rsid w:val="644C6871"/>
    <w:rsid w:val="644D348F"/>
    <w:rsid w:val="644F37C5"/>
    <w:rsid w:val="64515ACD"/>
    <w:rsid w:val="645C1924"/>
    <w:rsid w:val="645D6438"/>
    <w:rsid w:val="645D7C18"/>
    <w:rsid w:val="645E390D"/>
    <w:rsid w:val="64604B5D"/>
    <w:rsid w:val="64646D06"/>
    <w:rsid w:val="64654DEB"/>
    <w:rsid w:val="64682077"/>
    <w:rsid w:val="646F1658"/>
    <w:rsid w:val="647A412F"/>
    <w:rsid w:val="647C4325"/>
    <w:rsid w:val="647E5D3F"/>
    <w:rsid w:val="647F055B"/>
    <w:rsid w:val="648D1ADE"/>
    <w:rsid w:val="649607A0"/>
    <w:rsid w:val="64A82548"/>
    <w:rsid w:val="64AF1213"/>
    <w:rsid w:val="64B477E8"/>
    <w:rsid w:val="64B703EC"/>
    <w:rsid w:val="64B84F5C"/>
    <w:rsid w:val="64C431C0"/>
    <w:rsid w:val="64CD45D0"/>
    <w:rsid w:val="64CF569C"/>
    <w:rsid w:val="64D44922"/>
    <w:rsid w:val="64E00662"/>
    <w:rsid w:val="64E9096A"/>
    <w:rsid w:val="64E969EC"/>
    <w:rsid w:val="64EB37CD"/>
    <w:rsid w:val="64F728D5"/>
    <w:rsid w:val="65051FBC"/>
    <w:rsid w:val="650E0E71"/>
    <w:rsid w:val="651144BD"/>
    <w:rsid w:val="6513691A"/>
    <w:rsid w:val="651641C9"/>
    <w:rsid w:val="65173519"/>
    <w:rsid w:val="65283DC6"/>
    <w:rsid w:val="65284CCE"/>
    <w:rsid w:val="652F0DE7"/>
    <w:rsid w:val="653B5EE5"/>
    <w:rsid w:val="654523B9"/>
    <w:rsid w:val="656B40C4"/>
    <w:rsid w:val="657049D2"/>
    <w:rsid w:val="6575295A"/>
    <w:rsid w:val="657C227E"/>
    <w:rsid w:val="657D21FF"/>
    <w:rsid w:val="6587477F"/>
    <w:rsid w:val="65875458"/>
    <w:rsid w:val="658904F7"/>
    <w:rsid w:val="658A4348"/>
    <w:rsid w:val="658E1491"/>
    <w:rsid w:val="6593581A"/>
    <w:rsid w:val="65947427"/>
    <w:rsid w:val="659C51A1"/>
    <w:rsid w:val="659D508A"/>
    <w:rsid w:val="65AB66C0"/>
    <w:rsid w:val="65B8702E"/>
    <w:rsid w:val="65BA6903"/>
    <w:rsid w:val="65BD3CE7"/>
    <w:rsid w:val="65BE71F9"/>
    <w:rsid w:val="65CC4844"/>
    <w:rsid w:val="65D27219"/>
    <w:rsid w:val="65DD6454"/>
    <w:rsid w:val="65DF0A5F"/>
    <w:rsid w:val="65E16585"/>
    <w:rsid w:val="65E21B63"/>
    <w:rsid w:val="65E6592A"/>
    <w:rsid w:val="65EC3BB8"/>
    <w:rsid w:val="65EE2A50"/>
    <w:rsid w:val="65F4293E"/>
    <w:rsid w:val="65F71905"/>
    <w:rsid w:val="65FC7FFD"/>
    <w:rsid w:val="65FF605F"/>
    <w:rsid w:val="660452C2"/>
    <w:rsid w:val="66091638"/>
    <w:rsid w:val="660B1854"/>
    <w:rsid w:val="660F5F33"/>
    <w:rsid w:val="66154DA9"/>
    <w:rsid w:val="66246472"/>
    <w:rsid w:val="662A2DCE"/>
    <w:rsid w:val="662E541A"/>
    <w:rsid w:val="662F296E"/>
    <w:rsid w:val="66320B8F"/>
    <w:rsid w:val="66362D25"/>
    <w:rsid w:val="663A3EE7"/>
    <w:rsid w:val="663B23F4"/>
    <w:rsid w:val="663C3275"/>
    <w:rsid w:val="663D12E2"/>
    <w:rsid w:val="66413EAD"/>
    <w:rsid w:val="66490FDC"/>
    <w:rsid w:val="664D3C1B"/>
    <w:rsid w:val="66503810"/>
    <w:rsid w:val="66555324"/>
    <w:rsid w:val="66555EDF"/>
    <w:rsid w:val="66652862"/>
    <w:rsid w:val="667239F8"/>
    <w:rsid w:val="667B2B61"/>
    <w:rsid w:val="667C2102"/>
    <w:rsid w:val="667F4267"/>
    <w:rsid w:val="66855163"/>
    <w:rsid w:val="66884460"/>
    <w:rsid w:val="668F1B3D"/>
    <w:rsid w:val="66911D59"/>
    <w:rsid w:val="6698362A"/>
    <w:rsid w:val="66A0076C"/>
    <w:rsid w:val="66A75B12"/>
    <w:rsid w:val="66A852F5"/>
    <w:rsid w:val="66A86E60"/>
    <w:rsid w:val="66AB4480"/>
    <w:rsid w:val="66AF3F8D"/>
    <w:rsid w:val="66B15F58"/>
    <w:rsid w:val="66B21CD0"/>
    <w:rsid w:val="66B35C73"/>
    <w:rsid w:val="66B477F6"/>
    <w:rsid w:val="66BC66AA"/>
    <w:rsid w:val="66BD3B52"/>
    <w:rsid w:val="66C11F13"/>
    <w:rsid w:val="66C32B7C"/>
    <w:rsid w:val="66C37A39"/>
    <w:rsid w:val="66C537B1"/>
    <w:rsid w:val="66C57C55"/>
    <w:rsid w:val="66C71671"/>
    <w:rsid w:val="66C814F3"/>
    <w:rsid w:val="66C92F89"/>
    <w:rsid w:val="66CC2D91"/>
    <w:rsid w:val="66CF4630"/>
    <w:rsid w:val="66D24BB5"/>
    <w:rsid w:val="66D40608"/>
    <w:rsid w:val="66DA57BF"/>
    <w:rsid w:val="66DB2FD4"/>
    <w:rsid w:val="66DD26E1"/>
    <w:rsid w:val="66E02E1B"/>
    <w:rsid w:val="66E229A8"/>
    <w:rsid w:val="66E70059"/>
    <w:rsid w:val="66ED5DE6"/>
    <w:rsid w:val="66FB7F14"/>
    <w:rsid w:val="6707201B"/>
    <w:rsid w:val="67090533"/>
    <w:rsid w:val="670D2A10"/>
    <w:rsid w:val="670E6D38"/>
    <w:rsid w:val="67142208"/>
    <w:rsid w:val="67172593"/>
    <w:rsid w:val="671868DB"/>
    <w:rsid w:val="67190033"/>
    <w:rsid w:val="6719585F"/>
    <w:rsid w:val="671A724E"/>
    <w:rsid w:val="672A3F5C"/>
    <w:rsid w:val="672A7AB8"/>
    <w:rsid w:val="672C7E85"/>
    <w:rsid w:val="673646AF"/>
    <w:rsid w:val="674F1BEB"/>
    <w:rsid w:val="675237A4"/>
    <w:rsid w:val="675E533E"/>
    <w:rsid w:val="67601121"/>
    <w:rsid w:val="676B07FC"/>
    <w:rsid w:val="677218E4"/>
    <w:rsid w:val="67753B27"/>
    <w:rsid w:val="677B2C68"/>
    <w:rsid w:val="677F6056"/>
    <w:rsid w:val="67923912"/>
    <w:rsid w:val="679A69EC"/>
    <w:rsid w:val="679E2FBD"/>
    <w:rsid w:val="679F2DEE"/>
    <w:rsid w:val="67A61B38"/>
    <w:rsid w:val="67A67F21"/>
    <w:rsid w:val="67A700E1"/>
    <w:rsid w:val="67A94E81"/>
    <w:rsid w:val="67AC6C98"/>
    <w:rsid w:val="67B0377C"/>
    <w:rsid w:val="67B55E60"/>
    <w:rsid w:val="67B6759E"/>
    <w:rsid w:val="67C248FD"/>
    <w:rsid w:val="67CA1B05"/>
    <w:rsid w:val="67D54EAE"/>
    <w:rsid w:val="67D619EE"/>
    <w:rsid w:val="67DD0FCE"/>
    <w:rsid w:val="67E759A9"/>
    <w:rsid w:val="67E83C27"/>
    <w:rsid w:val="67EA2533"/>
    <w:rsid w:val="67EB3C17"/>
    <w:rsid w:val="67EE31DB"/>
    <w:rsid w:val="67EF02A9"/>
    <w:rsid w:val="67F95923"/>
    <w:rsid w:val="67FB1A94"/>
    <w:rsid w:val="67FC20B9"/>
    <w:rsid w:val="67FC44E7"/>
    <w:rsid w:val="67FD51CC"/>
    <w:rsid w:val="67FE04D0"/>
    <w:rsid w:val="67FF0F45"/>
    <w:rsid w:val="680203FF"/>
    <w:rsid w:val="68106CAE"/>
    <w:rsid w:val="68133A7A"/>
    <w:rsid w:val="68161920"/>
    <w:rsid w:val="681A276E"/>
    <w:rsid w:val="681F180F"/>
    <w:rsid w:val="6821710D"/>
    <w:rsid w:val="682664D1"/>
    <w:rsid w:val="68272B82"/>
    <w:rsid w:val="6832311B"/>
    <w:rsid w:val="683D4A7A"/>
    <w:rsid w:val="683D4DCE"/>
    <w:rsid w:val="684265A9"/>
    <w:rsid w:val="684352D5"/>
    <w:rsid w:val="6843583A"/>
    <w:rsid w:val="68437083"/>
    <w:rsid w:val="68444BA9"/>
    <w:rsid w:val="68455962"/>
    <w:rsid w:val="68471CFA"/>
    <w:rsid w:val="684B5F38"/>
    <w:rsid w:val="684D1CB0"/>
    <w:rsid w:val="684E052E"/>
    <w:rsid w:val="684F4557"/>
    <w:rsid w:val="685643E1"/>
    <w:rsid w:val="6858637B"/>
    <w:rsid w:val="68594929"/>
    <w:rsid w:val="68661CD2"/>
    <w:rsid w:val="686A0AB4"/>
    <w:rsid w:val="686D4D23"/>
    <w:rsid w:val="68702277"/>
    <w:rsid w:val="68753642"/>
    <w:rsid w:val="687A05CB"/>
    <w:rsid w:val="6881195A"/>
    <w:rsid w:val="688974A8"/>
    <w:rsid w:val="68931CD5"/>
    <w:rsid w:val="68936434"/>
    <w:rsid w:val="68965D35"/>
    <w:rsid w:val="689A389D"/>
    <w:rsid w:val="689A6B90"/>
    <w:rsid w:val="689C6793"/>
    <w:rsid w:val="689E250C"/>
    <w:rsid w:val="68A37A66"/>
    <w:rsid w:val="68B67474"/>
    <w:rsid w:val="68B757C8"/>
    <w:rsid w:val="68B910F3"/>
    <w:rsid w:val="68B9594A"/>
    <w:rsid w:val="68BC068D"/>
    <w:rsid w:val="68BD5C94"/>
    <w:rsid w:val="68C0149A"/>
    <w:rsid w:val="68C77CB4"/>
    <w:rsid w:val="68C83A2C"/>
    <w:rsid w:val="68DB4126"/>
    <w:rsid w:val="68E34AC6"/>
    <w:rsid w:val="68E56BBE"/>
    <w:rsid w:val="68E87C1F"/>
    <w:rsid w:val="68EC0C84"/>
    <w:rsid w:val="68EF4209"/>
    <w:rsid w:val="690523FE"/>
    <w:rsid w:val="69054339"/>
    <w:rsid w:val="690A656D"/>
    <w:rsid w:val="690D7691"/>
    <w:rsid w:val="690F6F65"/>
    <w:rsid w:val="6911105D"/>
    <w:rsid w:val="69117A34"/>
    <w:rsid w:val="691622B6"/>
    <w:rsid w:val="6916655A"/>
    <w:rsid w:val="691935FF"/>
    <w:rsid w:val="691E6A93"/>
    <w:rsid w:val="6922138F"/>
    <w:rsid w:val="69227F89"/>
    <w:rsid w:val="69277146"/>
    <w:rsid w:val="69381564"/>
    <w:rsid w:val="693E2568"/>
    <w:rsid w:val="6942558D"/>
    <w:rsid w:val="69474951"/>
    <w:rsid w:val="694D7A8E"/>
    <w:rsid w:val="69594A47"/>
    <w:rsid w:val="6964240A"/>
    <w:rsid w:val="69643755"/>
    <w:rsid w:val="696848C8"/>
    <w:rsid w:val="696F6D2D"/>
    <w:rsid w:val="69777C6C"/>
    <w:rsid w:val="698600A5"/>
    <w:rsid w:val="69881DD0"/>
    <w:rsid w:val="69992CD3"/>
    <w:rsid w:val="699D0A15"/>
    <w:rsid w:val="699F3D19"/>
    <w:rsid w:val="699F5A0A"/>
    <w:rsid w:val="69A37450"/>
    <w:rsid w:val="69AF594B"/>
    <w:rsid w:val="69B04C83"/>
    <w:rsid w:val="69B960E8"/>
    <w:rsid w:val="69BC044F"/>
    <w:rsid w:val="69BF520A"/>
    <w:rsid w:val="69C15A70"/>
    <w:rsid w:val="69C77FE8"/>
    <w:rsid w:val="69CE59BB"/>
    <w:rsid w:val="69D02B99"/>
    <w:rsid w:val="69D72179"/>
    <w:rsid w:val="69DF5C48"/>
    <w:rsid w:val="69E24846"/>
    <w:rsid w:val="69E26AA4"/>
    <w:rsid w:val="69EC54F9"/>
    <w:rsid w:val="69F90ABF"/>
    <w:rsid w:val="6A022F6E"/>
    <w:rsid w:val="6A097E59"/>
    <w:rsid w:val="6A0D2B94"/>
    <w:rsid w:val="6A10568B"/>
    <w:rsid w:val="6A1231B1"/>
    <w:rsid w:val="6A132A85"/>
    <w:rsid w:val="6A1A62CD"/>
    <w:rsid w:val="6A1C0E4B"/>
    <w:rsid w:val="6A2140B2"/>
    <w:rsid w:val="6A242128"/>
    <w:rsid w:val="6A2F23AB"/>
    <w:rsid w:val="6A386990"/>
    <w:rsid w:val="6A3C67A6"/>
    <w:rsid w:val="6A405DAE"/>
    <w:rsid w:val="6A4610AD"/>
    <w:rsid w:val="6A472B90"/>
    <w:rsid w:val="6A5006F6"/>
    <w:rsid w:val="6A5224CC"/>
    <w:rsid w:val="6A553A32"/>
    <w:rsid w:val="6A560DAC"/>
    <w:rsid w:val="6A663538"/>
    <w:rsid w:val="6A773014"/>
    <w:rsid w:val="6A7D1633"/>
    <w:rsid w:val="6A8B5E92"/>
    <w:rsid w:val="6A8D304D"/>
    <w:rsid w:val="6A8D6CDC"/>
    <w:rsid w:val="6A8E5EDF"/>
    <w:rsid w:val="6A957578"/>
    <w:rsid w:val="6A994787"/>
    <w:rsid w:val="6A9F59B1"/>
    <w:rsid w:val="6AA033E6"/>
    <w:rsid w:val="6AA10091"/>
    <w:rsid w:val="6AA803C3"/>
    <w:rsid w:val="6AAC696A"/>
    <w:rsid w:val="6AAD49C9"/>
    <w:rsid w:val="6AAD5F0E"/>
    <w:rsid w:val="6AB04609"/>
    <w:rsid w:val="6AB3597F"/>
    <w:rsid w:val="6AB72926"/>
    <w:rsid w:val="6ABF6E0B"/>
    <w:rsid w:val="6AC12A16"/>
    <w:rsid w:val="6AC13C68"/>
    <w:rsid w:val="6AC67AF8"/>
    <w:rsid w:val="6ACE7020"/>
    <w:rsid w:val="6ACF04D0"/>
    <w:rsid w:val="6AD10D9A"/>
    <w:rsid w:val="6AD77F96"/>
    <w:rsid w:val="6ADF3578"/>
    <w:rsid w:val="6AEB2A78"/>
    <w:rsid w:val="6AEE2003"/>
    <w:rsid w:val="6B00125C"/>
    <w:rsid w:val="6B036F9E"/>
    <w:rsid w:val="6B106C62"/>
    <w:rsid w:val="6B106FC5"/>
    <w:rsid w:val="6B1533AD"/>
    <w:rsid w:val="6B16771A"/>
    <w:rsid w:val="6B17611C"/>
    <w:rsid w:val="6B1765A5"/>
    <w:rsid w:val="6B197A81"/>
    <w:rsid w:val="6B1F11E2"/>
    <w:rsid w:val="6B325BF7"/>
    <w:rsid w:val="6B340F05"/>
    <w:rsid w:val="6B3960FC"/>
    <w:rsid w:val="6B3A697D"/>
    <w:rsid w:val="6B3B484B"/>
    <w:rsid w:val="6B3C3C68"/>
    <w:rsid w:val="6B424F3A"/>
    <w:rsid w:val="6B42603A"/>
    <w:rsid w:val="6B431030"/>
    <w:rsid w:val="6B436A8D"/>
    <w:rsid w:val="6B4849B1"/>
    <w:rsid w:val="6B4E5778"/>
    <w:rsid w:val="6B5A2C3F"/>
    <w:rsid w:val="6B5C337A"/>
    <w:rsid w:val="6B607E5C"/>
    <w:rsid w:val="6B684B2B"/>
    <w:rsid w:val="6B756B41"/>
    <w:rsid w:val="6B782B8D"/>
    <w:rsid w:val="6B785296"/>
    <w:rsid w:val="6B7A412B"/>
    <w:rsid w:val="6B7E3E65"/>
    <w:rsid w:val="6B8B0FB7"/>
    <w:rsid w:val="6B8F0831"/>
    <w:rsid w:val="6B98412E"/>
    <w:rsid w:val="6B98564C"/>
    <w:rsid w:val="6BA77CE4"/>
    <w:rsid w:val="6BA81FC6"/>
    <w:rsid w:val="6BA972A1"/>
    <w:rsid w:val="6BAB73E8"/>
    <w:rsid w:val="6BBD1CF7"/>
    <w:rsid w:val="6BC73B27"/>
    <w:rsid w:val="6BCB1032"/>
    <w:rsid w:val="6BCD6965"/>
    <w:rsid w:val="6BD16ED3"/>
    <w:rsid w:val="6BD275B7"/>
    <w:rsid w:val="6BD46244"/>
    <w:rsid w:val="6BD66460"/>
    <w:rsid w:val="6BDA7CFF"/>
    <w:rsid w:val="6BDD7D4F"/>
    <w:rsid w:val="6BDD7E70"/>
    <w:rsid w:val="6BEA6C23"/>
    <w:rsid w:val="6BEB4305"/>
    <w:rsid w:val="6BF344BD"/>
    <w:rsid w:val="6BF863D7"/>
    <w:rsid w:val="6BFC1155"/>
    <w:rsid w:val="6C0134DD"/>
    <w:rsid w:val="6C027255"/>
    <w:rsid w:val="6C043D76"/>
    <w:rsid w:val="6C054650"/>
    <w:rsid w:val="6C0601F1"/>
    <w:rsid w:val="6C075B03"/>
    <w:rsid w:val="6C082D01"/>
    <w:rsid w:val="6C0B610A"/>
    <w:rsid w:val="6C0C6146"/>
    <w:rsid w:val="6C0D5B92"/>
    <w:rsid w:val="6C112B24"/>
    <w:rsid w:val="6C136D6D"/>
    <w:rsid w:val="6C164AAF"/>
    <w:rsid w:val="6C1758D2"/>
    <w:rsid w:val="6C1B20D8"/>
    <w:rsid w:val="6C24541E"/>
    <w:rsid w:val="6C256F3D"/>
    <w:rsid w:val="6C270A6A"/>
    <w:rsid w:val="6C2E3BA6"/>
    <w:rsid w:val="6C3C2767"/>
    <w:rsid w:val="6C3F24CA"/>
    <w:rsid w:val="6C4130C1"/>
    <w:rsid w:val="6C463EBB"/>
    <w:rsid w:val="6C4C4A8D"/>
    <w:rsid w:val="6C5008E1"/>
    <w:rsid w:val="6C5147F6"/>
    <w:rsid w:val="6C517895"/>
    <w:rsid w:val="6C5527E5"/>
    <w:rsid w:val="6C553EED"/>
    <w:rsid w:val="6C5B406F"/>
    <w:rsid w:val="6C6058A7"/>
    <w:rsid w:val="6C683B9C"/>
    <w:rsid w:val="6C697BBF"/>
    <w:rsid w:val="6C6B350B"/>
    <w:rsid w:val="6C7520FA"/>
    <w:rsid w:val="6C880625"/>
    <w:rsid w:val="6C8C4686"/>
    <w:rsid w:val="6CA1081C"/>
    <w:rsid w:val="6CB21A56"/>
    <w:rsid w:val="6CB22A29"/>
    <w:rsid w:val="6CB56076"/>
    <w:rsid w:val="6CB86E80"/>
    <w:rsid w:val="6CCA6708"/>
    <w:rsid w:val="6CCA7D73"/>
    <w:rsid w:val="6CD45945"/>
    <w:rsid w:val="6CDA60C2"/>
    <w:rsid w:val="6CDC3602"/>
    <w:rsid w:val="6CDC43E9"/>
    <w:rsid w:val="6CDF25C2"/>
    <w:rsid w:val="6CE80A80"/>
    <w:rsid w:val="6CEF1588"/>
    <w:rsid w:val="6CF245FA"/>
    <w:rsid w:val="6D00090C"/>
    <w:rsid w:val="6D0B446A"/>
    <w:rsid w:val="6D0C613F"/>
    <w:rsid w:val="6D165E10"/>
    <w:rsid w:val="6D181281"/>
    <w:rsid w:val="6D1941CD"/>
    <w:rsid w:val="6D1A1C24"/>
    <w:rsid w:val="6D287B5A"/>
    <w:rsid w:val="6D2A08D5"/>
    <w:rsid w:val="6D2C1EF0"/>
    <w:rsid w:val="6D3B566E"/>
    <w:rsid w:val="6D3C4DC1"/>
    <w:rsid w:val="6D401DE3"/>
    <w:rsid w:val="6D4F0278"/>
    <w:rsid w:val="6D517303"/>
    <w:rsid w:val="6D590593"/>
    <w:rsid w:val="6D5B0983"/>
    <w:rsid w:val="6D5E6497"/>
    <w:rsid w:val="6D5E6EBF"/>
    <w:rsid w:val="6D6209B3"/>
    <w:rsid w:val="6D673814"/>
    <w:rsid w:val="6D6B416B"/>
    <w:rsid w:val="6D6D1B92"/>
    <w:rsid w:val="6D720BA9"/>
    <w:rsid w:val="6D725D15"/>
    <w:rsid w:val="6D7B16CC"/>
    <w:rsid w:val="6D7C3DDB"/>
    <w:rsid w:val="6D8E6624"/>
    <w:rsid w:val="6DA01445"/>
    <w:rsid w:val="6DB04CB2"/>
    <w:rsid w:val="6DB4178C"/>
    <w:rsid w:val="6DC03450"/>
    <w:rsid w:val="6DC5678C"/>
    <w:rsid w:val="6DD02C0B"/>
    <w:rsid w:val="6DD662A4"/>
    <w:rsid w:val="6DDE4298"/>
    <w:rsid w:val="6DE21F8A"/>
    <w:rsid w:val="6DF258F4"/>
    <w:rsid w:val="6DF61D70"/>
    <w:rsid w:val="6DF66946"/>
    <w:rsid w:val="6DF7425E"/>
    <w:rsid w:val="6DFA03C4"/>
    <w:rsid w:val="6E005A16"/>
    <w:rsid w:val="6E076D34"/>
    <w:rsid w:val="6E0A1325"/>
    <w:rsid w:val="6E0C43BB"/>
    <w:rsid w:val="6E1A7B10"/>
    <w:rsid w:val="6E1F5E9D"/>
    <w:rsid w:val="6E207B4E"/>
    <w:rsid w:val="6E217E67"/>
    <w:rsid w:val="6E276AFF"/>
    <w:rsid w:val="6E3D0A6D"/>
    <w:rsid w:val="6E4848D8"/>
    <w:rsid w:val="6E5C7B73"/>
    <w:rsid w:val="6E661D1D"/>
    <w:rsid w:val="6E68642E"/>
    <w:rsid w:val="6E6B242A"/>
    <w:rsid w:val="6E746730"/>
    <w:rsid w:val="6E757270"/>
    <w:rsid w:val="6E781A51"/>
    <w:rsid w:val="6E7B6E4B"/>
    <w:rsid w:val="6E8126B3"/>
    <w:rsid w:val="6E884778"/>
    <w:rsid w:val="6E891A4E"/>
    <w:rsid w:val="6E8977BA"/>
    <w:rsid w:val="6E8A4814"/>
    <w:rsid w:val="6E932533"/>
    <w:rsid w:val="6E940421"/>
    <w:rsid w:val="6E9A4FA5"/>
    <w:rsid w:val="6EA350D8"/>
    <w:rsid w:val="6EA463A2"/>
    <w:rsid w:val="6EA90FDE"/>
    <w:rsid w:val="6EB34837"/>
    <w:rsid w:val="6EB96D3E"/>
    <w:rsid w:val="6EBA3E17"/>
    <w:rsid w:val="6EBD1C57"/>
    <w:rsid w:val="6EBD7464"/>
    <w:rsid w:val="6EC30F1E"/>
    <w:rsid w:val="6EC64922"/>
    <w:rsid w:val="6ECB55B8"/>
    <w:rsid w:val="6ED053E9"/>
    <w:rsid w:val="6ED24951"/>
    <w:rsid w:val="6ED43694"/>
    <w:rsid w:val="6ED547AD"/>
    <w:rsid w:val="6ED87E74"/>
    <w:rsid w:val="6EDC3D8E"/>
    <w:rsid w:val="6EDD39D6"/>
    <w:rsid w:val="6EE2543B"/>
    <w:rsid w:val="6EED40D9"/>
    <w:rsid w:val="6EFA2466"/>
    <w:rsid w:val="6EFD5AB2"/>
    <w:rsid w:val="6F0B5CC5"/>
    <w:rsid w:val="6F0D03EB"/>
    <w:rsid w:val="6F0F3FB5"/>
    <w:rsid w:val="6F1076B7"/>
    <w:rsid w:val="6F1E2296"/>
    <w:rsid w:val="6F23498B"/>
    <w:rsid w:val="6F331FE6"/>
    <w:rsid w:val="6F3659D8"/>
    <w:rsid w:val="6F3F60CB"/>
    <w:rsid w:val="6F466612"/>
    <w:rsid w:val="6F49037E"/>
    <w:rsid w:val="6F4F07AC"/>
    <w:rsid w:val="6F5002D8"/>
    <w:rsid w:val="6F57312F"/>
    <w:rsid w:val="6F5C7A75"/>
    <w:rsid w:val="6F6048FE"/>
    <w:rsid w:val="6F633146"/>
    <w:rsid w:val="6F655B31"/>
    <w:rsid w:val="6F6C691B"/>
    <w:rsid w:val="6F6F4C02"/>
    <w:rsid w:val="6F7915DC"/>
    <w:rsid w:val="6F795A80"/>
    <w:rsid w:val="6F7E6BF3"/>
    <w:rsid w:val="6F864031"/>
    <w:rsid w:val="6F8A3E42"/>
    <w:rsid w:val="6F993A2D"/>
    <w:rsid w:val="6F9C30BD"/>
    <w:rsid w:val="6FB27708"/>
    <w:rsid w:val="6FB478B7"/>
    <w:rsid w:val="6FBF4BFE"/>
    <w:rsid w:val="6FC52A15"/>
    <w:rsid w:val="6FC8448B"/>
    <w:rsid w:val="6FD35191"/>
    <w:rsid w:val="6FD44A65"/>
    <w:rsid w:val="6FD83771"/>
    <w:rsid w:val="6FD900B8"/>
    <w:rsid w:val="6FDE202A"/>
    <w:rsid w:val="6FE43C35"/>
    <w:rsid w:val="6FE72E78"/>
    <w:rsid w:val="6FEA5A1C"/>
    <w:rsid w:val="6FEB253B"/>
    <w:rsid w:val="6FED3D79"/>
    <w:rsid w:val="6FF45107"/>
    <w:rsid w:val="6FFD045F"/>
    <w:rsid w:val="6FFE09D9"/>
    <w:rsid w:val="70041B6B"/>
    <w:rsid w:val="700A0487"/>
    <w:rsid w:val="700A45B4"/>
    <w:rsid w:val="700C06A3"/>
    <w:rsid w:val="700E7FC4"/>
    <w:rsid w:val="7012558D"/>
    <w:rsid w:val="70180DF5"/>
    <w:rsid w:val="701B0AEA"/>
    <w:rsid w:val="702A2886"/>
    <w:rsid w:val="702E0844"/>
    <w:rsid w:val="70335C2F"/>
    <w:rsid w:val="70340294"/>
    <w:rsid w:val="703674CE"/>
    <w:rsid w:val="703951EF"/>
    <w:rsid w:val="703B0129"/>
    <w:rsid w:val="703C27F4"/>
    <w:rsid w:val="703D244F"/>
    <w:rsid w:val="703D30D4"/>
    <w:rsid w:val="703E6382"/>
    <w:rsid w:val="704901D4"/>
    <w:rsid w:val="704F058F"/>
    <w:rsid w:val="705B6F34"/>
    <w:rsid w:val="705F2162"/>
    <w:rsid w:val="70630383"/>
    <w:rsid w:val="706737D7"/>
    <w:rsid w:val="7068068C"/>
    <w:rsid w:val="70696A50"/>
    <w:rsid w:val="706B361B"/>
    <w:rsid w:val="707324D0"/>
    <w:rsid w:val="707357B7"/>
    <w:rsid w:val="70810441"/>
    <w:rsid w:val="708446DD"/>
    <w:rsid w:val="70866B41"/>
    <w:rsid w:val="708772EC"/>
    <w:rsid w:val="708F2E7C"/>
    <w:rsid w:val="709541F4"/>
    <w:rsid w:val="709C34A3"/>
    <w:rsid w:val="709F3B54"/>
    <w:rsid w:val="70A37760"/>
    <w:rsid w:val="70AB523A"/>
    <w:rsid w:val="70C3061E"/>
    <w:rsid w:val="70CA2C5D"/>
    <w:rsid w:val="70CB5E68"/>
    <w:rsid w:val="70CD23C0"/>
    <w:rsid w:val="70CD6084"/>
    <w:rsid w:val="70D32B61"/>
    <w:rsid w:val="70D36C12"/>
    <w:rsid w:val="70D6480D"/>
    <w:rsid w:val="70D85FC1"/>
    <w:rsid w:val="70E91AA9"/>
    <w:rsid w:val="70F16B8D"/>
    <w:rsid w:val="70F516CE"/>
    <w:rsid w:val="70F57389"/>
    <w:rsid w:val="70F829D5"/>
    <w:rsid w:val="7104581E"/>
    <w:rsid w:val="7113156F"/>
    <w:rsid w:val="7114113C"/>
    <w:rsid w:val="711C0906"/>
    <w:rsid w:val="71211F2C"/>
    <w:rsid w:val="71292B19"/>
    <w:rsid w:val="712B2BDC"/>
    <w:rsid w:val="712B440C"/>
    <w:rsid w:val="712C10F3"/>
    <w:rsid w:val="712D6B22"/>
    <w:rsid w:val="71325EE7"/>
    <w:rsid w:val="713C1844"/>
    <w:rsid w:val="71450BD3"/>
    <w:rsid w:val="7146355D"/>
    <w:rsid w:val="714E33B7"/>
    <w:rsid w:val="7162419C"/>
    <w:rsid w:val="716A7B93"/>
    <w:rsid w:val="716B31A7"/>
    <w:rsid w:val="71707E36"/>
    <w:rsid w:val="7172737E"/>
    <w:rsid w:val="718A6801"/>
    <w:rsid w:val="718E6353"/>
    <w:rsid w:val="71921344"/>
    <w:rsid w:val="719941B8"/>
    <w:rsid w:val="71A67DBF"/>
    <w:rsid w:val="71A76E4A"/>
    <w:rsid w:val="71AA3CCF"/>
    <w:rsid w:val="71AF5213"/>
    <w:rsid w:val="71BA0B9E"/>
    <w:rsid w:val="71BB71E6"/>
    <w:rsid w:val="71BE0B36"/>
    <w:rsid w:val="71C54FAD"/>
    <w:rsid w:val="71C81340"/>
    <w:rsid w:val="71C8398B"/>
    <w:rsid w:val="71CD3E62"/>
    <w:rsid w:val="71D13952"/>
    <w:rsid w:val="71EE5577"/>
    <w:rsid w:val="71F96A05"/>
    <w:rsid w:val="71FB0D28"/>
    <w:rsid w:val="71FE1AD4"/>
    <w:rsid w:val="72007BEE"/>
    <w:rsid w:val="720B51B6"/>
    <w:rsid w:val="72181581"/>
    <w:rsid w:val="721E1F6F"/>
    <w:rsid w:val="722046AE"/>
    <w:rsid w:val="72217117"/>
    <w:rsid w:val="72234D69"/>
    <w:rsid w:val="72311897"/>
    <w:rsid w:val="724759C2"/>
    <w:rsid w:val="72477770"/>
    <w:rsid w:val="724C16FF"/>
    <w:rsid w:val="725D5379"/>
    <w:rsid w:val="726447C6"/>
    <w:rsid w:val="72646C38"/>
    <w:rsid w:val="727F12F9"/>
    <w:rsid w:val="72895D82"/>
    <w:rsid w:val="72945E87"/>
    <w:rsid w:val="72953AC7"/>
    <w:rsid w:val="7296204E"/>
    <w:rsid w:val="72BF37AA"/>
    <w:rsid w:val="72BF4F7D"/>
    <w:rsid w:val="72C15774"/>
    <w:rsid w:val="72CB188C"/>
    <w:rsid w:val="72CD4EB3"/>
    <w:rsid w:val="72CF3B0D"/>
    <w:rsid w:val="72D27981"/>
    <w:rsid w:val="72D354A8"/>
    <w:rsid w:val="72DB4E3E"/>
    <w:rsid w:val="72DD1E82"/>
    <w:rsid w:val="72EA091E"/>
    <w:rsid w:val="72EB11D1"/>
    <w:rsid w:val="72FA7ADC"/>
    <w:rsid w:val="72FB4772"/>
    <w:rsid w:val="72FD24F2"/>
    <w:rsid w:val="72FD42D3"/>
    <w:rsid w:val="73013DC3"/>
    <w:rsid w:val="73020966"/>
    <w:rsid w:val="73041E9E"/>
    <w:rsid w:val="730423A2"/>
    <w:rsid w:val="730801ED"/>
    <w:rsid w:val="73124222"/>
    <w:rsid w:val="732249A1"/>
    <w:rsid w:val="73246FA0"/>
    <w:rsid w:val="732950C8"/>
    <w:rsid w:val="73440A8F"/>
    <w:rsid w:val="73441807"/>
    <w:rsid w:val="734464A7"/>
    <w:rsid w:val="73465143"/>
    <w:rsid w:val="7347663E"/>
    <w:rsid w:val="7347757D"/>
    <w:rsid w:val="734D1946"/>
    <w:rsid w:val="734D3BC8"/>
    <w:rsid w:val="73506918"/>
    <w:rsid w:val="735230D5"/>
    <w:rsid w:val="73554010"/>
    <w:rsid w:val="735C6276"/>
    <w:rsid w:val="735D7691"/>
    <w:rsid w:val="735E1215"/>
    <w:rsid w:val="73683E42"/>
    <w:rsid w:val="736F21A4"/>
    <w:rsid w:val="73750FEF"/>
    <w:rsid w:val="73786272"/>
    <w:rsid w:val="737A3B75"/>
    <w:rsid w:val="737C0FFA"/>
    <w:rsid w:val="737F2F3A"/>
    <w:rsid w:val="73830C7C"/>
    <w:rsid w:val="73853BCA"/>
    <w:rsid w:val="738D5656"/>
    <w:rsid w:val="739619CC"/>
    <w:rsid w:val="73992AC3"/>
    <w:rsid w:val="73992B41"/>
    <w:rsid w:val="739C262E"/>
    <w:rsid w:val="739E08B8"/>
    <w:rsid w:val="73A111BE"/>
    <w:rsid w:val="73A95B56"/>
    <w:rsid w:val="73AA26AC"/>
    <w:rsid w:val="73AD7AA7"/>
    <w:rsid w:val="73AF7CC3"/>
    <w:rsid w:val="73BB13AD"/>
    <w:rsid w:val="73BC1C0C"/>
    <w:rsid w:val="73BC418E"/>
    <w:rsid w:val="73BC5F3C"/>
    <w:rsid w:val="73C4268A"/>
    <w:rsid w:val="73C86A0F"/>
    <w:rsid w:val="73CA2CA4"/>
    <w:rsid w:val="73CA314A"/>
    <w:rsid w:val="73CB1F85"/>
    <w:rsid w:val="73CC3327"/>
    <w:rsid w:val="73CF3EC1"/>
    <w:rsid w:val="73D10A7C"/>
    <w:rsid w:val="73D32C53"/>
    <w:rsid w:val="73DE2DB8"/>
    <w:rsid w:val="73E060CE"/>
    <w:rsid w:val="73E13BF4"/>
    <w:rsid w:val="73E334C8"/>
    <w:rsid w:val="73F2195D"/>
    <w:rsid w:val="73F2319F"/>
    <w:rsid w:val="73F83999"/>
    <w:rsid w:val="73FA085C"/>
    <w:rsid w:val="73FC458A"/>
    <w:rsid w:val="73FE6554"/>
    <w:rsid w:val="740775BE"/>
    <w:rsid w:val="74085625"/>
    <w:rsid w:val="741A1465"/>
    <w:rsid w:val="74275AAB"/>
    <w:rsid w:val="74280E7C"/>
    <w:rsid w:val="742A7349"/>
    <w:rsid w:val="742F56A4"/>
    <w:rsid w:val="743D707D"/>
    <w:rsid w:val="743E44FA"/>
    <w:rsid w:val="744321B9"/>
    <w:rsid w:val="74453829"/>
    <w:rsid w:val="744A3547"/>
    <w:rsid w:val="745919DD"/>
    <w:rsid w:val="747301B7"/>
    <w:rsid w:val="747D1B6F"/>
    <w:rsid w:val="747F58E7"/>
    <w:rsid w:val="74803981"/>
    <w:rsid w:val="748E671C"/>
    <w:rsid w:val="748F1B35"/>
    <w:rsid w:val="7490269B"/>
    <w:rsid w:val="74922AC0"/>
    <w:rsid w:val="749420F2"/>
    <w:rsid w:val="74A225EF"/>
    <w:rsid w:val="74A52E74"/>
    <w:rsid w:val="74B45395"/>
    <w:rsid w:val="74C05C7A"/>
    <w:rsid w:val="74C16CDF"/>
    <w:rsid w:val="74C27582"/>
    <w:rsid w:val="74C27D90"/>
    <w:rsid w:val="74C87F16"/>
    <w:rsid w:val="74CB28DA"/>
    <w:rsid w:val="74D04DB6"/>
    <w:rsid w:val="74D90969"/>
    <w:rsid w:val="74DA48CB"/>
    <w:rsid w:val="74E06F18"/>
    <w:rsid w:val="74E120FE"/>
    <w:rsid w:val="74E219D2"/>
    <w:rsid w:val="74E4399C"/>
    <w:rsid w:val="74E92D60"/>
    <w:rsid w:val="74EC7067"/>
    <w:rsid w:val="74EE0377"/>
    <w:rsid w:val="74F5194B"/>
    <w:rsid w:val="74F72AF3"/>
    <w:rsid w:val="74F7365D"/>
    <w:rsid w:val="74F87C2C"/>
    <w:rsid w:val="75097D55"/>
    <w:rsid w:val="750A2CD7"/>
    <w:rsid w:val="750A5428"/>
    <w:rsid w:val="75153B55"/>
    <w:rsid w:val="752437F8"/>
    <w:rsid w:val="752A12F1"/>
    <w:rsid w:val="752C70F1"/>
    <w:rsid w:val="753C24D9"/>
    <w:rsid w:val="754378F0"/>
    <w:rsid w:val="754430F8"/>
    <w:rsid w:val="75454B54"/>
    <w:rsid w:val="75456373"/>
    <w:rsid w:val="75477F0F"/>
    <w:rsid w:val="75483F2B"/>
    <w:rsid w:val="75596CAF"/>
    <w:rsid w:val="755A5A0C"/>
    <w:rsid w:val="755B7C0B"/>
    <w:rsid w:val="756019C9"/>
    <w:rsid w:val="75622B13"/>
    <w:rsid w:val="756659DC"/>
    <w:rsid w:val="756B19C7"/>
    <w:rsid w:val="756D53EE"/>
    <w:rsid w:val="75755861"/>
    <w:rsid w:val="757F58D8"/>
    <w:rsid w:val="75864A53"/>
    <w:rsid w:val="758C51E5"/>
    <w:rsid w:val="758E3908"/>
    <w:rsid w:val="75981E64"/>
    <w:rsid w:val="75A03342"/>
    <w:rsid w:val="75A86778"/>
    <w:rsid w:val="75AA6994"/>
    <w:rsid w:val="75AF16E6"/>
    <w:rsid w:val="75AF3FAA"/>
    <w:rsid w:val="75B84A72"/>
    <w:rsid w:val="75B90985"/>
    <w:rsid w:val="75BC0475"/>
    <w:rsid w:val="75BD3566"/>
    <w:rsid w:val="75C12BF5"/>
    <w:rsid w:val="75C8506C"/>
    <w:rsid w:val="75CB411E"/>
    <w:rsid w:val="75D10E0C"/>
    <w:rsid w:val="75D27811"/>
    <w:rsid w:val="75D4260F"/>
    <w:rsid w:val="75D82963"/>
    <w:rsid w:val="75DD0582"/>
    <w:rsid w:val="75EB3CEA"/>
    <w:rsid w:val="75F17AAF"/>
    <w:rsid w:val="75F27306"/>
    <w:rsid w:val="75F428A6"/>
    <w:rsid w:val="75F52486"/>
    <w:rsid w:val="75F6437C"/>
    <w:rsid w:val="760342F6"/>
    <w:rsid w:val="760360A4"/>
    <w:rsid w:val="76037E16"/>
    <w:rsid w:val="7605177F"/>
    <w:rsid w:val="76110158"/>
    <w:rsid w:val="76126652"/>
    <w:rsid w:val="76182072"/>
    <w:rsid w:val="761B7D80"/>
    <w:rsid w:val="761C0A74"/>
    <w:rsid w:val="762027B2"/>
    <w:rsid w:val="762A1882"/>
    <w:rsid w:val="762B0D2A"/>
    <w:rsid w:val="762B5982"/>
    <w:rsid w:val="762D3121"/>
    <w:rsid w:val="762F6E99"/>
    <w:rsid w:val="763149BF"/>
    <w:rsid w:val="76334DB9"/>
    <w:rsid w:val="76382F12"/>
    <w:rsid w:val="764010A6"/>
    <w:rsid w:val="76481E39"/>
    <w:rsid w:val="764D5571"/>
    <w:rsid w:val="764F2B2D"/>
    <w:rsid w:val="76593F16"/>
    <w:rsid w:val="765B226D"/>
    <w:rsid w:val="765C5EC2"/>
    <w:rsid w:val="765D7381"/>
    <w:rsid w:val="7662101C"/>
    <w:rsid w:val="76654669"/>
    <w:rsid w:val="76766876"/>
    <w:rsid w:val="767E7C63"/>
    <w:rsid w:val="768A39BC"/>
    <w:rsid w:val="768E6CF8"/>
    <w:rsid w:val="768F2D9D"/>
    <w:rsid w:val="769F1D04"/>
    <w:rsid w:val="769F311D"/>
    <w:rsid w:val="76A8778E"/>
    <w:rsid w:val="76AC673B"/>
    <w:rsid w:val="76B15B00"/>
    <w:rsid w:val="76B57B1A"/>
    <w:rsid w:val="76B62E18"/>
    <w:rsid w:val="76B73919"/>
    <w:rsid w:val="76B8516C"/>
    <w:rsid w:val="76D87530"/>
    <w:rsid w:val="76DC73B5"/>
    <w:rsid w:val="76DD0A13"/>
    <w:rsid w:val="76E81C8A"/>
    <w:rsid w:val="76F123A0"/>
    <w:rsid w:val="76F263F7"/>
    <w:rsid w:val="76F52AE3"/>
    <w:rsid w:val="77025C02"/>
    <w:rsid w:val="77061685"/>
    <w:rsid w:val="770A73B3"/>
    <w:rsid w:val="770C3AED"/>
    <w:rsid w:val="77132317"/>
    <w:rsid w:val="77177AE1"/>
    <w:rsid w:val="77182CF2"/>
    <w:rsid w:val="77183DD1"/>
    <w:rsid w:val="7722255A"/>
    <w:rsid w:val="77251B93"/>
    <w:rsid w:val="772B318E"/>
    <w:rsid w:val="772B3B04"/>
    <w:rsid w:val="772E5490"/>
    <w:rsid w:val="77304C77"/>
    <w:rsid w:val="773254F8"/>
    <w:rsid w:val="773A3D47"/>
    <w:rsid w:val="773B0D91"/>
    <w:rsid w:val="776042C2"/>
    <w:rsid w:val="77613D59"/>
    <w:rsid w:val="77633E9B"/>
    <w:rsid w:val="77665300"/>
    <w:rsid w:val="776668EA"/>
    <w:rsid w:val="776F6A13"/>
    <w:rsid w:val="77752FD1"/>
    <w:rsid w:val="777C3A99"/>
    <w:rsid w:val="777D268A"/>
    <w:rsid w:val="77814417"/>
    <w:rsid w:val="778356EE"/>
    <w:rsid w:val="778A22C8"/>
    <w:rsid w:val="778A6B73"/>
    <w:rsid w:val="778F321E"/>
    <w:rsid w:val="77A4357D"/>
    <w:rsid w:val="77AE670B"/>
    <w:rsid w:val="77B23999"/>
    <w:rsid w:val="77B52D38"/>
    <w:rsid w:val="77B67734"/>
    <w:rsid w:val="77BF424C"/>
    <w:rsid w:val="77C11D73"/>
    <w:rsid w:val="77CB114B"/>
    <w:rsid w:val="77CB1A30"/>
    <w:rsid w:val="77D9530E"/>
    <w:rsid w:val="77DE1039"/>
    <w:rsid w:val="77E048EF"/>
    <w:rsid w:val="77E05069"/>
    <w:rsid w:val="77E108A2"/>
    <w:rsid w:val="77E31CE9"/>
    <w:rsid w:val="77E85551"/>
    <w:rsid w:val="77F42148"/>
    <w:rsid w:val="77F55D5D"/>
    <w:rsid w:val="77F71C38"/>
    <w:rsid w:val="77FE6B23"/>
    <w:rsid w:val="780138A2"/>
    <w:rsid w:val="780974B2"/>
    <w:rsid w:val="78144598"/>
    <w:rsid w:val="781E0F73"/>
    <w:rsid w:val="78250553"/>
    <w:rsid w:val="782C6235"/>
    <w:rsid w:val="783464A7"/>
    <w:rsid w:val="783B1B25"/>
    <w:rsid w:val="78423D48"/>
    <w:rsid w:val="78482494"/>
    <w:rsid w:val="785D33E7"/>
    <w:rsid w:val="785D489D"/>
    <w:rsid w:val="78614E88"/>
    <w:rsid w:val="7866720A"/>
    <w:rsid w:val="78686692"/>
    <w:rsid w:val="786B7F9B"/>
    <w:rsid w:val="786C14C2"/>
    <w:rsid w:val="78774B27"/>
    <w:rsid w:val="7877762E"/>
    <w:rsid w:val="787A7E9F"/>
    <w:rsid w:val="787C3EEC"/>
    <w:rsid w:val="787D2FEB"/>
    <w:rsid w:val="788B1F02"/>
    <w:rsid w:val="788C2381"/>
    <w:rsid w:val="788E5C50"/>
    <w:rsid w:val="78972AD3"/>
    <w:rsid w:val="78A0407E"/>
    <w:rsid w:val="78A76272"/>
    <w:rsid w:val="78A84CE1"/>
    <w:rsid w:val="78A8679B"/>
    <w:rsid w:val="78AC7D6F"/>
    <w:rsid w:val="78AE246B"/>
    <w:rsid w:val="78AF42C1"/>
    <w:rsid w:val="78B11DE7"/>
    <w:rsid w:val="78B86684"/>
    <w:rsid w:val="78BA47EC"/>
    <w:rsid w:val="78CA2E70"/>
    <w:rsid w:val="78CC09CF"/>
    <w:rsid w:val="78CD15F4"/>
    <w:rsid w:val="78CF2423"/>
    <w:rsid w:val="78D45AD6"/>
    <w:rsid w:val="78DB50B6"/>
    <w:rsid w:val="78E34B02"/>
    <w:rsid w:val="78E811D1"/>
    <w:rsid w:val="78E96C93"/>
    <w:rsid w:val="78EA00BA"/>
    <w:rsid w:val="78EC1071"/>
    <w:rsid w:val="78F92AA4"/>
    <w:rsid w:val="78FA0EF3"/>
    <w:rsid w:val="78FA7D70"/>
    <w:rsid w:val="78FD03CE"/>
    <w:rsid w:val="790243F1"/>
    <w:rsid w:val="790A7005"/>
    <w:rsid w:val="790F5FD1"/>
    <w:rsid w:val="791365FE"/>
    <w:rsid w:val="791800B8"/>
    <w:rsid w:val="79181E66"/>
    <w:rsid w:val="791B040F"/>
    <w:rsid w:val="791B1956"/>
    <w:rsid w:val="791F3A81"/>
    <w:rsid w:val="79254583"/>
    <w:rsid w:val="793228FA"/>
    <w:rsid w:val="793B7250"/>
    <w:rsid w:val="793C51B2"/>
    <w:rsid w:val="79424008"/>
    <w:rsid w:val="794F0D9D"/>
    <w:rsid w:val="794F5DED"/>
    <w:rsid w:val="7954485D"/>
    <w:rsid w:val="79561AC8"/>
    <w:rsid w:val="79586707"/>
    <w:rsid w:val="796055BB"/>
    <w:rsid w:val="79681A30"/>
    <w:rsid w:val="79733540"/>
    <w:rsid w:val="7973709D"/>
    <w:rsid w:val="79782905"/>
    <w:rsid w:val="797D172C"/>
    <w:rsid w:val="79844921"/>
    <w:rsid w:val="79865022"/>
    <w:rsid w:val="798E2A40"/>
    <w:rsid w:val="799460F3"/>
    <w:rsid w:val="79A8143C"/>
    <w:rsid w:val="79AB2CDA"/>
    <w:rsid w:val="79AB4A88"/>
    <w:rsid w:val="79AE4579"/>
    <w:rsid w:val="79BD4D0A"/>
    <w:rsid w:val="79C616A5"/>
    <w:rsid w:val="79C76953"/>
    <w:rsid w:val="79C773E8"/>
    <w:rsid w:val="79C93160"/>
    <w:rsid w:val="79F53FAD"/>
    <w:rsid w:val="79F833BF"/>
    <w:rsid w:val="7A1563A6"/>
    <w:rsid w:val="7A187C44"/>
    <w:rsid w:val="7A197DB6"/>
    <w:rsid w:val="7A1D7E6E"/>
    <w:rsid w:val="7A223EAD"/>
    <w:rsid w:val="7A266805"/>
    <w:rsid w:val="7A2B2B3C"/>
    <w:rsid w:val="7A2D6DC8"/>
    <w:rsid w:val="7A3F3423"/>
    <w:rsid w:val="7A4153ED"/>
    <w:rsid w:val="7A4602B8"/>
    <w:rsid w:val="7A471E99"/>
    <w:rsid w:val="7A505DAD"/>
    <w:rsid w:val="7A5F41D4"/>
    <w:rsid w:val="7A622A67"/>
    <w:rsid w:val="7A637111"/>
    <w:rsid w:val="7A6A1AB9"/>
    <w:rsid w:val="7A6A78DB"/>
    <w:rsid w:val="7A710BA7"/>
    <w:rsid w:val="7A754286"/>
    <w:rsid w:val="7A7A0605"/>
    <w:rsid w:val="7A807F4C"/>
    <w:rsid w:val="7A8378C2"/>
    <w:rsid w:val="7A88301C"/>
    <w:rsid w:val="7A8D0632"/>
    <w:rsid w:val="7A8D62FA"/>
    <w:rsid w:val="7A925C48"/>
    <w:rsid w:val="7A977FC5"/>
    <w:rsid w:val="7A9814B1"/>
    <w:rsid w:val="7A992460"/>
    <w:rsid w:val="7AA833A4"/>
    <w:rsid w:val="7AAE4525"/>
    <w:rsid w:val="7AAF4C16"/>
    <w:rsid w:val="7AAF67FA"/>
    <w:rsid w:val="7ABB3F96"/>
    <w:rsid w:val="7ABC158E"/>
    <w:rsid w:val="7ABC24D7"/>
    <w:rsid w:val="7ABF6014"/>
    <w:rsid w:val="7ACD5386"/>
    <w:rsid w:val="7ACF47A6"/>
    <w:rsid w:val="7AD41939"/>
    <w:rsid w:val="7AD60112"/>
    <w:rsid w:val="7AD61FD9"/>
    <w:rsid w:val="7ADD519D"/>
    <w:rsid w:val="7AEC4D72"/>
    <w:rsid w:val="7AEC5358"/>
    <w:rsid w:val="7AF406B1"/>
    <w:rsid w:val="7AF65D6A"/>
    <w:rsid w:val="7AF7106B"/>
    <w:rsid w:val="7AFF62DC"/>
    <w:rsid w:val="7AFF67A2"/>
    <w:rsid w:val="7B045B68"/>
    <w:rsid w:val="7B05660A"/>
    <w:rsid w:val="7B0703E4"/>
    <w:rsid w:val="7B0A254F"/>
    <w:rsid w:val="7B1E3137"/>
    <w:rsid w:val="7B25086A"/>
    <w:rsid w:val="7B262C9E"/>
    <w:rsid w:val="7B272834"/>
    <w:rsid w:val="7B276391"/>
    <w:rsid w:val="7B2B077A"/>
    <w:rsid w:val="7B2E4000"/>
    <w:rsid w:val="7B3311D9"/>
    <w:rsid w:val="7B3364E1"/>
    <w:rsid w:val="7B3700EA"/>
    <w:rsid w:val="7B3836F7"/>
    <w:rsid w:val="7B396B7D"/>
    <w:rsid w:val="7B3C1F59"/>
    <w:rsid w:val="7B3D4B20"/>
    <w:rsid w:val="7B3F3578"/>
    <w:rsid w:val="7B407452"/>
    <w:rsid w:val="7B4F7695"/>
    <w:rsid w:val="7B537186"/>
    <w:rsid w:val="7B537BEE"/>
    <w:rsid w:val="7B555980"/>
    <w:rsid w:val="7B5573A2"/>
    <w:rsid w:val="7B560A24"/>
    <w:rsid w:val="7B581AC3"/>
    <w:rsid w:val="7B592205"/>
    <w:rsid w:val="7B5A5E7E"/>
    <w:rsid w:val="7B5F5AB6"/>
    <w:rsid w:val="7B6B5B27"/>
    <w:rsid w:val="7B713AB0"/>
    <w:rsid w:val="7B721B11"/>
    <w:rsid w:val="7B831689"/>
    <w:rsid w:val="7BA06143"/>
    <w:rsid w:val="7BA9512D"/>
    <w:rsid w:val="7BB340C8"/>
    <w:rsid w:val="7BBA7205"/>
    <w:rsid w:val="7BC254CF"/>
    <w:rsid w:val="7BC26C10"/>
    <w:rsid w:val="7BC71922"/>
    <w:rsid w:val="7BCE2CB0"/>
    <w:rsid w:val="7BD36518"/>
    <w:rsid w:val="7BDA558A"/>
    <w:rsid w:val="7BDB20F2"/>
    <w:rsid w:val="7BE00B87"/>
    <w:rsid w:val="7BEB4301"/>
    <w:rsid w:val="7BEC12EC"/>
    <w:rsid w:val="7BED75E5"/>
    <w:rsid w:val="7BEE728A"/>
    <w:rsid w:val="7BEF3120"/>
    <w:rsid w:val="7BEFF81C"/>
    <w:rsid w:val="7BF96898"/>
    <w:rsid w:val="7C0051D3"/>
    <w:rsid w:val="7C021BFF"/>
    <w:rsid w:val="7C06244A"/>
    <w:rsid w:val="7C0972AA"/>
    <w:rsid w:val="7C0B7A60"/>
    <w:rsid w:val="7C127041"/>
    <w:rsid w:val="7C172EA1"/>
    <w:rsid w:val="7C1B3D98"/>
    <w:rsid w:val="7C232FFC"/>
    <w:rsid w:val="7C246D74"/>
    <w:rsid w:val="7C377F58"/>
    <w:rsid w:val="7C3E1BE4"/>
    <w:rsid w:val="7C4C264F"/>
    <w:rsid w:val="7C4D08BF"/>
    <w:rsid w:val="7C4F582A"/>
    <w:rsid w:val="7C53272D"/>
    <w:rsid w:val="7C5950EA"/>
    <w:rsid w:val="7C5B3918"/>
    <w:rsid w:val="7C635BB6"/>
    <w:rsid w:val="7C655B98"/>
    <w:rsid w:val="7C691019"/>
    <w:rsid w:val="7C6D4277"/>
    <w:rsid w:val="7C760E26"/>
    <w:rsid w:val="7C813A8B"/>
    <w:rsid w:val="7C8F4BFB"/>
    <w:rsid w:val="7C97070F"/>
    <w:rsid w:val="7C9D177F"/>
    <w:rsid w:val="7C9F2371"/>
    <w:rsid w:val="7CA7192E"/>
    <w:rsid w:val="7CA85DBF"/>
    <w:rsid w:val="7CB34B68"/>
    <w:rsid w:val="7CB46824"/>
    <w:rsid w:val="7CC83BA3"/>
    <w:rsid w:val="7CCC021E"/>
    <w:rsid w:val="7CCE4FF6"/>
    <w:rsid w:val="7CD2057E"/>
    <w:rsid w:val="7CD442F6"/>
    <w:rsid w:val="7CD4792B"/>
    <w:rsid w:val="7CD940D7"/>
    <w:rsid w:val="7CDE1088"/>
    <w:rsid w:val="7CF3248A"/>
    <w:rsid w:val="7CF404F4"/>
    <w:rsid w:val="7CFC194F"/>
    <w:rsid w:val="7D0042EC"/>
    <w:rsid w:val="7D0050EB"/>
    <w:rsid w:val="7D0175BF"/>
    <w:rsid w:val="7D0F49D7"/>
    <w:rsid w:val="7D1053DC"/>
    <w:rsid w:val="7D1363DA"/>
    <w:rsid w:val="7D1965EB"/>
    <w:rsid w:val="7D1D6273"/>
    <w:rsid w:val="7D221505"/>
    <w:rsid w:val="7D2708CA"/>
    <w:rsid w:val="7D281EBD"/>
    <w:rsid w:val="7D2B75E2"/>
    <w:rsid w:val="7D2C0EF9"/>
    <w:rsid w:val="7D2C704B"/>
    <w:rsid w:val="7D354B8F"/>
    <w:rsid w:val="7D381051"/>
    <w:rsid w:val="7D3A0B32"/>
    <w:rsid w:val="7D3E79C1"/>
    <w:rsid w:val="7D4B43A1"/>
    <w:rsid w:val="7D545437"/>
    <w:rsid w:val="7D5B0573"/>
    <w:rsid w:val="7D5E506A"/>
    <w:rsid w:val="7D605B8A"/>
    <w:rsid w:val="7D751B04"/>
    <w:rsid w:val="7D7A4E9D"/>
    <w:rsid w:val="7D7B492C"/>
    <w:rsid w:val="7D7D673C"/>
    <w:rsid w:val="7D847658"/>
    <w:rsid w:val="7D8A0E59"/>
    <w:rsid w:val="7D8A1BBB"/>
    <w:rsid w:val="7DA15DA2"/>
    <w:rsid w:val="7DAE456B"/>
    <w:rsid w:val="7DAF3575"/>
    <w:rsid w:val="7DBA5FB7"/>
    <w:rsid w:val="7DC600E3"/>
    <w:rsid w:val="7DCB56F9"/>
    <w:rsid w:val="7DCE4DF6"/>
    <w:rsid w:val="7DD30838"/>
    <w:rsid w:val="7DE33C3D"/>
    <w:rsid w:val="7DEC58BF"/>
    <w:rsid w:val="7DF03033"/>
    <w:rsid w:val="7DFB58B2"/>
    <w:rsid w:val="7E0368D8"/>
    <w:rsid w:val="7E040C0B"/>
    <w:rsid w:val="7E0470FA"/>
    <w:rsid w:val="7E0C2037"/>
    <w:rsid w:val="7E0C7AC0"/>
    <w:rsid w:val="7E11621C"/>
    <w:rsid w:val="7E163E97"/>
    <w:rsid w:val="7E1739A0"/>
    <w:rsid w:val="7E1A042F"/>
    <w:rsid w:val="7E1B24C9"/>
    <w:rsid w:val="7E1C4C96"/>
    <w:rsid w:val="7E244BDB"/>
    <w:rsid w:val="7E251AE0"/>
    <w:rsid w:val="7E293579"/>
    <w:rsid w:val="7E2B3DA2"/>
    <w:rsid w:val="7E3C190F"/>
    <w:rsid w:val="7E417769"/>
    <w:rsid w:val="7E431733"/>
    <w:rsid w:val="7E4D4E24"/>
    <w:rsid w:val="7E5356EF"/>
    <w:rsid w:val="7E5A648D"/>
    <w:rsid w:val="7E5F4740"/>
    <w:rsid w:val="7E6401F6"/>
    <w:rsid w:val="7E663305"/>
    <w:rsid w:val="7E6873EC"/>
    <w:rsid w:val="7E6D055E"/>
    <w:rsid w:val="7E6F077A"/>
    <w:rsid w:val="7E7074A7"/>
    <w:rsid w:val="7E720703"/>
    <w:rsid w:val="7E722019"/>
    <w:rsid w:val="7E751B09"/>
    <w:rsid w:val="7E757ABD"/>
    <w:rsid w:val="7E76546C"/>
    <w:rsid w:val="7E7A0ECD"/>
    <w:rsid w:val="7E8104AE"/>
    <w:rsid w:val="7E867872"/>
    <w:rsid w:val="7E87442F"/>
    <w:rsid w:val="7E891110"/>
    <w:rsid w:val="7E8D033F"/>
    <w:rsid w:val="7E8D0C00"/>
    <w:rsid w:val="7E92027A"/>
    <w:rsid w:val="7E971A7F"/>
    <w:rsid w:val="7E977CD1"/>
    <w:rsid w:val="7E996E25"/>
    <w:rsid w:val="7E9A4977"/>
    <w:rsid w:val="7E9F76F2"/>
    <w:rsid w:val="7EA1294C"/>
    <w:rsid w:val="7EA12A16"/>
    <w:rsid w:val="7EA339B2"/>
    <w:rsid w:val="7EA877E8"/>
    <w:rsid w:val="7EA94FED"/>
    <w:rsid w:val="7EB002E5"/>
    <w:rsid w:val="7EB52241"/>
    <w:rsid w:val="7EBD3942"/>
    <w:rsid w:val="7EC42148"/>
    <w:rsid w:val="7EC81C39"/>
    <w:rsid w:val="7ECD225B"/>
    <w:rsid w:val="7ECE52DF"/>
    <w:rsid w:val="7ED17B3E"/>
    <w:rsid w:val="7EDE14CF"/>
    <w:rsid w:val="7EDE76AE"/>
    <w:rsid w:val="7EDF04BA"/>
    <w:rsid w:val="7EE23801"/>
    <w:rsid w:val="7EF300D6"/>
    <w:rsid w:val="7EF63574"/>
    <w:rsid w:val="7EF73380"/>
    <w:rsid w:val="7F01514B"/>
    <w:rsid w:val="7F1EC1CF"/>
    <w:rsid w:val="7F201A75"/>
    <w:rsid w:val="7F3207CA"/>
    <w:rsid w:val="7F3472CE"/>
    <w:rsid w:val="7F3B68AE"/>
    <w:rsid w:val="7F4B10D0"/>
    <w:rsid w:val="7F596D35"/>
    <w:rsid w:val="7F5A27DA"/>
    <w:rsid w:val="7F5B7CB9"/>
    <w:rsid w:val="7F5C05D3"/>
    <w:rsid w:val="7F5D4A77"/>
    <w:rsid w:val="7F663065"/>
    <w:rsid w:val="7F6B1BAD"/>
    <w:rsid w:val="7F6F0306"/>
    <w:rsid w:val="7F701B3E"/>
    <w:rsid w:val="7F7177A9"/>
    <w:rsid w:val="7F783734"/>
    <w:rsid w:val="7F7B314F"/>
    <w:rsid w:val="7F7B6CAB"/>
    <w:rsid w:val="7F7D5708"/>
    <w:rsid w:val="7F8F09A8"/>
    <w:rsid w:val="7F911DDB"/>
    <w:rsid w:val="7F961FA8"/>
    <w:rsid w:val="7F9A7290"/>
    <w:rsid w:val="7FA670AF"/>
    <w:rsid w:val="7FAD6F33"/>
    <w:rsid w:val="7FB02E22"/>
    <w:rsid w:val="7FB4040F"/>
    <w:rsid w:val="7FB7323C"/>
    <w:rsid w:val="7FBD73EE"/>
    <w:rsid w:val="7FC00703"/>
    <w:rsid w:val="7FC42986"/>
    <w:rsid w:val="7FC44AF6"/>
    <w:rsid w:val="7FC458B0"/>
    <w:rsid w:val="7FC71EF0"/>
    <w:rsid w:val="7FCD41AB"/>
    <w:rsid w:val="7FD73216"/>
    <w:rsid w:val="7FD76069"/>
    <w:rsid w:val="7FE117F7"/>
    <w:rsid w:val="7FE57A5D"/>
    <w:rsid w:val="7FEA1C7F"/>
    <w:rsid w:val="7FF308BE"/>
    <w:rsid w:val="7FF9061E"/>
    <w:rsid w:val="7FFA6640"/>
    <w:rsid w:val="AB7E4BDD"/>
    <w:rsid w:val="B9391AD9"/>
    <w:rsid w:val="BDDDAB8D"/>
    <w:rsid w:val="FBDF351C"/>
    <w:rsid w:val="FFDB3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uiPriority="0" w:name="toc 5"/>
    <w:lsdException w:qFormat="1" w:uiPriority="39"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qFormat="1" w:unhideWhenUsed="0" w:uiPriority="99" w:semiHidden="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qFormat="1"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120"/>
    <w:qFormat/>
    <w:uiPriority w:val="0"/>
    <w:pPr>
      <w:keepNext/>
      <w:numPr>
        <w:ilvl w:val="0"/>
        <w:numId w:val="1"/>
      </w:numPr>
      <w:tabs>
        <w:tab w:val="left" w:pos="480"/>
      </w:tabs>
      <w:spacing w:beforeLines="100" w:afterLines="100" w:line="240" w:lineRule="auto"/>
      <w:ind w:firstLine="0" w:firstLineChars="0"/>
      <w:jc w:val="center"/>
      <w:outlineLvl w:val="0"/>
    </w:pPr>
    <w:rPr>
      <w:b/>
      <w:sz w:val="36"/>
      <w:szCs w:val="20"/>
    </w:rPr>
  </w:style>
  <w:style w:type="paragraph" w:styleId="4">
    <w:name w:val="heading 2"/>
    <w:basedOn w:val="1"/>
    <w:next w:val="1"/>
    <w:link w:val="83"/>
    <w:unhideWhenUsed/>
    <w:qFormat/>
    <w:uiPriority w:val="0"/>
    <w:pPr>
      <w:keepNext/>
      <w:keepLines/>
      <w:numPr>
        <w:ilvl w:val="1"/>
        <w:numId w:val="1"/>
      </w:numPr>
      <w:tabs>
        <w:tab w:val="left" w:pos="480"/>
      </w:tabs>
      <w:spacing w:beforeLines="50" w:afterLines="50" w:line="240" w:lineRule="auto"/>
      <w:ind w:firstLine="0" w:firstLineChars="0"/>
      <w:jc w:val="center"/>
      <w:outlineLvl w:val="1"/>
    </w:pPr>
    <w:rPr>
      <w:rFonts w:ascii="Arial" w:hAnsi="Arial"/>
      <w:bCs/>
      <w:sz w:val="30"/>
      <w:szCs w:val="32"/>
    </w:rPr>
  </w:style>
  <w:style w:type="paragraph" w:styleId="5">
    <w:name w:val="heading 3"/>
    <w:basedOn w:val="1"/>
    <w:next w:val="1"/>
    <w:link w:val="99"/>
    <w:unhideWhenUsed/>
    <w:qFormat/>
    <w:uiPriority w:val="0"/>
    <w:pPr>
      <w:numPr>
        <w:ilvl w:val="2"/>
        <w:numId w:val="1"/>
      </w:numPr>
      <w:tabs>
        <w:tab w:val="left" w:pos="2651"/>
      </w:tabs>
      <w:ind w:firstLine="0" w:firstLineChars="0"/>
      <w:jc w:val="left"/>
      <w:outlineLvl w:val="2"/>
    </w:pPr>
    <w:rPr>
      <w:rFonts w:ascii="仿宋_GB2312" w:hAnsi="仿宋_GB2312"/>
      <w:b/>
      <w:kern w:val="0"/>
      <w:sz w:val="28"/>
      <w:szCs w:val="20"/>
    </w:rPr>
  </w:style>
  <w:style w:type="paragraph" w:styleId="6">
    <w:name w:val="heading 4"/>
    <w:basedOn w:val="1"/>
    <w:next w:val="1"/>
    <w:unhideWhenUsed/>
    <w:qFormat/>
    <w:uiPriority w:val="0"/>
    <w:pPr>
      <w:keepNext/>
      <w:keepLines/>
      <w:numPr>
        <w:ilvl w:val="3"/>
        <w:numId w:val="1"/>
      </w:numPr>
      <w:spacing w:line="372" w:lineRule="auto"/>
      <w:ind w:firstLine="0" w:firstLineChars="0"/>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spacing w:line="372" w:lineRule="auto"/>
      <w:ind w:firstLine="0" w:firstLineChars="0"/>
      <w:outlineLvl w:val="4"/>
    </w:pPr>
    <w:rPr>
      <w:b/>
      <w:sz w:val="28"/>
    </w:rPr>
  </w:style>
  <w:style w:type="paragraph" w:styleId="8">
    <w:name w:val="heading 6"/>
    <w:basedOn w:val="1"/>
    <w:next w:val="1"/>
    <w:qFormat/>
    <w:uiPriority w:val="0"/>
    <w:pPr>
      <w:keepNext/>
      <w:keepLines/>
      <w:widowControl/>
      <w:numPr>
        <w:ilvl w:val="5"/>
        <w:numId w:val="1"/>
      </w:numPr>
      <w:tabs>
        <w:tab w:val="left" w:pos="1440"/>
      </w:tabs>
      <w:spacing w:before="240" w:after="64" w:line="317" w:lineRule="auto"/>
      <w:ind w:firstLine="0" w:firstLineChars="0"/>
      <w:jc w:val="left"/>
      <w:outlineLvl w:val="5"/>
    </w:pPr>
    <w:rPr>
      <w:rFonts w:ascii="Arial" w:hAnsi="Arial" w:eastAsia="黑体"/>
      <w:b/>
      <w:kern w:val="0"/>
      <w:szCs w:val="20"/>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12">
    <w:name w:val="List Number"/>
    <w:basedOn w:val="1"/>
    <w:next w:val="13"/>
    <w:qFormat/>
    <w:uiPriority w:val="0"/>
    <w:pPr>
      <w:numPr>
        <w:ilvl w:val="0"/>
        <w:numId w:val="2"/>
      </w:numPr>
    </w:pPr>
  </w:style>
  <w:style w:type="paragraph" w:styleId="13">
    <w:name w:val="Balloon Text"/>
    <w:basedOn w:val="1"/>
    <w:next w:val="14"/>
    <w:link w:val="89"/>
    <w:qFormat/>
    <w:uiPriority w:val="0"/>
    <w:pPr>
      <w:spacing w:line="240" w:lineRule="auto"/>
    </w:pPr>
    <w:rPr>
      <w:sz w:val="18"/>
      <w:szCs w:val="18"/>
    </w:rPr>
  </w:style>
  <w:style w:type="paragraph" w:styleId="14">
    <w:name w:val="toc 8"/>
    <w:basedOn w:val="1"/>
    <w:next w:val="1"/>
    <w:qFormat/>
    <w:uiPriority w:val="0"/>
    <w:pPr>
      <w:ind w:left="2940" w:leftChars="1400"/>
    </w:pPr>
  </w:style>
  <w:style w:type="paragraph" w:styleId="15">
    <w:name w:val="Normal Indent"/>
    <w:basedOn w:val="1"/>
    <w:next w:val="1"/>
    <w:qFormat/>
    <w:uiPriority w:val="0"/>
    <w:pPr>
      <w:ind w:firstLine="420"/>
    </w:pPr>
    <w:rPr>
      <w:rFonts w:ascii="Calibri" w:hAnsi="Calibri" w:cs="Times New Roman"/>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1680"/>
    </w:pPr>
  </w:style>
  <w:style w:type="paragraph" w:styleId="18">
    <w:name w:val="toa heading"/>
    <w:basedOn w:val="1"/>
    <w:next w:val="1"/>
    <w:qFormat/>
    <w:uiPriority w:val="0"/>
    <w:pPr>
      <w:spacing w:before="120" w:beforeLines="0"/>
    </w:pPr>
    <w:rPr>
      <w:rFonts w:ascii="Arial" w:hAnsi="Arial" w:eastAsia="宋体" w:cs="Arial"/>
      <w:sz w:val="24"/>
      <w:szCs w:val="24"/>
    </w:rPr>
  </w:style>
  <w:style w:type="paragraph" w:styleId="19">
    <w:name w:val="annotation text"/>
    <w:basedOn w:val="1"/>
    <w:unhideWhenUsed/>
    <w:qFormat/>
    <w:uiPriority w:val="0"/>
    <w:pPr>
      <w:jc w:val="left"/>
    </w:pPr>
  </w:style>
  <w:style w:type="paragraph" w:styleId="20">
    <w:name w:val="Body Text 3"/>
    <w:basedOn w:val="1"/>
    <w:qFormat/>
    <w:uiPriority w:val="0"/>
    <w:pPr>
      <w:snapToGrid w:val="0"/>
    </w:pPr>
  </w:style>
  <w:style w:type="paragraph" w:styleId="21">
    <w:name w:val="Body Text"/>
    <w:basedOn w:val="1"/>
    <w:link w:val="74"/>
    <w:qFormat/>
    <w:uiPriority w:val="0"/>
    <w:pPr>
      <w:jc w:val="left"/>
    </w:pPr>
    <w:rPr>
      <w:bCs/>
    </w:rPr>
  </w:style>
  <w:style w:type="paragraph" w:styleId="22">
    <w:name w:val="Body Text Indent"/>
    <w:basedOn w:val="1"/>
    <w:link w:val="90"/>
    <w:qFormat/>
    <w:uiPriority w:val="0"/>
    <w:pPr>
      <w:ind w:left="420" w:leftChars="200"/>
    </w:pPr>
  </w:style>
  <w:style w:type="paragraph" w:styleId="23">
    <w:name w:val="List 2"/>
    <w:basedOn w:val="1"/>
    <w:qFormat/>
    <w:uiPriority w:val="99"/>
    <w:pPr>
      <w:ind w:left="100" w:leftChars="200" w:hanging="200" w:hangingChars="200"/>
      <w:contextualSpacing/>
    </w:pPr>
  </w:style>
  <w:style w:type="paragraph" w:styleId="24">
    <w:name w:val="toc 3"/>
    <w:basedOn w:val="1"/>
    <w:next w:val="1"/>
    <w:unhideWhenUsed/>
    <w:qFormat/>
    <w:uiPriority w:val="0"/>
    <w:pPr>
      <w:ind w:left="840" w:leftChars="400"/>
    </w:pPr>
  </w:style>
  <w:style w:type="paragraph" w:styleId="25">
    <w:name w:val="Date"/>
    <w:basedOn w:val="1"/>
    <w:next w:val="1"/>
    <w:qFormat/>
    <w:uiPriority w:val="0"/>
    <w:rPr>
      <w:rFonts w:ascii="楷体_GB2312" w:eastAsia="楷体_GB2312"/>
      <w:b/>
      <w:sz w:val="28"/>
    </w:rPr>
  </w:style>
  <w:style w:type="paragraph" w:styleId="26">
    <w:name w:val="Body Text Indent 2"/>
    <w:basedOn w:val="1"/>
    <w:qFormat/>
    <w:uiPriority w:val="0"/>
    <w:pPr>
      <w:spacing w:line="432" w:lineRule="auto"/>
      <w:ind w:firstLine="480"/>
    </w:pPr>
    <w:rPr>
      <w:szCs w:val="21"/>
    </w:rPr>
  </w:style>
  <w:style w:type="paragraph" w:styleId="27">
    <w:name w:val="endnote text"/>
    <w:basedOn w:val="1"/>
    <w:qFormat/>
    <w:uiPriority w:val="99"/>
    <w:rPr>
      <w:rFonts w:ascii="Calibri" w:hAnsi="Calibri" w:cs="Calibri" w:eastAsiaTheme="minorEastAsia"/>
      <w:sz w:val="21"/>
      <w:szCs w:val="21"/>
    </w:rPr>
  </w:style>
  <w:style w:type="paragraph" w:styleId="28">
    <w:name w:val="footer"/>
    <w:basedOn w:val="1"/>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b/>
      <w:sz w:val="18"/>
      <w:szCs w:val="18"/>
    </w:rPr>
  </w:style>
  <w:style w:type="paragraph" w:styleId="30">
    <w:name w:val="toc 1"/>
    <w:basedOn w:val="1"/>
    <w:next w:val="1"/>
    <w:qFormat/>
    <w:uiPriority w:val="0"/>
    <w:pPr>
      <w:tabs>
        <w:tab w:val="right" w:leader="hyphen" w:pos="9628"/>
      </w:tabs>
      <w:spacing w:line="800" w:lineRule="exact"/>
      <w:jc w:val="left"/>
    </w:pPr>
    <w:rPr>
      <w:rFonts w:ascii="新宋体" w:hAnsi="新宋体" w:eastAsia="新宋体"/>
      <w:b/>
      <w:bCs/>
      <w:caps/>
      <w:sz w:val="28"/>
      <w:szCs w:val="28"/>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unhideWhenUsed/>
    <w:qFormat/>
    <w:uiPriority w:val="39"/>
    <w:pPr>
      <w:spacing w:line="240" w:lineRule="auto"/>
      <w:ind w:left="1050" w:firstLine="0" w:firstLineChars="0"/>
      <w:jc w:val="left"/>
    </w:pPr>
    <w:rPr>
      <w:szCs w:val="21"/>
    </w:rPr>
  </w:style>
  <w:style w:type="paragraph" w:styleId="34">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35">
    <w:name w:val="toc 2"/>
    <w:basedOn w:val="1"/>
    <w:next w:val="1"/>
    <w:qFormat/>
    <w:uiPriority w:val="0"/>
    <w:pPr>
      <w:tabs>
        <w:tab w:val="right" w:leader="hyphen" w:pos="9628"/>
      </w:tabs>
      <w:spacing w:line="800" w:lineRule="exact"/>
      <w:ind w:left="420" w:leftChars="200"/>
      <w:jc w:val="left"/>
    </w:pPr>
    <w:rPr>
      <w:rFonts w:ascii="宋体" w:hAnsi="宋体"/>
      <w:b/>
      <w:smallCaps/>
    </w:r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7">
    <w:name w:val="Normal (Web)"/>
    <w:basedOn w:val="1"/>
    <w:qFormat/>
    <w:uiPriority w:val="0"/>
    <w:pPr>
      <w:widowControl/>
      <w:spacing w:before="100" w:beforeAutospacing="1" w:after="100" w:afterAutospacing="1"/>
      <w:jc w:val="left"/>
    </w:pPr>
    <w:rPr>
      <w:rFonts w:ascii="宋体" w:hAnsi="宋体"/>
      <w:kern w:val="0"/>
    </w:rPr>
  </w:style>
  <w:style w:type="paragraph" w:styleId="38">
    <w:name w:val="Title"/>
    <w:basedOn w:val="1"/>
    <w:next w:val="1"/>
    <w:qFormat/>
    <w:uiPriority w:val="0"/>
    <w:pPr>
      <w:spacing w:before="240" w:after="60"/>
      <w:jc w:val="center"/>
      <w:outlineLvl w:val="0"/>
    </w:pPr>
    <w:rPr>
      <w:rFonts w:ascii="Arial" w:hAnsi="Arial" w:cs="Arial"/>
      <w:b/>
      <w:bCs/>
      <w:sz w:val="32"/>
      <w:szCs w:val="32"/>
    </w:rPr>
  </w:style>
  <w:style w:type="paragraph" w:styleId="39">
    <w:name w:val="Body Text First Indent"/>
    <w:basedOn w:val="21"/>
    <w:qFormat/>
    <w:uiPriority w:val="0"/>
    <w:pPr>
      <w:spacing w:after="120"/>
      <w:ind w:firstLine="420" w:firstLineChars="100"/>
      <w:jc w:val="both"/>
    </w:pPr>
    <w:rPr>
      <w:rFonts w:ascii="Calibri" w:hAnsi="Calibri" w:cs="Times New Roman"/>
      <w:sz w:val="21"/>
      <w:szCs w:val="21"/>
    </w:rPr>
  </w:style>
  <w:style w:type="paragraph" w:styleId="40">
    <w:name w:val="Body Text First Indent 2"/>
    <w:basedOn w:val="22"/>
    <w:next w:val="1"/>
    <w:qFormat/>
    <w:uiPriority w:val="0"/>
    <w:pPr>
      <w:snapToGrid w:val="0"/>
      <w:spacing w:after="120" w:line="240" w:lineRule="auto"/>
      <w:ind w:firstLine="420"/>
    </w:pPr>
    <w:rPr>
      <w:rFonts w:hint="eastAsia" w:ascii="宋体" w:cs="Times New Roman"/>
      <w:kern w:val="0"/>
      <w:sz w:val="21"/>
      <w:szCs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4">
    <w:name w:val="Strong"/>
    <w:basedOn w:val="43"/>
    <w:qFormat/>
    <w:uiPriority w:val="0"/>
    <w:rPr>
      <w:b/>
      <w:bCs/>
    </w:rPr>
  </w:style>
  <w:style w:type="character" w:styleId="45">
    <w:name w:val="page number"/>
    <w:basedOn w:val="43"/>
    <w:unhideWhenUsed/>
    <w:qFormat/>
    <w:uiPriority w:val="99"/>
  </w:style>
  <w:style w:type="character" w:styleId="46">
    <w:name w:val="Emphasis"/>
    <w:basedOn w:val="43"/>
    <w:qFormat/>
    <w:uiPriority w:val="0"/>
    <w:rPr>
      <w:i/>
    </w:rPr>
  </w:style>
  <w:style w:type="character" w:styleId="47">
    <w:name w:val="Hyperlink"/>
    <w:basedOn w:val="43"/>
    <w:qFormat/>
    <w:uiPriority w:val="0"/>
    <w:rPr>
      <w:color w:val="0000FF"/>
      <w:u w:val="single"/>
    </w:rPr>
  </w:style>
  <w:style w:type="character" w:styleId="48">
    <w:name w:val="annotation reference"/>
    <w:qFormat/>
    <w:uiPriority w:val="0"/>
    <w:rPr>
      <w:rFonts w:ascii="Times New Roman" w:hAnsi="Times New Roman" w:eastAsia="宋体" w:cs="Times New Roman"/>
      <w:sz w:val="21"/>
      <w:szCs w:val="21"/>
    </w:rPr>
  </w:style>
  <w:style w:type="paragraph" w:customStyle="1" w:styleId="4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0">
    <w:name w:val="文章正文"/>
    <w:basedOn w:val="1"/>
    <w:next w:val="51"/>
    <w:qFormat/>
    <w:uiPriority w:val="0"/>
    <w:pPr>
      <w:spacing w:line="360" w:lineRule="auto"/>
      <w:ind w:firstLine="200"/>
    </w:pPr>
    <w:rPr>
      <w:rFonts w:ascii="Calibri" w:hAnsi="Calibri" w:cs="Times New Roman"/>
    </w:rPr>
  </w:style>
  <w:style w:type="paragraph" w:customStyle="1" w:styleId="51">
    <w:name w:val="公式样式 变量"/>
    <w:qFormat/>
    <w:uiPriority w:val="0"/>
    <w:rPr>
      <w:rFonts w:ascii="Times New Roman" w:hAnsi="Times New Roman" w:eastAsia="宋体" w:cs="Times New Roman"/>
      <w:i/>
      <w:lang w:val="en-US" w:eastAsia="zh-CN" w:bidi="ar-SA"/>
    </w:rPr>
  </w:style>
  <w:style w:type="paragraph" w:customStyle="1" w:styleId="52">
    <w:name w:val="表格文字"/>
    <w:basedOn w:val="53"/>
    <w:next w:val="21"/>
    <w:qFormat/>
    <w:uiPriority w:val="0"/>
    <w:pPr>
      <w:adjustRightInd w:val="0"/>
      <w:spacing w:line="420" w:lineRule="atLeast"/>
      <w:jc w:val="left"/>
      <w:textAlignment w:val="baseline"/>
    </w:pPr>
    <w:rPr>
      <w:kern w:val="0"/>
    </w:rPr>
  </w:style>
  <w:style w:type="paragraph" w:customStyle="1" w:styleId="53">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54">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55">
    <w:name w:val="1正文"/>
    <w:basedOn w:val="1"/>
    <w:qFormat/>
    <w:uiPriority w:val="0"/>
    <w:pPr>
      <w:ind w:firstLine="480"/>
      <w:contextualSpacing/>
      <w:jc w:val="left"/>
    </w:pPr>
    <w:rPr>
      <w:rFonts w:ascii="仿宋" w:eastAsiaTheme="minorEastAsia"/>
      <w:bCs/>
      <w:color w:val="000000"/>
      <w:szCs w:val="30"/>
    </w:rPr>
  </w:style>
  <w:style w:type="paragraph" w:customStyle="1" w:styleId="56">
    <w:name w:val="样式 表格正文 + 两端对齐"/>
    <w:basedOn w:val="1"/>
    <w:next w:val="1"/>
    <w:qFormat/>
    <w:uiPriority w:val="0"/>
    <w:pPr>
      <w:spacing w:line="300" w:lineRule="auto"/>
      <w:ind w:firstLine="0"/>
    </w:pPr>
  </w:style>
  <w:style w:type="paragraph" w:customStyle="1" w:styleId="57">
    <w:name w:val="Body Text First Indent1"/>
    <w:basedOn w:val="21"/>
    <w:next w:val="33"/>
    <w:qFormat/>
    <w:uiPriority w:val="0"/>
    <w:pPr>
      <w:keepNext w:val="0"/>
      <w:keepLines w:val="0"/>
      <w:widowControl w:val="0"/>
      <w:suppressLineNumbers w:val="0"/>
      <w:spacing w:after="120" w:afterLines="0" w:afterAutospacing="0"/>
      <w:ind w:firstLine="420" w:firstLineChars="100"/>
      <w:jc w:val="both"/>
    </w:pPr>
    <w:rPr>
      <w:rFonts w:hint="default" w:ascii="Calibri" w:hAnsi="Calibri" w:eastAsia="宋体" w:cs="Calibri"/>
      <w:kern w:val="2"/>
      <w:sz w:val="21"/>
      <w:szCs w:val="21"/>
      <w:lang w:val="en-US" w:eastAsia="zh-CN"/>
    </w:rPr>
  </w:style>
  <w:style w:type="paragraph" w:customStyle="1" w:styleId="5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Heading2"/>
    <w:basedOn w:val="1"/>
    <w:next w:val="1"/>
    <w:qFormat/>
    <w:uiPriority w:val="0"/>
    <w:pPr>
      <w:keepNext/>
      <w:keepLines/>
      <w:spacing w:before="260" w:after="260" w:line="416" w:lineRule="auto"/>
    </w:pPr>
    <w:rPr>
      <w:rFonts w:ascii="Cambria" w:hAnsi="Cambria"/>
      <w:sz w:val="32"/>
      <w:szCs w:val="32"/>
    </w:rPr>
  </w:style>
  <w:style w:type="paragraph" w:customStyle="1" w:styleId="61">
    <w:name w:val="正文1"/>
    <w:basedOn w:val="24"/>
    <w:next w:val="62"/>
    <w:qFormat/>
    <w:uiPriority w:val="0"/>
    <w:pPr>
      <w:widowControl/>
      <w:snapToGrid w:val="0"/>
      <w:ind w:firstLine="567"/>
    </w:pPr>
    <w:rPr>
      <w:rFonts w:ascii="楷体_GB2312" w:eastAsia="楷体_GB2312"/>
      <w:kern w:val="0"/>
      <w:sz w:val="28"/>
      <w:szCs w:val="20"/>
    </w:rPr>
  </w:style>
  <w:style w:type="paragraph" w:customStyle="1" w:styleId="62">
    <w:name w:val="自动更正"/>
    <w:next w:val="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xl39"/>
    <w:basedOn w:val="1"/>
    <w:next w:val="64"/>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64">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65">
    <w:name w:val="BodyText1I"/>
    <w:basedOn w:val="66"/>
    <w:qFormat/>
    <w:uiPriority w:val="0"/>
    <w:pPr>
      <w:spacing w:after="120"/>
      <w:ind w:firstLine="420"/>
    </w:pPr>
    <w:rPr>
      <w:rFonts w:ascii="仿宋_GB2312" w:hAnsi="Times New Roman" w:eastAsia="仿宋_GB2312"/>
      <w:sz w:val="28"/>
      <w:lang w:bidi="ar-SA"/>
    </w:rPr>
  </w:style>
  <w:style w:type="paragraph" w:customStyle="1" w:styleId="66">
    <w:name w:val="BodyText"/>
    <w:basedOn w:val="1"/>
    <w:qFormat/>
    <w:uiPriority w:val="0"/>
    <w:pPr>
      <w:textAlignment w:val="baseline"/>
    </w:pPr>
    <w:rPr>
      <w:rFonts w:ascii="仿宋" w:hAnsi="仿宋" w:eastAsia="仿宋"/>
      <w:lang w:val="zh-CN" w:bidi="zh-CN"/>
    </w:rPr>
  </w:style>
  <w:style w:type="paragraph" w:customStyle="1" w:styleId="67">
    <w:name w:val="标准正文"/>
    <w:basedOn w:val="1"/>
    <w:qFormat/>
    <w:uiPriority w:val="0"/>
    <w:pPr>
      <w:spacing w:line="360" w:lineRule="auto"/>
      <w:ind w:firstLine="200"/>
    </w:pPr>
    <w:rPr>
      <w:szCs w:val="20"/>
    </w:rPr>
  </w:style>
  <w:style w:type="paragraph" w:customStyle="1" w:styleId="68">
    <w:name w:val="章正文"/>
    <w:basedOn w:val="1"/>
    <w:qFormat/>
    <w:uiPriority w:val="0"/>
    <w:pPr>
      <w:spacing w:before="156" w:beforeLines="50" w:after="120" w:line="300" w:lineRule="auto"/>
      <w:ind w:firstLine="480"/>
    </w:pPr>
    <w:rPr>
      <w:rFonts w:ascii="Helvetica" w:hAnsi="Helvetica"/>
      <w:kern w:val="0"/>
    </w:rPr>
  </w:style>
  <w:style w:type="paragraph" w:customStyle="1" w:styleId="69">
    <w:name w:val="正文文本 31"/>
    <w:basedOn w:val="1"/>
    <w:qFormat/>
    <w:uiPriority w:val="0"/>
    <w:rPr>
      <w:sz w:val="16"/>
      <w:szCs w:val="16"/>
    </w:rPr>
  </w:style>
  <w:style w:type="paragraph" w:customStyle="1" w:styleId="70">
    <w:name w:val="Char Char1 Char"/>
    <w:basedOn w:val="1"/>
    <w:qFormat/>
    <w:uiPriority w:val="0"/>
  </w:style>
  <w:style w:type="character" w:customStyle="1" w:styleId="71">
    <w:name w:val="标题 2 Char"/>
    <w:basedOn w:val="43"/>
    <w:link w:val="4"/>
    <w:qFormat/>
    <w:uiPriority w:val="0"/>
    <w:rPr>
      <w:rFonts w:ascii="Arial" w:hAnsi="Arial" w:eastAsia="宋体" w:cstheme="minorBidi"/>
      <w:b/>
      <w:bCs/>
      <w:sz w:val="28"/>
      <w:szCs w:val="32"/>
    </w:rPr>
  </w:style>
  <w:style w:type="character" w:customStyle="1" w:styleId="72">
    <w:name w:val="标题 3 Char"/>
    <w:qFormat/>
    <w:uiPriority w:val="9"/>
    <w:rPr>
      <w:rFonts w:ascii="仿宋_GB2312" w:hAnsi="仿宋_GB2312" w:eastAsia="宋体" w:cstheme="minorBidi"/>
      <w:b/>
      <w:bCs/>
      <w:sz w:val="28"/>
      <w:szCs w:val="20"/>
    </w:rPr>
  </w:style>
  <w:style w:type="character" w:customStyle="1" w:styleId="73">
    <w:name w:val="标题 1 Char"/>
    <w:qFormat/>
    <w:locked/>
    <w:uiPriority w:val="99"/>
    <w:rPr>
      <w:rFonts w:ascii="Times New Roman" w:hAnsi="Times New Roman" w:eastAsia="宋体" w:cstheme="minorBidi"/>
      <w:b/>
      <w:sz w:val="36"/>
      <w:szCs w:val="20"/>
    </w:rPr>
  </w:style>
  <w:style w:type="character" w:customStyle="1" w:styleId="74">
    <w:name w:val="正文文本 Char"/>
    <w:basedOn w:val="43"/>
    <w:link w:val="21"/>
    <w:semiHidden/>
    <w:qFormat/>
    <w:locked/>
    <w:uiPriority w:val="99"/>
    <w:rPr>
      <w:rFonts w:ascii="Calibri" w:hAnsi="Calibri" w:eastAsia="仿宋" w:cs="Times New Roman"/>
      <w:sz w:val="24"/>
    </w:rPr>
  </w:style>
  <w:style w:type="paragraph" w:customStyle="1" w:styleId="75">
    <w:name w:val="普通(网站)1"/>
    <w:basedOn w:val="1"/>
    <w:qFormat/>
    <w:uiPriority w:val="0"/>
    <w:pPr>
      <w:widowControl/>
      <w:spacing w:beforeAutospacing="1" w:afterAutospacing="1"/>
      <w:jc w:val="left"/>
    </w:pPr>
    <w:rPr>
      <w:rFonts w:ascii="宋体" w:hAnsi="宋体"/>
      <w:kern w:val="0"/>
      <w:szCs w:val="20"/>
    </w:rPr>
  </w:style>
  <w:style w:type="paragraph" w:customStyle="1" w:styleId="76">
    <w:name w:val="索引 11"/>
    <w:basedOn w:val="1"/>
    <w:next w:val="1"/>
    <w:qFormat/>
    <w:uiPriority w:val="0"/>
    <w:pPr>
      <w:snapToGrid w:val="0"/>
    </w:pPr>
    <w:rPr>
      <w:szCs w:val="21"/>
    </w:rPr>
  </w:style>
  <w:style w:type="character" w:customStyle="1" w:styleId="77">
    <w:name w:val="large1"/>
    <w:qFormat/>
    <w:uiPriority w:val="0"/>
    <w:rPr>
      <w:rFonts w:hint="eastAsia" w:ascii="宋体" w:hAnsi="宋体" w:eastAsia="宋体"/>
      <w:sz w:val="21"/>
      <w:szCs w:val="21"/>
    </w:rPr>
  </w:style>
  <w:style w:type="paragraph" w:customStyle="1" w:styleId="78">
    <w:name w:val="List Paragraph1"/>
    <w:basedOn w:val="1"/>
    <w:qFormat/>
    <w:uiPriority w:val="0"/>
    <w:pPr>
      <w:widowControl/>
      <w:ind w:firstLine="420"/>
      <w:jc w:val="left"/>
    </w:pPr>
    <w:rPr>
      <w:rFonts w:ascii="Calibri" w:hAnsi="Calibri"/>
      <w:szCs w:val="22"/>
    </w:rPr>
  </w:style>
  <w:style w:type="paragraph" w:customStyle="1" w:styleId="7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DG正文"/>
    <w:basedOn w:val="1"/>
    <w:qFormat/>
    <w:uiPriority w:val="0"/>
    <w:pPr>
      <w:widowControl/>
      <w:spacing w:line="360" w:lineRule="auto"/>
      <w:ind w:right="142" w:firstLine="640"/>
      <w:jc w:val="left"/>
    </w:pPr>
    <w:rPr>
      <w:rFonts w:ascii="Calibri" w:hAnsi="Calibri" w:cs="Calibri"/>
    </w:rPr>
  </w:style>
  <w:style w:type="paragraph" w:customStyle="1" w:styleId="82">
    <w:name w:val="正文 A"/>
    <w:qFormat/>
    <w:uiPriority w:val="0"/>
    <w:rPr>
      <w:rFonts w:ascii="Times New Roman" w:hAnsi="Times New Roman" w:eastAsia="ヒラギノ角ゴ Pro W3" w:cs="Times New Roman"/>
      <w:color w:val="000000"/>
      <w:sz w:val="24"/>
      <w:szCs w:val="22"/>
      <w:lang w:val="en-US" w:eastAsia="zh-CN" w:bidi="ar-SA"/>
    </w:rPr>
  </w:style>
  <w:style w:type="character" w:customStyle="1" w:styleId="83">
    <w:name w:val="标题 2 Char1"/>
    <w:basedOn w:val="43"/>
    <w:link w:val="4"/>
    <w:qFormat/>
    <w:uiPriority w:val="0"/>
    <w:rPr>
      <w:rFonts w:ascii="Arial" w:hAnsi="Arial" w:eastAsia="宋体"/>
      <w:bCs/>
      <w:kern w:val="2"/>
      <w:sz w:val="30"/>
      <w:szCs w:val="32"/>
      <w:lang w:val="en-US" w:eastAsia="zh-CN" w:bidi="ar-SA"/>
    </w:rPr>
  </w:style>
  <w:style w:type="paragraph" w:customStyle="1" w:styleId="84">
    <w:name w:val="Proposals body"/>
    <w:basedOn w:val="1"/>
    <w:next w:val="1"/>
    <w:qFormat/>
    <w:uiPriority w:val="0"/>
    <w:pPr>
      <w:widowControl/>
      <w:spacing w:line="360" w:lineRule="auto"/>
      <w:jc w:val="left"/>
    </w:pPr>
    <w:rPr>
      <w:rFonts w:ascii="宋体" w:eastAsia="仿宋_GB2312"/>
      <w:snapToGrid w:val="0"/>
      <w:color w:val="000000"/>
      <w:kern w:val="0"/>
      <w:szCs w:val="20"/>
    </w:rPr>
  </w:style>
  <w:style w:type="paragraph" w:customStyle="1" w:styleId="85">
    <w:name w:val="列出段落1"/>
    <w:basedOn w:val="1"/>
    <w:qFormat/>
    <w:uiPriority w:val="34"/>
    <w:pPr>
      <w:ind w:firstLine="420"/>
    </w:pPr>
  </w:style>
  <w:style w:type="paragraph" w:customStyle="1" w:styleId="86">
    <w:name w:val="L正文"/>
    <w:basedOn w:val="1"/>
    <w:qFormat/>
    <w:uiPriority w:val="0"/>
    <w:pPr>
      <w:spacing w:afterLines="50" w:line="240" w:lineRule="auto"/>
      <w:ind w:left="160" w:leftChars="160"/>
    </w:pPr>
    <w:rPr>
      <w:rFonts w:cs="Times New Roman"/>
      <w:sz w:val="21"/>
    </w:rPr>
  </w:style>
  <w:style w:type="paragraph" w:customStyle="1" w:styleId="87">
    <w:name w:val="列出段落11"/>
    <w:basedOn w:val="1"/>
    <w:qFormat/>
    <w:uiPriority w:val="34"/>
    <w:pPr>
      <w:spacing w:line="240" w:lineRule="auto"/>
      <w:ind w:firstLine="420"/>
    </w:pPr>
    <w:rPr>
      <w:rFonts w:cs="宋体"/>
      <w:sz w:val="21"/>
      <w:szCs w:val="21"/>
    </w:rPr>
  </w:style>
  <w:style w:type="paragraph" w:customStyle="1" w:styleId="88">
    <w:name w:val="Char"/>
    <w:basedOn w:val="1"/>
    <w:next w:val="1"/>
    <w:qFormat/>
    <w:uiPriority w:val="0"/>
    <w:rPr>
      <w:rFonts w:ascii="Tahoma" w:hAnsi="Tahoma"/>
      <w:szCs w:val="20"/>
    </w:rPr>
  </w:style>
  <w:style w:type="character" w:customStyle="1" w:styleId="89">
    <w:name w:val="批注框文本 Char"/>
    <w:basedOn w:val="43"/>
    <w:link w:val="13"/>
    <w:qFormat/>
    <w:uiPriority w:val="0"/>
    <w:rPr>
      <w:rFonts w:ascii="Times New Roman" w:hAnsi="Times New Roman" w:cstheme="minorBidi"/>
      <w:kern w:val="2"/>
      <w:sz w:val="18"/>
      <w:szCs w:val="18"/>
    </w:rPr>
  </w:style>
  <w:style w:type="character" w:customStyle="1" w:styleId="90">
    <w:name w:val="正文文本缩进 Char"/>
    <w:basedOn w:val="43"/>
    <w:link w:val="22"/>
    <w:qFormat/>
    <w:uiPriority w:val="0"/>
    <w:rPr>
      <w:rFonts w:ascii="Times New Roman" w:hAnsi="Times New Roman" w:cstheme="minorBidi"/>
      <w:kern w:val="2"/>
      <w:sz w:val="24"/>
      <w:szCs w:val="24"/>
    </w:rPr>
  </w:style>
  <w:style w:type="character" w:customStyle="1" w:styleId="91">
    <w:name w:val="未命名4"/>
    <w:basedOn w:val="43"/>
    <w:qFormat/>
    <w:uiPriority w:val="0"/>
  </w:style>
  <w:style w:type="paragraph" w:customStyle="1" w:styleId="92">
    <w:name w:val="reader-word-layer reader-word-s27-4"/>
    <w:basedOn w:val="1"/>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93">
    <w:name w:val="font81"/>
    <w:basedOn w:val="43"/>
    <w:qFormat/>
    <w:uiPriority w:val="0"/>
    <w:rPr>
      <w:rFonts w:hint="default" w:ascii="Times New Roman" w:hAnsi="Times New Roman" w:cs="Times New Roman"/>
      <w:color w:val="000000"/>
      <w:sz w:val="24"/>
      <w:szCs w:val="24"/>
      <w:u w:val="none"/>
    </w:rPr>
  </w:style>
  <w:style w:type="paragraph" w:customStyle="1" w:styleId="94">
    <w:name w:val="WPSOffice手动目录 1"/>
    <w:qFormat/>
    <w:uiPriority w:val="0"/>
    <w:rPr>
      <w:rFonts w:ascii="Times New Roman" w:hAnsi="Times New Roman" w:eastAsia="宋体" w:cs="Times New Roman"/>
      <w:lang w:val="en-US" w:eastAsia="zh-CN" w:bidi="ar-SA"/>
    </w:rPr>
  </w:style>
  <w:style w:type="paragraph" w:customStyle="1" w:styleId="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
    <w:name w:val="普通(网站)2"/>
    <w:basedOn w:val="1"/>
    <w:qFormat/>
    <w:uiPriority w:val="0"/>
    <w:pPr>
      <w:widowControl/>
      <w:spacing w:before="100" w:beforeAutospacing="1" w:after="100" w:afterAutospacing="1"/>
      <w:jc w:val="left"/>
    </w:pPr>
    <w:rPr>
      <w:rFonts w:ascii="宋体" w:hAnsi="宋体"/>
      <w:kern w:val="0"/>
      <w:szCs w:val="20"/>
    </w:rPr>
  </w:style>
  <w:style w:type="paragraph" w:customStyle="1" w:styleId="97">
    <w:name w:val="保留正文"/>
    <w:basedOn w:val="21"/>
    <w:qFormat/>
    <w:uiPriority w:val="0"/>
    <w:pPr>
      <w:keepNext/>
      <w:spacing w:after="160"/>
    </w:pPr>
    <w:rPr>
      <w:sz w:val="21"/>
    </w:rPr>
  </w:style>
  <w:style w:type="paragraph" w:customStyle="1" w:styleId="98">
    <w:name w:val="首行缩进"/>
    <w:basedOn w:val="1"/>
    <w:qFormat/>
    <w:uiPriority w:val="0"/>
    <w:pPr>
      <w:spacing w:line="360" w:lineRule="auto"/>
      <w:ind w:firstLine="420"/>
    </w:pPr>
    <w:rPr>
      <w:rFonts w:ascii="宋体" w:hAnsi="宋体"/>
    </w:rPr>
  </w:style>
  <w:style w:type="character" w:customStyle="1" w:styleId="99">
    <w:name w:val="标题 3 Char1"/>
    <w:link w:val="5"/>
    <w:qFormat/>
    <w:uiPriority w:val="9"/>
    <w:rPr>
      <w:rFonts w:ascii="仿宋_GB2312" w:hAnsi="仿宋_GB2312" w:eastAsia="仿宋" w:cs="Times New Roman"/>
      <w:b/>
      <w:bCs/>
      <w:sz w:val="24"/>
      <w:szCs w:val="20"/>
    </w:rPr>
  </w:style>
  <w:style w:type="paragraph" w:customStyle="1" w:styleId="10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1">
    <w:name w:val="font31"/>
    <w:basedOn w:val="43"/>
    <w:qFormat/>
    <w:uiPriority w:val="0"/>
    <w:rPr>
      <w:rFonts w:hint="eastAsia" w:ascii="微软雅黑" w:hAnsi="微软雅黑" w:eastAsia="微软雅黑" w:cs="微软雅黑"/>
      <w:color w:val="000000"/>
      <w:sz w:val="22"/>
      <w:szCs w:val="22"/>
      <w:u w:val="none"/>
    </w:rPr>
  </w:style>
  <w:style w:type="character" w:customStyle="1" w:styleId="102">
    <w:name w:val="font71"/>
    <w:basedOn w:val="43"/>
    <w:qFormat/>
    <w:uiPriority w:val="0"/>
    <w:rPr>
      <w:rFonts w:hint="eastAsia" w:ascii="微软雅黑" w:hAnsi="微软雅黑" w:eastAsia="微软雅黑" w:cs="微软雅黑"/>
      <w:color w:val="000000"/>
      <w:sz w:val="22"/>
      <w:szCs w:val="22"/>
      <w:u w:val="none"/>
      <w:vertAlign w:val="superscript"/>
    </w:rPr>
  </w:style>
  <w:style w:type="character" w:customStyle="1" w:styleId="103">
    <w:name w:val="font21"/>
    <w:basedOn w:val="43"/>
    <w:qFormat/>
    <w:uiPriority w:val="0"/>
    <w:rPr>
      <w:rFonts w:hint="eastAsia" w:ascii="微软雅黑" w:hAnsi="微软雅黑" w:eastAsia="微软雅黑" w:cs="微软雅黑"/>
      <w:color w:val="000000"/>
      <w:sz w:val="22"/>
      <w:szCs w:val="22"/>
      <w:u w:val="none"/>
    </w:rPr>
  </w:style>
  <w:style w:type="character" w:customStyle="1" w:styleId="104">
    <w:name w:val="font61"/>
    <w:basedOn w:val="43"/>
    <w:qFormat/>
    <w:uiPriority w:val="0"/>
    <w:rPr>
      <w:rFonts w:hint="eastAsia" w:ascii="微软雅黑" w:hAnsi="微软雅黑" w:eastAsia="微软雅黑" w:cs="微软雅黑"/>
      <w:color w:val="000000"/>
      <w:sz w:val="22"/>
      <w:szCs w:val="22"/>
      <w:u w:val="none"/>
      <w:vertAlign w:val="superscript"/>
    </w:rPr>
  </w:style>
  <w:style w:type="character" w:customStyle="1" w:styleId="105">
    <w:name w:val="font01"/>
    <w:basedOn w:val="43"/>
    <w:qFormat/>
    <w:uiPriority w:val="0"/>
    <w:rPr>
      <w:rFonts w:hint="eastAsia" w:ascii="宋体" w:hAnsi="宋体" w:eastAsia="宋体" w:cs="宋体"/>
      <w:color w:val="000000"/>
      <w:sz w:val="22"/>
      <w:szCs w:val="22"/>
      <w:u w:val="none"/>
    </w:rPr>
  </w:style>
  <w:style w:type="paragraph" w:customStyle="1" w:styleId="106">
    <w:name w:val="p0"/>
    <w:basedOn w:val="1"/>
    <w:qFormat/>
    <w:uiPriority w:val="0"/>
    <w:pPr>
      <w:widowControl/>
    </w:pPr>
    <w:rPr>
      <w:kern w:val="0"/>
      <w:szCs w:val="21"/>
    </w:rPr>
  </w:style>
  <w:style w:type="paragraph" w:customStyle="1" w:styleId="107">
    <w:name w:val="表头文字"/>
    <w:basedOn w:val="1"/>
    <w:qFormat/>
    <w:uiPriority w:val="0"/>
    <w:pPr>
      <w:widowControl/>
      <w:jc w:val="left"/>
    </w:pPr>
    <w:rPr>
      <w:rFonts w:eastAsia="仿宋" w:cs="宋体"/>
      <w:b/>
      <w:kern w:val="0"/>
      <w:szCs w:val="21"/>
    </w:rPr>
  </w:style>
  <w:style w:type="character" w:customStyle="1" w:styleId="108">
    <w:name w:val="font41"/>
    <w:basedOn w:val="43"/>
    <w:qFormat/>
    <w:uiPriority w:val="0"/>
    <w:rPr>
      <w:rFonts w:hint="eastAsia" w:ascii="微软雅黑" w:hAnsi="微软雅黑" w:eastAsia="微软雅黑" w:cs="微软雅黑"/>
      <w:color w:val="000000"/>
      <w:sz w:val="20"/>
      <w:szCs w:val="20"/>
      <w:u w:val="none"/>
    </w:rPr>
  </w:style>
  <w:style w:type="character" w:customStyle="1" w:styleId="109">
    <w:name w:val="font111"/>
    <w:basedOn w:val="43"/>
    <w:qFormat/>
    <w:uiPriority w:val="0"/>
    <w:rPr>
      <w:rFonts w:hint="eastAsia" w:ascii="微软雅黑" w:hAnsi="微软雅黑" w:eastAsia="微软雅黑" w:cs="微软雅黑"/>
      <w:color w:val="000000"/>
      <w:sz w:val="20"/>
      <w:szCs w:val="20"/>
      <w:u w:val="none"/>
      <w:vertAlign w:val="superscript"/>
    </w:rPr>
  </w:style>
  <w:style w:type="character" w:customStyle="1" w:styleId="110">
    <w:name w:val="font101"/>
    <w:basedOn w:val="43"/>
    <w:qFormat/>
    <w:uiPriority w:val="0"/>
    <w:rPr>
      <w:rFonts w:hint="eastAsia" w:ascii="微软雅黑" w:hAnsi="微软雅黑" w:eastAsia="微软雅黑" w:cs="微软雅黑"/>
      <w:color w:val="000000"/>
      <w:sz w:val="20"/>
      <w:szCs w:val="20"/>
      <w:u w:val="none"/>
      <w:vertAlign w:val="superscript"/>
    </w:rPr>
  </w:style>
  <w:style w:type="character" w:customStyle="1" w:styleId="111">
    <w:name w:val="font122"/>
    <w:basedOn w:val="43"/>
    <w:qFormat/>
    <w:uiPriority w:val="0"/>
    <w:rPr>
      <w:rFonts w:hint="eastAsia" w:ascii="宋体" w:hAnsi="宋体" w:eastAsia="宋体" w:cs="宋体"/>
      <w:b/>
      <w:bCs/>
      <w:color w:val="FF0000"/>
      <w:sz w:val="22"/>
      <w:szCs w:val="22"/>
      <w:u w:val="none"/>
    </w:rPr>
  </w:style>
  <w:style w:type="character" w:customStyle="1" w:styleId="112">
    <w:name w:val="font91"/>
    <w:basedOn w:val="43"/>
    <w:qFormat/>
    <w:uiPriority w:val="0"/>
    <w:rPr>
      <w:rFonts w:hint="eastAsia" w:ascii="宋体" w:hAnsi="宋体" w:eastAsia="宋体" w:cs="宋体"/>
      <w:color w:val="000000"/>
      <w:sz w:val="22"/>
      <w:szCs w:val="22"/>
      <w:u w:val="none"/>
    </w:rPr>
  </w:style>
  <w:style w:type="character" w:customStyle="1" w:styleId="113">
    <w:name w:val="font51"/>
    <w:basedOn w:val="43"/>
    <w:qFormat/>
    <w:uiPriority w:val="0"/>
    <w:rPr>
      <w:rFonts w:hint="eastAsia" w:ascii="微软雅黑" w:hAnsi="微软雅黑" w:eastAsia="微软雅黑" w:cs="微软雅黑"/>
      <w:color w:val="000000"/>
      <w:sz w:val="20"/>
      <w:szCs w:val="20"/>
      <w:u w:val="none"/>
      <w:vertAlign w:val="superscript"/>
    </w:rPr>
  </w:style>
  <w:style w:type="character" w:customStyle="1" w:styleId="114">
    <w:name w:val="font112"/>
    <w:basedOn w:val="43"/>
    <w:qFormat/>
    <w:uiPriority w:val="0"/>
    <w:rPr>
      <w:rFonts w:hint="eastAsia" w:ascii="宋体" w:hAnsi="宋体" w:eastAsia="宋体" w:cs="宋体"/>
      <w:color w:val="000000"/>
      <w:sz w:val="24"/>
      <w:szCs w:val="24"/>
      <w:u w:val="none"/>
    </w:rPr>
  </w:style>
  <w:style w:type="paragraph" w:customStyle="1" w:styleId="115">
    <w:name w:val="样式1"/>
    <w:basedOn w:val="1"/>
    <w:qFormat/>
    <w:uiPriority w:val="0"/>
    <w:pPr>
      <w:spacing w:line="360" w:lineRule="exact"/>
      <w:ind w:firstLine="200"/>
    </w:pPr>
    <w:rPr>
      <w:rFonts w:ascii="Arial" w:hAnsi="Arial"/>
    </w:rPr>
  </w:style>
  <w:style w:type="paragraph" w:customStyle="1" w:styleId="116">
    <w:name w:val="无间隔2"/>
    <w:qFormat/>
    <w:uiPriority w:val="1"/>
    <w:rPr>
      <w:rFonts w:ascii="Times New Roman" w:hAnsi="Times New Roman" w:eastAsia="宋体" w:cs="Times New Roman"/>
      <w:sz w:val="22"/>
      <w:szCs w:val="22"/>
      <w:lang w:val="en-US" w:eastAsia="en-US" w:bidi="en-US"/>
    </w:rPr>
  </w:style>
  <w:style w:type="paragraph" w:customStyle="1" w:styleId="117">
    <w:name w:val="_Style 1"/>
    <w:basedOn w:val="1"/>
    <w:link w:val="126"/>
    <w:qFormat/>
    <w:uiPriority w:val="0"/>
    <w:pPr>
      <w:widowControl/>
      <w:jc w:val="left"/>
    </w:pPr>
    <w:rPr>
      <w:rFonts w:ascii="Calibri" w:hAnsi="Calibri" w:cs="Times New Roman"/>
      <w:sz w:val="28"/>
      <w:szCs w:val="28"/>
    </w:rPr>
  </w:style>
  <w:style w:type="paragraph" w:customStyle="1" w:styleId="118">
    <w:name w:val="Table Paragraph"/>
    <w:basedOn w:val="1"/>
    <w:qFormat/>
    <w:uiPriority w:val="99"/>
    <w:rPr>
      <w:rFonts w:ascii="宋体" w:hAnsi="宋体" w:cs="宋体"/>
      <w:lang w:val="zh-CN"/>
    </w:rPr>
  </w:style>
  <w:style w:type="character" w:customStyle="1" w:styleId="119">
    <w:name w:val="NormalCharacter"/>
    <w:qFormat/>
    <w:uiPriority w:val="0"/>
  </w:style>
  <w:style w:type="character" w:customStyle="1" w:styleId="120">
    <w:name w:val="标题 1 Char1"/>
    <w:basedOn w:val="43"/>
    <w:link w:val="3"/>
    <w:qFormat/>
    <w:locked/>
    <w:uiPriority w:val="99"/>
    <w:rPr>
      <w:rFonts w:ascii="宋体" w:hAnsi="宋体" w:eastAsia="宋体" w:cs="宋体"/>
      <w:b/>
      <w:bCs/>
      <w:kern w:val="36"/>
      <w:sz w:val="48"/>
      <w:szCs w:val="48"/>
    </w:rPr>
  </w:style>
  <w:style w:type="paragraph" w:customStyle="1" w:styleId="121">
    <w:name w:val="正文首行缩进两字符"/>
    <w:basedOn w:val="1"/>
    <w:qFormat/>
    <w:uiPriority w:val="0"/>
    <w:pPr>
      <w:spacing w:line="360" w:lineRule="auto"/>
      <w:ind w:firstLine="200"/>
    </w:pPr>
  </w:style>
  <w:style w:type="paragraph" w:customStyle="1" w:styleId="122">
    <w:name w:val="正文（文章）"/>
    <w:basedOn w:val="1"/>
    <w:qFormat/>
    <w:uiPriority w:val="0"/>
    <w:pPr>
      <w:ind w:firstLine="560"/>
    </w:pPr>
    <w:rPr>
      <w:rFonts w:cs="宋体"/>
      <w:szCs w:val="20"/>
    </w:rPr>
  </w:style>
  <w:style w:type="paragraph" w:styleId="123">
    <w:name w:val="List Paragraph"/>
    <w:basedOn w:val="1"/>
    <w:qFormat/>
    <w:uiPriority w:val="34"/>
    <w:pPr>
      <w:ind w:firstLine="420"/>
    </w:pPr>
  </w:style>
  <w:style w:type="paragraph" w:customStyle="1" w:styleId="124">
    <w:name w:val="正文缩进1"/>
    <w:basedOn w:val="1"/>
    <w:qFormat/>
    <w:uiPriority w:val="0"/>
    <w:pPr>
      <w:ind w:firstLine="420"/>
    </w:pPr>
  </w:style>
  <w:style w:type="paragraph" w:customStyle="1" w:styleId="125">
    <w:name w:val="Heading #2|1"/>
    <w:basedOn w:val="1"/>
    <w:qFormat/>
    <w:uiPriority w:val="0"/>
    <w:pPr>
      <w:spacing w:after="5580"/>
      <w:jc w:val="center"/>
      <w:outlineLvl w:val="1"/>
    </w:pPr>
    <w:rPr>
      <w:b/>
      <w:bCs/>
      <w:sz w:val="44"/>
      <w:szCs w:val="44"/>
      <w:lang w:val="zh-TW" w:eastAsia="zh-TW" w:bidi="zh-TW"/>
    </w:rPr>
  </w:style>
  <w:style w:type="character" w:customStyle="1" w:styleId="126">
    <w:name w:val="_Style 1 Char"/>
    <w:link w:val="117"/>
    <w:qFormat/>
    <w:uiPriority w:val="0"/>
    <w:rPr>
      <w:rFonts w:ascii="Calibri" w:hAnsi="Calibri" w:cs="Times New Roman"/>
      <w:sz w:val="28"/>
      <w:szCs w:val="28"/>
    </w:rPr>
  </w:style>
  <w:style w:type="paragraph" w:customStyle="1" w:styleId="127">
    <w:name w:val="+正文 Char Char"/>
    <w:basedOn w:val="1"/>
    <w:qFormat/>
    <w:uiPriority w:val="0"/>
    <w:pPr>
      <w:spacing w:line="360" w:lineRule="auto"/>
      <w:ind w:firstLine="200"/>
    </w:pPr>
    <w:rPr>
      <w:szCs w:val="28"/>
    </w:rPr>
  </w:style>
  <w:style w:type="paragraph" w:customStyle="1" w:styleId="128">
    <w:name w:val="+●"/>
    <w:qFormat/>
    <w:uiPriority w:val="0"/>
    <w:pPr>
      <w:numPr>
        <w:ilvl w:val="0"/>
        <w:numId w:val="3"/>
      </w:numPr>
      <w:tabs>
        <w:tab w:val="left" w:pos="900"/>
        <w:tab w:val="left" w:pos="958"/>
      </w:tabs>
      <w:ind w:firstLine="0"/>
    </w:pPr>
    <w:rPr>
      <w:rFonts w:ascii="Times New Roman" w:hAnsi="Times New Roman" w:eastAsia="宋体" w:cs="Times New Roman"/>
      <w:lang w:val="en-US" w:eastAsia="zh-CN" w:bidi="ar-SA"/>
    </w:rPr>
  </w:style>
  <w:style w:type="paragraph" w:customStyle="1" w:styleId="129">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130">
    <w:name w:val="_正文"/>
    <w:basedOn w:val="1"/>
    <w:qFormat/>
    <w:uiPriority w:val="0"/>
    <w:pPr>
      <w:tabs>
        <w:tab w:val="left" w:pos="540"/>
      </w:tabs>
    </w:pPr>
    <w:rPr>
      <w:rFonts w:cs="Arial"/>
    </w:rPr>
  </w:style>
  <w:style w:type="paragraph" w:customStyle="1" w:styleId="131">
    <w:name w:val="+正文"/>
    <w:basedOn w:val="1"/>
    <w:qFormat/>
    <w:uiPriority w:val="0"/>
    <w:pPr>
      <w:spacing w:line="360" w:lineRule="auto"/>
      <w:ind w:firstLine="200"/>
    </w:pPr>
  </w:style>
  <w:style w:type="character" w:customStyle="1" w:styleId="132">
    <w:name w:val="fontstyle01"/>
    <w:qFormat/>
    <w:uiPriority w:val="0"/>
    <w:rPr>
      <w:rFonts w:hint="eastAsia" w:ascii="宋体" w:hAnsi="宋体" w:eastAsia="宋体"/>
      <w:color w:val="000000"/>
      <w:sz w:val="22"/>
      <w:szCs w:val="22"/>
    </w:rPr>
  </w:style>
  <w:style w:type="paragraph" w:customStyle="1" w:styleId="133">
    <w:name w:val="标题4"/>
    <w:basedOn w:val="1"/>
    <w:qFormat/>
    <w:uiPriority w:val="0"/>
    <w:rPr>
      <w:rFonts w:eastAsia="仿宋_GB2312"/>
      <w:sz w:val="32"/>
      <w:szCs w:val="20"/>
    </w:rPr>
  </w:style>
  <w:style w:type="character" w:customStyle="1" w:styleId="134">
    <w:name w:val="标题 4 Char"/>
    <w:qFormat/>
    <w:uiPriority w:val="0"/>
    <w:rPr>
      <w:rFonts w:eastAsia="黑体"/>
      <w:b/>
      <w:bCs/>
      <w:kern w:val="2"/>
      <w:sz w:val="30"/>
      <w:szCs w:val="30"/>
      <w:lang w:val="en-US" w:eastAsia="zh-CN" w:bidi="ar-SA"/>
    </w:rPr>
  </w:style>
  <w:style w:type="paragraph" w:customStyle="1" w:styleId="135">
    <w:name w:val="reader-word-layer reader-word-s1-7"/>
    <w:basedOn w:val="1"/>
    <w:qFormat/>
    <w:uiPriority w:val="0"/>
    <w:pPr>
      <w:widowControl/>
      <w:spacing w:before="100" w:beforeAutospacing="1" w:after="100" w:afterAutospacing="1"/>
      <w:jc w:val="left"/>
    </w:pPr>
    <w:rPr>
      <w:rFonts w:ascii="宋体" w:hAnsi="宋体" w:cs="宋体"/>
      <w:kern w:val="0"/>
    </w:rPr>
  </w:style>
  <w:style w:type="character" w:customStyle="1" w:styleId="136">
    <w:name w:val="font11"/>
    <w:basedOn w:val="43"/>
    <w:qFormat/>
    <w:uiPriority w:val="0"/>
    <w:rPr>
      <w:rFonts w:hint="eastAsia" w:ascii="宋体" w:hAnsi="宋体" w:eastAsia="宋体" w:cs="宋体"/>
      <w:color w:val="000000"/>
      <w:sz w:val="20"/>
      <w:szCs w:val="20"/>
      <w:u w:val="none"/>
    </w:rPr>
  </w:style>
  <w:style w:type="character" w:customStyle="1" w:styleId="137">
    <w:name w:val="10"/>
    <w:qFormat/>
    <w:uiPriority w:val="0"/>
    <w:rPr>
      <w:rFonts w:hint="default" w:ascii="Times New Roman" w:hAnsi="Times New Roman" w:cs="Times New Roman"/>
    </w:rPr>
  </w:style>
  <w:style w:type="paragraph" w:customStyle="1" w:styleId="138">
    <w:name w:val="blockquote"/>
    <w:basedOn w:val="1"/>
    <w:qFormat/>
    <w:uiPriority w:val="0"/>
    <w:pPr>
      <w:widowControl/>
      <w:spacing w:before="100" w:beforeAutospacing="1" w:after="100" w:afterAutospacing="1"/>
      <w:jc w:val="left"/>
    </w:pPr>
    <w:rPr>
      <w:rFonts w:ascii="宋体" w:hAnsi="宋体"/>
      <w:kern w:val="0"/>
    </w:rPr>
  </w:style>
  <w:style w:type="paragraph" w:customStyle="1" w:styleId="139">
    <w:name w:val="无间隔3"/>
    <w:qFormat/>
    <w:uiPriority w:val="1"/>
    <w:rPr>
      <w:rFonts w:ascii="Times New Roman" w:hAnsi="Times New Roman" w:eastAsia="宋体" w:cs="Times New Roman"/>
      <w:sz w:val="22"/>
      <w:szCs w:val="22"/>
      <w:lang w:val="en-US" w:eastAsia="en-US" w:bidi="en-US"/>
    </w:rPr>
  </w:style>
  <w:style w:type="paragraph" w:customStyle="1" w:styleId="140">
    <w:name w:val="正文文本缩进1"/>
    <w:basedOn w:val="1"/>
    <w:qFormat/>
    <w:uiPriority w:val="0"/>
    <w:pPr>
      <w:spacing w:line="360" w:lineRule="auto"/>
      <w:ind w:firstLine="435"/>
    </w:pPr>
    <w:rPr>
      <w:sz w:val="28"/>
    </w:rPr>
  </w:style>
  <w:style w:type="paragraph" w:customStyle="1" w:styleId="141">
    <w:name w:val="No Spacing_7e509324-65a2-4ed7-bf10-9eaa9c0383f4"/>
    <w:qFormat/>
    <w:uiPriority w:val="1"/>
    <w:rPr>
      <w:rFonts w:ascii="Times New Roman" w:hAnsi="Times New Roman" w:eastAsia="宋体" w:cs="Times New Roman"/>
      <w:sz w:val="22"/>
      <w:szCs w:val="22"/>
      <w:lang w:val="en-US" w:eastAsia="en-US" w:bidi="en-US"/>
    </w:rPr>
  </w:style>
  <w:style w:type="paragraph" w:customStyle="1" w:styleId="14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3">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44">
    <w:name w:val="正文（缩进）"/>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145">
    <w:name w:val="_正文段落"/>
    <w:basedOn w:val="1"/>
    <w:qFormat/>
    <w:uiPriority w:val="0"/>
    <w:pPr>
      <w:spacing w:beforeLines="15" w:afterLines="15" w:line="360" w:lineRule="auto"/>
      <w:ind w:firstLine="560"/>
    </w:pPr>
    <w:rPr>
      <w:rFonts w:eastAsia="仿宋"/>
      <w:sz w:val="28"/>
    </w:rPr>
  </w:style>
  <w:style w:type="paragraph" w:customStyle="1" w:styleId="146">
    <w:name w:val="正文2"/>
    <w:basedOn w:val="1"/>
    <w:next w:val="30"/>
    <w:qFormat/>
    <w:uiPriority w:val="0"/>
    <w:pPr>
      <w:spacing w:before="156" w:line="360" w:lineRule="auto"/>
      <w:ind w:firstLine="510"/>
    </w:pPr>
  </w:style>
  <w:style w:type="paragraph" w:customStyle="1" w:styleId="147">
    <w:name w:val="Other|1"/>
    <w:basedOn w:val="1"/>
    <w:qFormat/>
    <w:uiPriority w:val="0"/>
    <w:pPr>
      <w:spacing w:line="415" w:lineRule="auto"/>
      <w:ind w:firstLine="400"/>
    </w:pPr>
    <w:rPr>
      <w:rFonts w:ascii="宋体" w:hAnsi="宋体" w:cs="宋体"/>
      <w:sz w:val="22"/>
      <w:szCs w:val="22"/>
      <w:lang w:val="zh-TW" w:eastAsia="zh-TW" w:bidi="zh-TW"/>
    </w:rPr>
  </w:style>
  <w:style w:type="paragraph" w:customStyle="1" w:styleId="14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9">
    <w:name w:val="正文_0"/>
    <w:next w:val="150"/>
    <w:qFormat/>
    <w:uiPriority w:val="1"/>
    <w:pPr>
      <w:jc w:val="both"/>
    </w:pPr>
    <w:rPr>
      <w:rFonts w:ascii="Times New Roman" w:hAnsi="Times New Roman" w:eastAsia="宋体" w:cs="Times New Roman"/>
      <w:sz w:val="21"/>
      <w:szCs w:val="21"/>
      <w:lang w:val="en-US" w:eastAsia="zh-CN" w:bidi="ar-SA"/>
    </w:rPr>
  </w:style>
  <w:style w:type="paragraph" w:customStyle="1" w:styleId="150">
    <w:name w:val="正文首行缩进_0"/>
    <w:basedOn w:val="151"/>
    <w:next w:val="149"/>
    <w:qFormat/>
    <w:uiPriority w:val="0"/>
    <w:pPr>
      <w:spacing w:after="0"/>
      <w:ind w:firstLine="420"/>
      <w:jc w:val="left"/>
    </w:pPr>
    <w:rPr>
      <w:sz w:val="20"/>
      <w:szCs w:val="20"/>
    </w:rPr>
  </w:style>
  <w:style w:type="paragraph" w:customStyle="1" w:styleId="151">
    <w:name w:val="正文文本_0"/>
    <w:basedOn w:val="149"/>
    <w:next w:val="150"/>
    <w:qFormat/>
    <w:uiPriority w:val="0"/>
    <w:pPr>
      <w:spacing w:after="120"/>
    </w:pPr>
  </w:style>
  <w:style w:type="paragraph" w:customStyle="1" w:styleId="152">
    <w:name w:val="正文_1"/>
    <w:next w:val="153"/>
    <w:qFormat/>
    <w:uiPriority w:val="1"/>
    <w:pPr>
      <w:jc w:val="both"/>
    </w:pPr>
    <w:rPr>
      <w:rFonts w:ascii="Times New Roman" w:hAnsi="Times New Roman" w:eastAsia="宋体" w:cs="Times New Roman"/>
      <w:sz w:val="21"/>
      <w:szCs w:val="21"/>
      <w:lang w:val="en-US" w:eastAsia="zh-CN" w:bidi="ar-SA"/>
    </w:rPr>
  </w:style>
  <w:style w:type="paragraph" w:customStyle="1" w:styleId="153">
    <w:name w:val="标题 2_1"/>
    <w:basedOn w:val="154"/>
    <w:next w:val="152"/>
    <w:qFormat/>
    <w:uiPriority w:val="8"/>
    <w:pPr>
      <w:keepNext/>
      <w:keepLines/>
      <w:outlineLvl w:val="1"/>
    </w:pPr>
    <w:rPr>
      <w:rFonts w:ascii="Arial" w:hAnsi="Arial" w:eastAsia="Arial"/>
      <w:b/>
      <w:sz w:val="24"/>
      <w:szCs w:val="24"/>
    </w:rPr>
  </w:style>
  <w:style w:type="paragraph" w:customStyle="1" w:styleId="154">
    <w:name w:val="正文_5_0"/>
    <w:qFormat/>
    <w:uiPriority w:val="1"/>
    <w:pPr>
      <w:jc w:val="both"/>
    </w:pPr>
    <w:rPr>
      <w:rFonts w:ascii="等线" w:hAnsi="等线" w:eastAsia="等线" w:cs="Times New Roman"/>
      <w:sz w:val="21"/>
      <w:szCs w:val="21"/>
      <w:lang w:val="en-US" w:eastAsia="zh-CN" w:bidi="ar-SA"/>
    </w:rPr>
  </w:style>
  <w:style w:type="paragraph" w:customStyle="1" w:styleId="155">
    <w:name w:val="正文_1_1"/>
    <w:next w:val="156"/>
    <w:qFormat/>
    <w:uiPriority w:val="1"/>
    <w:pPr>
      <w:jc w:val="both"/>
    </w:pPr>
    <w:rPr>
      <w:rFonts w:ascii="Times New Roman" w:hAnsi="Times New Roman" w:eastAsia="宋体" w:cs="Times New Roman"/>
      <w:sz w:val="21"/>
      <w:szCs w:val="21"/>
      <w:lang w:val="en-US" w:eastAsia="zh-CN" w:bidi="ar-SA"/>
    </w:rPr>
  </w:style>
  <w:style w:type="paragraph" w:customStyle="1" w:styleId="156">
    <w:name w:val="正文首行缩进_1_0"/>
    <w:basedOn w:val="157"/>
    <w:next w:val="155"/>
    <w:qFormat/>
    <w:uiPriority w:val="0"/>
    <w:pPr>
      <w:ind w:firstLine="420"/>
    </w:pPr>
  </w:style>
  <w:style w:type="paragraph" w:customStyle="1" w:styleId="157">
    <w:name w:val="正文文本_1_0"/>
    <w:basedOn w:val="158"/>
    <w:next w:val="156"/>
    <w:unhideWhenUsed/>
    <w:qFormat/>
    <w:uiPriority w:val="0"/>
    <w:pPr>
      <w:spacing w:after="120"/>
    </w:pPr>
    <w:rPr>
      <w:sz w:val="20"/>
    </w:rPr>
  </w:style>
  <w:style w:type="paragraph" w:customStyle="1" w:styleId="158">
    <w:name w:val="正文_1_0"/>
    <w:next w:val="157"/>
    <w:qFormat/>
    <w:uiPriority w:val="1"/>
    <w:pPr>
      <w:jc w:val="both"/>
    </w:pPr>
    <w:rPr>
      <w:rFonts w:ascii="Times New Roman" w:hAnsi="Times New Roman" w:eastAsia="宋体" w:cs="Times New Roman"/>
      <w:sz w:val="21"/>
      <w:szCs w:val="21"/>
      <w:lang w:val="en-US" w:eastAsia="zh-CN" w:bidi="ar-SA"/>
    </w:rPr>
  </w:style>
  <w:style w:type="paragraph" w:customStyle="1" w:styleId="159">
    <w:name w:val="A_正文_黑"/>
    <w:basedOn w:val="55"/>
    <w:qFormat/>
    <w:uiPriority w:val="0"/>
  </w:style>
  <w:style w:type="character" w:customStyle="1" w:styleId="160">
    <w:name w:val="16"/>
    <w:basedOn w:val="43"/>
    <w:qFormat/>
    <w:uiPriority w:val="0"/>
    <w:rPr>
      <w:rFonts w:hint="eastAsia" w:ascii="宋体" w:hAnsi="宋体" w:eastAsia="宋体" w:cs="宋体"/>
      <w:b/>
      <w:bCs/>
      <w:kern w:val="36"/>
      <w:sz w:val="48"/>
      <w:szCs w:val="48"/>
    </w:rPr>
  </w:style>
  <w:style w:type="character" w:customStyle="1" w:styleId="161">
    <w:name w:val="15"/>
    <w:basedOn w:val="43"/>
    <w:qFormat/>
    <w:uiPriority w:val="0"/>
    <w:rPr>
      <w:rFonts w:hint="eastAsia" w:ascii="宋体" w:hAnsi="宋体" w:eastAsia="宋体" w:cs="宋体"/>
      <w:color w:val="0000FF"/>
      <w:sz w:val="24"/>
      <w:szCs w:val="24"/>
    </w:rPr>
  </w:style>
  <w:style w:type="paragraph" w:styleId="162">
    <w:name w:val="No Spacing"/>
    <w:qFormat/>
    <w:uiPriority w:val="0"/>
    <w:rPr>
      <w:rFonts w:ascii="Times New Roman" w:hAnsi="Times New Roman" w:eastAsia="宋体" w:cs="Times New Roman"/>
      <w:sz w:val="22"/>
      <w:szCs w:val="22"/>
      <w:lang w:val="en-US" w:eastAsia="en-US" w:bidi="en-US"/>
    </w:rPr>
  </w:style>
  <w:style w:type="paragraph" w:customStyle="1" w:styleId="163">
    <w:name w:val="样式 首行缩进:  2 字符"/>
    <w:basedOn w:val="1"/>
    <w:qFormat/>
    <w:uiPriority w:val="0"/>
    <w:pPr>
      <w:spacing w:line="480" w:lineRule="exact"/>
      <w:ind w:firstLine="200" w:firstLineChars="200"/>
      <w:jc w:val="left"/>
    </w:pPr>
    <w:rPr>
      <w:rFonts w:cs="宋体"/>
      <w:sz w:val="24"/>
      <w:szCs w:val="20"/>
    </w:rPr>
  </w:style>
  <w:style w:type="paragraph" w:customStyle="1" w:styleId="164">
    <w:name w:val="4、正文"/>
    <w:basedOn w:val="1"/>
    <w:qFormat/>
    <w:uiPriority w:val="0"/>
    <w:pPr>
      <w:ind w:firstLine="200" w:firstLineChars="200"/>
    </w:pPr>
    <w:rPr>
      <w:rFonts w:ascii="宋体"/>
      <w:sz w:val="24"/>
      <w:szCs w:val="28"/>
    </w:rPr>
  </w:style>
  <w:style w:type="paragraph" w:customStyle="1" w:styleId="165">
    <w:name w:val="正文文本首行缩进 2"/>
    <w:basedOn w:val="22"/>
    <w:qFormat/>
    <w:uiPriority w:val="99"/>
    <w:pPr>
      <w:spacing w:line="200" w:lineRule="atLeast"/>
      <w:ind w:firstLine="420"/>
    </w:pPr>
    <w:rPr>
      <w:rFonts w:ascii="宋体" w:hAnsi="Courier New"/>
      <w:spacing w:val="-4"/>
      <w:sz w:val="18"/>
    </w:rPr>
  </w:style>
  <w:style w:type="paragraph" w:customStyle="1" w:styleId="166">
    <w:name w:val="正文格式"/>
    <w:basedOn w:val="1"/>
    <w:qFormat/>
    <w:uiPriority w:val="0"/>
    <w:pPr>
      <w:spacing w:line="360" w:lineRule="auto"/>
    </w:pPr>
    <w:rPr>
      <w:rFonts w:ascii="Calibri" w:hAnsi="Calibri"/>
      <w:szCs w:val="21"/>
    </w:rPr>
  </w:style>
  <w:style w:type="character" w:customStyle="1" w:styleId="167">
    <w:name w:val="副标题 Char"/>
    <w:link w:val="32"/>
    <w:qFormat/>
    <w:uiPriority w:val="11"/>
    <w:rPr>
      <w:rFonts w:ascii="Cambria" w:hAnsi="Cambria"/>
      <w:b/>
      <w:bCs/>
      <w:kern w:val="28"/>
      <w:sz w:val="32"/>
      <w:szCs w:val="32"/>
    </w:rPr>
  </w:style>
  <w:style w:type="paragraph" w:customStyle="1" w:styleId="168">
    <w:name w:val="缩进正文"/>
    <w:basedOn w:val="1"/>
    <w:qFormat/>
    <w:uiPriority w:val="0"/>
    <w:rPr>
      <w:rFonts w:eastAsia="仿宋"/>
      <w:szCs w:val="22"/>
    </w:rPr>
  </w:style>
  <w:style w:type="character" w:customStyle="1" w:styleId="169">
    <w:name w:val="标题 1 Char Char"/>
    <w:qFormat/>
    <w:uiPriority w:val="99"/>
    <w:rPr>
      <w:rFonts w:ascii="仿宋_GB2312" w:eastAsia="宋体" w:cs="Times New Roman"/>
      <w:spacing w:val="-2"/>
      <w:sz w:val="32"/>
      <w:lang w:val="en-US" w:eastAsia="zh-CN"/>
    </w:rPr>
  </w:style>
  <w:style w:type="paragraph" w:customStyle="1" w:styleId="170">
    <w:name w:val="Body Text First Indent 2"/>
    <w:basedOn w:val="17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71">
    <w:name w:val="Body Text Indent"/>
    <w:basedOn w:val="1"/>
    <w:next w:val="1"/>
    <w:qFormat/>
    <w:uiPriority w:val="0"/>
    <w:pPr>
      <w:adjustRightInd w:val="0"/>
      <w:spacing w:line="360" w:lineRule="auto"/>
      <w:ind w:firstLine="490"/>
      <w:jc w:val="left"/>
    </w:pPr>
    <w:rPr>
      <w:rFonts w:ascii="宋体" w:hAnsi="宋体"/>
      <w:kern w:val="0"/>
      <w:sz w:val="24"/>
      <w:szCs w:val="20"/>
    </w:rPr>
  </w:style>
  <w:style w:type="paragraph" w:customStyle="1" w:styleId="172">
    <w:name w:val="!正文"/>
    <w:basedOn w:val="1"/>
    <w:qFormat/>
    <w:uiPriority w:val="0"/>
    <w:pPr>
      <w:snapToGrid w:val="0"/>
      <w:spacing w:line="360" w:lineRule="auto"/>
      <w:ind w:firstLine="520"/>
      <w:jc w:val="left"/>
    </w:pPr>
    <w:rPr>
      <w:spacing w:val="10"/>
      <w:kern w:val="0"/>
      <w:szCs w:val="21"/>
    </w:rPr>
  </w:style>
  <w:style w:type="paragraph" w:customStyle="1" w:styleId="173">
    <w:name w:val="正文首行缩进1"/>
    <w:basedOn w:val="21"/>
    <w:qFormat/>
    <w:uiPriority w:val="0"/>
    <w:pPr>
      <w:autoSpaceDE/>
      <w:autoSpaceDN/>
      <w:adjustRightInd/>
      <w:spacing w:before="100" w:beforeAutospacing="1"/>
      <w:ind w:left="0" w:firstLine="420" w:firstLineChars="100"/>
      <w:jc w:val="both"/>
    </w:pPr>
    <w:rPr>
      <w:sz w:val="20"/>
      <w:szCs w:val="20"/>
    </w:rPr>
  </w:style>
  <w:style w:type="paragraph" w:customStyle="1" w:styleId="174">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175">
    <w:name w:val="无"/>
    <w:autoRedefine/>
    <w:qFormat/>
    <w:uiPriority w:val="0"/>
  </w:style>
  <w:style w:type="paragraph" w:customStyle="1" w:styleId="176">
    <w:name w:val="Char Char Char Char"/>
    <w:basedOn w:val="1"/>
    <w:qFormat/>
    <w:uiPriority w:val="0"/>
    <w:pPr>
      <w:widowControl/>
      <w:spacing w:line="240" w:lineRule="exact"/>
      <w:jc w:val="left"/>
    </w:pPr>
    <w:rPr>
      <w:rFonts w:ascii="Verdana" w:hAnsi="Verdana" w:eastAsia="FangSong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4429</Words>
  <Characters>5238</Characters>
  <Lines>1</Lines>
  <Paragraphs>1</Paragraphs>
  <TotalTime>2</TotalTime>
  <ScaleCrop>false</ScaleCrop>
  <LinksUpToDate>false</LinksUpToDate>
  <CharactersWithSpaces>5378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2021-09-14T03:18:00Z</dcterms:created>
  <dc:creator>宇正-王</dc:creator>
  <cp:lastModifiedBy>Administrator</cp:lastModifiedBy>
  <cp:lastPrinted>2024-01-03T08:52:00Z</cp:lastPrinted>
  <dcterms:modified xsi:type="dcterms:W3CDTF">2025-02-19T08:39:32Z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DEE33CE245AF4569A3A4ED385AACC3E1_13</vt:lpwstr>
  </property>
  <property fmtid="{D5CDD505-2E9C-101B-9397-08002B2CF9AE}" pid="4" name="KSOTemplateDocerSaveRecord">
    <vt:lpwstr>eyJoZGlkIjoiYmNhZDBhZDQ5ZWM5NWUzMTM3YzBlMGYyYzM4ZDhlOTYiLCJ1c2VySWQiOiIxMTU5NDcwNzk3In0=</vt:lpwstr>
  </property>
</Properties>
</file>