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A50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10CD5F7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545DF57">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45F39EAE">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5F7C41AA">
      <w:pPr>
        <w:adjustRightInd/>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14:paraId="51E9A923">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杭政储出[2024]33号地块商业商务世纪城智能产业园造价咨询（二）项目</w:t>
      </w:r>
    </w:p>
    <w:p w14:paraId="7E25C83F">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 xml:space="preserve">招标文件 </w:t>
      </w:r>
    </w:p>
    <w:p w14:paraId="5C7167A0">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14:paraId="4D851609">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编号:ZJJCJZGS-202400</w:t>
      </w:r>
      <w:r>
        <w:rPr>
          <w:rFonts w:hint="eastAsia" w:ascii="宋体" w:hAnsi="宋体" w:eastAsia="宋体" w:cs="宋体"/>
          <w:color w:val="000000" w:themeColor="text1"/>
          <w:sz w:val="30"/>
          <w:szCs w:val="30"/>
          <w:highlight w:val="none"/>
          <w:lang w:val="en-US" w:eastAsia="zh-CN"/>
          <w14:textFill>
            <w14:solidFill>
              <w14:schemeClr w14:val="tx1"/>
            </w14:solidFill>
          </w14:textFill>
        </w:rPr>
        <w:t>2</w:t>
      </w:r>
    </w:p>
    <w:p w14:paraId="6B6428B2">
      <w:pPr>
        <w:adjustRightInd/>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14:paraId="7300B6E0">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41EEFD73">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56C7FF3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0160AD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9423144">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498ADD3E">
      <w:pPr>
        <w:snapToGrid w:val="0"/>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杭州世纪资聚项目管理有限公司</w:t>
      </w:r>
    </w:p>
    <w:p w14:paraId="7500E2F1">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浙江佳诚工程咨询股份有限公司</w:t>
      </w:r>
    </w:p>
    <w:p w14:paraId="48123F0E">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2024</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09</w:t>
      </w:r>
      <w:r>
        <w:rPr>
          <w:rFonts w:hint="eastAsia" w:ascii="宋体" w:hAnsi="宋体" w:eastAsia="宋体" w:cs="宋体"/>
          <w:bCs/>
          <w:color w:val="000000" w:themeColor="text1"/>
          <w:sz w:val="32"/>
          <w:szCs w:val="32"/>
          <w:highlight w:val="none"/>
          <w14:textFill>
            <w14:solidFill>
              <w14:schemeClr w14:val="tx1"/>
            </w14:solidFill>
          </w14:textFill>
        </w:rPr>
        <w:t>月</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06</w:t>
      </w:r>
      <w:r>
        <w:rPr>
          <w:rFonts w:hint="eastAsia" w:ascii="宋体" w:hAnsi="宋体" w:eastAsia="宋体" w:cs="宋体"/>
          <w:bCs/>
          <w:color w:val="000000" w:themeColor="text1"/>
          <w:sz w:val="32"/>
          <w:szCs w:val="32"/>
          <w:highlight w:val="none"/>
          <w14:textFill>
            <w14:solidFill>
              <w14:schemeClr w14:val="tx1"/>
            </w14:solidFill>
          </w14:textFill>
        </w:rPr>
        <w:t>日</w:t>
      </w:r>
    </w:p>
    <w:p w14:paraId="0AD15CF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本招标文件为202</w:t>
      </w:r>
      <w:r>
        <w:rPr>
          <w:rFonts w:hint="eastAsia" w:ascii="宋体" w:hAnsi="宋体" w:eastAsia="宋体" w:cs="宋体"/>
          <w:color w:val="000000" w:themeColor="text1"/>
          <w:highlight w:val="none"/>
          <w:lang w:val="en-US" w:eastAsia="zh-CN"/>
          <w14:textFill>
            <w14:solidFill>
              <w14:schemeClr w14:val="tx1"/>
            </w14:solidFill>
          </w14:textFill>
        </w:rPr>
        <w:t>3年5月1日稿</w:t>
      </w:r>
      <w:r>
        <w:rPr>
          <w:rFonts w:hint="eastAsia" w:ascii="宋体" w:hAnsi="宋体" w:eastAsia="宋体" w:cs="宋体"/>
          <w:color w:val="000000" w:themeColor="text1"/>
          <w:highlight w:val="none"/>
          <w14:textFill>
            <w14:solidFill>
              <w14:schemeClr w14:val="tx1"/>
            </w14:solidFill>
          </w14:textFill>
        </w:rPr>
        <w:t>，请各位投标人详细阅读各项条款</w:t>
      </w:r>
    </w:p>
    <w:p w14:paraId="1619AD02">
      <w:pPr>
        <w:pStyle w:val="4"/>
        <w:rPr>
          <w:rFonts w:hint="eastAsia" w:ascii="宋体" w:hAnsi="宋体" w:eastAsia="宋体" w:cs="宋体"/>
          <w:color w:val="000000" w:themeColor="text1"/>
          <w:highlight w:val="none"/>
          <w14:textFill>
            <w14:solidFill>
              <w14:schemeClr w14:val="tx1"/>
            </w14:solidFill>
          </w14:textFill>
        </w:rPr>
      </w:pPr>
    </w:p>
    <w:p w14:paraId="000E371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0" w:name="_Hlt67893495"/>
      <w:bookmarkEnd w:id="0"/>
    </w:p>
    <w:p w14:paraId="523E5F98">
      <w:pPr>
        <w:pStyle w:val="634"/>
        <w:rPr>
          <w:rFonts w:hint="eastAsia" w:ascii="宋体" w:hAnsi="宋体" w:eastAsia="宋体" w:cs="宋体"/>
          <w:color w:val="000000" w:themeColor="text1"/>
          <w:highlight w:val="none"/>
          <w14:textFill>
            <w14:solidFill>
              <w14:schemeClr w14:val="tx1"/>
            </w14:solidFill>
          </w14:textFill>
        </w:rPr>
      </w:pPr>
    </w:p>
    <w:p w14:paraId="5985D038">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70AA4386">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16386567">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66B2AF21">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5ADF175C">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14:paraId="0156DF71">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14:paraId="344ABFC7">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40C81A10">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194FD41C">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73F3A73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1" w:name="_Hlt91233176"/>
      <w:bookmarkEnd w:id="1"/>
      <w:bookmarkStart w:id="2" w:name="_Toc91899869"/>
    </w:p>
    <w:p w14:paraId="6A8B51E3">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1B67D1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24E641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AFE7AC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37066D30">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8AA697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1DA761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6CC3020">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92ED27D">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F5D50C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0079898">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58A0EE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5280B0D">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2326A6CC">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0C2BABE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1B0A6A0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杭政储出[2024]33号地块商业商务世纪城智能产业园造价咨询（</w:t>
      </w:r>
      <w:r>
        <w:rPr>
          <w:rFonts w:hint="eastAsia" w:ascii="宋体" w:hAnsi="宋体" w:eastAsia="宋体" w:cs="宋体"/>
          <w:color w:val="000000" w:themeColor="text1"/>
          <w:sz w:val="24"/>
          <w:highlight w:val="none"/>
          <w:u w:val="single"/>
          <w:lang w:val="en-US" w:eastAsia="zh-CN"/>
          <w14:textFill>
            <w14:solidFill>
              <w14:schemeClr w14:val="tx1"/>
            </w14:solidFill>
          </w14:textFill>
        </w:rPr>
        <w:t>二</w:t>
      </w:r>
      <w:r>
        <w:rPr>
          <w:rFonts w:hint="eastAsia" w:ascii="宋体" w:hAnsi="宋体" w:eastAsia="宋体" w:cs="宋体"/>
          <w:color w:val="000000" w:themeColor="text1"/>
          <w:sz w:val="24"/>
          <w:highlight w:val="none"/>
          <w:u w:val="single"/>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29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3</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2F275BA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05D3F80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14:textFill>
            <w14:solidFill>
              <w14:schemeClr w14:val="tx1"/>
            </w14:solidFill>
          </w14:textFill>
        </w:rPr>
        <w:t>ZJJCJZGS-202400</w:t>
      </w:r>
      <w:r>
        <w:rPr>
          <w:rFonts w:hint="eastAsia" w:ascii="宋体" w:hAnsi="宋体" w:eastAsia="宋体" w:cs="宋体"/>
          <w:color w:val="000000" w:themeColor="text1"/>
          <w:sz w:val="24"/>
          <w:highlight w:val="none"/>
          <w:lang w:val="en-US" w:eastAsia="zh-CN"/>
          <w14:textFill>
            <w14:solidFill>
              <w14:schemeClr w14:val="tx1"/>
            </w14:solidFill>
          </w14:textFill>
        </w:rPr>
        <w:t>2</w:t>
      </w:r>
    </w:p>
    <w:p w14:paraId="1C8AA20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杭政储出[2024]33号地块商业商务世纪城智能产业园造价咨询（</w:t>
      </w:r>
      <w:r>
        <w:rPr>
          <w:rFonts w:hint="eastAsia" w:ascii="宋体" w:hAnsi="宋体" w:eastAsia="宋体" w:cs="宋体"/>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）项目</w:t>
      </w:r>
    </w:p>
    <w:p w14:paraId="7C86618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预算金额（元）：6</w:t>
      </w:r>
      <w:r>
        <w:rPr>
          <w:rFonts w:hint="eastAsia" w:ascii="宋体" w:hAnsi="宋体" w:eastAsia="宋体" w:cs="宋体"/>
          <w:b/>
          <w:color w:val="000000" w:themeColor="text1"/>
          <w:sz w:val="24"/>
          <w:highlight w:val="none"/>
          <w:lang w:val="en-US" w:eastAsia="zh-CN"/>
          <w14:textFill>
            <w14:solidFill>
              <w14:schemeClr w14:val="tx1"/>
            </w14:solidFill>
          </w14:textFill>
        </w:rPr>
        <w:t>600000</w:t>
      </w:r>
      <w:r>
        <w:rPr>
          <w:rFonts w:hint="eastAsia" w:ascii="宋体" w:hAnsi="宋体" w:eastAsia="宋体" w:cs="宋体"/>
          <w:color w:val="000000" w:themeColor="text1"/>
          <w:sz w:val="24"/>
          <w:highlight w:val="none"/>
          <w14:textFill>
            <w14:solidFill>
              <w14:schemeClr w14:val="tx1"/>
            </w14:solidFill>
          </w14:textFill>
        </w:rPr>
        <w:t xml:space="preserve"> </w:t>
      </w:r>
    </w:p>
    <w:p w14:paraId="1462B6D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最高限价（元）：6</w:t>
      </w:r>
      <w:r>
        <w:rPr>
          <w:rFonts w:hint="eastAsia" w:ascii="宋体" w:hAnsi="宋体" w:eastAsia="宋体" w:cs="宋体"/>
          <w:b/>
          <w:color w:val="000000" w:themeColor="text1"/>
          <w:sz w:val="24"/>
          <w:highlight w:val="none"/>
          <w:lang w:val="en-US" w:eastAsia="zh-CN"/>
          <w14:textFill>
            <w14:solidFill>
              <w14:schemeClr w14:val="tx1"/>
            </w14:solidFill>
          </w14:textFill>
        </w:rPr>
        <w:t>600000</w:t>
      </w:r>
      <w:r>
        <w:rPr>
          <w:rFonts w:hint="eastAsia" w:ascii="宋体" w:hAnsi="宋体" w:eastAsia="宋体" w:cs="宋体"/>
          <w:color w:val="000000" w:themeColor="text1"/>
          <w:sz w:val="24"/>
          <w:highlight w:val="none"/>
          <w14:textFill>
            <w14:solidFill>
              <w14:schemeClr w14:val="tx1"/>
            </w14:solidFill>
          </w14:textFill>
        </w:rPr>
        <w:t xml:space="preserve"> </w:t>
      </w:r>
    </w:p>
    <w:p w14:paraId="6C9AC115">
      <w:pPr>
        <w:pStyle w:val="6"/>
        <w:spacing w:line="360" w:lineRule="auto"/>
        <w:ind w:firstLine="480"/>
        <w:rPr>
          <w:rFonts w:hint="eastAsia"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bCs/>
          <w:snapToGrid/>
          <w:color w:val="000000" w:themeColor="text1"/>
          <w:kern w:val="2"/>
          <w:sz w:val="24"/>
          <w:szCs w:val="24"/>
          <w:highlight w:val="none"/>
          <w14:textFill>
            <w14:solidFill>
              <w14:schemeClr w14:val="tx1"/>
            </w14:solidFill>
          </w14:textFill>
        </w:rPr>
        <w:t>杭政储出[2024]33号地块商业商务世纪城智能产业园造价咨询（</w:t>
      </w:r>
      <w:r>
        <w:rPr>
          <w:rFonts w:hint="eastAsia" w:ascii="宋体" w:hAnsi="宋体" w:eastAsia="宋体" w:cs="宋体"/>
          <w:bCs/>
          <w:snapToGrid/>
          <w:color w:val="000000" w:themeColor="text1"/>
          <w:kern w:val="2"/>
          <w:sz w:val="24"/>
          <w:szCs w:val="24"/>
          <w:highlight w:val="none"/>
          <w:lang w:val="en-US" w:eastAsia="zh-CN"/>
          <w14:textFill>
            <w14:solidFill>
              <w14:schemeClr w14:val="tx1"/>
            </w14:solidFill>
          </w14:textFill>
        </w:rPr>
        <w:t>二</w:t>
      </w:r>
      <w:r>
        <w:rPr>
          <w:rFonts w:hint="eastAsia" w:ascii="宋体" w:hAnsi="宋体" w:eastAsia="宋体" w:cs="宋体"/>
          <w:bCs/>
          <w:snapToGrid/>
          <w:color w:val="000000" w:themeColor="text1"/>
          <w:kern w:val="2"/>
          <w:sz w:val="24"/>
          <w:szCs w:val="24"/>
          <w:highlight w:val="none"/>
          <w14:textFill>
            <w14:solidFill>
              <w14:schemeClr w14:val="tx1"/>
            </w14:solidFill>
          </w14:textFill>
        </w:rPr>
        <w:t>）项目</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14:textFill>
            <w14:solidFill>
              <w14:schemeClr w14:val="tx1"/>
            </w14:solidFill>
          </w14:textFill>
        </w:rPr>
        <w:t>主要内容：杭政储出[2024]33号地块商业商务世纪城智能产业园跟踪审计及结算审核项目。</w:t>
      </w:r>
      <w:r>
        <w:rPr>
          <w:rFonts w:hint="eastAsia" w:ascii="宋体" w:hAnsi="宋体" w:eastAsia="宋体" w:cs="宋体"/>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74800137">
      <w:pPr>
        <w:pStyle w:val="128"/>
        <w:ind w:firstLine="482"/>
        <w:outlineLvl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合同履约期限：</w:t>
      </w:r>
      <w:r>
        <w:rPr>
          <w:rFonts w:hint="eastAsia" w:ascii="宋体" w:hAnsi="宋体" w:eastAsia="宋体" w:cs="宋体"/>
          <w:color w:val="000000" w:themeColor="text1"/>
          <w:highlight w:val="none"/>
          <w14:textFill>
            <w14:solidFill>
              <w14:schemeClr w14:val="tx1"/>
            </w14:solidFill>
          </w14:textFill>
        </w:rPr>
        <w:t xml:space="preserve"> </w:t>
      </w:r>
    </w:p>
    <w:p w14:paraId="27CCC81E">
      <w:pPr>
        <w:pStyle w:val="6"/>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ascii="宋体" w:hAnsi="宋体" w:eastAsia="宋体" w:cs="宋体"/>
          <w:color w:val="000000" w:themeColor="text1"/>
          <w:kern w:val="0"/>
          <w:sz w:val="24"/>
          <w:highlight w:val="none"/>
          <w14:textFill>
            <w14:solidFill>
              <w14:schemeClr w14:val="tx1"/>
            </w14:solidFill>
          </w14:textFill>
        </w:rPr>
        <w:t xml:space="preserve"> </w:t>
      </w:r>
      <w:sdt>
        <w:sdtPr>
          <w:rPr>
            <w:rFonts w:hint="eastAsia" w:ascii="宋体" w:hAnsi="宋体" w:eastAsia="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2"/>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14:paraId="5374EE2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72326173">
      <w:pPr>
        <w:spacing w:line="360" w:lineRule="auto"/>
        <w:ind w:firstLine="480"/>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0C59BAE">
      <w:pPr>
        <w:spacing w:line="360" w:lineRule="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 xml:space="preserve">    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4"/>
          <w:highlight w:val="none"/>
          <w14:textFill>
            <w14:solidFill>
              <w14:schemeClr w14:val="tx1"/>
            </w14:solidFill>
          </w14:textFill>
        </w:rPr>
        <w:t>以联合体形式投标的，提供联合协议(本项目不接受联合体投标或者投标人不以联合体形式投标的，则不需要提供) ；</w:t>
      </w:r>
    </w:p>
    <w:p w14:paraId="2B9D2990">
      <w:pPr>
        <w:spacing w:line="360" w:lineRule="auto"/>
        <w:ind w:firstLine="480" w:firstLineChars="200"/>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3.落实政府采购政策需满足的资格要求：</w:t>
      </w:r>
    </w:p>
    <w:p w14:paraId="5391A3C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4"/>
          <w:highlight w:val="none"/>
          <w14:textFill>
            <w14:solidFill>
              <w14:schemeClr w14:val="tx1"/>
            </w14:solidFill>
          </w14:textFill>
        </w:rPr>
        <w:t>（注：不得限制大中型企业与小微企业组成联合体参与投标）；</w:t>
      </w:r>
    </w:p>
    <w:p w14:paraId="003D57B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专</w:t>
      </w:r>
      <w:r>
        <w:rPr>
          <w:rFonts w:hint="eastAsia" w:ascii="宋体" w:hAnsi="宋体" w:eastAsia="宋体" w:cs="宋体"/>
          <w:color w:val="000000" w:themeColor="text1"/>
          <w:sz w:val="24"/>
          <w:szCs w:val="24"/>
          <w:highlight w:val="none"/>
          <w14:textFill>
            <w14:solidFill>
              <w14:schemeClr w14:val="tx1"/>
            </w14:solidFill>
          </w14:textFill>
        </w:rPr>
        <w:t>门面向中小企业</w:t>
      </w:r>
    </w:p>
    <w:p w14:paraId="56F4662B">
      <w:pPr>
        <w:spacing w:line="360" w:lineRule="auto"/>
        <w:ind w:firstLine="897" w:firstLineChars="374"/>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服务全部由符合政策要求的中小企业承接，提供中小企业声明函；</w:t>
      </w:r>
    </w:p>
    <w:p w14:paraId="6E705319">
      <w:pPr>
        <w:spacing w:line="360" w:lineRule="auto"/>
        <w:ind w:firstLine="897" w:firstLineChars="374"/>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6"/>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服务全部由符合政策要求的小微企业承接，提供中小企业声明函；</w:t>
      </w:r>
    </w:p>
    <w:p w14:paraId="33AEA80C">
      <w:pPr>
        <w:rPr>
          <w:rFonts w:hint="eastAsia" w:ascii="宋体" w:hAnsi="宋体" w:eastAsia="宋体" w:cs="宋体"/>
          <w:color w:val="000000" w:themeColor="text1"/>
          <w:sz w:val="24"/>
          <w:szCs w:val="24"/>
          <w:highlight w:val="none"/>
          <w14:textFill>
            <w14:solidFill>
              <w14:schemeClr w14:val="tx1"/>
            </w14:solidFill>
          </w14:textFill>
        </w:rPr>
      </w:pPr>
    </w:p>
    <w:p w14:paraId="42B3BE0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要求以联合体形式参加，提供联合协议和中小企业声明函，联合协议中中小企业</w:t>
      </w:r>
      <w:r>
        <w:rPr>
          <w:rFonts w:hint="eastAsia" w:ascii="宋体" w:hAnsi="宋体" w:eastAsia="宋体" w:cs="宋体"/>
          <w:color w:val="000000" w:themeColor="text1"/>
          <w:sz w:val="24"/>
          <w:highlight w:val="none"/>
          <w14:textFill>
            <w14:solidFill>
              <w14:schemeClr w14:val="tx1"/>
            </w14:solidFill>
          </w14:textFill>
        </w:rPr>
        <w:t>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14:paraId="0CC4514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14:paraId="3E11DE8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w:t>
      </w:r>
    </w:p>
    <w:p w14:paraId="3B525C4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无</w:t>
      </w:r>
    </w:p>
    <w:p w14:paraId="43DC603C">
      <w:pPr>
        <w:snapToGrid w:val="0"/>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有特定资格要求：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，该特定条件的法律法规依据：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B7B085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FA333B">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0F8F59F6">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w:t>
      </w:r>
      <w:bookmarkStart w:id="405" w:name="_GoBack"/>
      <w:bookmarkEnd w:id="405"/>
      <w:r>
        <w:rPr>
          <w:rFonts w:hint="eastAsia" w:ascii="宋体" w:hAnsi="宋体" w:eastAsia="宋体" w:cs="宋体"/>
          <w:color w:val="000000" w:themeColor="text1"/>
          <w:sz w:val="24"/>
          <w:highlight w:val="none"/>
          <w14:textFill>
            <w14:solidFill>
              <w14:schemeClr w14:val="tx1"/>
            </w14:solidFill>
          </w14:textFill>
        </w:rPr>
        <w:t>下午12:00至23:59（北京时间，线上获取法定节假日均可，线下获取文件法定节假日除外）</w:t>
      </w:r>
    </w:p>
    <w:p w14:paraId="6615BE6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2AF22D8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1F09FD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2E50DC7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0B13DBC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 xml:space="preserve"> 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（北京时间）</w:t>
      </w:r>
    </w:p>
    <w:p w14:paraId="41350B6F">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239B1D6D">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14:paraId="1C6D91D5">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27F8669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736090B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00A1A515">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14:paraId="1DB1019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B31453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72487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1080B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000000" w:themeColor="text1"/>
          <w:sz w:val="24"/>
          <w:highlight w:val="none"/>
          <w:lang w:val="en-US" w:eastAsia="zh-CN"/>
          <w14:textFill>
            <w14:solidFill>
              <w14:schemeClr w14:val="tx1"/>
            </w14:solidFill>
          </w14:textFill>
        </w:rPr>
        <w:t>项目是否接收备份文件，以前附表说明为准。</w:t>
      </w:r>
      <w:r>
        <w:rPr>
          <w:rFonts w:hint="eastAsia" w:ascii="宋体" w:hAnsi="宋体" w:eastAsia="宋体" w:cs="宋体"/>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512E57">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14:paraId="12842D5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14:paraId="489F3CC3">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称：杭州世纪资聚项目管理有限公司</w:t>
      </w:r>
    </w:p>
    <w:p w14:paraId="68C79343">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    址： 杭州市萧山区盈丰街道华媒智谷大厦      </w:t>
      </w:r>
    </w:p>
    <w:p w14:paraId="49451407">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7994802A">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  高丰</w:t>
      </w:r>
    </w:p>
    <w:p w14:paraId="148658F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项目联系方式（询问）：13867469933 </w:t>
      </w:r>
    </w:p>
    <w:p w14:paraId="1E8176F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 莫先生</w:t>
      </w:r>
    </w:p>
    <w:p w14:paraId="7436E05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质疑联系方式：13588782331 </w:t>
      </w:r>
    </w:p>
    <w:p w14:paraId="77E8158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14:paraId="632E009F">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称：浙江佳诚工程咨询股份有限公司</w:t>
      </w:r>
    </w:p>
    <w:p w14:paraId="507597EF">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址：萧山区民营企业发展大厦A座12楼</w:t>
      </w:r>
    </w:p>
    <w:p w14:paraId="00EBFD67">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传    真： </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48678B0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项目联系人（询问）：周立军 </w:t>
      </w:r>
    </w:p>
    <w:p w14:paraId="056ACBA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项目联系方式（询问）：19906716509</w:t>
      </w:r>
    </w:p>
    <w:p w14:paraId="2145F9D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w:t>
      </w:r>
      <w:r>
        <w:rPr>
          <w:rFonts w:hint="eastAsia" w:ascii="宋体" w:hAnsi="宋体" w:eastAsia="宋体" w:cs="宋体"/>
          <w:color w:val="000000" w:themeColor="text1"/>
          <w:sz w:val="24"/>
          <w:highlight w:val="none"/>
          <w:lang w:val="en-US" w:eastAsia="zh-CN"/>
          <w14:textFill>
            <w14:solidFill>
              <w14:schemeClr w14:val="tx1"/>
            </w14:solidFill>
          </w14:textFill>
        </w:rPr>
        <w:t>夏婷</w:t>
      </w:r>
      <w:r>
        <w:rPr>
          <w:rFonts w:hint="eastAsia" w:ascii="宋体" w:hAnsi="宋体" w:eastAsia="宋体" w:cs="宋体"/>
          <w:color w:val="000000" w:themeColor="text1"/>
          <w:sz w:val="24"/>
          <w:highlight w:val="none"/>
          <w14:textFill>
            <w14:solidFill>
              <w14:schemeClr w14:val="tx1"/>
            </w14:solidFill>
          </w14:textFill>
        </w:rPr>
        <w:t xml:space="preserve"> </w:t>
      </w:r>
    </w:p>
    <w:p w14:paraId="4C78CB14">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w:t>
      </w:r>
      <w:r>
        <w:rPr>
          <w:rFonts w:hint="eastAsia" w:ascii="宋体" w:hAnsi="宋体" w:eastAsia="宋体" w:cs="宋体"/>
          <w:color w:val="000000" w:themeColor="text1"/>
          <w:sz w:val="24"/>
          <w:highlight w:val="none"/>
          <w:lang w:val="en-US" w:eastAsia="zh-CN"/>
          <w14:textFill>
            <w14:solidFill>
              <w14:schemeClr w14:val="tx1"/>
            </w14:solidFill>
          </w14:textFill>
        </w:rPr>
        <w:t>15967157761</w:t>
      </w:r>
    </w:p>
    <w:p w14:paraId="72BAE64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3.同级政府采购监督管理部门            </w:t>
      </w:r>
    </w:p>
    <w:p w14:paraId="15E483C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名   称：萧山区财政局</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浙江省政府采购行政裁决服务中心（杭州）</w:t>
      </w:r>
    </w:p>
    <w:p w14:paraId="64240C01">
      <w:pPr>
        <w:keepNext w:val="0"/>
        <w:keepLines w:val="0"/>
        <w:pageBreakBefore w:val="0"/>
        <w:widowControl w:val="0"/>
        <w:kinsoku/>
        <w:wordWrap/>
        <w:overflowPunct/>
        <w:topLinePunct w:val="0"/>
        <w:autoSpaceDE/>
        <w:autoSpaceDN/>
        <w:bidi w:val="0"/>
        <w:adjustRightInd w:val="0"/>
        <w:snapToGrid/>
        <w:spacing w:line="360" w:lineRule="auto"/>
        <w:ind w:left="0" w:leftChars="0" w:firstLine="180" w:firstLineChars="75"/>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val="en-US" w:eastAsia="zh-CN"/>
          <w14:textFill>
            <w14:solidFill>
              <w14:schemeClr w14:val="tx1"/>
            </w14:solidFill>
          </w14:textFill>
        </w:rPr>
        <w:t>杭州市上城区四季青街道新业路市民之家G03办公室（快递仅限ems或顺丰）</w:t>
      </w:r>
    </w:p>
    <w:p w14:paraId="657C7853">
      <w:pPr>
        <w:keepNext w:val="0"/>
        <w:keepLines w:val="0"/>
        <w:pageBreakBefore w:val="0"/>
        <w:widowControl w:val="0"/>
        <w:kinsoku/>
        <w:wordWrap/>
        <w:overflowPunct/>
        <w:topLinePunct w:val="0"/>
        <w:autoSpaceDE/>
        <w:autoSpaceDN/>
        <w:bidi w:val="0"/>
        <w:adjustRightInd w:val="0"/>
        <w:snapToGrid/>
        <w:spacing w:line="360" w:lineRule="auto"/>
        <w:ind w:left="0" w:leftChars="0" w:firstLine="180" w:firstLineChars="75"/>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1D87D7D6">
      <w:pPr>
        <w:keepNext w:val="0"/>
        <w:keepLines w:val="0"/>
        <w:pageBreakBefore w:val="0"/>
        <w:widowControl w:val="0"/>
        <w:kinsoku/>
        <w:wordWrap/>
        <w:overflowPunct/>
        <w:topLinePunct w:val="0"/>
        <w:autoSpaceDE/>
        <w:autoSpaceDN/>
        <w:bidi w:val="0"/>
        <w:adjustRightInd w:val="0"/>
        <w:snapToGrid/>
        <w:spacing w:line="360" w:lineRule="auto"/>
        <w:ind w:left="0" w:leftChars="0" w:firstLine="180" w:firstLineChars="75"/>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w:t>
      </w:r>
      <w:r>
        <w:rPr>
          <w:rFonts w:hint="eastAsia" w:ascii="宋体" w:hAnsi="宋体" w:eastAsia="宋体" w:cs="宋体"/>
          <w:color w:val="000000" w:themeColor="text1"/>
          <w:sz w:val="24"/>
          <w:highlight w:val="none"/>
          <w:lang w:val="en-US" w:eastAsia="zh-CN"/>
          <w14:textFill>
            <w14:solidFill>
              <w14:schemeClr w14:val="tx1"/>
            </w14:solidFill>
          </w14:textFill>
        </w:rPr>
        <w:t>朱女士/王女士</w:t>
      </w:r>
    </w:p>
    <w:p w14:paraId="5EC15277">
      <w:pPr>
        <w:keepNext w:val="0"/>
        <w:keepLines w:val="0"/>
        <w:pageBreakBefore w:val="0"/>
        <w:widowControl w:val="0"/>
        <w:kinsoku/>
        <w:wordWrap/>
        <w:overflowPunct/>
        <w:topLinePunct w:val="0"/>
        <w:autoSpaceDE/>
        <w:autoSpaceDN/>
        <w:bidi w:val="0"/>
        <w:adjustRightInd w:val="0"/>
        <w:snapToGrid/>
        <w:spacing w:line="360" w:lineRule="auto"/>
        <w:ind w:left="0" w:leftChars="0" w:firstLine="180" w:firstLineChars="75"/>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w:t>
      </w:r>
      <w:r>
        <w:rPr>
          <w:rFonts w:hint="eastAsia" w:ascii="宋体" w:hAnsi="宋体" w:eastAsia="宋体" w:cs="宋体"/>
          <w:color w:val="000000" w:themeColor="text1"/>
          <w:sz w:val="24"/>
          <w:highlight w:val="none"/>
          <w:lang w:val="en-US" w:eastAsia="zh-CN"/>
          <w14:textFill>
            <w14:solidFill>
              <w14:schemeClr w14:val="tx1"/>
            </w14:solidFill>
          </w14:textFill>
        </w:rPr>
        <w:t>0571-85252453</w:t>
      </w:r>
      <w:r>
        <w:rPr>
          <w:rFonts w:hint="eastAsia" w:ascii="宋体" w:hAnsi="宋体" w:eastAsia="宋体" w:cs="宋体"/>
          <w:color w:val="000000" w:themeColor="text1"/>
          <w:sz w:val="24"/>
          <w:highlight w:val="none"/>
          <w14:textFill>
            <w14:solidFill>
              <w14:schemeClr w14:val="tx1"/>
            </w14:solidFill>
          </w14:textFill>
        </w:rPr>
        <w:t xml:space="preserve"> </w:t>
      </w:r>
    </w:p>
    <w:p w14:paraId="3410AFFD">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政策咨询电话：</w:t>
      </w:r>
      <w:r>
        <w:rPr>
          <w:rFonts w:hint="eastAsia" w:ascii="宋体" w:hAnsi="宋体" w:eastAsia="宋体" w:cs="宋体"/>
          <w:color w:val="000000" w:themeColor="text1"/>
          <w:sz w:val="24"/>
          <w:highlight w:val="none"/>
          <w14:textFill>
            <w14:solidFill>
              <w14:schemeClr w14:val="tx1"/>
            </w14:solidFill>
          </w14:textFill>
        </w:rPr>
        <w:t>0571-82756122  </w:t>
      </w:r>
      <w:r>
        <w:rPr>
          <w:rFonts w:hint="eastAsia" w:ascii="宋体" w:hAnsi="宋体" w:eastAsia="宋体" w:cs="宋体"/>
          <w:color w:val="000000" w:themeColor="text1"/>
          <w:sz w:val="24"/>
          <w:highlight w:val="none"/>
          <w:lang w:eastAsia="zh-CN"/>
          <w14:textFill>
            <w14:solidFill>
              <w14:schemeClr w14:val="tx1"/>
            </w14:solidFill>
          </w14:textFill>
        </w:rPr>
        <w:t>（汤先生）</w:t>
      </w:r>
    </w:p>
    <w:p w14:paraId="37BE5C89">
      <w:pPr>
        <w:keepNext w:val="0"/>
        <w:keepLines w:val="0"/>
        <w:pageBreakBefore w:val="0"/>
        <w:widowControl w:val="0"/>
        <w:kinsoku/>
        <w:wordWrap/>
        <w:overflowPunct/>
        <w:topLinePunct w:val="0"/>
        <w:autoSpaceDE/>
        <w:autoSpaceDN/>
        <w:bidi w:val="0"/>
        <w:adjustRightInd w:val="0"/>
        <w:snapToGrid/>
        <w:spacing w:line="360" w:lineRule="auto"/>
        <w:ind w:left="0" w:leftChars="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p>
    <w:p w14:paraId="6F5BE0C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675945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68A6F322">
      <w:pPr>
        <w:widowControl/>
        <w:adjustRightInd/>
        <w:jc w:val="left"/>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5D7CF59A">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8"/>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9"/>
    </w:p>
    <w:p w14:paraId="36EF4D9C">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FB79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7126EE5">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5EDC107">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2F235B">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本项目的特别规定</w:t>
            </w:r>
          </w:p>
        </w:tc>
      </w:tr>
      <w:tr w14:paraId="26B9F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123D6A">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19E8449">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9922AE">
            <w:pPr>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E2B7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服务类。</w:t>
            </w:r>
          </w:p>
        </w:tc>
      </w:tr>
      <w:tr w14:paraId="00D6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9FF3E3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09B041A1">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F3E3D82">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C749652">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（1）标的：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杭政储出[2024]33号地块商业商务世纪城智能产业园造价咨询</w:t>
            </w:r>
            <w:r>
              <w:rPr>
                <w:rFonts w:hint="eastAsia" w:ascii="宋体" w:hAnsi="宋体" w:eastAsia="宋体" w:cs="宋体"/>
                <w:color w:val="000000" w:themeColor="text1"/>
                <w:sz w:val="24"/>
                <w:szCs w:val="24"/>
                <w:highlight w:val="none"/>
                <w14:textFill>
                  <w14:solidFill>
                    <w14:schemeClr w14:val="tx1"/>
                  </w14:solidFill>
                </w14:textFill>
              </w:rPr>
              <w:t xml:space="preserve"> ，属于 </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其他未列明行业 行</w:t>
            </w:r>
            <w:r>
              <w:rPr>
                <w:rFonts w:hint="eastAsia" w:ascii="宋体" w:hAnsi="宋体" w:eastAsia="宋体" w:cs="宋体"/>
                <w:color w:val="000000" w:themeColor="text1"/>
                <w:sz w:val="24"/>
                <w:szCs w:val="24"/>
                <w:highlight w:val="none"/>
                <w14:textFill>
                  <w14:solidFill>
                    <w14:schemeClr w14:val="tx1"/>
                  </w14:solidFill>
                </w14:textFill>
              </w:rPr>
              <w:t>业；</w:t>
            </w:r>
          </w:p>
          <w:p w14:paraId="6766C3DE">
            <w:pPr>
              <w:pStyle w:val="4"/>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w:t>
            </w:r>
          </w:p>
          <w:p w14:paraId="5F7F4F4F">
            <w:pP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《关于印发中小企业划型标准规定的通知》工信部联企业〔2011〕300号</w:t>
            </w:r>
          </w:p>
        </w:tc>
      </w:tr>
      <w:tr w14:paraId="3E9C2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AF3A07">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0290132B">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59D292B">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1B6A43">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BCC83C">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szCs w:val="24"/>
                <w:highlight w:val="none"/>
                <w14:textFill>
                  <w14:solidFill>
                    <w14:schemeClr w14:val="tx1"/>
                  </w14:solidFill>
                </w14:textFill>
              </w:rPr>
              <w:t>本项目不允许采购进口产品。</w:t>
            </w:r>
          </w:p>
          <w:p w14:paraId="50765C1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可以就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采购进口产品。</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eastAsia="宋体" w:cs="宋体"/>
                <w:color w:val="000000" w:themeColor="text1"/>
                <w:kern w:val="0"/>
                <w:sz w:val="24"/>
                <w:szCs w:val="24"/>
                <w:highlight w:val="none"/>
                <w:u w:val="single"/>
                <w14:textFill>
                  <w14:solidFill>
                    <w14:schemeClr w14:val="tx1"/>
                  </w14:solidFill>
                </w14:textFill>
              </w:rPr>
              <w:t>评分标准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15AC5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81E176">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9EDF19F">
            <w:pPr>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F492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A</w:t>
            </w:r>
            <w:r>
              <w:rPr>
                <w:rFonts w:hint="eastAsia" w:ascii="宋体" w:hAnsi="宋体" w:eastAsia="宋体" w:cs="宋体"/>
                <w:color w:val="000000" w:themeColor="text1"/>
                <w:sz w:val="24"/>
                <w:szCs w:val="24"/>
                <w:highlight w:val="none"/>
                <w14:textFill>
                  <w14:solidFill>
                    <w14:schemeClr w14:val="tx1"/>
                  </w14:solidFill>
                </w14:textFill>
              </w:rPr>
              <w:t>同意将非主体、非关键性的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工作分包。</w:t>
            </w:r>
            <w:sdt>
              <w:sdtPr>
                <w:rPr>
                  <w:rFonts w:hint="eastAsia" w:ascii="宋体" w:hAnsi="宋体" w:eastAsia="宋体" w:cs="宋体"/>
                  <w:color w:val="000000" w:themeColor="text1"/>
                  <w:kern w:val="0"/>
                  <w:sz w:val="24"/>
                  <w:szCs w:val="24"/>
                  <w:highlight w:val="none"/>
                  <w14:textFill>
                    <w14:solidFill>
                      <w14:schemeClr w14:val="tx1"/>
                    </w14:solidFill>
                  </w14:textFill>
                </w:rPr>
                <w:id w:val="1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 xml:space="preserve"> B</w:t>
            </w:r>
            <w:r>
              <w:rPr>
                <w:rFonts w:hint="eastAsia" w:ascii="宋体" w:hAnsi="宋体" w:eastAsia="宋体" w:cs="宋体"/>
                <w:color w:val="000000" w:themeColor="text1"/>
                <w:sz w:val="24"/>
                <w:szCs w:val="24"/>
                <w:highlight w:val="none"/>
                <w14:textFill>
                  <w14:solidFill>
                    <w14:schemeClr w14:val="tx1"/>
                  </w14:solidFill>
                </w14:textFill>
              </w:rPr>
              <w:t>不同意分包。</w:t>
            </w:r>
          </w:p>
          <w:p w14:paraId="09C538F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注：不得限制大中型企业向小微企业合理分包。</w:t>
            </w:r>
          </w:p>
        </w:tc>
      </w:tr>
      <w:tr w14:paraId="5AD8D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06F3234">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9BC1F97">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4BC2178">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57DC85">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6A5F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5"/>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不组织。</w:t>
            </w:r>
          </w:p>
          <w:p w14:paraId="11AB9C8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6"/>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B组织，</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57DFE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481EBF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3B4AA5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A416C82">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CDAC44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1EB849E">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51462DD">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4124DC15">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6473935">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171AA9E">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9A7EDAA">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09A9A2">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62CE96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不要求提供。</w:t>
            </w:r>
          </w:p>
          <w:p w14:paraId="3671A103">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B要求提供，</w:t>
            </w:r>
          </w:p>
          <w:p w14:paraId="33F2151D">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snapToGrid w:val="0"/>
                <w:color w:val="000000" w:themeColor="text1"/>
                <w:kern w:val="28"/>
                <w:sz w:val="24"/>
                <w:szCs w:val="24"/>
                <w:highlight w:val="none"/>
                <w14:textFill>
                  <w14:solidFill>
                    <w14:schemeClr w14:val="tx1"/>
                  </w14:solidFill>
                </w14:textFill>
              </w:rPr>
              <w:t>样品：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028A38E">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28"/>
                <w:sz w:val="24"/>
                <w:szCs w:val="24"/>
                <w:highlight w:val="none"/>
                <w14:textFill>
                  <w14:solidFill>
                    <w14:schemeClr w14:val="tx1"/>
                  </w14:solidFill>
                </w14:textFill>
              </w:rPr>
              <w:t>样品制作的标准和要求：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6191D983">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4"/>
                <w:szCs w:val="24"/>
                <w:highlight w:val="none"/>
                <w14:textFill>
                  <w14:solidFill>
                    <w14:schemeClr w14:val="tx1"/>
                  </w14:solidFill>
                </w14:textFill>
              </w:rPr>
              <w:t>：详见</w:t>
            </w:r>
            <w:r>
              <w:rPr>
                <w:rFonts w:hint="eastAsia" w:ascii="宋体" w:hAnsi="宋体" w:eastAsia="宋体" w:cs="宋体"/>
                <w:color w:val="000000" w:themeColor="text1"/>
                <w:sz w:val="24"/>
                <w:szCs w:val="24"/>
                <w:highlight w:val="none"/>
                <w:u w:val="single"/>
                <w14:textFill>
                  <w14:solidFill>
                    <w14:schemeClr w14:val="tx1"/>
                  </w14:solidFill>
                </w14:textFill>
              </w:rPr>
              <w:t>评标办法</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☐样品分未超过价格分的50%；</w:t>
            </w:r>
          </w:p>
          <w:p w14:paraId="5557E91C">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☐样品分超过价格分的50%，理由</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18B4B932">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详见招标文件第四部分评标办分法。 </w:t>
            </w:r>
          </w:p>
          <w:p w14:paraId="5999FEF2">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（4）是否需要随样品提交检测报告：</w:t>
            </w:r>
            <w:sdt>
              <w:sdtPr>
                <w:rPr>
                  <w:rFonts w:hint="eastAsia" w:ascii="宋体" w:hAnsi="宋体" w:eastAsia="宋体" w:cs="宋体"/>
                  <w:color w:val="000000" w:themeColor="text1"/>
                  <w:kern w:val="0"/>
                  <w:sz w:val="24"/>
                  <w:szCs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否；</w:t>
            </w:r>
            <w:sdt>
              <w:sdtPr>
                <w:rPr>
                  <w:rFonts w:hint="eastAsia" w:ascii="宋体" w:hAnsi="宋体" w:eastAsia="宋体" w:cs="宋体"/>
                  <w:color w:val="000000" w:themeColor="text1"/>
                  <w:kern w:val="0"/>
                  <w:sz w:val="24"/>
                  <w:szCs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是，检测机构的要求</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；检测内容</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558A4D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（5）提供样品的时间：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8"/>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。请投标人在上述时间内提供样品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样品递交人须提供投标人的授权书（见附件格式，法人代表请携带身份证复件及营业执照复印件）、身份证</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明</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超过截止时间的，采购人或采购代理机构将不予接收，并将清场并封闭样品现场。</w:t>
            </w:r>
          </w:p>
          <w:p w14:paraId="7D938A6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(6)采购活动结束后，对于未中标人提供的样品，采购人、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将通知未中标人在规定的时间内取回，逾期未取回的，采购人、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不负保管义务；对于中标人提供的样品，采购人将进行保管、封存，并作为履约验收的参考。</w:t>
            </w:r>
          </w:p>
          <w:p w14:paraId="0DCB6CA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（7）制作、运输、安装和保管样品所发生的一切费用由投标人自理。</w:t>
            </w:r>
          </w:p>
          <w:p w14:paraId="74A0E9F8">
            <w:pPr>
              <w:pStyle w:val="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eastAsia="zh-CN" w:bidi="ar-SA"/>
                <w14:textFill>
                  <w14:solidFill>
                    <w14:schemeClr w14:val="tx1"/>
                  </w14:solidFill>
                </w14:textFill>
              </w:rPr>
              <w:t>（8）</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未提供样品或提供样品不满足采购需求实质性条件（“▲” 系指实质性要求）的供应商，投标无效</w:t>
            </w:r>
          </w:p>
        </w:tc>
      </w:tr>
      <w:tr w14:paraId="1712D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1EFBFE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9A964F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26E4337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01DEDC90">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B32AEEA">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71D17C20">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C438BE1">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03C46A5">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6320D98">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67987A">
            <w:pPr>
              <w:snapToGrid w:val="0"/>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310AC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2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不组织。</w:t>
            </w:r>
          </w:p>
          <w:p w14:paraId="69F2A121">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B组织。</w:t>
            </w:r>
          </w:p>
          <w:p w14:paraId="2FA12C91">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（1）在评标时安排每个投标人进行方案讲解演示。每个投标人时间不超过</w:t>
            </w:r>
            <w:r>
              <w:rPr>
                <w:rFonts w:hint="eastAsia" w:ascii="宋体" w:hAnsi="宋体" w:eastAsia="宋体" w:cs="宋体"/>
                <w:color w:val="000000" w:themeColor="text1"/>
                <w:kern w:val="0"/>
                <w:sz w:val="24"/>
                <w:szCs w:val="24"/>
                <w:highlight w:val="none"/>
                <w:u w:val="single"/>
                <w14:textFill>
                  <w14:solidFill>
                    <w14:schemeClr w14:val="tx1"/>
                  </w14:solidFill>
                </w14:textFill>
              </w:rPr>
              <w:t>20</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编制时可根据项目情况进行调整</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分钟，讲解次序以投标文件解密时间先后次序为准，讲解演示人员不超过</w:t>
            </w:r>
            <w:r>
              <w:rPr>
                <w:rFonts w:hint="eastAsia" w:ascii="宋体" w:hAnsi="宋体" w:eastAsia="宋体" w:cs="宋体"/>
                <w:color w:val="000000" w:themeColor="text1"/>
                <w:kern w:val="0"/>
                <w:sz w:val="24"/>
                <w:szCs w:val="24"/>
                <w:highlight w:val="none"/>
                <w:u w:val="single"/>
                <w14:textFill>
                  <w14:solidFill>
                    <w14:schemeClr w14:val="tx1"/>
                  </w14:solidFill>
                </w14:textFill>
              </w:rPr>
              <w:t>3</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编制时可根据项目情况进行调整</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人。讲解演示结束后按要求解答评标委员会提问。</w:t>
            </w:r>
          </w:p>
          <w:p w14:paraId="5086EA2B">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（2）方案讲解演示可选择以下其中一种方式：</w:t>
            </w:r>
          </w:p>
          <w:p w14:paraId="212DD156">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4949D493">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方式二：交易中心现场讲解演示。现场讲解地点为       ，讲解演示所用电脑等设备由投标人自备。现场讲解演示人员进场时提供讲解人员名单（加盖公章）及身份证明</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法人代表请携带身份证复件及营业执照复印件），否则不得讲解演示。</w:t>
            </w:r>
          </w:p>
          <w:p w14:paraId="1A062FDE">
            <w:pPr>
              <w:snapToGrid w:val="0"/>
              <w:spacing w:line="360" w:lineRule="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演示人员</w:t>
            </w:r>
            <w:r>
              <w:rPr>
                <w:rFonts w:hint="eastAsia" w:ascii="宋体" w:hAnsi="宋体" w:eastAsia="宋体" w:cs="宋体"/>
                <w:bCs/>
                <w:color w:val="000000" w:themeColor="text1"/>
                <w:sz w:val="24"/>
                <w:szCs w:val="24"/>
                <w:highlight w:val="none"/>
                <w14:textFill>
                  <w14:solidFill>
                    <w14:schemeClr w14:val="tx1"/>
                  </w14:solidFill>
                </w14:textFill>
              </w:rPr>
              <w:t>须提供投标人的授权书（见附件格式，法人代表请携带身份证复件及营业执照复印件）、身份证</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复印件</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tc>
      </w:tr>
      <w:tr w14:paraId="2B23B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95BABE5">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05C18EE">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8A971E4">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338D3C53">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2E2009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（1）资格证明文件：见招标文件第二部分11.1。</w:t>
            </w:r>
          </w:p>
          <w:p w14:paraId="1A0EDDBC">
            <w:pPr>
              <w:spacing w:line="360"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投标人未提供有效的资格证明文件的，视为投标人不具备招标文件中规定的资格要求，投标无效。</w:t>
            </w:r>
          </w:p>
        </w:tc>
      </w:tr>
      <w:tr w14:paraId="33998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937F3E9">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0BA8E18B">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E353E7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（2）资信证明文件：根据招标文件第四部分评标标准提供。</w:t>
            </w:r>
          </w:p>
        </w:tc>
      </w:tr>
      <w:tr w14:paraId="5ECAF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36B28F7">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EFBDF48">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8AF5774">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F6F5CB8">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5EA6E3">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8C4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7343D59">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4E1D62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A99AA33">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275A2FC">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9EB0357">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207BD323">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FB6BD32">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291386">
            <w:pPr>
              <w:snapToGrid w:val="0"/>
              <w:spacing w:line="360" w:lineRule="auto"/>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投标文件</w:t>
            </w:r>
            <w:r>
              <w:rPr>
                <w:rFonts w:hint="eastAsia" w:ascii="宋体" w:hAnsi="宋体" w:eastAsia="宋体" w:cs="宋体"/>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szCs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szCs w:val="24"/>
                <w:highlight w:val="none"/>
                <w:lang w:val="zh-CN"/>
                <w14:textFill>
                  <w14:solidFill>
                    <w14:schemeClr w14:val="tx1"/>
                  </w14:solidFill>
                </w14:textFill>
              </w:rPr>
              <w:t>提醒：验收时检测费用由采购人承担，不包含在投标总价中。</w:t>
            </w:r>
          </w:p>
          <w:p w14:paraId="1B66A5A2">
            <w:pPr>
              <w:snapToGrid w:val="0"/>
              <w:spacing w:line="360" w:lineRule="auto"/>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投标报价出现下列情形的，投标无效：</w:t>
            </w:r>
          </w:p>
          <w:p w14:paraId="758B2C0D">
            <w:pPr>
              <w:snapToGrid w:val="0"/>
              <w:spacing w:line="360" w:lineRule="auto"/>
              <w:ind w:firstLine="241" w:firstLineChars="100"/>
              <w:jc w:val="left"/>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投标文件出现不是唯一的、有选择性投标报价的；</w:t>
            </w:r>
          </w:p>
          <w:p w14:paraId="594006C0">
            <w:pPr>
              <w:snapToGrid w:val="0"/>
              <w:spacing w:line="360" w:lineRule="auto"/>
              <w:ind w:firstLine="241" w:firstLineChars="100"/>
              <w:jc w:val="left"/>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投标报价超过招标文件中规定的预算金额或者最高限价的;</w:t>
            </w:r>
          </w:p>
          <w:p w14:paraId="449A13FE">
            <w:pPr>
              <w:spacing w:line="360" w:lineRule="auto"/>
              <w:ind w:firstLine="241" w:firstLineChars="1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4"/>
                <w:highlight w:val="none"/>
                <w14:textFill>
                  <w14:solidFill>
                    <w14:schemeClr w14:val="tx1"/>
                  </w14:solidFill>
                </w14:textFill>
              </w:rPr>
              <w:t>;</w:t>
            </w:r>
          </w:p>
          <w:p w14:paraId="2674B1E3">
            <w:pPr>
              <w:spacing w:line="360" w:lineRule="auto"/>
              <w:ind w:firstLine="241"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szCs w:val="24"/>
                <w:highlight w:val="none"/>
                <w14:textFill>
                  <w14:solidFill>
                    <w14:schemeClr w14:val="tx1"/>
                  </w14:solidFill>
                </w14:textFill>
              </w:rPr>
              <w:t>。</w:t>
            </w:r>
          </w:p>
        </w:tc>
      </w:tr>
      <w:tr w14:paraId="570C4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F93B19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28279478">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42DC9ABE">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46AE4DC">
            <w:pPr>
              <w:spacing w:line="360" w:lineRule="auto"/>
              <w:ind w:firstLine="480" w:firstLineChars="200"/>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61E4E3C">
            <w:pPr>
              <w:spacing w:line="360" w:lineRule="auto"/>
              <w:ind w:firstLine="480" w:firstLineChars="200"/>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本项目支持《杭州市萧山区政府采购支持中小企业信用融资暂行办法》。</w:t>
            </w:r>
          </w:p>
          <w:p w14:paraId="1366A2E7">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有融资需求的中标供应商可参照相关规定及银行方案凭政府采购合同向相关合作银行提出信用融资（贷款）申请。详见http://www.xiaoshan.gov.cn/art/2018/12/20/art_1229293109_1559514.html</w:t>
            </w:r>
          </w:p>
        </w:tc>
      </w:tr>
      <w:tr w14:paraId="570AB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7B9B8D9">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38D9D6">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B6B50">
            <w:pPr>
              <w:pStyle w:val="33"/>
              <w:spacing w:line="360" w:lineRule="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lang w:val="en-US" w:eastAsia="zh-CN"/>
                <w14:textFill>
                  <w14:solidFill>
                    <w14:schemeClr w14:val="tx1"/>
                  </w14:solidFill>
                </w14:textFill>
              </w:rPr>
              <w:t>本项目</w:t>
            </w:r>
            <w:r>
              <w:rPr>
                <w:rFonts w:hint="eastAsia" w:ascii="宋体" w:hAnsi="宋体" w:eastAsia="宋体" w:cs="宋体"/>
                <w:color w:val="000000" w:themeColor="text1"/>
                <w:kern w:val="28"/>
                <w:sz w:val="24"/>
                <w:szCs w:val="24"/>
                <w:highlight w:val="none"/>
                <w14:textFill>
                  <w14:solidFill>
                    <w14:schemeClr w14:val="tx1"/>
                  </w14:solidFill>
                </w14:textFill>
              </w:rPr>
              <w:t>备份文件是否收取：不收取</w:t>
            </w:r>
          </w:p>
          <w:p w14:paraId="1B245AC0">
            <w:pPr>
              <w:pStyle w:val="33"/>
              <w:spacing w:line="360" w:lineRule="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tc>
      </w:tr>
      <w:tr w14:paraId="35469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DBF6B40">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8D10B5D">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3C5EB32">
            <w:pPr>
              <w:pStyle w:val="33"/>
              <w:spacing w:line="360" w:lineRule="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zh-CN" w:eastAsia="zh-CN"/>
                <w14:textFill>
                  <w14:solidFill>
                    <w14:schemeClr w14:val="tx1"/>
                  </w14:solidFill>
                </w14:textFill>
              </w:rPr>
              <w:t>本项目代理服务费由</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成交</w:t>
            </w:r>
            <w:r>
              <w:rPr>
                <w:rFonts w:hint="eastAsia" w:ascii="宋体" w:hAnsi="宋体" w:eastAsia="宋体" w:cs="宋体"/>
                <w:bCs/>
                <w:color w:val="000000" w:themeColor="text1"/>
                <w:kern w:val="0"/>
                <w:sz w:val="24"/>
                <w:szCs w:val="24"/>
                <w:highlight w:val="none"/>
                <w:lang w:val="zh-CN" w:eastAsia="zh-CN"/>
                <w14:textFill>
                  <w14:solidFill>
                    <w14:schemeClr w14:val="tx1"/>
                  </w14:solidFill>
                </w14:textFill>
              </w:rPr>
              <w:t>人支付。</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本次代理服务费按国家发展计划委员会的计价格[2002]1980号文件收费标准</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收费</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，不足</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000.00元按</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000.00元收取。</w:t>
            </w:r>
          </w:p>
        </w:tc>
      </w:tr>
      <w:tr w14:paraId="557A6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C0A7E9">
            <w:pPr>
              <w:spacing w:after="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0E83F11">
            <w:pPr>
              <w:spacing w:after="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D4E63FF">
            <w:pPr>
              <w:spacing w:after="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本项目由采购人进行资格文件及信用信息查询。</w:t>
            </w:r>
          </w:p>
        </w:tc>
      </w:tr>
      <w:tr w14:paraId="59D73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6AABBD">
            <w:pPr>
              <w:spacing w:after="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69F21F54">
            <w:pPr>
              <w:spacing w:after="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CC0D12D">
            <w:pPr>
              <w:snapToGrid w:val="0"/>
              <w:spacing w:after="0"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采购人、采购机构质疑接收人、联系方式：详见公告</w:t>
            </w:r>
          </w:p>
          <w:p w14:paraId="20001FA9">
            <w:pPr>
              <w:snapToGrid w:val="0"/>
              <w:spacing w:after="0"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0D59A101">
            <w:pPr>
              <w:snapToGrid w:val="0"/>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本项目涉及资格条件、采购需求、评分办法及采购过程中有关现场考察或开标前答疑会等事项由采购人进行答复。</w:t>
            </w:r>
          </w:p>
          <w:p w14:paraId="3FCDDEDE">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涉及流程规范性、组织程序等相关事项，由采购机构进行答复。</w:t>
            </w:r>
          </w:p>
        </w:tc>
      </w:tr>
      <w:tr w14:paraId="3FDFC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698068">
            <w:pPr>
              <w:spacing w:after="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8AA4FA9">
            <w:pPr>
              <w:spacing w:after="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D90554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已有新文件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规定</w:t>
            </w:r>
            <w:r>
              <w:rPr>
                <w:rFonts w:hint="eastAsia" w:ascii="宋体" w:hAnsi="宋体" w:eastAsia="宋体" w:cs="宋体"/>
                <w:color w:val="000000" w:themeColor="text1"/>
                <w:sz w:val="24"/>
                <w:szCs w:val="24"/>
                <w:highlight w:val="none"/>
                <w14:textFill>
                  <w14:solidFill>
                    <w14:schemeClr w14:val="tx1"/>
                  </w14:solidFill>
                </w14:textFill>
              </w:rPr>
              <w:t>，按照最新文件执行）。存在隐蔽工程的项目，采购单位及供应商应在货物到货并将实施安装前，申请进行初验收。</w:t>
            </w:r>
          </w:p>
          <w:p w14:paraId="299DDF8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 0571-83587785/0571-82816012  联系地址: 萧山区通惠北路2-1号302室</w:t>
            </w:r>
          </w:p>
          <w:p w14:paraId="246CF88B">
            <w:pPr>
              <w:spacing w:after="0"/>
              <w:rPr>
                <w:rFonts w:hint="eastAsia" w:ascii="宋体" w:hAnsi="宋体" w:eastAsia="宋体" w:cs="宋体"/>
                <w:color w:val="000000" w:themeColor="text1"/>
                <w:sz w:val="24"/>
                <w:szCs w:val="24"/>
                <w:highlight w:val="none"/>
                <w14:textFill>
                  <w14:solidFill>
                    <w14:schemeClr w14:val="tx1"/>
                  </w14:solidFill>
                </w14:textFill>
              </w:rPr>
            </w:pPr>
          </w:p>
        </w:tc>
      </w:tr>
      <w:tr w14:paraId="17D68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A464BED">
            <w:pPr>
              <w:snapToGrid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04ED30D5">
            <w:pPr>
              <w:snapToGri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DBCADF2">
            <w:pPr>
              <w:spacing w:line="360" w:lineRule="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711E4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42E8974">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1AFB55BC">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F3D48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23"/>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3308CD8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sz w:val="24"/>
                <w:szCs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评审因素对应的要求视为采购需求的一部分。</w:t>
            </w:r>
          </w:p>
          <w:p w14:paraId="56EFC86D">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严格执行预算限价，项目如涉及办公用房装修、通用办公设备家具的不得超限额标准。（萧财国资【2019】389号）</w:t>
            </w:r>
          </w:p>
          <w:p w14:paraId="7B77651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本项目通用总则条款与前附表等专用特别规定有冲突之处，以专用条款（特别规定）为准</w:t>
            </w:r>
          </w:p>
        </w:tc>
      </w:tr>
      <w:tr w14:paraId="6F0C7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07B1F8DB">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left w:val="single" w:color="000000" w:sz="2" w:space="0"/>
              <w:bottom w:val="single" w:color="000000" w:sz="8" w:space="0"/>
              <w:right w:val="single" w:color="000000" w:sz="8" w:space="0"/>
            </w:tcBorders>
            <w:vAlign w:val="center"/>
          </w:tcPr>
          <w:p w14:paraId="43F946AC">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67C33CE">
            <w:pP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本项目每个标项推荐中标候选人数量：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p>
        </w:tc>
      </w:tr>
    </w:tbl>
    <w:p w14:paraId="28FE9421">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p>
    <w:bookmarkEnd w:id="10"/>
    <w:p w14:paraId="65211737">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eastAsia="宋体" w:cs="宋体"/>
          <w:b/>
          <w:color w:val="000000" w:themeColor="text1"/>
          <w:sz w:val="32"/>
          <w:szCs w:val="20"/>
          <w:highlight w:val="none"/>
          <w14:textFill>
            <w14:solidFill>
              <w14:schemeClr w14:val="tx1"/>
            </w14:solidFill>
          </w14:textFill>
        </w:rPr>
        <w:t>一、总则</w:t>
      </w:r>
    </w:p>
    <w:p w14:paraId="5F7B9572">
      <w:pPr>
        <w:keepNext w:val="0"/>
        <w:keepLines w:val="0"/>
        <w:pageBreakBefore w:val="0"/>
        <w:kinsoku/>
        <w:wordWrap/>
        <w:overflowPunct/>
        <w:topLinePunct w:val="0"/>
        <w:bidi w:val="0"/>
        <w:snapToGrid w:val="0"/>
        <w:spacing w:beforeAutospacing="0" w:line="360" w:lineRule="auto"/>
        <w:ind w:left="0" w:leftChars="0" w:firstLine="482" w:firstLineChars="200"/>
        <w:jc w:val="lef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 适用范围</w:t>
      </w:r>
    </w:p>
    <w:p w14:paraId="49DF7186">
      <w:pPr>
        <w:keepNext w:val="0"/>
        <w:keepLines w:val="0"/>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DB3FD02">
      <w:pPr>
        <w:keepNext w:val="0"/>
        <w:keepLines w:val="0"/>
        <w:pageBreakBefore w:val="0"/>
        <w:kinsoku/>
        <w:wordWrap/>
        <w:overflowPunct/>
        <w:topLinePunct w:val="0"/>
        <w:bidi w:val="0"/>
        <w:adjustRightInd/>
        <w:spacing w:beforeAutospacing="0" w:line="360" w:lineRule="auto"/>
        <w:ind w:left="0" w:leftChars="0" w:firstLine="482" w:firstLineChars="200"/>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2.定义</w:t>
      </w:r>
    </w:p>
    <w:p w14:paraId="31610EF9">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“采购人”系指招标公告中载明的本项目的采购人。</w:t>
      </w:r>
    </w:p>
    <w:p w14:paraId="34BF9186">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”系指招标公告中载明的本项目的</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p>
    <w:p w14:paraId="05FE6A4A">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“投标人”系指是指响应招标、参加投标竞争的法人、其他组织或者自然人。</w:t>
      </w:r>
    </w:p>
    <w:p w14:paraId="73739537">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4663167">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9E08AC">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2.6“电子交易平台”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t>系</w:t>
      </w:r>
      <w:r>
        <w:rPr>
          <w:rFonts w:hint="eastAsia" w:ascii="宋体" w:hAnsi="宋体" w:eastAsia="宋体" w:cs="宋体"/>
          <w:color w:val="000000" w:themeColor="text1"/>
          <w:sz w:val="24"/>
          <w:szCs w:val="24"/>
          <w:highlight w:val="none"/>
          <w14:textFill>
            <w14:solidFill>
              <w14:schemeClr w14:val="tx1"/>
            </w14:solidFill>
          </w14:textFill>
        </w:rPr>
        <w:t>指本项目政府采购活动所依托的政府采购云平台（https://www.zcygov.cn/）。</w:t>
      </w:r>
    </w:p>
    <w:p w14:paraId="5D8A6C62">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szCs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szCs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 系指不适用本项目的要求。</w:t>
      </w:r>
    </w:p>
    <w:p w14:paraId="51585A4D">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采购项目需要落实的政府采购政策</w:t>
      </w:r>
    </w:p>
    <w:p w14:paraId="4FCD862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不会对其加以限制，仍将按照公平竞争原则实施采购）；</w:t>
      </w:r>
      <w:r>
        <w:rPr>
          <w:rFonts w:hint="eastAsia" w:ascii="宋体" w:hAnsi="宋体" w:eastAsia="宋体" w:cs="宋体"/>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szCs w:val="24"/>
          <w:highlight w:val="none"/>
          <w14:textFill>
            <w14:solidFill>
              <w14:schemeClr w14:val="tx1"/>
            </w14:solidFill>
          </w14:textFill>
        </w:rPr>
        <w:t>。</w:t>
      </w:r>
    </w:p>
    <w:p w14:paraId="128BC7FD">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支持绿色发展</w:t>
      </w:r>
    </w:p>
    <w:p w14:paraId="7F6C5CD3">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szCs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17574800">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 修缮、装修类项目采购建材的，采购人应将绿色建筑和绿色建材性能、指标等作为实质性条件纳入招标文件和合同。</w:t>
      </w:r>
    </w:p>
    <w:p w14:paraId="458296BC">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84B4C9">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5FC89C2">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3.3支持中小企业发展</w:t>
      </w:r>
    </w:p>
    <w:p w14:paraId="611751D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C17B91">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符合中小企业划分标准的个体工商户，在政府采购活动中视同中小企业。</w:t>
      </w:r>
    </w:p>
    <w:p w14:paraId="0493BF0E">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3.3.2</w:t>
      </w:r>
      <w:r>
        <w:rPr>
          <w:rFonts w:hint="eastAsia" w:ascii="宋体" w:hAnsi="宋体" w:eastAsia="宋体" w:cs="宋体"/>
          <w:color w:val="000000" w:themeColor="text1"/>
          <w:kern w:val="0"/>
          <w:sz w:val="24"/>
          <w:szCs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209F01">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B87424C">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w:t>
      </w:r>
      <w:r>
        <w:rPr>
          <w:rFonts w:hint="eastAsia" w:ascii="宋体" w:hAnsi="宋体" w:eastAsia="宋体" w:cs="宋体"/>
          <w:snapToGrid w:val="0"/>
          <w:color w:val="000000" w:themeColor="text1"/>
          <w:kern w:val="28"/>
          <w:sz w:val="24"/>
          <w:szCs w:val="24"/>
          <w:highlight w:val="none"/>
          <w14:textFill>
            <w14:solidFill>
              <w14:schemeClr w14:val="tx1"/>
            </w14:solidFill>
          </w14:textFill>
        </w:rPr>
        <w:t>招标文件第四部分</w:t>
      </w:r>
      <w:r>
        <w:rPr>
          <w:rFonts w:hint="eastAsia" w:ascii="宋体" w:hAnsi="宋体" w:eastAsia="宋体" w:cs="宋体"/>
          <w:color w:val="000000" w:themeColor="text1"/>
          <w:sz w:val="24"/>
          <w:szCs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szCs w:val="24"/>
          <w:highlight w:val="none"/>
          <w14:textFill>
            <w14:solidFill>
              <w14:schemeClr w14:val="tx1"/>
            </w14:solidFill>
          </w14:textFill>
        </w:rPr>
        <w:t>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宋体" w:hAnsi="宋体" w:eastAsia="宋体" w:cs="宋体"/>
          <w:snapToGrid w:val="0"/>
          <w:color w:val="000000" w:themeColor="text1"/>
          <w:kern w:val="28"/>
          <w:sz w:val="24"/>
          <w:szCs w:val="24"/>
          <w:highlight w:val="none"/>
          <w14:textFill>
            <w14:solidFill>
              <w14:schemeClr w14:val="tx1"/>
            </w14:solidFill>
          </w14:textFill>
        </w:rPr>
        <w:t>招标文件第四部分</w:t>
      </w:r>
      <w:r>
        <w:rPr>
          <w:rFonts w:hint="eastAsia" w:ascii="宋体" w:hAnsi="宋体" w:eastAsia="宋体" w:cs="宋体"/>
          <w:color w:val="000000" w:themeColor="text1"/>
          <w:sz w:val="24"/>
          <w:szCs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szCs w:val="24"/>
          <w:highlight w:val="none"/>
          <w14:textFill>
            <w14:solidFill>
              <w14:schemeClr w14:val="tx1"/>
            </w14:solidFill>
          </w14:textFill>
        </w:rPr>
        <w:t>给予6%的扣除），用扣除后的价格参加评审。组成联合体或者接受分包的小微企业与联合体内其他企业、分包企业之间存在直接控股、管理关系的，不享受价格扣除优惠政策。</w:t>
      </w:r>
    </w:p>
    <w:p w14:paraId="5290568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F55438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1C4C4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10C50F6">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167C09D">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w:t>
      </w:r>
      <w:r>
        <w:rPr>
          <w:rFonts w:hint="eastAsia" w:ascii="宋体" w:hAnsi="宋体" w:eastAsia="宋体" w:cs="宋体"/>
          <w:bCs/>
          <w:color w:val="000000" w:themeColor="text1"/>
          <w:sz w:val="24"/>
          <w:szCs w:val="24"/>
          <w:highlight w:val="none"/>
          <w14:textFill>
            <w14:solidFill>
              <w14:schemeClr w14:val="tx1"/>
            </w14:solidFill>
          </w14:textFill>
        </w:rPr>
        <w:t>支持创新发展</w:t>
      </w:r>
    </w:p>
    <w:p w14:paraId="05D24883">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 采购人优先采购被认定为首台套产品和“制造精品”的自主创新产品。</w:t>
      </w:r>
    </w:p>
    <w:p w14:paraId="39DA5DE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BFEF8E7">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3.5平等对待内外资企业和符合条件的破产重整企业</w:t>
      </w:r>
    </w:p>
    <w:p w14:paraId="18EF2DB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b/>
          <w:color w:val="000000" w:themeColor="text1"/>
          <w:sz w:val="24"/>
          <w:szCs w:val="24"/>
          <w:highlight w:val="none"/>
          <w14:textFill>
            <w14:solidFill>
              <w14:schemeClr w14:val="tx1"/>
            </w14:solidFill>
          </w14:textFill>
        </w:rPr>
        <w:t>4. 询问、质疑、投诉</w:t>
      </w:r>
    </w:p>
    <w:p w14:paraId="239708C5">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A5FD0F">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4.2供应商询问</w:t>
      </w:r>
    </w:p>
    <w:p w14:paraId="76B35158">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875146">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4.3供应商质疑</w:t>
      </w:r>
    </w:p>
    <w:p w14:paraId="19BAD81A">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0686674">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提出质疑，否则，采购人或者</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不予受理：</w:t>
      </w:r>
    </w:p>
    <w:p w14:paraId="781C5719">
      <w:pPr>
        <w:pStyle w:val="6"/>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14:textFill>
            <w14:solidFill>
              <w14:schemeClr w14:val="tx1"/>
            </w14:solidFill>
          </w14:textFill>
        </w:rPr>
        <w:t>4.3.2.1对招标文件提出质疑的，质疑期限为供应商获得招标文件之日或者招标文件公告期限届满之日起计算。</w:t>
      </w:r>
    </w:p>
    <w:p w14:paraId="548CD897">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240AA040">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4.3.3</w:t>
      </w:r>
      <w:r>
        <w:rPr>
          <w:rFonts w:hint="eastAsia" w:ascii="宋体" w:hAnsi="宋体" w:eastAsia="宋体" w:cs="宋体"/>
          <w:color w:val="000000" w:themeColor="text1"/>
          <w:sz w:val="24"/>
          <w:szCs w:val="24"/>
          <w:highlight w:val="none"/>
          <w14:textFill>
            <w14:solidFill>
              <w14:schemeClr w14:val="tx1"/>
            </w14:solidFill>
          </w14:textFill>
        </w:rPr>
        <w:t>供应商提出质疑应当提交质疑函和必要的证明材料。质疑函应当包括下列内容：</w:t>
      </w:r>
    </w:p>
    <w:p w14:paraId="52F804D7">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4.3.3.1供应商的姓名或者名称、地址、邮编、联系人及联系电话；</w:t>
      </w:r>
    </w:p>
    <w:p w14:paraId="16C8E380">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4.3.3.2质疑项目的名称、编号；</w:t>
      </w:r>
    </w:p>
    <w:p w14:paraId="558549D4">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4.3.3.3具体、明确的质疑事项和与质疑事项相关的请求；</w:t>
      </w:r>
    </w:p>
    <w:p w14:paraId="4C8DA5A9">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4.3.3.4事实依据；</w:t>
      </w:r>
    </w:p>
    <w:p w14:paraId="02C55DF9">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4.3.3.5必要的法律依据；</w:t>
      </w:r>
    </w:p>
    <w:p w14:paraId="593A7115">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4.3.3.6提出质疑的日期。</w:t>
      </w:r>
    </w:p>
    <w:p w14:paraId="282483E1">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76F0251">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质疑函范本及制作说明详见附件2。</w:t>
      </w:r>
    </w:p>
    <w:p w14:paraId="721A2A4E">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4.3.4对同一采购程序环节的质疑，供应商须在法定质疑期内一次性提出。</w:t>
      </w:r>
    </w:p>
    <w:p w14:paraId="6E327E9B">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.5采购人或者</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在质疑回复后5个工作日内，在浙江政府采购网的“其他公告”栏目公开质疑答复，答复内容应当完整。质疑函作为附件上传。</w:t>
      </w:r>
    </w:p>
    <w:p w14:paraId="12DA2A33">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.6询问或者质疑事项可能影响采购结果的，采购人应当暂停签订合同，已经签订合同的，应当中止履行合同。</w:t>
      </w:r>
    </w:p>
    <w:p w14:paraId="4903C3D8">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4.4供应商投诉</w:t>
      </w:r>
    </w:p>
    <w:p w14:paraId="74A59E7B">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4.4.1质疑供应商对采购人、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的答复不满意或者采购人、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未在规定的时间内作出答复的，可以在答复期满后十五个工作日内向同级政府采购监督管理部门提出投诉。</w:t>
      </w:r>
    </w:p>
    <w:p w14:paraId="1538F6D7">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w:t>
      </w: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供应商投诉的事项不得超出已质疑事项的范围，基于质疑答复内容提出的投诉事项除外。</w:t>
      </w:r>
    </w:p>
    <w:p w14:paraId="4D308A28">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4.4.3供应商投诉应当有明确的请求和必要的证明材料。</w:t>
      </w:r>
    </w:p>
    <w:p w14:paraId="3EB04D1F">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4.4.4以联合体形式参加政府采购活动的，其投诉应当由组成联合体的所有供应商共同提出。</w:t>
      </w:r>
    </w:p>
    <w:p w14:paraId="7D363500">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投诉书范本及制作说明详见附件3。</w:t>
      </w:r>
    </w:p>
    <w:p w14:paraId="5FD57A6A">
      <w:pPr>
        <w:pStyle w:val="128"/>
        <w:snapToGrid w:val="0"/>
        <w:spacing w:before="0"/>
        <w:ind w:firstLine="360"/>
        <w:rPr>
          <w:rFonts w:hint="eastAsia" w:ascii="宋体" w:hAnsi="宋体" w:eastAsia="宋体" w:cs="宋体"/>
          <w:color w:val="000000" w:themeColor="text1"/>
          <w:sz w:val="18"/>
          <w:szCs w:val="18"/>
          <w:highlight w:val="none"/>
          <w14:textFill>
            <w14:solidFill>
              <w14:schemeClr w14:val="tx1"/>
            </w14:solidFill>
          </w14:textFill>
        </w:rPr>
      </w:pPr>
    </w:p>
    <w:p w14:paraId="34E985E5">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14:paraId="4DB76300">
      <w:pPr>
        <w:pStyle w:val="33"/>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77150A5D">
      <w:pPr>
        <w:pStyle w:val="33"/>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4229D07A">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1422883B">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14:paraId="35D9CA72">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6AFC940F">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20998B55">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30435951">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32AA952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0583A78B">
      <w:pPr>
        <w:pStyle w:val="33"/>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79E46902">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提出。</w:t>
      </w:r>
    </w:p>
    <w:p w14:paraId="5474CA9E">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6.2 </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C3667D">
      <w:pPr>
        <w:pStyle w:val="24"/>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7A2E3736">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14:paraId="6AD1D79B">
      <w:pPr>
        <w:pStyle w:val="33"/>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3A193C42">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详见招标公告中获取招标文件的时间期限、地点、方式及招标文件售价。</w:t>
      </w:r>
    </w:p>
    <w:p w14:paraId="6E953DC9">
      <w:pPr>
        <w:pStyle w:val="33"/>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1F9A8788">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DF38AC4">
      <w:pPr>
        <w:pStyle w:val="33"/>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1775E94E">
      <w:pPr>
        <w:pStyle w:val="6"/>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本项目不需缴纳投标保证金。</w:t>
      </w:r>
    </w:p>
    <w:p w14:paraId="2317F637">
      <w:pPr>
        <w:pStyle w:val="33"/>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69A481FC">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投标文件及投标人与采购有关的来往通知、函件和文件均应使用中文。</w:t>
      </w:r>
    </w:p>
    <w:p w14:paraId="589F6B80">
      <w:pPr>
        <w:pStyle w:val="33"/>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14:paraId="78910226">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r>
        <w:rPr>
          <w:rFonts w:hint="eastAsia" w:ascii="宋体" w:hAnsi="宋体" w:eastAsia="宋体" w:cs="宋体"/>
          <w:b/>
          <w:color w:val="000000" w:themeColor="text1"/>
          <w:sz w:val="24"/>
          <w:szCs w:val="24"/>
          <w:highlight w:val="none"/>
          <w14:textFill>
            <w14:solidFill>
              <w14:schemeClr w14:val="tx1"/>
            </w14:solidFill>
          </w14:textFill>
        </w:rPr>
        <w:t>资格文件</w:t>
      </w:r>
      <w:r>
        <w:rPr>
          <w:rFonts w:hint="eastAsia" w:ascii="宋体" w:hAnsi="宋体" w:eastAsia="宋体" w:cs="宋体"/>
          <w:color w:val="000000" w:themeColor="text1"/>
          <w:sz w:val="24"/>
          <w:szCs w:val="24"/>
          <w:highlight w:val="none"/>
          <w14:textFill>
            <w14:solidFill>
              <w14:schemeClr w14:val="tx1"/>
            </w14:solidFill>
          </w14:textFill>
        </w:rPr>
        <w:t>：</w:t>
      </w:r>
    </w:p>
    <w:p w14:paraId="1F56CF49">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11.1.1符合参加政府采购活动应当具备的一般条件的承诺函；</w:t>
      </w:r>
    </w:p>
    <w:p w14:paraId="1E49B3CD">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w:t>
      </w:r>
      <w:r>
        <w:rPr>
          <w:rFonts w:hint="eastAsia" w:ascii="宋体" w:hAnsi="宋体" w:eastAsia="宋体" w:cs="宋体"/>
          <w:snapToGrid w:val="0"/>
          <w:color w:val="000000" w:themeColor="text1"/>
          <w:kern w:val="28"/>
          <w:sz w:val="24"/>
          <w:szCs w:val="24"/>
          <w:highlight w:val="none"/>
          <w14:textFill>
            <w14:solidFill>
              <w14:schemeClr w14:val="tx1"/>
            </w14:solidFill>
          </w14:textFill>
        </w:rPr>
        <w:t>联合协议（如果有)；</w:t>
      </w:r>
    </w:p>
    <w:p w14:paraId="37F32D30">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4"/>
          <w:highlight w:val="none"/>
          <w14:textFill>
            <w14:solidFill>
              <w14:schemeClr w14:val="tx1"/>
            </w14:solidFill>
          </w14:textFill>
        </w:rPr>
        <w:t>（如果有)</w:t>
      </w:r>
      <w:r>
        <w:rPr>
          <w:rFonts w:hint="eastAsia" w:ascii="宋体" w:hAnsi="宋体" w:eastAsia="宋体" w:cs="宋体"/>
          <w:color w:val="000000" w:themeColor="text1"/>
          <w:sz w:val="24"/>
          <w:szCs w:val="24"/>
          <w:highlight w:val="none"/>
          <w14:textFill>
            <w14:solidFill>
              <w14:schemeClr w14:val="tx1"/>
            </w14:solidFill>
          </w14:textFill>
        </w:rPr>
        <w:t>；</w:t>
      </w:r>
    </w:p>
    <w:p w14:paraId="23D75619">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4"/>
          <w:highlight w:val="none"/>
          <w14:textFill>
            <w14:solidFill>
              <w14:schemeClr w14:val="tx1"/>
            </w14:solidFill>
          </w14:textFill>
        </w:rPr>
        <w:t>（如果有)</w:t>
      </w:r>
      <w:r>
        <w:rPr>
          <w:rFonts w:hint="eastAsia" w:ascii="宋体" w:hAnsi="宋体" w:eastAsia="宋体" w:cs="宋体"/>
          <w:color w:val="000000" w:themeColor="text1"/>
          <w:sz w:val="24"/>
          <w:szCs w:val="24"/>
          <w:highlight w:val="none"/>
          <w14:textFill>
            <w14:solidFill>
              <w14:schemeClr w14:val="tx1"/>
            </w14:solidFill>
          </w14:textFill>
        </w:rPr>
        <w:t>。</w:t>
      </w:r>
    </w:p>
    <w:p w14:paraId="6814C126">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商务技术</w:t>
      </w:r>
      <w:r>
        <w:rPr>
          <w:rFonts w:hint="eastAsia" w:ascii="宋体" w:hAnsi="宋体" w:eastAsia="宋体" w:cs="宋体"/>
          <w:color w:val="000000" w:themeColor="text1"/>
          <w:sz w:val="24"/>
          <w:szCs w:val="24"/>
          <w:highlight w:val="none"/>
          <w:lang w:val="zh-CN"/>
          <w14:textFill>
            <w14:solidFill>
              <w14:schemeClr w14:val="tx1"/>
            </w14:solidFill>
          </w14:textFill>
        </w:rPr>
        <w:t>文件：</w:t>
      </w:r>
    </w:p>
    <w:p w14:paraId="0212B3A7">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11.2.1投标函；</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p>
    <w:p w14:paraId="33C9F408">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11.2.2授权委托书或法定代表人（单位负责人、自然人本人）身份证明；</w:t>
      </w:r>
    </w:p>
    <w:p w14:paraId="36221D98">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4"/>
          <w:highlight w:val="none"/>
          <w14:textFill>
            <w14:solidFill>
              <w14:schemeClr w14:val="tx1"/>
            </w14:solidFill>
          </w14:textFill>
        </w:rPr>
        <w:t>（如果有)</w:t>
      </w:r>
      <w:r>
        <w:rPr>
          <w:rFonts w:hint="eastAsia" w:ascii="宋体" w:hAnsi="宋体" w:eastAsia="宋体" w:cs="宋体"/>
          <w:color w:val="000000" w:themeColor="text1"/>
          <w:sz w:val="24"/>
          <w:szCs w:val="24"/>
          <w:highlight w:val="none"/>
          <w14:textFill>
            <w14:solidFill>
              <w14:schemeClr w14:val="tx1"/>
            </w14:solidFill>
          </w14:textFill>
        </w:rPr>
        <w:t>；</w:t>
      </w:r>
    </w:p>
    <w:p w14:paraId="7C4C7EF0">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11.2.4符合性审查资料；</w:t>
      </w:r>
    </w:p>
    <w:p w14:paraId="4D338B72">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11.2.5评标标准相应的商务技术资料；</w:t>
      </w:r>
    </w:p>
    <w:p w14:paraId="4D2F14A9">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11.2.6投标标的清单；</w:t>
      </w:r>
    </w:p>
    <w:p w14:paraId="1A1A302F">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11.2.7商务技术偏离表；</w:t>
      </w:r>
    </w:p>
    <w:p w14:paraId="59E4905F">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政府采购供应商廉洁自律承诺书；</w:t>
      </w:r>
    </w:p>
    <w:p w14:paraId="5060609B">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报价文件：</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BD22306">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11.3.1开标一览表（报价表）；</w:t>
      </w:r>
    </w:p>
    <w:p w14:paraId="3AD8BD61">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11.3.2中小企业声明函。</w:t>
      </w:r>
    </w:p>
    <w:p w14:paraId="5D554790">
      <w:pPr>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投标文件含有采购人不能接受的附加条件的，投标无效；</w:t>
      </w:r>
    </w:p>
    <w:p w14:paraId="2C1CC7AC">
      <w:pPr>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投标人提供虚假材料投标的，投标无效。</w:t>
      </w:r>
    </w:p>
    <w:p w14:paraId="3E5A0046">
      <w:pPr>
        <w:pStyle w:val="128"/>
        <w:keepNext w:val="0"/>
        <w:keepLines w:val="0"/>
        <w:pageBreakBefore w:val="0"/>
        <w:kinsoku/>
        <w:wordWrap/>
        <w:overflowPunct/>
        <w:topLinePunct w:val="0"/>
        <w:bidi w:val="0"/>
        <w:adjustRightInd w:val="0"/>
        <w:snapToGrid w:val="0"/>
        <w:spacing w:before="0"/>
        <w:ind w:left="0" w:leftChars="0" w:firstLine="482" w:firstLineChars="200"/>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12</w:t>
      </w:r>
      <w:r>
        <w:rPr>
          <w:rFonts w:hint="eastAsia" w:ascii="宋体" w:hAnsi="宋体" w:eastAsia="宋体" w:cs="宋体"/>
          <w:b/>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投标文件的编制</w:t>
      </w:r>
    </w:p>
    <w:p w14:paraId="30EF3EBC">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67F1A0">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6AA042E">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CC621FD">
      <w:pPr>
        <w:keepNext w:val="0"/>
        <w:keepLines w:val="0"/>
        <w:pageBreakBefore w:val="0"/>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13.投标文件的签署、盖章</w:t>
      </w:r>
    </w:p>
    <w:p w14:paraId="2A8B3A17">
      <w:pPr>
        <w:pStyle w:val="128"/>
        <w:keepNext w:val="0"/>
        <w:keepLines w:val="0"/>
        <w:pageBreakBefore w:val="0"/>
        <w:kinsoku/>
        <w:wordWrap/>
        <w:overflowPunct/>
        <w:topLinePunct w:val="0"/>
        <w:bidi w:val="0"/>
        <w:adjustRightInd w:val="0"/>
        <w:snapToGrid w:val="0"/>
        <w:spacing w:before="0"/>
        <w:ind w:left="0" w:leftChars="0"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13.1投标文件按照招标文件第六部分格式要求进行签署、盖章。</w:t>
      </w:r>
      <w:r>
        <w:rPr>
          <w:rFonts w:hint="eastAsia" w:ascii="宋体" w:hAnsi="宋体" w:eastAsia="宋体" w:cs="宋体"/>
          <w:b/>
          <w:color w:val="000000" w:themeColor="text1"/>
          <w:sz w:val="24"/>
          <w:szCs w:val="24"/>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 w:val="24"/>
          <w:szCs w:val="24"/>
          <w:highlight w:val="none"/>
          <w14:textFill>
            <w14:solidFill>
              <w14:schemeClr w14:val="tx1"/>
            </w14:solidFill>
          </w14:textFill>
        </w:rPr>
        <w:t>。</w:t>
      </w:r>
    </w:p>
    <w:p w14:paraId="080B105E">
      <w:pPr>
        <w:pStyle w:val="128"/>
        <w:keepNext w:val="0"/>
        <w:keepLines w:val="0"/>
        <w:pageBreakBefore w:val="0"/>
        <w:kinsoku/>
        <w:wordWrap/>
        <w:overflowPunct/>
        <w:topLinePunct w:val="0"/>
        <w:bidi w:val="0"/>
        <w:adjustRightInd w:val="0"/>
        <w:snapToGrid w:val="0"/>
        <w:spacing w:before="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37BE54F">
      <w:pPr>
        <w:pStyle w:val="128"/>
        <w:keepNext w:val="0"/>
        <w:keepLines w:val="0"/>
        <w:pageBreakBefore w:val="0"/>
        <w:kinsoku/>
        <w:wordWrap/>
        <w:overflowPunct/>
        <w:topLinePunct w:val="0"/>
        <w:bidi w:val="0"/>
        <w:adjustRightInd w:val="0"/>
        <w:snapToGrid w:val="0"/>
        <w:spacing w:before="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13.3招标文件对投标文件签署、盖章的要求适用于电子签名。</w:t>
      </w:r>
    </w:p>
    <w:p w14:paraId="2EACD68B">
      <w:pPr>
        <w:pStyle w:val="128"/>
        <w:keepNext w:val="0"/>
        <w:keepLines w:val="0"/>
        <w:pageBreakBefore w:val="0"/>
        <w:kinsoku/>
        <w:wordWrap/>
        <w:overflowPunct/>
        <w:topLinePunct w:val="0"/>
        <w:bidi w:val="0"/>
        <w:adjustRightInd w:val="0"/>
        <w:spacing w:before="0"/>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14. 投标文件的提交、补充、修改、撤回</w:t>
      </w:r>
    </w:p>
    <w:p w14:paraId="209FF173">
      <w:pPr>
        <w:pStyle w:val="128"/>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9070BEF">
      <w:pPr>
        <w:pStyle w:val="128"/>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6028EB4">
      <w:pPr>
        <w:pStyle w:val="128"/>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14.3采购人、</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可以视情况延长投标文件提交的截止时间。在上述情况下，</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与投标人以前在投标截止期方面的全部权利、责任和义务，将适用于延长至新的投标截止期。</w:t>
      </w:r>
    </w:p>
    <w:p w14:paraId="025B9823">
      <w:pPr>
        <w:pStyle w:val="33"/>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14:paraId="61C8D308">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p w14:paraId="58948502">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15.2备份投标文件须在“政采云投标客户端”制作生成，并储存在DVD光盘</w:t>
      </w:r>
      <w:r>
        <w:rPr>
          <w:rFonts w:hint="eastAsia" w:ascii="宋体" w:hAnsi="宋体" w:eastAsia="宋体" w:cs="宋体"/>
          <w:color w:val="000000" w:themeColor="text1"/>
          <w:sz w:val="24"/>
          <w:szCs w:val="24"/>
          <w:highlight w:val="none"/>
          <w:lang w:val="en-US" w:eastAsia="zh-CN"/>
          <w14:textFill>
            <w14:solidFill>
              <w14:schemeClr w14:val="tx1"/>
            </w14:solidFill>
          </w14:textFill>
        </w:rPr>
        <w:t>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szCs w:val="24"/>
          <w:highlight w:val="none"/>
          <w14:textFill>
            <w14:solidFill>
              <w14:schemeClr w14:val="tx1"/>
            </w14:solidFill>
          </w14:textFill>
        </w:rPr>
        <w:t>不符合上述制作、存储、密封规定的备份投标文件将被视为无效或者被拒绝接收。</w:t>
      </w:r>
    </w:p>
    <w:p w14:paraId="50334E27">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w:t>
      </w:r>
    </w:p>
    <w:p w14:paraId="648B08C0">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06046CDB">
      <w:pPr>
        <w:pStyle w:val="33"/>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7CC4D76C">
      <w:pPr>
        <w:pStyle w:val="128"/>
        <w:keepNext w:val="0"/>
        <w:keepLines w:val="0"/>
        <w:pageBreakBefore w:val="0"/>
        <w:kinsoku/>
        <w:wordWrap/>
        <w:overflowPunct/>
        <w:topLinePunct w:val="0"/>
        <w:bidi w:val="0"/>
        <w:adjustRightInd w:val="0"/>
        <w:spacing w:before="0"/>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16.投标文件的无效处理</w:t>
      </w:r>
    </w:p>
    <w:p w14:paraId="078517E6">
      <w:pPr>
        <w:pStyle w:val="25"/>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有招标文件第四部分4.2规定的情形之一的，投标无效：</w:t>
      </w:r>
    </w:p>
    <w:p w14:paraId="3A256BCE">
      <w:pPr>
        <w:pStyle w:val="128"/>
        <w:keepNext w:val="0"/>
        <w:keepLines w:val="0"/>
        <w:pageBreakBefore w:val="0"/>
        <w:kinsoku/>
        <w:wordWrap/>
        <w:overflowPunct/>
        <w:topLinePunct w:val="0"/>
        <w:bidi w:val="0"/>
        <w:adjustRightInd w:val="0"/>
        <w:spacing w:before="0"/>
        <w:ind w:left="0"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17.投标有效期</w:t>
      </w:r>
    </w:p>
    <w:p w14:paraId="0C6869FA">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4"/>
          <w:highlight w:val="none"/>
          <w14:textFill>
            <w14:solidFill>
              <w14:schemeClr w14:val="tx1"/>
            </w14:solidFill>
          </w14:textFill>
        </w:rPr>
        <w:t>投标人的投标文件中承诺的投标有效期少于招标文件中载明的投标有效期的，投标无效。</w:t>
      </w:r>
    </w:p>
    <w:p w14:paraId="6894BE8E">
      <w:pPr>
        <w:pStyle w:val="128"/>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17.2投标文件合格投递后，自投标截止日期起，在投标有效期内有效。</w:t>
      </w:r>
    </w:p>
    <w:p w14:paraId="4B3E3DB6">
      <w:pPr>
        <w:pStyle w:val="128"/>
        <w:keepNext w:val="0"/>
        <w:keepLines w:val="0"/>
        <w:pageBreakBefore w:val="0"/>
        <w:kinsoku/>
        <w:wordWrap/>
        <w:overflowPunct/>
        <w:topLinePunct w:val="0"/>
        <w:bidi w:val="0"/>
        <w:adjustRightInd w:val="0"/>
        <w:spacing w:before="0"/>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17.3在原定投标有效期满之前，如果出现特殊情况，</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可以以书面形式通知投标人延长投标有效期。投标人同意延长的，不得要求或被允许修改其投标文件，投标人拒绝延长的，其投标无效。</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17.4在投标截止时间起至投标有效期届满，供应商投标文件不可撤销。</w:t>
      </w:r>
    </w:p>
    <w:p w14:paraId="25A49EF2">
      <w:pPr>
        <w:pStyle w:val="128"/>
        <w:spacing w:before="0"/>
        <w:ind w:firstLine="480"/>
        <w:rPr>
          <w:rFonts w:hint="eastAsia" w:ascii="宋体" w:hAnsi="宋体" w:eastAsia="宋体" w:cs="宋体"/>
          <w:color w:val="000000" w:themeColor="text1"/>
          <w:highlight w:val="none"/>
          <w14:textFill>
            <w14:solidFill>
              <w14:schemeClr w14:val="tx1"/>
            </w14:solidFill>
          </w14:textFill>
        </w:rPr>
      </w:pPr>
    </w:p>
    <w:p w14:paraId="079B007F">
      <w:pPr>
        <w:pStyle w:val="128"/>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7DF02877">
      <w:pPr>
        <w:pStyle w:val="128"/>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2C007490">
      <w:pPr>
        <w:pStyle w:val="554"/>
        <w:keepNext w:val="0"/>
        <w:keepLines w:val="0"/>
        <w:pageBreakBefore w:val="0"/>
        <w:kinsoku/>
        <w:wordWrap/>
        <w:overflowPunct/>
        <w:topLinePunct w:val="0"/>
        <w:bidi w:val="0"/>
        <w:adjustRightInd w:val="0"/>
        <w:snapToGrid/>
        <w:spacing w:before="0" w:beforeAutospacing="0" w:line="360" w:lineRule="auto"/>
        <w:ind w:left="0" w:firstLine="482" w:firstLineChars="200"/>
        <w:contextualSpacing/>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14:paraId="1FF17F0D">
      <w:pPr>
        <w:pStyle w:val="554"/>
        <w:keepNext w:val="0"/>
        <w:keepLines w:val="0"/>
        <w:pageBreakBefore w:val="0"/>
        <w:kinsoku/>
        <w:wordWrap/>
        <w:overflowPunct/>
        <w:topLinePunct w:val="0"/>
        <w:bidi w:val="0"/>
        <w:adjustRightInd w:val="0"/>
        <w:snapToGrid/>
        <w:spacing w:before="0" w:beforeAutospacing="0" w:line="360" w:lineRule="auto"/>
        <w:ind w:left="0" w:firstLine="480" w:firstLineChars="200"/>
        <w:contextualSpacing/>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340511D2">
      <w:pPr>
        <w:pStyle w:val="554"/>
        <w:keepNext w:val="0"/>
        <w:keepLines w:val="0"/>
        <w:pageBreakBefore w:val="0"/>
        <w:kinsoku/>
        <w:wordWrap/>
        <w:overflowPunct/>
        <w:topLinePunct w:val="0"/>
        <w:bidi w:val="0"/>
        <w:adjustRightInd w:val="0"/>
        <w:snapToGrid/>
        <w:spacing w:before="0" w:beforeAutospacing="0" w:line="360" w:lineRule="auto"/>
        <w:ind w:left="0" w:firstLine="480" w:firstLineChars="200"/>
        <w:contextualSpacing/>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35DE6032">
      <w:pPr>
        <w:pStyle w:val="554"/>
        <w:keepNext w:val="0"/>
        <w:keepLines w:val="0"/>
        <w:pageBreakBefore w:val="0"/>
        <w:kinsoku/>
        <w:wordWrap/>
        <w:overflowPunct/>
        <w:topLinePunct w:val="0"/>
        <w:bidi w:val="0"/>
        <w:adjustRightInd w:val="0"/>
        <w:snapToGrid/>
        <w:spacing w:before="0" w:beforeAutospacing="0" w:line="360" w:lineRule="auto"/>
        <w:ind w:left="0" w:firstLine="480" w:firstLineChars="200"/>
        <w:contextualSpacing/>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07F9D17">
      <w:pPr>
        <w:keepNext w:val="0"/>
        <w:keepLines w:val="0"/>
        <w:pageBreakBefore w:val="0"/>
        <w:widowControl/>
        <w:kinsoku/>
        <w:wordWrap/>
        <w:overflowPunct/>
        <w:topLinePunct w:val="0"/>
        <w:bidi w:val="0"/>
        <w:adjustRightInd w:val="0"/>
        <w:snapToGrid/>
        <w:spacing w:beforeAutospacing="0" w:line="360" w:lineRule="auto"/>
        <w:ind w:firstLine="482" w:firstLineChars="200"/>
        <w:jc w:val="left"/>
        <w:textAlignment w:val="auto"/>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　19、资格审查</w:t>
      </w:r>
    </w:p>
    <w:p w14:paraId="578327F1">
      <w:pPr>
        <w:pStyle w:val="128"/>
        <w:keepNext w:val="0"/>
        <w:keepLines w:val="0"/>
        <w:pageBreakBefore w:val="0"/>
        <w:kinsoku/>
        <w:wordWrap/>
        <w:overflowPunct/>
        <w:topLinePunct w:val="0"/>
        <w:bidi w:val="0"/>
        <w:adjustRightInd w:val="0"/>
        <w:snapToGrid/>
        <w:spacing w:before="0" w:beforeAutospacing="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19.1开标后，采购人将依据法律法规和招标文件的规定，对投标人的资格进行审查。</w:t>
      </w:r>
    </w:p>
    <w:p w14:paraId="20E764F5">
      <w:pPr>
        <w:pStyle w:val="128"/>
        <w:keepNext w:val="0"/>
        <w:keepLines w:val="0"/>
        <w:pageBreakBefore w:val="0"/>
        <w:kinsoku/>
        <w:wordWrap/>
        <w:overflowPunct/>
        <w:topLinePunct w:val="0"/>
        <w:bidi w:val="0"/>
        <w:adjustRightInd w:val="0"/>
        <w:snapToGrid/>
        <w:spacing w:before="0" w:beforeAutospacing="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14:paraId="1B366D96">
      <w:pPr>
        <w:pStyle w:val="128"/>
        <w:keepNext w:val="0"/>
        <w:keepLines w:val="0"/>
        <w:pageBreakBefore w:val="0"/>
        <w:kinsoku/>
        <w:wordWrap/>
        <w:overflowPunct/>
        <w:topLinePunct w:val="0"/>
        <w:bidi w:val="0"/>
        <w:adjustRightInd w:val="0"/>
        <w:snapToGrid/>
        <w:spacing w:before="0" w:beforeAutospacing="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3对未通过资格审查的投标人，告知其未通过的原因。</w:t>
      </w:r>
    </w:p>
    <w:p w14:paraId="5005B2E0">
      <w:pPr>
        <w:pStyle w:val="128"/>
        <w:keepNext w:val="0"/>
        <w:keepLines w:val="0"/>
        <w:pageBreakBefore w:val="0"/>
        <w:kinsoku/>
        <w:wordWrap/>
        <w:overflowPunct/>
        <w:topLinePunct w:val="0"/>
        <w:bidi w:val="0"/>
        <w:adjustRightInd w:val="0"/>
        <w:snapToGrid/>
        <w:spacing w:before="0" w:beforeAutospacing="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4合格投标人不足3家的，不再评标。</w:t>
      </w:r>
    </w:p>
    <w:p w14:paraId="1E41B481">
      <w:pPr>
        <w:pStyle w:val="128"/>
        <w:keepNext w:val="0"/>
        <w:keepLines w:val="0"/>
        <w:pageBreakBefore w:val="0"/>
        <w:kinsoku/>
        <w:wordWrap/>
        <w:overflowPunct/>
        <w:topLinePunct w:val="0"/>
        <w:bidi w:val="0"/>
        <w:adjustRightInd w:val="0"/>
        <w:snapToGrid/>
        <w:spacing w:before="0" w:beforeAutospacing="0"/>
        <w:ind w:firstLine="482" w:firstLineChars="200"/>
        <w:textAlignment w:val="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14:paraId="7266654B">
      <w:pPr>
        <w:pStyle w:val="128"/>
        <w:keepNext w:val="0"/>
        <w:keepLines w:val="0"/>
        <w:pageBreakBefore w:val="0"/>
        <w:kinsoku/>
        <w:wordWrap/>
        <w:overflowPunct/>
        <w:topLinePunct w:val="0"/>
        <w:bidi w:val="0"/>
        <w:adjustRightInd w:val="0"/>
        <w:snapToGrid/>
        <w:spacing w:before="0" w:beforeAutospacing="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eastAsia="宋体" w:cs="宋体"/>
          <w:color w:val="000000" w:themeColor="text1"/>
          <w:kern w:val="0"/>
          <w:szCs w:val="24"/>
          <w:highlight w:val="none"/>
          <w:lang w:val="en-US" w:eastAsia="zh-CN"/>
          <w14:textFill>
            <w14:solidFill>
              <w14:schemeClr w14:val="tx1"/>
            </w14:solidFill>
          </w14:textFill>
        </w:rPr>
        <w:t>采购人</w:t>
      </w:r>
      <w:r>
        <w:rPr>
          <w:rFonts w:hint="eastAsia" w:ascii="宋体" w:hAnsi="宋体" w:eastAsia="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53167C98">
      <w:pPr>
        <w:pStyle w:val="128"/>
        <w:keepNext w:val="0"/>
        <w:keepLines w:val="0"/>
        <w:pageBreakBefore w:val="0"/>
        <w:kinsoku/>
        <w:wordWrap/>
        <w:overflowPunct/>
        <w:topLinePunct w:val="0"/>
        <w:bidi w:val="0"/>
        <w:adjustRightInd w:val="0"/>
        <w:snapToGrid/>
        <w:spacing w:before="0" w:beforeAutospacing="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0F86F04">
      <w:pPr>
        <w:pStyle w:val="128"/>
        <w:keepNext w:val="0"/>
        <w:keepLines w:val="0"/>
        <w:pageBreakBefore w:val="0"/>
        <w:kinsoku/>
        <w:wordWrap/>
        <w:overflowPunct/>
        <w:topLinePunct w:val="0"/>
        <w:bidi w:val="0"/>
        <w:adjustRightInd w:val="0"/>
        <w:snapToGrid/>
        <w:spacing w:before="0" w:beforeAutospacing="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0204F15">
      <w:pPr>
        <w:pStyle w:val="128"/>
        <w:keepNext w:val="0"/>
        <w:keepLines w:val="0"/>
        <w:pageBreakBefore w:val="0"/>
        <w:kinsoku/>
        <w:wordWrap/>
        <w:overflowPunct/>
        <w:topLinePunct w:val="0"/>
        <w:bidi w:val="0"/>
        <w:adjustRightInd w:val="0"/>
        <w:snapToGrid/>
        <w:spacing w:before="0" w:beforeAutospacing="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14:paraId="1122A09D">
      <w:pPr>
        <w:pStyle w:val="128"/>
        <w:keepNext w:val="0"/>
        <w:keepLines w:val="0"/>
        <w:pageBreakBefore w:val="0"/>
        <w:kinsoku/>
        <w:wordWrap/>
        <w:overflowPunct/>
        <w:topLinePunct w:val="0"/>
        <w:bidi w:val="0"/>
        <w:adjustRightInd w:val="0"/>
        <w:snapToGrid/>
        <w:spacing w:before="0" w:beforeAutospacing="0"/>
        <w:ind w:firstLine="480" w:firstLineChars="200"/>
        <w:textAlignment w:val="auto"/>
        <w:rPr>
          <w:rFonts w:hint="eastAsia" w:ascii="宋体" w:hAnsi="宋体" w:eastAsia="宋体" w:cs="宋体"/>
          <w:color w:val="000000" w:themeColor="text1"/>
          <w:kern w:val="0"/>
          <w:szCs w:val="24"/>
          <w:highlight w:val="none"/>
          <w14:textFill>
            <w14:solidFill>
              <w14:schemeClr w14:val="tx1"/>
            </w14:solidFill>
          </w14:textFill>
        </w:rPr>
      </w:pPr>
    </w:p>
    <w:p w14:paraId="5D4A0058">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14:paraId="5D8CE30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13" w:name="_Toc91899903"/>
      <w:r>
        <w:rPr>
          <w:rFonts w:hint="eastAsia" w:ascii="宋体" w:hAnsi="宋体" w:eastAsia="宋体" w:cs="宋体"/>
          <w:b/>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szCs w:val="24"/>
          <w:highlight w:val="none"/>
          <w14:textFill>
            <w14:solidFill>
              <w14:schemeClr w14:val="tx1"/>
            </w14:solidFill>
          </w14:textFill>
        </w:rPr>
        <w:t>详见招标文件第四部分评标办法。</w:t>
      </w:r>
    </w:p>
    <w:p w14:paraId="4FED943A">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6EA987F">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07C19C3F">
      <w:pPr>
        <w:pStyle w:val="25"/>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14:paraId="6CEDC0DF">
      <w:pPr>
        <w:pStyle w:val="128"/>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356A723A">
      <w:pPr>
        <w:pStyle w:val="128"/>
        <w:keepNext w:val="0"/>
        <w:keepLines w:val="0"/>
        <w:pageBreakBefore w:val="0"/>
        <w:kinsoku/>
        <w:wordWrap/>
        <w:overflowPunct/>
        <w:topLinePunct w:val="0"/>
        <w:autoSpaceDE/>
        <w:autoSpaceDN/>
        <w:bidi w:val="0"/>
        <w:adjustRightInd w:val="0"/>
        <w:snapToGrid w:val="0"/>
        <w:spacing w:before="0"/>
        <w:ind w:left="0" w:firstLine="482" w:firstLineChars="200"/>
        <w:textAlignment w:val="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14:paraId="6B8E01BF">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也可以以纸质形式进行中标通知。</w:t>
      </w:r>
    </w:p>
    <w:p w14:paraId="1F99C20D">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eastAsia="宋体" w:cs="宋体"/>
          <w:color w:val="000000" w:themeColor="text1"/>
          <w:sz w:val="24"/>
          <w:highlight w:val="none"/>
          <w14:textFill>
            <w14:solidFill>
              <w14:schemeClr w14:val="tx1"/>
            </w14:solidFill>
          </w14:textFill>
        </w:rPr>
        <w:t>未中标情况说明、中标公告期限以及评审专家名单、评分汇总及明细。</w:t>
      </w:r>
    </w:p>
    <w:p w14:paraId="74A31EFE">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1F18D272">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138D2875">
      <w:pPr>
        <w:pStyle w:val="25"/>
        <w:pageBreakBefore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24. </w:t>
      </w:r>
      <w:r>
        <w:rPr>
          <w:rFonts w:hint="eastAsia" w:ascii="宋体" w:hAnsi="宋体" w:eastAsia="宋体" w:cs="宋体"/>
          <w:color w:val="000000" w:themeColor="text1"/>
          <w:sz w:val="24"/>
          <w:szCs w:val="24"/>
          <w:highlight w:val="none"/>
          <w14:textFill>
            <w14:solidFill>
              <w14:schemeClr w14:val="tx1"/>
            </w14:solidFill>
          </w14:textFill>
        </w:rPr>
        <w:t>合同主要条款详见第五部分拟签订的合同文本。</w:t>
      </w:r>
    </w:p>
    <w:p w14:paraId="21AA3397">
      <w:pPr>
        <w:pStyle w:val="25"/>
        <w:pageBreakBefore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25. 合同的签订</w:t>
      </w:r>
    </w:p>
    <w:p w14:paraId="2E24ACF9">
      <w:pPr>
        <w:pageBreakBefore w:val="0"/>
        <w:widowControl/>
        <w:shd w:val="clear" w:color="auto" w:fill="FFFFFF"/>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w:t>
      </w:r>
      <w:r>
        <w:rPr>
          <w:rFonts w:hint="eastAsia" w:ascii="宋体" w:hAnsi="宋体" w:eastAsia="宋体" w:cs="宋体"/>
          <w:color w:val="000000" w:themeColor="text1"/>
          <w:kern w:val="0"/>
          <w:sz w:val="24"/>
          <w:szCs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993B0A">
      <w:pPr>
        <w:pStyle w:val="128"/>
        <w:pageBreakBefore w:val="0"/>
        <w:kinsoku/>
        <w:wordWrap/>
        <w:overflowPunct/>
        <w:topLinePunct w:val="0"/>
        <w:autoSpaceDE/>
        <w:autoSpaceDN/>
        <w:bidi w:val="0"/>
        <w:snapToGrid w:val="0"/>
        <w:spacing w:before="0"/>
        <w:ind w:left="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2E858AE">
      <w:pPr>
        <w:pStyle w:val="128"/>
        <w:pageBreakBefore w:val="0"/>
        <w:kinsoku/>
        <w:wordWrap/>
        <w:overflowPunct/>
        <w:topLinePunct w:val="0"/>
        <w:autoSpaceDE/>
        <w:autoSpaceDN/>
        <w:bidi w:val="0"/>
        <w:snapToGrid w:val="0"/>
        <w:spacing w:before="0"/>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25.3如签订合同并生效后，供应商无故拒绝或延期，除按照合同条款处理外，列入不良行为记录一次，并给予通报。</w:t>
      </w:r>
    </w:p>
    <w:p w14:paraId="40884A75">
      <w:pPr>
        <w:pStyle w:val="128"/>
        <w:pageBreakBefore w:val="0"/>
        <w:kinsoku/>
        <w:wordWrap/>
        <w:overflowPunct/>
        <w:topLinePunct w:val="0"/>
        <w:autoSpaceDE/>
        <w:autoSpaceDN/>
        <w:bidi w:val="0"/>
        <w:snapToGrid w:val="0"/>
        <w:spacing w:before="0"/>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498E105">
      <w:pPr>
        <w:pStyle w:val="128"/>
        <w:pageBreakBefore w:val="0"/>
        <w:kinsoku/>
        <w:wordWrap/>
        <w:overflowPunct/>
        <w:topLinePunct w:val="0"/>
        <w:autoSpaceDE/>
        <w:autoSpaceDN/>
        <w:bidi w:val="0"/>
        <w:snapToGrid w:val="0"/>
        <w:spacing w:before="0"/>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25.5采购合同由采购人与中标供应商根据招标文件、投标文件等内容通过政府采购电子交易平台在线签订，自动备案。</w:t>
      </w:r>
    </w:p>
    <w:p w14:paraId="40BF0D3E">
      <w:pPr>
        <w:pStyle w:val="25"/>
        <w:pageBreakBefore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26. 履约保证金</w:t>
      </w:r>
    </w:p>
    <w:p w14:paraId="14E46D4F">
      <w:pPr>
        <w:pageBreakBefore w:val="0"/>
        <w:tabs>
          <w:tab w:val="left" w:pos="0"/>
        </w:tabs>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szCs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0EE5333">
      <w:pPr>
        <w:pStyle w:val="4"/>
        <w:pageBreakBefore w:val="0"/>
        <w:kinsoku/>
        <w:wordWrap/>
        <w:overflowPunct/>
        <w:topLinePunct w:val="0"/>
        <w:autoSpaceDE/>
        <w:autoSpaceDN/>
        <w:bidi w:val="0"/>
        <w:ind w:left="0" w:firstLine="480" w:firstLineChars="200"/>
        <w:textAlignment w:val="auto"/>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szCs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D60433">
      <w:pPr>
        <w:pStyle w:val="4"/>
        <w:pageBreakBefore w:val="0"/>
        <w:kinsoku/>
        <w:wordWrap/>
        <w:overflowPunct/>
        <w:topLinePunct w:val="0"/>
        <w:autoSpaceDE/>
        <w:autoSpaceDN/>
        <w:bidi w:val="0"/>
        <w:ind w:left="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14:textFill>
            <w14:solidFill>
              <w14:schemeClr w14:val="tx1"/>
            </w14:solidFill>
          </w14:textFill>
        </w:rPr>
        <w:t>27.预付款</w:t>
      </w:r>
    </w:p>
    <w:p w14:paraId="12BB8C5A">
      <w:pPr>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CEFC5C3">
      <w:pPr>
        <w:rPr>
          <w:rFonts w:hint="eastAsia" w:ascii="宋体" w:hAnsi="宋体" w:eastAsia="宋体" w:cs="宋体"/>
          <w:color w:val="000000" w:themeColor="text1"/>
          <w:highlight w:val="none"/>
          <w14:textFill>
            <w14:solidFill>
              <w14:schemeClr w14:val="tx1"/>
            </w14:solidFill>
          </w14:textFill>
        </w:rPr>
      </w:pPr>
    </w:p>
    <w:p w14:paraId="0A463985">
      <w:pPr>
        <w:snapToGrid w:val="0"/>
        <w:spacing w:line="360" w:lineRule="auto"/>
        <w:ind w:firstLine="3357" w:firstLineChars="1045"/>
        <w:rPr>
          <w:rFonts w:hint="eastAsia" w:ascii="宋体" w:hAnsi="宋体" w:eastAsia="宋体" w:cs="宋体"/>
          <w:b/>
          <w:color w:val="000000" w:themeColor="text1"/>
          <w:sz w:val="32"/>
          <w:highlight w:val="none"/>
          <w14:textFill>
            <w14:solidFill>
              <w14:schemeClr w14:val="tx1"/>
            </w14:solidFill>
          </w14:textFill>
        </w:rPr>
      </w:pPr>
    </w:p>
    <w:p w14:paraId="4CA28939">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5499899C">
      <w:pPr>
        <w:pStyle w:val="128"/>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可中止电子交易活动：</w:t>
      </w:r>
    </w:p>
    <w:p w14:paraId="17ABAAFA">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14:paraId="43615BCA">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14:paraId="3EF5B81D">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14:paraId="30DE7F29">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14:paraId="72BA0FF4">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14:paraId="37155AA0">
      <w:pPr>
        <w:pStyle w:val="128"/>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5C924B0">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5365F569">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3B99C2FD">
      <w:pPr>
        <w:pStyle w:val="25"/>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30.验收</w:t>
      </w:r>
    </w:p>
    <w:p w14:paraId="2AA00E0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5D152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24BF7D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47CD0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2A8FB2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07468"/>
      <w:bookmarkEnd w:id="16"/>
      <w:bookmarkStart w:id="17" w:name="_Hlt68073093"/>
      <w:bookmarkEnd w:id="17"/>
      <w:bookmarkStart w:id="18" w:name="_Hlt74729768"/>
      <w:bookmarkEnd w:id="18"/>
      <w:bookmarkStart w:id="19" w:name="_Hlt68057669"/>
      <w:bookmarkEnd w:id="19"/>
      <w:bookmarkStart w:id="20" w:name="_Hlt68072998"/>
      <w:bookmarkEnd w:id="20"/>
      <w:bookmarkStart w:id="21" w:name="_Hlt68072990"/>
      <w:bookmarkEnd w:id="21"/>
      <w:bookmarkStart w:id="22" w:name="_Hlt68403820"/>
      <w:bookmarkEnd w:id="22"/>
      <w:bookmarkStart w:id="23" w:name="_Hlt75236011"/>
      <w:bookmarkEnd w:id="23"/>
      <w:bookmarkStart w:id="24" w:name="_Hlt74714665"/>
      <w:bookmarkEnd w:id="24"/>
      <w:bookmarkStart w:id="25" w:name="_Hlt75236290"/>
      <w:bookmarkEnd w:id="25"/>
      <w:bookmarkStart w:id="26" w:name="_Hlt74730295"/>
      <w:bookmarkEnd w:id="26"/>
    </w:p>
    <w:bookmarkEnd w:id="11"/>
    <w:bookmarkEnd w:id="12"/>
    <w:p w14:paraId="149E9485">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27"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14:paraId="670AB16D">
      <w:pPr>
        <w:snapToGrid w:val="0"/>
        <w:rPr>
          <w:rStyle w:val="962"/>
          <w:rFonts w:hint="eastAsia" w:ascii="宋体" w:hAnsi="宋体" w:eastAsia="宋体" w:cs="宋体"/>
          <w:color w:val="000000" w:themeColor="text1"/>
          <w:highlight w:val="none"/>
          <w14:textFill>
            <w14:solidFill>
              <w14:schemeClr w14:val="tx1"/>
            </w14:solidFill>
          </w14:textFill>
        </w:rPr>
      </w:pPr>
      <w:r>
        <w:rPr>
          <w:rStyle w:val="962"/>
          <w:rFonts w:hint="eastAsia" w:ascii="宋体" w:hAnsi="宋体" w:eastAsia="宋体" w:cs="宋体"/>
          <w:color w:val="000000" w:themeColor="text1"/>
          <w:highlight w:val="none"/>
          <w14:textFill>
            <w14:solidFill>
              <w14:schemeClr w14:val="tx1"/>
            </w14:solidFill>
          </w14:textFill>
        </w:rPr>
        <w:t>属于实质性要求条款的，请用符号“▲”标明，否则属于非实质性要求。</w:t>
      </w:r>
    </w:p>
    <w:p w14:paraId="11E198A3">
      <w:pPr>
        <w:snapToGrid w:val="0"/>
        <w:rPr>
          <w:rStyle w:val="962"/>
          <w:rFonts w:hint="eastAsia" w:ascii="宋体" w:hAnsi="宋体" w:eastAsia="宋体" w:cs="宋体"/>
          <w:color w:val="000000" w:themeColor="text1"/>
          <w:highlight w:val="none"/>
          <w14:textFill>
            <w14:solidFill>
              <w14:schemeClr w14:val="tx1"/>
            </w14:solidFill>
          </w14:textFill>
        </w:rPr>
      </w:pPr>
      <w:r>
        <w:rPr>
          <w:rStyle w:val="962"/>
          <w:rFonts w:hint="eastAsia" w:ascii="宋体" w:hAnsi="宋体" w:eastAsia="宋体" w:cs="宋体"/>
          <w:color w:val="000000" w:themeColor="text1"/>
          <w:highlight w:val="none"/>
          <w14:textFill>
            <w14:solidFill>
              <w14:schemeClr w14:val="tx1"/>
            </w14:solidFill>
          </w14:textFill>
        </w:rPr>
        <w:t>“★”系产品采购项目中单一产品或核心产品。</w:t>
      </w:r>
    </w:p>
    <w:p w14:paraId="5225DC46">
      <w:pPr>
        <w:pStyle w:val="4"/>
        <w:rPr>
          <w:rFonts w:hint="eastAsia" w:ascii="宋体" w:hAnsi="宋体" w:eastAsia="宋体" w:cs="宋体"/>
          <w:color w:val="000000" w:themeColor="text1"/>
          <w:highlight w:val="none"/>
          <w14:textFill>
            <w14:solidFill>
              <w14:schemeClr w14:val="tx1"/>
            </w14:solidFill>
          </w14:textFill>
        </w:rPr>
      </w:pPr>
    </w:p>
    <w:p w14:paraId="01372A99">
      <w:pPr>
        <w:pStyle w:val="4"/>
        <w:numPr>
          <w:ilvl w:val="0"/>
          <w:numId w:val="1"/>
        </w:num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招标一览表</w:t>
      </w:r>
    </w:p>
    <w:p w14:paraId="20A217FC">
      <w:pPr>
        <w:pStyle w:val="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标项一：杭政储出[2024]33号地块商业商务世纪城智能产业园造价咨询（</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 xml:space="preserve">）项目 </w:t>
      </w:r>
    </w:p>
    <w:tbl>
      <w:tblPr>
        <w:tblStyle w:val="62"/>
        <w:tblpPr w:leftFromText="180" w:rightFromText="180" w:vertAnchor="text" w:horzAnchor="margin" w:tblpY="63"/>
        <w:tblOverlap w:val="never"/>
        <w:tblW w:w="53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1"/>
        <w:gridCol w:w="1891"/>
        <w:gridCol w:w="877"/>
        <w:gridCol w:w="776"/>
        <w:gridCol w:w="1486"/>
        <w:gridCol w:w="2367"/>
        <w:gridCol w:w="1742"/>
      </w:tblGrid>
      <w:tr w14:paraId="6EF4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275" w:type="pct"/>
            <w:tcMar>
              <w:top w:w="15" w:type="dxa"/>
              <w:left w:w="15" w:type="dxa"/>
              <w:bottom w:w="0" w:type="dxa"/>
              <w:right w:w="15" w:type="dxa"/>
            </w:tcMar>
            <w:vAlign w:val="center"/>
          </w:tcPr>
          <w:p w14:paraId="50FDDD7A">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977" w:type="pct"/>
            <w:tcMar>
              <w:top w:w="15" w:type="dxa"/>
              <w:left w:w="15" w:type="dxa"/>
              <w:bottom w:w="0" w:type="dxa"/>
              <w:right w:w="15" w:type="dxa"/>
            </w:tcMar>
            <w:vAlign w:val="center"/>
          </w:tcPr>
          <w:p w14:paraId="05971095">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453" w:type="pct"/>
            <w:tcMar>
              <w:top w:w="15" w:type="dxa"/>
              <w:left w:w="15" w:type="dxa"/>
              <w:bottom w:w="0" w:type="dxa"/>
              <w:right w:w="15" w:type="dxa"/>
            </w:tcMar>
            <w:vAlign w:val="center"/>
          </w:tcPr>
          <w:p w14:paraId="4CF92957">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401" w:type="pct"/>
            <w:tcMar>
              <w:top w:w="15" w:type="dxa"/>
              <w:left w:w="15" w:type="dxa"/>
              <w:bottom w:w="0" w:type="dxa"/>
              <w:right w:w="15" w:type="dxa"/>
            </w:tcMar>
            <w:vAlign w:val="center"/>
          </w:tcPr>
          <w:p w14:paraId="3FD23B6D">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768" w:type="pct"/>
            <w:vAlign w:val="center"/>
          </w:tcPr>
          <w:p w14:paraId="43C338F6">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预算（元）</w:t>
            </w:r>
          </w:p>
        </w:tc>
        <w:tc>
          <w:tcPr>
            <w:tcW w:w="1223" w:type="pct"/>
            <w:vAlign w:val="center"/>
          </w:tcPr>
          <w:p w14:paraId="10F3CB22">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简要规格描述或基本情况介绍</w:t>
            </w:r>
          </w:p>
        </w:tc>
        <w:tc>
          <w:tcPr>
            <w:tcW w:w="900" w:type="pct"/>
            <w:vAlign w:val="center"/>
          </w:tcPr>
          <w:p w14:paraId="4ED6DD69">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p>
        </w:tc>
      </w:tr>
      <w:tr w14:paraId="36F9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275" w:type="pct"/>
            <w:tcMar>
              <w:top w:w="15" w:type="dxa"/>
              <w:left w:w="15" w:type="dxa"/>
              <w:bottom w:w="0" w:type="dxa"/>
              <w:right w:w="15" w:type="dxa"/>
            </w:tcMar>
            <w:vAlign w:val="center"/>
          </w:tcPr>
          <w:p w14:paraId="6F3CBB44">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77" w:type="pct"/>
            <w:tcMar>
              <w:top w:w="15" w:type="dxa"/>
              <w:left w:w="15" w:type="dxa"/>
              <w:bottom w:w="0" w:type="dxa"/>
              <w:right w:w="15" w:type="dxa"/>
            </w:tcMar>
            <w:vAlign w:val="center"/>
          </w:tcPr>
          <w:p w14:paraId="35BACDB8">
            <w:pPr>
              <w:keepNext w:val="0"/>
              <w:keepLines w:val="0"/>
              <w:pageBreakBefore w:val="0"/>
              <w:widowControl/>
              <w:numPr>
                <w:ilvl w:val="0"/>
                <w:numId w:val="0"/>
              </w:numPr>
              <w:shd w:val="clear" w:color="auto" w:fill="FFFFFF"/>
              <w:kinsoku/>
              <w:wordWrap/>
              <w:overflowPunct/>
              <w:topLinePunct w:val="0"/>
              <w:autoSpaceDE w:val="0"/>
              <w:autoSpaceDN w:val="0"/>
              <w:bidi w:val="0"/>
              <w:snapToGrid/>
              <w:spacing w:after="0" w:line="460" w:lineRule="exact"/>
              <w:ind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杭政储出[2024]33号地块商业商务世纪城智能产业园造价咨询（</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p>
          <w:p w14:paraId="0E0A5DA1">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453" w:type="pct"/>
            <w:tcMar>
              <w:top w:w="15" w:type="dxa"/>
              <w:left w:w="15" w:type="dxa"/>
              <w:bottom w:w="0" w:type="dxa"/>
              <w:right w:w="15" w:type="dxa"/>
            </w:tcMar>
            <w:vAlign w:val="center"/>
          </w:tcPr>
          <w:p w14:paraId="1DA7021F">
            <w:pPr>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401" w:type="pct"/>
            <w:tcMar>
              <w:top w:w="15" w:type="dxa"/>
              <w:left w:w="15" w:type="dxa"/>
              <w:bottom w:w="0" w:type="dxa"/>
              <w:right w:w="15" w:type="dxa"/>
            </w:tcMar>
            <w:vAlign w:val="center"/>
          </w:tcPr>
          <w:p w14:paraId="756185E9">
            <w:pPr>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w:t>
            </w:r>
          </w:p>
        </w:tc>
        <w:tc>
          <w:tcPr>
            <w:tcW w:w="768" w:type="pct"/>
            <w:vAlign w:val="center"/>
          </w:tcPr>
          <w:p w14:paraId="6EBB6E61">
            <w:pPr>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6600000</w:t>
            </w:r>
          </w:p>
        </w:tc>
        <w:tc>
          <w:tcPr>
            <w:tcW w:w="1223" w:type="pct"/>
            <w:vAlign w:val="center"/>
          </w:tcPr>
          <w:p w14:paraId="319CEB24">
            <w:pPr>
              <w:tabs>
                <w:tab w:val="left" w:pos="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Hans"/>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招标需求</w:t>
            </w:r>
          </w:p>
        </w:tc>
        <w:tc>
          <w:tcPr>
            <w:tcW w:w="900" w:type="pct"/>
            <w:vAlign w:val="center"/>
          </w:tcPr>
          <w:p w14:paraId="1DD7C4C6">
            <w:pPr>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6600000</w:t>
            </w:r>
          </w:p>
        </w:tc>
      </w:tr>
    </w:tbl>
    <w:p w14:paraId="0F25AE57">
      <w:pPr>
        <w:pStyle w:val="4"/>
        <w:keepNext/>
        <w:keepLines/>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65EA48FE">
      <w:pPr>
        <w:rPr>
          <w:rFonts w:hint="eastAsia" w:ascii="宋体" w:hAnsi="宋体" w:eastAsia="宋体" w:cs="宋体"/>
          <w:b/>
          <w:color w:val="000000" w:themeColor="text1"/>
          <w:sz w:val="22"/>
          <w:szCs w:val="22"/>
          <w:highlight w:val="none"/>
          <w14:textFill>
            <w14:solidFill>
              <w14:schemeClr w14:val="tx1"/>
            </w14:solidFill>
          </w14:textFill>
        </w:rPr>
      </w:pPr>
    </w:p>
    <w:p w14:paraId="622E0826">
      <w:pPr>
        <w:pStyle w:val="4"/>
        <w:numPr>
          <w:ilvl w:val="0"/>
          <w:numId w:val="1"/>
        </w:num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采购需求</w:t>
      </w:r>
    </w:p>
    <w:p w14:paraId="6F050B3F">
      <w:pPr>
        <w:rPr>
          <w:rFonts w:hint="eastAsia" w:ascii="宋体" w:hAnsi="宋体" w:eastAsia="宋体" w:cs="宋体"/>
          <w:color w:val="000000" w:themeColor="text1"/>
          <w:highlight w:val="none"/>
          <w:lang w:val="en-US" w:eastAsia="zh-CN"/>
          <w14:textFill>
            <w14:solidFill>
              <w14:schemeClr w14:val="tx1"/>
            </w14:solidFill>
          </w14:textFill>
        </w:rPr>
      </w:pPr>
    </w:p>
    <w:p w14:paraId="76FA7ACB">
      <w:pPr>
        <w:keepNext w:val="0"/>
        <w:keepLines w:val="0"/>
        <w:pageBreakBefore w:val="0"/>
        <w:widowControl/>
        <w:shd w:val="clear" w:color="auto" w:fill="FFFFFF"/>
        <w:kinsoku/>
        <w:wordWrap/>
        <w:overflowPunct/>
        <w:topLinePunct w:val="0"/>
        <w:bidi w:val="0"/>
        <w:snapToGrid/>
        <w:spacing w:after="0" w:line="460" w:lineRule="exact"/>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kern w:val="2"/>
          <w:sz w:val="24"/>
          <w:szCs w:val="24"/>
          <w:highlight w:val="none"/>
        </w:rPr>
        <w:t>一、项目名称</w:t>
      </w:r>
    </w:p>
    <w:p w14:paraId="14452B77">
      <w:pPr>
        <w:keepNext w:val="0"/>
        <w:keepLines w:val="0"/>
        <w:pageBreakBefore w:val="0"/>
        <w:widowControl/>
        <w:numPr>
          <w:ilvl w:val="0"/>
          <w:numId w:val="0"/>
        </w:numPr>
        <w:shd w:val="clear" w:color="auto" w:fill="FFFFFF"/>
        <w:kinsoku/>
        <w:wordWrap/>
        <w:overflowPunct/>
        <w:topLinePunct w:val="0"/>
        <w:autoSpaceDE w:val="0"/>
        <w:autoSpaceDN w:val="0"/>
        <w:bidi w:val="0"/>
        <w:snapToGrid/>
        <w:spacing w:after="0" w:line="4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杭政储出[2024]33号地块商业商务世纪城智能产业园</w:t>
      </w:r>
      <w:r>
        <w:rPr>
          <w:rFonts w:hint="eastAsia" w:ascii="宋体" w:hAnsi="宋体" w:eastAsia="宋体" w:cs="宋体"/>
          <w:color w:val="auto"/>
          <w:sz w:val="24"/>
          <w:szCs w:val="24"/>
          <w:highlight w:val="none"/>
          <w:lang w:val="en-US" w:eastAsia="zh-CN"/>
        </w:rPr>
        <w:t>造价咨询（二）</w:t>
      </w:r>
      <w:r>
        <w:rPr>
          <w:rFonts w:hint="eastAsia" w:ascii="宋体" w:hAnsi="宋体" w:eastAsia="宋体" w:cs="宋体"/>
          <w:color w:val="auto"/>
          <w:sz w:val="24"/>
          <w:szCs w:val="24"/>
          <w:highlight w:val="none"/>
          <w:lang w:eastAsia="zh-CN"/>
        </w:rPr>
        <w:t>项目</w:t>
      </w:r>
    </w:p>
    <w:p w14:paraId="5B1485BB">
      <w:pPr>
        <w:keepNext w:val="0"/>
        <w:keepLines w:val="0"/>
        <w:pageBreakBefore w:val="0"/>
        <w:widowControl/>
        <w:numPr>
          <w:ilvl w:val="0"/>
          <w:numId w:val="0"/>
        </w:numPr>
        <w:shd w:val="clear" w:color="auto" w:fill="FFFFFF"/>
        <w:kinsoku/>
        <w:wordWrap/>
        <w:overflowPunct/>
        <w:topLinePunct w:val="0"/>
        <w:autoSpaceDE w:val="0"/>
        <w:autoSpaceDN w:val="0"/>
        <w:bidi w:val="0"/>
        <w:snapToGrid/>
        <w:spacing w:after="0" w:line="460" w:lineRule="exact"/>
        <w:ind w:firstLine="480" w:firstLineChars="200"/>
        <w:jc w:val="left"/>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val="en-US" w:eastAsia="zh-CN"/>
        </w:rPr>
        <w:t>二、项目概况</w:t>
      </w:r>
    </w:p>
    <w:p w14:paraId="1333EFC7">
      <w:pPr>
        <w:keepNext w:val="0"/>
        <w:keepLines w:val="0"/>
        <w:pageBreakBefore w:val="0"/>
        <w:widowControl/>
        <w:suppressLineNumbers w:val="0"/>
        <w:shd w:val="clear" w:color="auto" w:fill="FFFFFF"/>
        <w:kinsoku/>
        <w:wordWrap/>
        <w:overflowPunct/>
        <w:topLinePunct w:val="0"/>
        <w:bidi w:val="0"/>
        <w:snapToGrid/>
        <w:spacing w:after="0"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 xml:space="preserve">本项目位于杭州市萧山区，东至生兴路，南至新中路，西至纵三路，北至扬帆路。 </w:t>
      </w:r>
    </w:p>
    <w:p w14:paraId="75C0691C">
      <w:pPr>
        <w:keepNext w:val="0"/>
        <w:keepLines w:val="0"/>
        <w:pageBreakBefore w:val="0"/>
        <w:widowControl/>
        <w:shd w:val="clear" w:color="auto" w:fill="FFFFFF"/>
        <w:kinsoku/>
        <w:wordWrap/>
        <w:overflowPunct/>
        <w:topLinePunct w:val="0"/>
        <w:autoSpaceDE w:val="0"/>
        <w:autoSpaceDN w:val="0"/>
        <w:bidi w:val="0"/>
        <w:adjustRightInd/>
        <w:snapToGrid/>
        <w:spacing w:after="0" w:line="460" w:lineRule="exact"/>
        <w:ind w:firstLine="480" w:firstLineChars="200"/>
        <w:jc w:val="left"/>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rPr>
        <w:t>总投资549014万元，其中：土建工程341000万元；设备购置30240万元；安装工程24900万元；其他费用18900万元。项目用地面积58694㎡，建筑面积约378000㎡，其中地上建筑面积264000㎡、地下建筑面积114000㎡</w:t>
      </w:r>
      <w:r>
        <w:rPr>
          <w:rFonts w:hint="eastAsia" w:ascii="宋体" w:hAnsi="宋体" w:eastAsia="宋体" w:cs="宋体"/>
          <w:b w:val="0"/>
          <w:bCs w:val="0"/>
          <w:color w:val="auto"/>
          <w:kern w:val="2"/>
          <w:sz w:val="24"/>
          <w:szCs w:val="24"/>
          <w:highlight w:val="none"/>
          <w:lang w:eastAsia="zh-CN"/>
        </w:rPr>
        <w:t>。</w:t>
      </w:r>
    </w:p>
    <w:p w14:paraId="017439F2">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after="0" w:line="46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三、</w:t>
      </w:r>
      <w:r>
        <w:rPr>
          <w:rFonts w:hint="eastAsia" w:ascii="宋体" w:hAnsi="宋体" w:eastAsia="宋体" w:cs="宋体"/>
          <w:b w:val="0"/>
          <w:color w:val="auto"/>
          <w:sz w:val="24"/>
          <w:szCs w:val="24"/>
          <w:highlight w:val="none"/>
        </w:rPr>
        <w:t>范围及工作内容</w:t>
      </w:r>
    </w:p>
    <w:p w14:paraId="4FE91F45">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after="0" w:line="460" w:lineRule="exact"/>
        <w:ind w:firstLine="482" w:firstLineChars="200"/>
        <w:jc w:val="lef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服务范围：杭政储出[2024]33号地块商业商务世纪城智能产业园跟踪审计及结算审核项目</w:t>
      </w:r>
      <w:r>
        <w:rPr>
          <w:rFonts w:hint="eastAsia" w:ascii="宋体" w:hAnsi="宋体" w:eastAsia="宋体" w:cs="宋体"/>
          <w:b/>
          <w:bCs/>
          <w:color w:val="auto"/>
          <w:sz w:val="24"/>
          <w:szCs w:val="24"/>
          <w:highlight w:val="none"/>
          <w:lang w:val="en-US" w:eastAsia="zh-CN"/>
        </w:rPr>
        <w:t>。</w:t>
      </w:r>
    </w:p>
    <w:p w14:paraId="3888BDF3">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after="0"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（二）工作内容</w:t>
      </w:r>
    </w:p>
    <w:p w14:paraId="6C35CD6B">
      <w:pPr>
        <w:keepNext w:val="0"/>
        <w:keepLines w:val="0"/>
        <w:pageBreakBefore w:val="0"/>
        <w:widowControl/>
        <w:shd w:val="clear" w:color="auto" w:fill="FFFFFF"/>
        <w:kinsoku/>
        <w:wordWrap/>
        <w:overflowPunct/>
        <w:topLinePunct w:val="0"/>
        <w:bidi w:val="0"/>
        <w:snapToGrid/>
        <w:spacing w:line="460" w:lineRule="exact"/>
        <w:ind w:firstLine="482" w:firstLineChars="200"/>
        <w:jc w:val="left"/>
        <w:textAlignment w:val="auto"/>
        <w:rPr>
          <w:rFonts w:hint="eastAsia" w:ascii="宋体" w:hAnsi="宋体" w:eastAsia="宋体" w:cs="宋体"/>
          <w:b/>
          <w:bCs/>
          <w:color w:val="auto"/>
          <w:sz w:val="24"/>
          <w:szCs w:val="24"/>
          <w:highlight w:val="none"/>
          <w:u w:val="single"/>
          <w:lang w:val="en-US" w:eastAsia="zh-CN" w:bidi="ar"/>
        </w:rPr>
      </w:pPr>
      <w:r>
        <w:rPr>
          <w:rFonts w:hint="eastAsia" w:ascii="宋体" w:hAnsi="宋体" w:eastAsia="宋体" w:cs="宋体"/>
          <w:b/>
          <w:bCs/>
          <w:color w:val="auto"/>
          <w:sz w:val="24"/>
          <w:szCs w:val="24"/>
          <w:highlight w:val="none"/>
          <w:u w:val="single"/>
          <w:lang w:val="en-US" w:eastAsia="zh-CN" w:bidi="ar"/>
        </w:rPr>
        <w:t>1、</w:t>
      </w:r>
      <w:r>
        <w:rPr>
          <w:rFonts w:hint="eastAsia" w:ascii="宋体" w:hAnsi="宋体" w:eastAsia="宋体" w:cs="宋体"/>
          <w:b/>
          <w:bCs/>
          <w:color w:val="auto"/>
          <w:sz w:val="24"/>
          <w:szCs w:val="24"/>
          <w:highlight w:val="none"/>
          <w:u w:val="single"/>
          <w:lang w:eastAsia="zh-CN" w:bidi="ar"/>
        </w:rPr>
        <w:t>过程跟踪</w:t>
      </w:r>
      <w:r>
        <w:rPr>
          <w:rFonts w:hint="eastAsia" w:ascii="宋体" w:hAnsi="宋体" w:eastAsia="宋体" w:cs="宋体"/>
          <w:b/>
          <w:bCs/>
          <w:color w:val="auto"/>
          <w:sz w:val="24"/>
          <w:szCs w:val="24"/>
          <w:highlight w:val="none"/>
          <w:u w:val="single"/>
          <w:lang w:val="en-US" w:eastAsia="zh-CN" w:bidi="ar"/>
        </w:rPr>
        <w:t>审计</w:t>
      </w:r>
    </w:p>
    <w:p w14:paraId="64EEEB4D">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1.1</w:t>
      </w:r>
      <w:r>
        <w:rPr>
          <w:rFonts w:hint="eastAsia" w:ascii="宋体" w:hAnsi="宋体" w:eastAsia="宋体" w:cs="宋体"/>
          <w:color w:val="auto"/>
          <w:sz w:val="24"/>
          <w:szCs w:val="24"/>
          <w:highlight w:val="none"/>
          <w:u w:val="single"/>
          <w:lang w:eastAsia="zh-CN" w:bidi="ar"/>
        </w:rPr>
        <w:t xml:space="preserve"> 参与造价控制有关的工程会议（材料定价会议等）；</w:t>
      </w:r>
    </w:p>
    <w:p w14:paraId="0C00DE90">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1</w:t>
      </w:r>
      <w:r>
        <w:rPr>
          <w:rFonts w:hint="eastAsia" w:ascii="宋体" w:hAnsi="宋体" w:eastAsia="宋体" w:cs="宋体"/>
          <w:color w:val="auto"/>
          <w:sz w:val="24"/>
          <w:szCs w:val="24"/>
          <w:highlight w:val="none"/>
          <w:u w:val="single"/>
          <w:lang w:eastAsia="zh-CN" w:bidi="ar"/>
        </w:rPr>
        <w:t>.2 负责对承包人报送的每月(期)完成进度款月（期）报表进行审核，并提出当月(期)付款</w:t>
      </w:r>
      <w:r>
        <w:rPr>
          <w:rFonts w:hint="eastAsia" w:ascii="宋体" w:hAnsi="宋体" w:eastAsia="宋体" w:cs="宋体"/>
          <w:color w:val="auto"/>
          <w:sz w:val="24"/>
          <w:szCs w:val="24"/>
          <w:highlight w:val="none"/>
          <w:u w:val="single"/>
          <w:lang w:val="en-US" w:eastAsia="zh-CN" w:bidi="ar"/>
        </w:rPr>
        <w:t>核定</w:t>
      </w:r>
      <w:r>
        <w:rPr>
          <w:rFonts w:hint="eastAsia" w:ascii="宋体" w:hAnsi="宋体" w:eastAsia="宋体" w:cs="宋体"/>
          <w:color w:val="auto"/>
          <w:sz w:val="24"/>
          <w:szCs w:val="24"/>
          <w:highlight w:val="none"/>
          <w:u w:val="single"/>
          <w:lang w:eastAsia="zh-CN" w:bidi="ar"/>
        </w:rPr>
        <w:t>书；</w:t>
      </w:r>
    </w:p>
    <w:p w14:paraId="71DEC553">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1</w:t>
      </w:r>
      <w:r>
        <w:rPr>
          <w:rFonts w:hint="eastAsia" w:ascii="宋体" w:hAnsi="宋体" w:eastAsia="宋体" w:cs="宋体"/>
          <w:color w:val="auto"/>
          <w:sz w:val="24"/>
          <w:szCs w:val="24"/>
          <w:highlight w:val="none"/>
          <w:u w:val="single"/>
          <w:lang w:eastAsia="zh-CN" w:bidi="ar"/>
        </w:rPr>
        <w:t>.3 承包方或甲方提出索赔时，凭据合同和有关法律、法规，提供咨询意见；</w:t>
      </w:r>
    </w:p>
    <w:p w14:paraId="630C9BB6">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1</w:t>
      </w:r>
      <w:r>
        <w:rPr>
          <w:rFonts w:hint="eastAsia" w:ascii="宋体" w:hAnsi="宋体" w:eastAsia="宋体" w:cs="宋体"/>
          <w:color w:val="auto"/>
          <w:sz w:val="24"/>
          <w:szCs w:val="24"/>
          <w:highlight w:val="none"/>
          <w:u w:val="single"/>
          <w:lang w:eastAsia="zh-CN" w:bidi="ar"/>
        </w:rPr>
        <w:t>.4 及时审核设计变更、现场签证等联系单，相应调整造价控制目标，并向甲方提供造价控制动态分析报告；</w:t>
      </w:r>
    </w:p>
    <w:p w14:paraId="3C6CB204">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1</w:t>
      </w:r>
      <w:r>
        <w:rPr>
          <w:rFonts w:hint="eastAsia" w:ascii="宋体" w:hAnsi="宋体" w:eastAsia="宋体" w:cs="宋体"/>
          <w:color w:val="auto"/>
          <w:sz w:val="24"/>
          <w:szCs w:val="24"/>
          <w:highlight w:val="none"/>
          <w:u w:val="single"/>
          <w:lang w:eastAsia="zh-CN" w:bidi="ar"/>
        </w:rPr>
        <w:t>.5 提供与造价控制相关的人工、材料、设备等造价信息和其他咨询服务，</w:t>
      </w:r>
    </w:p>
    <w:p w14:paraId="523D82F6">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1</w:t>
      </w:r>
      <w:r>
        <w:rPr>
          <w:rFonts w:hint="eastAsia" w:ascii="宋体" w:hAnsi="宋体" w:eastAsia="宋体" w:cs="宋体"/>
          <w:color w:val="auto"/>
          <w:sz w:val="24"/>
          <w:szCs w:val="24"/>
          <w:highlight w:val="none"/>
          <w:u w:val="single"/>
          <w:lang w:eastAsia="zh-CN" w:bidi="ar"/>
        </w:rPr>
        <w:t>.6适时对施工现场进行查勘，特别是隐蔽工程的查看和验收，核实有关变更及签证，及时了解工程情况并进行必要的拍照、摄像，留取证据，确保计量准确和审核完整、真实。</w:t>
      </w:r>
    </w:p>
    <w:p w14:paraId="2C6D556A">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1.7</w:t>
      </w:r>
      <w:r>
        <w:rPr>
          <w:rFonts w:hint="eastAsia" w:ascii="宋体" w:hAnsi="宋体" w:eastAsia="宋体" w:cs="宋体"/>
          <w:color w:val="auto"/>
          <w:sz w:val="24"/>
          <w:szCs w:val="24"/>
          <w:highlight w:val="none"/>
          <w:u w:val="single"/>
          <w:lang w:eastAsia="zh-CN" w:bidi="ar"/>
        </w:rPr>
        <w:t>参加招标人召开的招标文件讨论会，针对招标文件中涉及的工程总承包合同部分，提出建设性意见。针对造价方面，着重强调成本控制策略的优化、变更管理流程的完善、以及风险分担机制的合理设置等。</w:t>
      </w:r>
    </w:p>
    <w:p w14:paraId="3D1573F7">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1.8</w:t>
      </w:r>
      <w:r>
        <w:rPr>
          <w:rFonts w:hint="eastAsia" w:ascii="宋体" w:hAnsi="宋体" w:eastAsia="宋体" w:cs="宋体"/>
          <w:color w:val="auto"/>
          <w:sz w:val="24"/>
          <w:szCs w:val="24"/>
          <w:highlight w:val="none"/>
          <w:u w:val="single"/>
          <w:lang w:eastAsia="zh-CN" w:bidi="ar"/>
        </w:rPr>
        <w:t>在招投标阶段，针对投标人提出的造价方面问题，及时开展全面而细致的澄清工作。</w:t>
      </w:r>
    </w:p>
    <w:p w14:paraId="641E8866">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1.9</w:t>
      </w:r>
      <w:r>
        <w:rPr>
          <w:rFonts w:hint="eastAsia" w:ascii="宋体" w:hAnsi="宋体" w:eastAsia="宋体" w:cs="宋体"/>
          <w:color w:val="auto"/>
          <w:sz w:val="24"/>
          <w:szCs w:val="24"/>
          <w:highlight w:val="none"/>
          <w:u w:val="single"/>
          <w:lang w:eastAsia="zh-CN" w:bidi="ar"/>
        </w:rPr>
        <w:t>对中标人的投标报价进行详尽的清标分析，根据清标分析的结果，从造价管理的角度出发，提出具有针对性的建设管理建议。</w:t>
      </w:r>
    </w:p>
    <w:p w14:paraId="56F27FDD">
      <w:pPr>
        <w:keepNext w:val="0"/>
        <w:keepLines w:val="0"/>
        <w:pageBreakBefore w:val="0"/>
        <w:widowControl/>
        <w:shd w:val="clear" w:color="auto" w:fill="FFFFFF"/>
        <w:kinsoku/>
        <w:wordWrap/>
        <w:overflowPunct/>
        <w:topLinePunct w:val="0"/>
        <w:bidi w:val="0"/>
        <w:snapToGrid/>
        <w:spacing w:line="460" w:lineRule="exact"/>
        <w:ind w:firstLine="482" w:firstLineChars="200"/>
        <w:jc w:val="left"/>
        <w:textAlignment w:val="auto"/>
        <w:rPr>
          <w:rFonts w:hint="eastAsia" w:ascii="宋体" w:hAnsi="宋体" w:eastAsia="宋体" w:cs="宋体"/>
          <w:b/>
          <w:bCs/>
          <w:color w:val="auto"/>
          <w:sz w:val="24"/>
          <w:szCs w:val="24"/>
          <w:highlight w:val="none"/>
          <w:u w:val="single"/>
          <w:lang w:eastAsia="zh-CN" w:bidi="ar"/>
        </w:rPr>
      </w:pPr>
      <w:r>
        <w:rPr>
          <w:rFonts w:hint="eastAsia" w:ascii="宋体" w:hAnsi="宋体" w:eastAsia="宋体" w:cs="宋体"/>
          <w:b/>
          <w:bCs/>
          <w:color w:val="auto"/>
          <w:sz w:val="24"/>
          <w:szCs w:val="24"/>
          <w:highlight w:val="none"/>
          <w:u w:val="single"/>
          <w:lang w:val="en-US" w:eastAsia="zh-CN" w:bidi="ar"/>
        </w:rPr>
        <w:t>2</w:t>
      </w:r>
      <w:r>
        <w:rPr>
          <w:rFonts w:hint="eastAsia" w:ascii="宋体" w:hAnsi="宋体" w:eastAsia="宋体" w:cs="宋体"/>
          <w:b/>
          <w:bCs/>
          <w:color w:val="auto"/>
          <w:sz w:val="24"/>
          <w:szCs w:val="24"/>
          <w:highlight w:val="none"/>
          <w:u w:val="single"/>
          <w:lang w:eastAsia="zh-CN" w:bidi="ar"/>
        </w:rPr>
        <w:t>、工程结算审核</w:t>
      </w:r>
    </w:p>
    <w:p w14:paraId="6B8C5EB1">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2</w:t>
      </w:r>
      <w:r>
        <w:rPr>
          <w:rFonts w:hint="eastAsia" w:ascii="宋体" w:hAnsi="宋体" w:eastAsia="宋体" w:cs="宋体"/>
          <w:color w:val="auto"/>
          <w:sz w:val="24"/>
          <w:szCs w:val="24"/>
          <w:highlight w:val="none"/>
          <w:u w:val="single"/>
          <w:lang w:eastAsia="zh-CN" w:bidi="ar"/>
        </w:rPr>
        <w:t>.1根据工程合同相应的建设工程法律、法规、标准规范与工程计价依据、招投标文件、施工图纸、现场发生的各项有效证明审核工程造价；</w:t>
      </w:r>
    </w:p>
    <w:p w14:paraId="28326D53">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2</w:t>
      </w:r>
      <w:r>
        <w:rPr>
          <w:rFonts w:hint="eastAsia" w:ascii="宋体" w:hAnsi="宋体" w:eastAsia="宋体" w:cs="宋体"/>
          <w:color w:val="auto"/>
          <w:sz w:val="24"/>
          <w:szCs w:val="24"/>
          <w:highlight w:val="none"/>
          <w:u w:val="single"/>
          <w:lang w:eastAsia="zh-CN" w:bidi="ar"/>
        </w:rPr>
        <w:t>.2现场踏勘、计量复核；</w:t>
      </w:r>
    </w:p>
    <w:p w14:paraId="44890096">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2</w:t>
      </w:r>
      <w:r>
        <w:rPr>
          <w:rFonts w:hint="eastAsia" w:ascii="宋体" w:hAnsi="宋体" w:eastAsia="宋体" w:cs="宋体"/>
          <w:color w:val="auto"/>
          <w:sz w:val="24"/>
          <w:szCs w:val="24"/>
          <w:highlight w:val="none"/>
          <w:u w:val="single"/>
          <w:lang w:eastAsia="zh-CN" w:bidi="ar"/>
        </w:rPr>
        <w:t>.3工程量、工程要素价格及各类项目费用进行审核确定；</w:t>
      </w:r>
    </w:p>
    <w:p w14:paraId="5A1CA9B4">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2</w:t>
      </w:r>
      <w:r>
        <w:rPr>
          <w:rFonts w:hint="eastAsia" w:ascii="宋体" w:hAnsi="宋体" w:eastAsia="宋体" w:cs="宋体"/>
          <w:color w:val="auto"/>
          <w:sz w:val="24"/>
          <w:szCs w:val="24"/>
          <w:highlight w:val="none"/>
          <w:u w:val="single"/>
          <w:lang w:eastAsia="zh-CN" w:bidi="ar"/>
        </w:rPr>
        <w:t>.4编制工程结算审核报告。</w:t>
      </w:r>
    </w:p>
    <w:p w14:paraId="5B380ED2">
      <w:pPr>
        <w:keepNext w:val="0"/>
        <w:keepLines w:val="0"/>
        <w:pageBreakBefore w:val="0"/>
        <w:widowControl/>
        <w:shd w:val="clear" w:color="auto" w:fill="FFFFFF"/>
        <w:kinsoku/>
        <w:wordWrap/>
        <w:overflowPunct/>
        <w:topLinePunct w:val="0"/>
        <w:bidi w:val="0"/>
        <w:snapToGrid/>
        <w:spacing w:line="460" w:lineRule="exact"/>
        <w:ind w:firstLine="482" w:firstLineChars="200"/>
        <w:jc w:val="left"/>
        <w:textAlignment w:val="auto"/>
        <w:rPr>
          <w:rFonts w:hint="eastAsia" w:ascii="宋体" w:hAnsi="宋体" w:eastAsia="宋体" w:cs="宋体"/>
          <w:b/>
          <w:bCs/>
          <w:color w:val="auto"/>
          <w:sz w:val="24"/>
          <w:szCs w:val="24"/>
          <w:highlight w:val="none"/>
          <w:u w:val="single"/>
          <w:lang w:eastAsia="zh-CN" w:bidi="ar"/>
        </w:rPr>
      </w:pPr>
      <w:r>
        <w:rPr>
          <w:rFonts w:hint="eastAsia" w:ascii="宋体" w:hAnsi="宋体" w:eastAsia="宋体" w:cs="宋体"/>
          <w:b/>
          <w:bCs/>
          <w:color w:val="auto"/>
          <w:sz w:val="24"/>
          <w:szCs w:val="24"/>
          <w:highlight w:val="none"/>
          <w:u w:val="single"/>
          <w:lang w:val="en-US" w:eastAsia="zh-CN" w:bidi="ar"/>
        </w:rPr>
        <w:t>3</w:t>
      </w:r>
      <w:r>
        <w:rPr>
          <w:rFonts w:hint="eastAsia" w:ascii="宋体" w:hAnsi="宋体" w:eastAsia="宋体" w:cs="宋体"/>
          <w:b/>
          <w:bCs/>
          <w:color w:val="auto"/>
          <w:sz w:val="24"/>
          <w:szCs w:val="24"/>
          <w:highlight w:val="none"/>
          <w:u w:val="single"/>
          <w:lang w:eastAsia="zh-CN" w:bidi="ar"/>
        </w:rPr>
        <w:t>、咨询服务方式及人员安排</w:t>
      </w:r>
    </w:p>
    <w:p w14:paraId="346E3039">
      <w:pPr>
        <w:keepNext w:val="0"/>
        <w:keepLines w:val="0"/>
        <w:pageBreakBefore w:val="0"/>
        <w:widowControl/>
        <w:shd w:val="clear" w:color="auto" w:fill="FFFFFF"/>
        <w:kinsoku/>
        <w:wordWrap/>
        <w:overflowPunct/>
        <w:topLinePunct w:val="0"/>
        <w:bidi w:val="0"/>
        <w:snapToGrid/>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single"/>
          <w:lang w:val="en-US" w:eastAsia="zh-CN" w:bidi="ar"/>
        </w:rPr>
        <w:t>3.1</w:t>
      </w:r>
      <w:r>
        <w:rPr>
          <w:rFonts w:hint="eastAsia" w:ascii="宋体" w:hAnsi="宋体" w:eastAsia="宋体" w:cs="宋体"/>
          <w:color w:val="auto"/>
          <w:sz w:val="24"/>
          <w:szCs w:val="24"/>
          <w:highlight w:val="none"/>
          <w:u w:val="single"/>
          <w:lang w:eastAsia="zh-CN" w:bidi="ar"/>
        </w:rPr>
        <w:t>参加项目各类与造价有关的重要会议及事宜，并书面提出专业咨询意见。</w:t>
      </w:r>
    </w:p>
    <w:p w14:paraId="7748FAD1">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color w:val="auto"/>
          <w:kern w:val="2"/>
          <w:sz w:val="24"/>
          <w:szCs w:val="24"/>
          <w:highlight w:val="yellow"/>
          <w:lang w:val="en-US" w:eastAsia="zh-CN" w:bidi="ar"/>
        </w:rPr>
      </w:pPr>
      <w:r>
        <w:rPr>
          <w:rFonts w:hint="eastAsia" w:ascii="宋体" w:hAnsi="宋体" w:eastAsia="宋体" w:cs="宋体"/>
          <w:color w:val="auto"/>
          <w:sz w:val="24"/>
          <w:szCs w:val="24"/>
          <w:highlight w:val="none"/>
          <w:u w:val="single"/>
          <w:lang w:val="en-US" w:eastAsia="zh-CN" w:bidi="ar"/>
        </w:rPr>
        <w:t>3.2</w:t>
      </w:r>
      <w:r>
        <w:rPr>
          <w:rFonts w:hint="eastAsia" w:ascii="宋体" w:hAnsi="宋体" w:eastAsia="宋体" w:cs="宋体"/>
          <w:color w:val="auto"/>
          <w:sz w:val="24"/>
          <w:szCs w:val="24"/>
          <w:highlight w:val="none"/>
          <w:u w:val="single"/>
          <w:lang w:eastAsia="zh-CN" w:bidi="ar"/>
        </w:rPr>
        <w:t>根据现场实际情况及甲方工程的需要，随叫随到，及时以书面方式向甲方提供咨询服务。</w:t>
      </w:r>
    </w:p>
    <w:p w14:paraId="1F1977DA">
      <w:pPr>
        <w:keepNext w:val="0"/>
        <w:keepLines w:val="0"/>
        <w:pageBreakBefore w:val="0"/>
        <w:widowControl/>
        <w:shd w:val="clear" w:color="auto" w:fill="FFFFFF"/>
        <w:kinsoku/>
        <w:wordWrap/>
        <w:overflowPunct/>
        <w:topLinePunct w:val="0"/>
        <w:bidi w:val="0"/>
        <w:snapToGrid/>
        <w:spacing w:after="0" w:line="460" w:lineRule="exact"/>
        <w:ind w:firstLine="480" w:firstLineChars="200"/>
        <w:jc w:val="left"/>
        <w:textAlignment w:val="auto"/>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u w:val="single"/>
          <w:lang w:val="en-US" w:eastAsia="zh-CN" w:bidi="ar"/>
        </w:rPr>
        <w:t>3.3中标单位跟审人员</w:t>
      </w:r>
      <w:r>
        <w:rPr>
          <w:rFonts w:hint="eastAsia" w:ascii="宋体" w:hAnsi="宋体" w:eastAsia="宋体" w:cs="宋体"/>
          <w:color w:val="auto"/>
          <w:sz w:val="24"/>
          <w:szCs w:val="24"/>
          <w:highlight w:val="none"/>
          <w:u w:val="single"/>
          <w:lang w:bidi="ar"/>
        </w:rPr>
        <w:t>勘查施工现场，</w:t>
      </w:r>
      <w:r>
        <w:rPr>
          <w:rFonts w:hint="eastAsia" w:ascii="宋体" w:hAnsi="宋体" w:eastAsia="宋体" w:cs="宋体"/>
          <w:color w:val="auto"/>
          <w:sz w:val="24"/>
          <w:szCs w:val="24"/>
          <w:highlight w:val="none"/>
          <w:u w:val="single"/>
          <w:lang w:val="en-US" w:eastAsia="zh-CN" w:bidi="ar"/>
        </w:rPr>
        <w:t>每人每个月不少于15天，时刻掌握项目实地建设情况，对隐蔽工程进行原始录像。接收招标人每月考勤，对少于1天，按照每人每天800元处罚。</w:t>
      </w:r>
    </w:p>
    <w:p w14:paraId="64D1C5F5">
      <w:pPr>
        <w:keepNext w:val="0"/>
        <w:keepLines w:val="0"/>
        <w:pageBreakBefore w:val="0"/>
        <w:widowControl/>
        <w:shd w:val="clear" w:color="auto" w:fill="FFFFFF"/>
        <w:kinsoku/>
        <w:wordWrap/>
        <w:overflowPunct/>
        <w:topLinePunct w:val="0"/>
        <w:bidi w:val="0"/>
        <w:snapToGrid/>
        <w:spacing w:after="0" w:line="460" w:lineRule="exact"/>
        <w:ind w:firstLine="482" w:firstLineChars="200"/>
        <w:jc w:val="left"/>
        <w:textAlignment w:val="auto"/>
        <w:rPr>
          <w:rFonts w:hint="eastAsia" w:ascii="宋体" w:hAnsi="宋体" w:eastAsia="宋体" w:cs="宋体"/>
          <w:b/>
          <w:bCs/>
          <w:color w:val="auto"/>
          <w:sz w:val="24"/>
          <w:szCs w:val="24"/>
          <w:highlight w:val="none"/>
          <w:u w:val="single"/>
          <w:lang w:val="en-US" w:eastAsia="zh-CN" w:bidi="ar"/>
        </w:rPr>
      </w:pPr>
      <w:r>
        <w:rPr>
          <w:rFonts w:hint="eastAsia" w:ascii="宋体" w:hAnsi="宋体" w:eastAsia="宋体" w:cs="宋体"/>
          <w:b/>
          <w:bCs/>
          <w:color w:val="auto"/>
          <w:sz w:val="24"/>
          <w:szCs w:val="24"/>
          <w:highlight w:val="none"/>
          <w:u w:val="single"/>
          <w:lang w:val="en-US" w:eastAsia="zh-CN" w:bidi="ar"/>
        </w:rPr>
        <w:t>4、分阶段完成结算审核工作</w:t>
      </w:r>
    </w:p>
    <w:p w14:paraId="0830F5D1">
      <w:pPr>
        <w:keepNext w:val="0"/>
        <w:keepLines w:val="0"/>
        <w:pageBreakBefore w:val="0"/>
        <w:widowControl/>
        <w:shd w:val="clear" w:color="auto" w:fill="FFFFFF"/>
        <w:kinsoku/>
        <w:wordWrap/>
        <w:overflowPunct/>
        <w:topLinePunct w:val="0"/>
        <w:bidi w:val="0"/>
        <w:snapToGrid/>
        <w:spacing w:after="0" w:line="460" w:lineRule="exact"/>
        <w:ind w:firstLine="480" w:firstLineChars="200"/>
        <w:jc w:val="left"/>
        <w:textAlignment w:val="auto"/>
        <w:rPr>
          <w:rFonts w:hint="eastAsia" w:ascii="宋体" w:hAnsi="宋体" w:eastAsia="宋体" w:cs="宋体"/>
          <w:color w:val="auto"/>
          <w:sz w:val="24"/>
          <w:szCs w:val="24"/>
          <w:highlight w:val="none"/>
          <w:u w:val="single"/>
          <w:lang w:val="en-US" w:eastAsia="zh-CN" w:bidi="ar"/>
        </w:rPr>
      </w:pPr>
      <w:r>
        <w:rPr>
          <w:rFonts w:hint="eastAsia" w:ascii="宋体" w:hAnsi="宋体" w:eastAsia="宋体" w:cs="宋体"/>
          <w:color w:val="auto"/>
          <w:sz w:val="24"/>
          <w:szCs w:val="24"/>
          <w:highlight w:val="none"/>
          <w:u w:val="single"/>
          <w:lang w:val="en-US" w:eastAsia="zh-CN" w:bidi="ar"/>
        </w:rPr>
        <w:t>a、按照工程实际推进进度，每个分部工程实体完成后，45天内需完成结算编制工作并出具初稿；非乙方原因，延误1天，处罚2万元/天。</w:t>
      </w:r>
    </w:p>
    <w:p w14:paraId="418EEBC2">
      <w:pPr>
        <w:keepNext w:val="0"/>
        <w:keepLines w:val="0"/>
        <w:pageBreakBefore w:val="0"/>
        <w:widowControl/>
        <w:shd w:val="clear" w:color="auto" w:fill="FFFFFF"/>
        <w:kinsoku/>
        <w:wordWrap/>
        <w:overflowPunct/>
        <w:topLinePunct w:val="0"/>
        <w:bidi w:val="0"/>
        <w:snapToGrid/>
        <w:spacing w:after="0" w:line="460" w:lineRule="exact"/>
        <w:ind w:firstLine="480" w:firstLineChars="200"/>
        <w:jc w:val="left"/>
        <w:textAlignment w:val="auto"/>
        <w:rPr>
          <w:rFonts w:hint="eastAsia" w:ascii="宋体" w:hAnsi="宋体" w:eastAsia="宋体" w:cs="宋体"/>
          <w:color w:val="auto"/>
          <w:sz w:val="24"/>
          <w:szCs w:val="24"/>
          <w:highlight w:val="none"/>
          <w:u w:val="single"/>
          <w:lang w:val="en-US" w:eastAsia="zh-CN" w:bidi="ar"/>
        </w:rPr>
      </w:pPr>
      <w:r>
        <w:rPr>
          <w:rFonts w:hint="eastAsia" w:ascii="宋体" w:hAnsi="宋体" w:eastAsia="宋体" w:cs="宋体"/>
          <w:color w:val="auto"/>
          <w:sz w:val="24"/>
          <w:szCs w:val="24"/>
          <w:highlight w:val="none"/>
          <w:u w:val="single"/>
          <w:lang w:val="en-US" w:eastAsia="zh-CN" w:bidi="ar"/>
        </w:rPr>
        <w:t>b、参加建设单位组织的各种会议，并提出专业性的意见与建议，负责本项目的跟踪审计工作，对自已单位成果承担法律责任。</w:t>
      </w:r>
    </w:p>
    <w:p w14:paraId="11A85BF1">
      <w:pPr>
        <w:keepNext w:val="0"/>
        <w:keepLines w:val="0"/>
        <w:pageBreakBefore w:val="0"/>
        <w:widowControl/>
        <w:shd w:val="clear" w:color="auto" w:fill="FFFFFF"/>
        <w:kinsoku/>
        <w:wordWrap/>
        <w:overflowPunct/>
        <w:topLinePunct w:val="0"/>
        <w:bidi w:val="0"/>
        <w:snapToGrid/>
        <w:spacing w:after="0" w:line="460" w:lineRule="exact"/>
        <w:ind w:firstLine="480" w:firstLineChars="200"/>
        <w:jc w:val="left"/>
        <w:textAlignment w:val="auto"/>
        <w:rPr>
          <w:rFonts w:hint="eastAsia" w:ascii="宋体" w:hAnsi="宋体" w:eastAsia="宋体" w:cs="宋体"/>
          <w:color w:val="auto"/>
          <w:sz w:val="24"/>
          <w:szCs w:val="24"/>
          <w:highlight w:val="none"/>
          <w:u w:val="single"/>
          <w:lang w:val="en-US" w:eastAsia="zh-CN" w:bidi="ar"/>
        </w:rPr>
      </w:pPr>
      <w:r>
        <w:rPr>
          <w:rFonts w:hint="eastAsia" w:ascii="宋体" w:hAnsi="宋体" w:eastAsia="宋体" w:cs="宋体"/>
          <w:color w:val="auto"/>
          <w:sz w:val="24"/>
          <w:szCs w:val="24"/>
          <w:highlight w:val="none"/>
          <w:u w:val="single"/>
          <w:lang w:val="en-US" w:eastAsia="zh-CN" w:bidi="ar"/>
        </w:rPr>
        <w:t>C、及时出具中期支付跟审意见，若影响工程进度，甲方视事实情况予以2~5万/次处罚。对所有出具文件，均需盖单位公章及造价人员执业资格章。</w:t>
      </w:r>
    </w:p>
    <w:p w14:paraId="2E7FE13A">
      <w:pPr>
        <w:keepNext w:val="0"/>
        <w:keepLines w:val="0"/>
        <w:pageBreakBefore w:val="0"/>
        <w:widowControl/>
        <w:shd w:val="clear" w:color="auto" w:fill="FFFFFF"/>
        <w:kinsoku/>
        <w:wordWrap/>
        <w:overflowPunct/>
        <w:topLinePunct w:val="0"/>
        <w:bidi w:val="0"/>
        <w:snapToGrid/>
        <w:spacing w:after="0" w:line="460" w:lineRule="exact"/>
        <w:ind w:firstLine="480" w:firstLineChars="200"/>
        <w:jc w:val="left"/>
        <w:textAlignment w:val="auto"/>
        <w:rPr>
          <w:rFonts w:hint="eastAsia" w:ascii="宋体" w:hAnsi="宋体" w:eastAsia="宋体" w:cs="宋体"/>
          <w:color w:val="auto"/>
          <w:sz w:val="24"/>
          <w:szCs w:val="24"/>
          <w:highlight w:val="none"/>
          <w:u w:val="single"/>
          <w:lang w:val="en-US" w:eastAsia="zh-CN" w:bidi="ar"/>
        </w:rPr>
      </w:pPr>
      <w:r>
        <w:rPr>
          <w:rFonts w:hint="eastAsia" w:ascii="宋体" w:hAnsi="宋体" w:eastAsia="宋体" w:cs="宋体"/>
          <w:color w:val="auto"/>
          <w:sz w:val="24"/>
          <w:szCs w:val="24"/>
          <w:highlight w:val="none"/>
          <w:u w:val="single"/>
          <w:lang w:val="en-US" w:eastAsia="zh-CN" w:bidi="ar"/>
        </w:rPr>
        <w:t>D、参加建设单位组织的各种会议，并提出专业性的意见与建议，积极协助本项目的跟踪审计工作。未准时参加建设单位要求各种涉及造价工作会议，或未参与涉及造价问题处理的，每次处罚1万元</w:t>
      </w:r>
    </w:p>
    <w:p w14:paraId="74309042">
      <w:pPr>
        <w:keepNext w:val="0"/>
        <w:keepLines w:val="0"/>
        <w:pageBreakBefore w:val="0"/>
        <w:widowControl/>
        <w:shd w:val="clear" w:color="auto" w:fill="FFFFFF"/>
        <w:kinsoku/>
        <w:wordWrap/>
        <w:overflowPunct/>
        <w:topLinePunct w:val="0"/>
        <w:bidi w:val="0"/>
        <w:snapToGrid/>
        <w:spacing w:after="0" w:line="460" w:lineRule="exact"/>
        <w:ind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四、人员要求</w:t>
      </w:r>
    </w:p>
    <w:p w14:paraId="408B390C">
      <w:pPr>
        <w:keepNext w:val="0"/>
        <w:keepLines w:val="0"/>
        <w:pageBreakBefore w:val="0"/>
        <w:widowControl/>
        <w:shd w:val="clear" w:color="auto" w:fill="FFFFFF"/>
        <w:kinsoku/>
        <w:wordWrap/>
        <w:overflowPunct/>
        <w:topLinePunct w:val="0"/>
        <w:bidi w:val="0"/>
        <w:snapToGrid/>
        <w:spacing w:after="0" w:line="4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服务人员配置要求表</w:t>
      </w:r>
    </w:p>
    <w:tbl>
      <w:tblPr>
        <w:tblStyle w:val="62"/>
        <w:tblW w:w="91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882"/>
        <w:gridCol w:w="1503"/>
        <w:gridCol w:w="2505"/>
        <w:gridCol w:w="711"/>
        <w:gridCol w:w="1929"/>
      </w:tblGrid>
      <w:tr w14:paraId="53817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50" w:type="dxa"/>
            <w:tcBorders>
              <w:top w:val="single" w:color="auto" w:sz="8" w:space="0"/>
              <w:left w:val="single" w:color="auto" w:sz="8" w:space="0"/>
              <w:bottom w:val="single" w:color="auto" w:sz="4" w:space="0"/>
              <w:right w:val="single" w:color="auto" w:sz="4" w:space="0"/>
            </w:tcBorders>
            <w:noWrap w:val="0"/>
            <w:vAlign w:val="center"/>
          </w:tcPr>
          <w:p w14:paraId="6E971740">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服务岗位</w:t>
            </w:r>
          </w:p>
        </w:tc>
        <w:tc>
          <w:tcPr>
            <w:tcW w:w="882" w:type="dxa"/>
            <w:tcBorders>
              <w:top w:val="single" w:color="auto" w:sz="8" w:space="0"/>
              <w:left w:val="single" w:color="auto" w:sz="4" w:space="0"/>
              <w:bottom w:val="single" w:color="auto" w:sz="4" w:space="0"/>
              <w:right w:val="single" w:color="auto" w:sz="4" w:space="0"/>
            </w:tcBorders>
            <w:noWrap w:val="0"/>
            <w:vAlign w:val="center"/>
          </w:tcPr>
          <w:p w14:paraId="7302A712">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人数</w:t>
            </w:r>
          </w:p>
        </w:tc>
        <w:tc>
          <w:tcPr>
            <w:tcW w:w="1503" w:type="dxa"/>
            <w:tcBorders>
              <w:top w:val="single" w:color="auto" w:sz="8" w:space="0"/>
              <w:left w:val="single" w:color="auto" w:sz="4" w:space="0"/>
              <w:bottom w:val="single" w:color="auto" w:sz="4" w:space="0"/>
              <w:right w:val="single" w:color="auto" w:sz="4" w:space="0"/>
            </w:tcBorders>
            <w:noWrap w:val="0"/>
            <w:vAlign w:val="center"/>
          </w:tcPr>
          <w:p w14:paraId="58CC694C">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专业要求</w:t>
            </w:r>
          </w:p>
        </w:tc>
        <w:tc>
          <w:tcPr>
            <w:tcW w:w="2505" w:type="dxa"/>
            <w:tcBorders>
              <w:top w:val="single" w:color="auto" w:sz="8" w:space="0"/>
              <w:left w:val="single" w:color="auto" w:sz="4" w:space="0"/>
              <w:bottom w:val="single" w:color="auto" w:sz="4" w:space="0"/>
              <w:right w:val="single" w:color="auto" w:sz="4" w:space="0"/>
            </w:tcBorders>
            <w:noWrap w:val="0"/>
            <w:vAlign w:val="center"/>
          </w:tcPr>
          <w:p w14:paraId="6EDEBDD3">
            <w:pPr>
              <w:keepNext w:val="0"/>
              <w:keepLines w:val="0"/>
              <w:pageBreakBefore w:val="0"/>
              <w:widowControl/>
              <w:shd w:val="clear" w:color="auto" w:fill="FFFFFF"/>
              <w:kinsoku/>
              <w:wordWrap/>
              <w:overflowPunct/>
              <w:topLinePunct w:val="0"/>
              <w:bidi w:val="0"/>
              <w:adjustRightInd w:val="0"/>
              <w:snapToGrid w:val="0"/>
              <w:spacing w:after="0" w:line="460" w:lineRule="exact"/>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负责人资格</w:t>
            </w:r>
          </w:p>
        </w:tc>
        <w:tc>
          <w:tcPr>
            <w:tcW w:w="711" w:type="dxa"/>
            <w:tcBorders>
              <w:top w:val="single" w:color="auto" w:sz="8" w:space="0"/>
              <w:left w:val="single" w:color="auto" w:sz="4" w:space="0"/>
              <w:bottom w:val="single" w:color="auto" w:sz="4" w:space="0"/>
              <w:right w:val="single" w:color="auto" w:sz="4" w:space="0"/>
            </w:tcBorders>
            <w:noWrap w:val="0"/>
            <w:vAlign w:val="center"/>
          </w:tcPr>
          <w:p w14:paraId="236E51FB">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年龄</w:t>
            </w:r>
          </w:p>
        </w:tc>
        <w:tc>
          <w:tcPr>
            <w:tcW w:w="1929" w:type="dxa"/>
            <w:tcBorders>
              <w:top w:val="single" w:color="auto" w:sz="8" w:space="0"/>
              <w:left w:val="single" w:color="auto" w:sz="4" w:space="0"/>
              <w:bottom w:val="single" w:color="auto" w:sz="4" w:space="0"/>
              <w:right w:val="single" w:color="auto" w:sz="8" w:space="0"/>
            </w:tcBorders>
            <w:noWrap w:val="0"/>
            <w:vAlign w:val="center"/>
          </w:tcPr>
          <w:p w14:paraId="62D04ADE">
            <w:pPr>
              <w:keepNext w:val="0"/>
              <w:keepLines w:val="0"/>
              <w:pageBreakBefore w:val="0"/>
              <w:widowControl/>
              <w:shd w:val="clear" w:color="auto" w:fill="FFFFFF"/>
              <w:kinsoku/>
              <w:wordWrap/>
              <w:overflowPunct/>
              <w:topLinePunct w:val="0"/>
              <w:bidi w:val="0"/>
              <w:spacing w:after="0" w:line="460" w:lineRule="exact"/>
              <w:ind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备注</w:t>
            </w:r>
          </w:p>
        </w:tc>
      </w:tr>
      <w:tr w14:paraId="2BB2A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50" w:type="dxa"/>
            <w:tcBorders>
              <w:top w:val="single" w:color="auto" w:sz="4" w:space="0"/>
              <w:left w:val="single" w:color="auto" w:sz="8" w:space="0"/>
              <w:bottom w:val="single" w:color="auto" w:sz="4" w:space="0"/>
              <w:right w:val="single" w:color="auto" w:sz="4" w:space="0"/>
            </w:tcBorders>
            <w:noWrap w:val="0"/>
            <w:vAlign w:val="center"/>
          </w:tcPr>
          <w:p w14:paraId="27FC2B0C">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3D3C4BDB">
            <w:pPr>
              <w:keepNext w:val="0"/>
              <w:keepLines w:val="0"/>
              <w:pageBreakBefore w:val="0"/>
              <w:widowControl/>
              <w:shd w:val="clear" w:color="auto" w:fill="FFFFFF"/>
              <w:kinsoku/>
              <w:wordWrap/>
              <w:overflowPunct/>
              <w:topLinePunct w:val="0"/>
              <w:bidi w:val="0"/>
              <w:adjustRightInd w:val="0"/>
              <w:snapToGrid w:val="0"/>
              <w:spacing w:after="0"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29776AA6">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建筑工程</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1652DD14">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pacing w:val="0"/>
                <w:sz w:val="24"/>
                <w:szCs w:val="24"/>
                <w:highlight w:val="none"/>
              </w:rPr>
            </w:pPr>
            <w:r>
              <w:rPr>
                <w:rFonts w:hint="eastAsia" w:ascii="宋体" w:hAnsi="宋体" w:eastAsia="宋体" w:cs="宋体"/>
                <w:color w:val="auto"/>
                <w:sz w:val="24"/>
                <w:szCs w:val="24"/>
                <w:highlight w:val="none"/>
              </w:rPr>
              <w:t xml:space="preserve">中华人民共和国一级造价工程师注册证书 </w:t>
            </w:r>
            <w:r>
              <w:rPr>
                <w:rFonts w:hint="eastAsia" w:ascii="宋体" w:hAnsi="宋体" w:eastAsia="宋体" w:cs="宋体"/>
                <w:color w:val="auto"/>
                <w:spacing w:val="0"/>
                <w:sz w:val="24"/>
                <w:szCs w:val="24"/>
                <w:highlight w:val="none"/>
              </w:rPr>
              <w:t xml:space="preserve"> </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7394B170">
            <w:pPr>
              <w:keepNext w:val="0"/>
              <w:keepLines w:val="0"/>
              <w:pageBreakBefore w:val="0"/>
              <w:widowControl/>
              <w:shd w:val="clear" w:color="auto" w:fill="FFFFFF"/>
              <w:kinsoku/>
              <w:wordWrap/>
              <w:overflowPunct/>
              <w:topLinePunct w:val="0"/>
              <w:bidi w:val="0"/>
              <w:adjustRightInd w:val="0"/>
              <w:snapToGrid w:val="0"/>
              <w:spacing w:after="0" w:line="460" w:lineRule="exact"/>
              <w:ind w:firstLine="480" w:firstLineChars="200"/>
              <w:jc w:val="left"/>
              <w:rPr>
                <w:rFonts w:hint="eastAsia" w:ascii="宋体" w:hAnsi="宋体" w:eastAsia="宋体" w:cs="宋体"/>
                <w:color w:val="auto"/>
                <w:sz w:val="24"/>
                <w:szCs w:val="24"/>
                <w:highlight w:val="none"/>
              </w:rPr>
            </w:pPr>
          </w:p>
        </w:tc>
        <w:tc>
          <w:tcPr>
            <w:tcW w:w="1929" w:type="dxa"/>
            <w:tcBorders>
              <w:top w:val="single" w:color="auto" w:sz="4" w:space="0"/>
              <w:left w:val="single" w:color="auto" w:sz="4" w:space="0"/>
              <w:right w:val="single" w:color="auto" w:sz="8" w:space="0"/>
            </w:tcBorders>
            <w:noWrap w:val="0"/>
            <w:vAlign w:val="center"/>
          </w:tcPr>
          <w:p w14:paraId="55E79D74">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全过程参与</w:t>
            </w:r>
          </w:p>
        </w:tc>
      </w:tr>
      <w:tr w14:paraId="4800F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650" w:type="dxa"/>
            <w:tcBorders>
              <w:top w:val="single" w:color="auto" w:sz="4" w:space="0"/>
              <w:left w:val="single" w:color="auto" w:sz="8" w:space="0"/>
              <w:bottom w:val="single" w:color="auto" w:sz="4" w:space="0"/>
              <w:right w:val="single" w:color="auto" w:sz="4" w:space="0"/>
            </w:tcBorders>
            <w:noWrap w:val="0"/>
            <w:vAlign w:val="center"/>
          </w:tcPr>
          <w:p w14:paraId="3A74911C">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跟踪人员（造价岗位1）</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7313EC63">
            <w:pPr>
              <w:keepNext w:val="0"/>
              <w:keepLines w:val="0"/>
              <w:pageBreakBefore w:val="0"/>
              <w:widowControl/>
              <w:shd w:val="clear" w:color="auto" w:fill="FFFFFF"/>
              <w:kinsoku/>
              <w:wordWrap/>
              <w:overflowPunct/>
              <w:topLinePunct w:val="0"/>
              <w:bidi w:val="0"/>
              <w:adjustRightInd w:val="0"/>
              <w:snapToGrid w:val="0"/>
              <w:spacing w:after="0" w:line="46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1DDB6264">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建筑工程</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7AAEF221">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pacing w:val="0"/>
                <w:sz w:val="24"/>
                <w:szCs w:val="24"/>
                <w:highlight w:val="none"/>
              </w:rPr>
            </w:pPr>
            <w:r>
              <w:rPr>
                <w:rFonts w:hint="eastAsia" w:ascii="宋体" w:hAnsi="宋体" w:eastAsia="宋体" w:cs="宋体"/>
                <w:color w:val="auto"/>
                <w:sz w:val="24"/>
                <w:szCs w:val="24"/>
                <w:highlight w:val="none"/>
              </w:rPr>
              <w:t>中华人民共和国一级造价工程师注册证书</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714B6F49">
            <w:pPr>
              <w:keepNext w:val="0"/>
              <w:keepLines w:val="0"/>
              <w:pageBreakBefore w:val="0"/>
              <w:widowControl/>
              <w:shd w:val="clear" w:color="auto" w:fill="FFFFFF"/>
              <w:kinsoku/>
              <w:wordWrap/>
              <w:overflowPunct/>
              <w:topLinePunct w:val="0"/>
              <w:bidi w:val="0"/>
              <w:adjustRightInd w:val="0"/>
              <w:snapToGrid w:val="0"/>
              <w:spacing w:after="0"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929" w:type="dxa"/>
            <w:tcBorders>
              <w:left w:val="single" w:color="auto" w:sz="4" w:space="0"/>
              <w:right w:val="single" w:color="auto" w:sz="8" w:space="0"/>
            </w:tcBorders>
            <w:noWrap w:val="0"/>
            <w:vAlign w:val="center"/>
          </w:tcPr>
          <w:p w14:paraId="5D6A242B">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全过程参与</w:t>
            </w:r>
          </w:p>
        </w:tc>
      </w:tr>
      <w:tr w14:paraId="1A5BE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50" w:type="dxa"/>
            <w:tcBorders>
              <w:top w:val="single" w:color="auto" w:sz="4" w:space="0"/>
              <w:left w:val="single" w:color="auto" w:sz="8" w:space="0"/>
              <w:bottom w:val="single" w:color="auto" w:sz="4" w:space="0"/>
              <w:right w:val="single" w:color="auto" w:sz="4" w:space="0"/>
            </w:tcBorders>
            <w:noWrap w:val="0"/>
            <w:vAlign w:val="center"/>
          </w:tcPr>
          <w:p w14:paraId="169BF15C">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跟踪人员（造价岗位1）</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0FE7D78F">
            <w:pPr>
              <w:keepNext w:val="0"/>
              <w:keepLines w:val="0"/>
              <w:pageBreakBefore w:val="0"/>
              <w:widowControl/>
              <w:shd w:val="clear" w:color="auto" w:fill="FFFFFF"/>
              <w:kinsoku/>
              <w:wordWrap/>
              <w:overflowPunct/>
              <w:topLinePunct w:val="0"/>
              <w:bidi w:val="0"/>
              <w:adjustRightInd w:val="0"/>
              <w:snapToGrid w:val="0"/>
              <w:spacing w:after="0" w:line="4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2964D27A">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lang w:val="en-US" w:eastAsia="zh-CN"/>
              </w:rPr>
              <w:t>安装工程</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7FC13BD7">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pacing w:val="0"/>
                <w:sz w:val="24"/>
                <w:szCs w:val="24"/>
                <w:highlight w:val="none"/>
              </w:rPr>
            </w:pPr>
            <w:r>
              <w:rPr>
                <w:rFonts w:hint="eastAsia" w:ascii="宋体" w:hAnsi="宋体" w:eastAsia="宋体" w:cs="宋体"/>
                <w:color w:val="auto"/>
                <w:sz w:val="24"/>
                <w:szCs w:val="24"/>
                <w:highlight w:val="none"/>
              </w:rPr>
              <w:t>中华人民共和国一级造价工程师注册证书</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19F97CDC">
            <w:pPr>
              <w:keepNext w:val="0"/>
              <w:keepLines w:val="0"/>
              <w:pageBreakBefore w:val="0"/>
              <w:widowControl/>
              <w:shd w:val="clear" w:color="auto" w:fill="FFFFFF"/>
              <w:kinsoku/>
              <w:wordWrap/>
              <w:overflowPunct/>
              <w:topLinePunct w:val="0"/>
              <w:bidi w:val="0"/>
              <w:adjustRightInd w:val="0"/>
              <w:snapToGrid w:val="0"/>
              <w:spacing w:after="0" w:line="460" w:lineRule="exact"/>
              <w:ind w:firstLine="480" w:firstLineChars="200"/>
              <w:jc w:val="left"/>
              <w:rPr>
                <w:rFonts w:hint="eastAsia" w:ascii="宋体" w:hAnsi="宋体" w:eastAsia="宋体" w:cs="宋体"/>
                <w:color w:val="auto"/>
                <w:sz w:val="24"/>
                <w:szCs w:val="24"/>
                <w:highlight w:val="none"/>
              </w:rPr>
            </w:pPr>
          </w:p>
        </w:tc>
        <w:tc>
          <w:tcPr>
            <w:tcW w:w="1929" w:type="dxa"/>
            <w:tcBorders>
              <w:left w:val="single" w:color="auto" w:sz="4" w:space="0"/>
              <w:right w:val="single" w:color="auto" w:sz="8" w:space="0"/>
            </w:tcBorders>
            <w:noWrap w:val="0"/>
            <w:vAlign w:val="center"/>
          </w:tcPr>
          <w:p w14:paraId="62C413F6">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全过程参与</w:t>
            </w:r>
          </w:p>
        </w:tc>
      </w:tr>
      <w:tr w14:paraId="7A02C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50" w:type="dxa"/>
            <w:tcBorders>
              <w:top w:val="single" w:color="auto" w:sz="4" w:space="0"/>
              <w:left w:val="single" w:color="auto" w:sz="8" w:space="0"/>
              <w:bottom w:val="single" w:color="auto" w:sz="4" w:space="0"/>
              <w:right w:val="single" w:color="auto" w:sz="4" w:space="0"/>
            </w:tcBorders>
            <w:noWrap w:val="0"/>
            <w:vAlign w:val="center"/>
          </w:tcPr>
          <w:p w14:paraId="745C606B">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跟踪人员（造价岗位1）</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44A5C4D1">
            <w:pPr>
              <w:keepNext w:val="0"/>
              <w:keepLines w:val="0"/>
              <w:pageBreakBefore w:val="0"/>
              <w:widowControl/>
              <w:shd w:val="clear" w:color="auto" w:fill="FFFFFF"/>
              <w:kinsoku/>
              <w:wordWrap/>
              <w:overflowPunct/>
              <w:topLinePunct w:val="0"/>
              <w:bidi w:val="0"/>
              <w:adjustRightInd w:val="0"/>
              <w:snapToGrid w:val="0"/>
              <w:spacing w:after="0" w:line="4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03" w:type="dxa"/>
            <w:tcBorders>
              <w:top w:val="single" w:color="auto" w:sz="4" w:space="0"/>
              <w:left w:val="single" w:color="auto" w:sz="4" w:space="0"/>
              <w:bottom w:val="single" w:color="auto" w:sz="4" w:space="0"/>
              <w:right w:val="single" w:color="auto" w:sz="4" w:space="0"/>
            </w:tcBorders>
            <w:noWrap w:val="0"/>
            <w:vAlign w:val="center"/>
          </w:tcPr>
          <w:p w14:paraId="33A98B15">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安装工程</w:t>
            </w:r>
          </w:p>
        </w:tc>
        <w:tc>
          <w:tcPr>
            <w:tcW w:w="2505" w:type="dxa"/>
            <w:tcBorders>
              <w:top w:val="single" w:color="auto" w:sz="4" w:space="0"/>
              <w:left w:val="single" w:color="auto" w:sz="4" w:space="0"/>
              <w:bottom w:val="single" w:color="auto" w:sz="4" w:space="0"/>
              <w:right w:val="single" w:color="auto" w:sz="4" w:space="0"/>
            </w:tcBorders>
            <w:noWrap w:val="0"/>
            <w:vAlign w:val="center"/>
          </w:tcPr>
          <w:p w14:paraId="647A5E79">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造价工程师注册证书</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01B93D51">
            <w:pPr>
              <w:keepNext w:val="0"/>
              <w:keepLines w:val="0"/>
              <w:pageBreakBefore w:val="0"/>
              <w:widowControl/>
              <w:shd w:val="clear" w:color="auto" w:fill="FFFFFF"/>
              <w:kinsoku/>
              <w:wordWrap/>
              <w:overflowPunct/>
              <w:topLinePunct w:val="0"/>
              <w:bidi w:val="0"/>
              <w:adjustRightInd w:val="0"/>
              <w:snapToGrid w:val="0"/>
              <w:spacing w:after="0" w:line="460" w:lineRule="exact"/>
              <w:ind w:firstLine="480" w:firstLineChars="200"/>
              <w:jc w:val="left"/>
              <w:rPr>
                <w:rFonts w:hint="eastAsia" w:ascii="宋体" w:hAnsi="宋体" w:eastAsia="宋体" w:cs="宋体"/>
                <w:color w:val="auto"/>
                <w:sz w:val="24"/>
                <w:szCs w:val="24"/>
                <w:highlight w:val="none"/>
              </w:rPr>
            </w:pPr>
          </w:p>
        </w:tc>
        <w:tc>
          <w:tcPr>
            <w:tcW w:w="1929" w:type="dxa"/>
            <w:tcBorders>
              <w:left w:val="single" w:color="auto" w:sz="4" w:space="0"/>
              <w:right w:val="single" w:color="auto" w:sz="8" w:space="0"/>
            </w:tcBorders>
            <w:noWrap w:val="0"/>
            <w:vAlign w:val="center"/>
          </w:tcPr>
          <w:p w14:paraId="7B972543">
            <w:pPr>
              <w:keepNext w:val="0"/>
              <w:keepLines w:val="0"/>
              <w:pageBreakBefore w:val="0"/>
              <w:widowControl/>
              <w:shd w:val="clear" w:color="auto" w:fill="FFFFFF"/>
              <w:kinsoku/>
              <w:wordWrap/>
              <w:overflowPunct/>
              <w:topLinePunct w:val="0"/>
              <w:bidi w:val="0"/>
              <w:adjustRightInd w:val="0"/>
              <w:snapToGrid w:val="0"/>
              <w:spacing w:after="0"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全过程参与</w:t>
            </w:r>
          </w:p>
        </w:tc>
      </w:tr>
    </w:tbl>
    <w:p w14:paraId="11F1A567">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注：1、不含文秘、驾驶员、后勤人员等辅助人员，辅助人员由服务单位按一定比例自行配备。</w:t>
      </w:r>
    </w:p>
    <w:p w14:paraId="6CB4A236">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2、为完成本项工程，人员安排应科学合理并充分满足本工程实际需要，其人员可自行补充，并不得少于</w:t>
      </w:r>
      <w:r>
        <w:rPr>
          <w:rFonts w:hint="eastAsia" w:ascii="宋体" w:hAnsi="宋体" w:eastAsia="宋体" w:cs="宋体"/>
          <w:color w:val="auto"/>
          <w:sz w:val="24"/>
          <w:szCs w:val="24"/>
          <w:highlight w:val="none"/>
          <w:lang w:val="en-US" w:eastAsia="zh-CN"/>
        </w:rPr>
        <w:t>此表</w:t>
      </w:r>
      <w:r>
        <w:rPr>
          <w:rFonts w:hint="eastAsia" w:ascii="宋体" w:hAnsi="宋体" w:eastAsia="宋体" w:cs="宋体"/>
          <w:color w:val="auto"/>
          <w:sz w:val="24"/>
          <w:szCs w:val="24"/>
          <w:highlight w:val="none"/>
        </w:rPr>
        <w:t>规定配备的相应人员。具体实施过程中人员可根据项目推进情况及</w:t>
      </w:r>
      <w:r>
        <w:rPr>
          <w:rFonts w:hint="eastAsia" w:ascii="宋体" w:hAnsi="宋体" w:eastAsia="宋体" w:cs="宋体"/>
          <w:color w:val="auto"/>
          <w:sz w:val="24"/>
          <w:szCs w:val="24"/>
          <w:highlight w:val="none"/>
          <w:lang w:val="en-US" w:eastAsia="zh-CN"/>
        </w:rPr>
        <w:t>建设单位</w:t>
      </w:r>
      <w:r>
        <w:rPr>
          <w:rFonts w:hint="eastAsia" w:ascii="宋体" w:hAnsi="宋体" w:eastAsia="宋体" w:cs="宋体"/>
          <w:color w:val="auto"/>
          <w:sz w:val="24"/>
          <w:szCs w:val="24"/>
          <w:highlight w:val="none"/>
        </w:rPr>
        <w:t>要求进行配置，</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应无条件认同。</w:t>
      </w:r>
    </w:p>
    <w:p w14:paraId="040222F7">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内需符合</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表的有效证明资料。</w:t>
      </w:r>
    </w:p>
    <w:p w14:paraId="00EAF5A7">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4、涉及服务人员的：若在本项目</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公告发布之日前，</w:t>
      </w:r>
      <w:r>
        <w:rPr>
          <w:rFonts w:hint="eastAsia" w:ascii="宋体" w:hAnsi="宋体" w:eastAsia="宋体" w:cs="宋体"/>
          <w:color w:val="auto"/>
          <w:sz w:val="24"/>
          <w:szCs w:val="24"/>
          <w:highlight w:val="none"/>
          <w:lang w:val="en-US" w:eastAsia="zh-CN"/>
        </w:rPr>
        <w:t>拟投入的</w:t>
      </w:r>
      <w:r>
        <w:rPr>
          <w:rFonts w:hint="eastAsia" w:ascii="宋体" w:hAnsi="宋体" w:eastAsia="宋体" w:cs="宋体"/>
          <w:color w:val="auto"/>
          <w:sz w:val="24"/>
          <w:szCs w:val="24"/>
          <w:highlight w:val="none"/>
        </w:rPr>
        <w:t>造价</w:t>
      </w:r>
      <w:r>
        <w:rPr>
          <w:rFonts w:hint="eastAsia" w:ascii="宋体" w:hAnsi="宋体" w:eastAsia="宋体" w:cs="宋体"/>
          <w:color w:val="auto"/>
          <w:sz w:val="24"/>
          <w:szCs w:val="24"/>
          <w:highlight w:val="none"/>
          <w:lang w:val="en-US" w:eastAsia="zh-CN"/>
        </w:rPr>
        <w:t>服务人员</w:t>
      </w:r>
      <w:r>
        <w:rPr>
          <w:rFonts w:hint="eastAsia" w:ascii="宋体" w:hAnsi="宋体" w:eastAsia="宋体" w:cs="宋体"/>
          <w:color w:val="auto"/>
          <w:sz w:val="24"/>
          <w:szCs w:val="24"/>
          <w:highlight w:val="none"/>
        </w:rPr>
        <w:t>未注册</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注册有效期过期（能提供正在办理续期注册的相关证明除外）或未变更</w:t>
      </w:r>
      <w:r>
        <w:rPr>
          <w:rFonts w:hint="eastAsia" w:ascii="宋体" w:hAnsi="宋体" w:eastAsia="宋体" w:cs="宋体"/>
          <w:color w:val="auto"/>
          <w:sz w:val="24"/>
          <w:szCs w:val="24"/>
          <w:highlight w:val="none"/>
          <w:lang w:val="en-US" w:eastAsia="zh-CN"/>
        </w:rPr>
        <w:t>或本项目交易</w:t>
      </w:r>
      <w:r>
        <w:rPr>
          <w:rFonts w:hint="eastAsia" w:ascii="宋体" w:hAnsi="宋体" w:eastAsia="宋体" w:cs="宋体"/>
          <w:color w:val="auto"/>
          <w:sz w:val="24"/>
          <w:szCs w:val="24"/>
          <w:highlight w:val="none"/>
        </w:rPr>
        <w:t>截止时间前已转注到其他单位（含分支机构）的，均不予认可。</w:t>
      </w:r>
    </w:p>
    <w:p w14:paraId="1BD74B5E">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五、服务费用</w:t>
      </w:r>
    </w:p>
    <w:p w14:paraId="6C221C69">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交易响应单位</w:t>
      </w:r>
      <w:r>
        <w:rPr>
          <w:rFonts w:hint="eastAsia" w:ascii="宋体" w:hAnsi="宋体" w:eastAsia="宋体" w:cs="宋体"/>
          <w:color w:val="auto"/>
          <w:sz w:val="24"/>
          <w:szCs w:val="24"/>
          <w:highlight w:val="none"/>
        </w:rPr>
        <w:t>结合相关文件进行</w:t>
      </w:r>
      <w:r>
        <w:rPr>
          <w:rFonts w:hint="eastAsia" w:ascii="宋体" w:hAnsi="宋体" w:eastAsia="宋体" w:cs="宋体"/>
          <w:color w:val="auto"/>
          <w:sz w:val="24"/>
          <w:szCs w:val="24"/>
          <w:highlight w:val="none"/>
          <w:lang w:eastAsia="zh-CN"/>
        </w:rPr>
        <w:t>交易响应报价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交易响应单位</w:t>
      </w:r>
      <w:r>
        <w:rPr>
          <w:rFonts w:hint="eastAsia" w:ascii="宋体" w:hAnsi="宋体" w:eastAsia="宋体" w:cs="宋体"/>
          <w:color w:val="auto"/>
          <w:sz w:val="24"/>
          <w:szCs w:val="24"/>
          <w:highlight w:val="none"/>
        </w:rPr>
        <w:t>应充分考虑跟踪审计服务期间包括发生的食宿、交通、出具审核报告的装订费、打印费、场地租赁、各类价格的风险、物价上涨因素、国家政策性调整风险和自然条件等，全部费用由</w:t>
      </w:r>
      <w:r>
        <w:rPr>
          <w:rFonts w:hint="eastAsia" w:ascii="宋体" w:hAnsi="宋体" w:eastAsia="宋体" w:cs="宋体"/>
          <w:color w:val="auto"/>
          <w:sz w:val="24"/>
          <w:szCs w:val="24"/>
          <w:highlight w:val="none"/>
          <w:lang w:eastAsia="zh-CN"/>
        </w:rPr>
        <w:t>交易响应单位</w:t>
      </w:r>
      <w:r>
        <w:rPr>
          <w:rFonts w:hint="eastAsia" w:ascii="宋体" w:hAnsi="宋体" w:eastAsia="宋体" w:cs="宋体"/>
          <w:color w:val="auto"/>
          <w:sz w:val="24"/>
          <w:szCs w:val="24"/>
          <w:highlight w:val="none"/>
        </w:rPr>
        <w:t>自理，</w:t>
      </w:r>
      <w:r>
        <w:rPr>
          <w:rFonts w:hint="eastAsia" w:ascii="宋体" w:hAnsi="宋体" w:eastAsia="宋体" w:cs="宋体"/>
          <w:color w:val="auto"/>
          <w:sz w:val="24"/>
          <w:szCs w:val="24"/>
          <w:highlight w:val="none"/>
          <w:lang w:eastAsia="zh-CN"/>
        </w:rPr>
        <w:t>交易响应单位</w:t>
      </w:r>
      <w:r>
        <w:rPr>
          <w:rFonts w:hint="eastAsia" w:ascii="宋体" w:hAnsi="宋体" w:eastAsia="宋体" w:cs="宋体"/>
          <w:color w:val="auto"/>
          <w:sz w:val="24"/>
          <w:szCs w:val="24"/>
          <w:highlight w:val="none"/>
        </w:rPr>
        <w:t>的报价中应充分考虑此等相关费用。</w:t>
      </w:r>
    </w:p>
    <w:p w14:paraId="7538CDEF">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w:t>
      </w:r>
      <w:r>
        <w:rPr>
          <w:rFonts w:hint="eastAsia" w:ascii="宋体" w:hAnsi="宋体" w:eastAsia="宋体" w:cs="宋体"/>
          <w:b w:val="0"/>
          <w:bCs w:val="0"/>
          <w:color w:val="auto"/>
          <w:sz w:val="24"/>
          <w:szCs w:val="24"/>
          <w:highlight w:val="none"/>
          <w:lang w:eastAsia="zh-CN"/>
        </w:rPr>
        <w:t>成交单位</w:t>
      </w:r>
      <w:r>
        <w:rPr>
          <w:rFonts w:hint="eastAsia" w:ascii="宋体" w:hAnsi="宋体" w:eastAsia="宋体" w:cs="宋体"/>
          <w:b w:val="0"/>
          <w:bCs w:val="0"/>
          <w:color w:val="auto"/>
          <w:sz w:val="24"/>
          <w:szCs w:val="24"/>
          <w:highlight w:val="none"/>
        </w:rPr>
        <w:t>的确定</w:t>
      </w:r>
    </w:p>
    <w:p w14:paraId="472CCFAD">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本次交易</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评审委员会</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办法对</w:t>
      </w:r>
      <w:r>
        <w:rPr>
          <w:rFonts w:hint="eastAsia" w:ascii="宋体" w:hAnsi="宋体" w:eastAsia="宋体" w:cs="宋体"/>
          <w:color w:val="auto"/>
          <w:sz w:val="24"/>
          <w:szCs w:val="24"/>
          <w:highlight w:val="none"/>
          <w:lang w:eastAsia="zh-CN"/>
        </w:rPr>
        <w:t>交易响应文件</w:t>
      </w:r>
      <w:r>
        <w:rPr>
          <w:rFonts w:hint="eastAsia" w:ascii="宋体" w:hAnsi="宋体" w:eastAsia="宋体" w:cs="宋体"/>
          <w:color w:val="auto"/>
          <w:sz w:val="24"/>
          <w:szCs w:val="24"/>
          <w:highlight w:val="none"/>
        </w:rPr>
        <w:t>进行综合打分，以最终得分从高到低依次进行排序，推荐分数最高的1家为</w:t>
      </w:r>
      <w:r>
        <w:rPr>
          <w:rFonts w:hint="eastAsia" w:ascii="宋体" w:hAnsi="宋体" w:eastAsia="宋体" w:cs="宋体"/>
          <w:color w:val="auto"/>
          <w:sz w:val="24"/>
          <w:szCs w:val="24"/>
          <w:highlight w:val="none"/>
          <w:lang w:eastAsia="zh-CN"/>
        </w:rPr>
        <w:t>成交候选单位</w:t>
      </w:r>
      <w:r>
        <w:rPr>
          <w:rFonts w:hint="eastAsia" w:ascii="宋体" w:hAnsi="宋体" w:eastAsia="宋体" w:cs="宋体"/>
          <w:color w:val="auto"/>
          <w:sz w:val="24"/>
          <w:szCs w:val="24"/>
          <w:highlight w:val="none"/>
        </w:rPr>
        <w:t>。</w:t>
      </w:r>
    </w:p>
    <w:p w14:paraId="16093E46">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后，项目委托管理具体事项由采购人确定。</w:t>
      </w:r>
    </w:p>
    <w:p w14:paraId="1EF9E923">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七、其他</w:t>
      </w:r>
    </w:p>
    <w:p w14:paraId="671C220C">
      <w:pPr>
        <w:keepNext w:val="0"/>
        <w:keepLines w:val="0"/>
        <w:pageBreakBefore w:val="0"/>
        <w:widowControl/>
        <w:shd w:val="clear" w:color="auto" w:fill="FFFFFF"/>
        <w:kinsoku/>
        <w:wordWrap/>
        <w:overflowPunct/>
        <w:topLinePunct w:val="0"/>
        <w:autoSpaceDE/>
        <w:autoSpaceDN/>
        <w:bidi w:val="0"/>
        <w:adjustRightInd w:val="0"/>
        <w:snapToGrid/>
        <w:spacing w:after="0" w:line="460" w:lineRule="exact"/>
        <w:ind w:firstLine="480" w:firstLineChars="200"/>
        <w:jc w:val="lef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rPr>
        <w:t>7.1本项目服务费暂按工程建安造价</w:t>
      </w:r>
      <w:r>
        <w:rPr>
          <w:rFonts w:hint="eastAsia" w:ascii="宋体" w:hAnsi="宋体" w:eastAsia="宋体" w:cs="宋体"/>
          <w:b w:val="0"/>
          <w:bCs w:val="0"/>
          <w:color w:val="auto"/>
          <w:kern w:val="2"/>
          <w:sz w:val="24"/>
          <w:szCs w:val="24"/>
          <w:highlight w:val="none"/>
          <w:u w:val="none"/>
          <w:lang w:val="en-US" w:eastAsia="zh-CN"/>
        </w:rPr>
        <w:t>249600</w:t>
      </w:r>
      <w:r>
        <w:rPr>
          <w:rFonts w:hint="eastAsia" w:ascii="宋体" w:hAnsi="宋体" w:eastAsia="宋体" w:cs="宋体"/>
          <w:b w:val="0"/>
          <w:bCs w:val="0"/>
          <w:color w:val="auto"/>
          <w:kern w:val="2"/>
          <w:sz w:val="24"/>
          <w:szCs w:val="24"/>
          <w:highlight w:val="none"/>
        </w:rPr>
        <w:t>万元（最终以结算审核为准）为取费基数，</w:t>
      </w:r>
      <w:r>
        <w:rPr>
          <w:rFonts w:hint="eastAsia" w:ascii="宋体" w:hAnsi="宋体" w:eastAsia="宋体" w:cs="宋体"/>
          <w:b w:val="0"/>
          <w:bCs w:val="0"/>
          <w:color w:val="auto"/>
          <w:kern w:val="2"/>
          <w:sz w:val="24"/>
          <w:szCs w:val="24"/>
          <w:highlight w:val="none"/>
          <w:lang w:eastAsia="zh-CN"/>
        </w:rPr>
        <w:t>交易响应单位</w:t>
      </w:r>
      <w:r>
        <w:rPr>
          <w:rFonts w:hint="eastAsia" w:ascii="宋体" w:hAnsi="宋体" w:eastAsia="宋体" w:cs="宋体"/>
          <w:b w:val="0"/>
          <w:bCs w:val="0"/>
          <w:color w:val="auto"/>
          <w:kern w:val="2"/>
          <w:sz w:val="24"/>
          <w:szCs w:val="24"/>
          <w:highlight w:val="none"/>
        </w:rPr>
        <w:t>应根据</w:t>
      </w:r>
      <w:r>
        <w:rPr>
          <w:rFonts w:hint="eastAsia" w:ascii="宋体" w:hAnsi="宋体" w:eastAsia="宋体" w:cs="宋体"/>
          <w:b w:val="0"/>
          <w:bCs w:val="0"/>
          <w:color w:val="auto"/>
          <w:kern w:val="2"/>
          <w:sz w:val="24"/>
          <w:szCs w:val="24"/>
          <w:highlight w:val="none"/>
          <w:lang w:eastAsia="zh-CN"/>
        </w:rPr>
        <w:t>交易文件</w:t>
      </w:r>
      <w:r>
        <w:rPr>
          <w:rFonts w:hint="eastAsia" w:ascii="宋体" w:hAnsi="宋体" w:eastAsia="宋体" w:cs="宋体"/>
          <w:b w:val="0"/>
          <w:bCs w:val="0"/>
          <w:color w:val="auto"/>
          <w:kern w:val="2"/>
          <w:sz w:val="24"/>
          <w:szCs w:val="24"/>
          <w:highlight w:val="none"/>
        </w:rPr>
        <w:t>提供的取费标准结合自身能力和力量的投入进行报价，</w:t>
      </w:r>
      <w:r>
        <w:rPr>
          <w:rFonts w:hint="eastAsia" w:ascii="宋体" w:hAnsi="宋体" w:eastAsia="宋体" w:cs="宋体"/>
          <w:b w:val="0"/>
          <w:bCs w:val="0"/>
          <w:color w:val="auto"/>
          <w:kern w:val="2"/>
          <w:sz w:val="24"/>
          <w:szCs w:val="24"/>
          <w:highlight w:val="none"/>
          <w:lang w:val="en-US" w:eastAsia="zh-CN"/>
        </w:rPr>
        <w:t>本项目交易</w:t>
      </w:r>
      <w:r>
        <w:rPr>
          <w:rFonts w:hint="eastAsia" w:ascii="宋体" w:hAnsi="宋体" w:eastAsia="宋体" w:cs="宋体"/>
          <w:b/>
          <w:bCs/>
          <w:color w:val="auto"/>
          <w:kern w:val="2"/>
          <w:sz w:val="24"/>
          <w:szCs w:val="24"/>
          <w:highlight w:val="none"/>
          <w:u w:val="single"/>
        </w:rPr>
        <w:t>预算价为</w:t>
      </w:r>
      <w:r>
        <w:rPr>
          <w:rFonts w:hint="eastAsia" w:ascii="宋体" w:hAnsi="宋体" w:eastAsia="宋体" w:cs="宋体"/>
          <w:b/>
          <w:bCs/>
          <w:color w:val="auto"/>
          <w:kern w:val="2"/>
          <w:sz w:val="24"/>
          <w:szCs w:val="24"/>
          <w:highlight w:val="none"/>
          <w:u w:val="single"/>
          <w:lang w:val="en-US" w:eastAsia="zh-CN"/>
        </w:rPr>
        <w:t>660</w:t>
      </w:r>
      <w:r>
        <w:rPr>
          <w:rFonts w:hint="eastAsia" w:ascii="宋体" w:hAnsi="宋体" w:eastAsia="宋体" w:cs="宋体"/>
          <w:b/>
          <w:bCs/>
          <w:color w:val="auto"/>
          <w:kern w:val="2"/>
          <w:sz w:val="24"/>
          <w:szCs w:val="24"/>
          <w:highlight w:val="none"/>
          <w:u w:val="single"/>
        </w:rPr>
        <w:t>万元，</w:t>
      </w:r>
      <w:r>
        <w:rPr>
          <w:rFonts w:hint="eastAsia" w:ascii="宋体" w:hAnsi="宋体" w:eastAsia="宋体" w:cs="宋体"/>
          <w:b/>
          <w:bCs/>
          <w:color w:val="auto"/>
          <w:kern w:val="2"/>
          <w:sz w:val="24"/>
          <w:szCs w:val="24"/>
          <w:highlight w:val="none"/>
          <w:u w:val="single"/>
          <w:lang w:val="en-US" w:eastAsia="zh-CN"/>
        </w:rPr>
        <w:t>风险控制价528万元</w:t>
      </w:r>
      <w:r>
        <w:rPr>
          <w:rFonts w:hint="eastAsia" w:ascii="宋体" w:hAnsi="宋体" w:eastAsia="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eastAsia="zh-CN"/>
        </w:rPr>
        <w:t>交易响应报价</w:t>
      </w:r>
      <w:r>
        <w:rPr>
          <w:rFonts w:hint="eastAsia" w:ascii="宋体" w:hAnsi="宋体" w:eastAsia="宋体" w:cs="宋体"/>
          <w:b w:val="0"/>
          <w:bCs w:val="0"/>
          <w:color w:val="auto"/>
          <w:kern w:val="2"/>
          <w:sz w:val="24"/>
          <w:szCs w:val="24"/>
          <w:highlight w:val="none"/>
        </w:rPr>
        <w:t>精确到元，</w:t>
      </w:r>
      <w:r>
        <w:rPr>
          <w:rFonts w:hint="eastAsia" w:ascii="宋体" w:hAnsi="宋体" w:eastAsia="宋体" w:cs="宋体"/>
          <w:b w:val="0"/>
          <w:bCs w:val="0"/>
          <w:color w:val="auto"/>
          <w:kern w:val="2"/>
          <w:sz w:val="24"/>
          <w:szCs w:val="24"/>
          <w:highlight w:val="none"/>
          <w:lang w:eastAsia="zh-CN"/>
        </w:rPr>
        <w:t>交易响应报价</w:t>
      </w:r>
      <w:r>
        <w:rPr>
          <w:rFonts w:hint="eastAsia" w:ascii="宋体" w:hAnsi="宋体" w:eastAsia="宋体" w:cs="宋体"/>
          <w:b w:val="0"/>
          <w:bCs w:val="0"/>
          <w:color w:val="auto"/>
          <w:kern w:val="2"/>
          <w:sz w:val="24"/>
          <w:szCs w:val="24"/>
          <w:highlight w:val="none"/>
        </w:rPr>
        <w:t>超过最高限价的作</w:t>
      </w:r>
      <w:r>
        <w:rPr>
          <w:rFonts w:hint="eastAsia" w:ascii="宋体" w:hAnsi="宋体" w:eastAsia="宋体" w:cs="宋体"/>
          <w:b w:val="0"/>
          <w:bCs w:val="0"/>
          <w:color w:val="auto"/>
          <w:kern w:val="2"/>
          <w:sz w:val="24"/>
          <w:szCs w:val="24"/>
          <w:highlight w:val="none"/>
          <w:lang w:eastAsia="zh-CN"/>
        </w:rPr>
        <w:t>无效响应</w:t>
      </w:r>
      <w:r>
        <w:rPr>
          <w:rFonts w:hint="eastAsia" w:ascii="宋体" w:hAnsi="宋体" w:eastAsia="宋体" w:cs="宋体"/>
          <w:b w:val="0"/>
          <w:bCs w:val="0"/>
          <w:color w:val="auto"/>
          <w:kern w:val="2"/>
          <w:sz w:val="24"/>
          <w:szCs w:val="24"/>
          <w:highlight w:val="none"/>
        </w:rPr>
        <w:t>处理。</w:t>
      </w:r>
      <w:r>
        <w:rPr>
          <w:rFonts w:hint="eastAsia" w:ascii="宋体" w:hAnsi="宋体" w:eastAsia="宋体" w:cs="宋体"/>
          <w:b w:val="0"/>
          <w:bCs w:val="0"/>
          <w:color w:val="auto"/>
          <w:kern w:val="2"/>
          <w:sz w:val="24"/>
          <w:szCs w:val="24"/>
          <w:highlight w:val="none"/>
          <w:lang w:eastAsia="zh-CN"/>
        </w:rPr>
        <w:t>成交</w:t>
      </w:r>
      <w:r>
        <w:rPr>
          <w:rFonts w:hint="eastAsia" w:ascii="宋体" w:hAnsi="宋体" w:eastAsia="宋体" w:cs="宋体"/>
          <w:b w:val="0"/>
          <w:bCs w:val="0"/>
          <w:color w:val="auto"/>
          <w:kern w:val="2"/>
          <w:sz w:val="24"/>
          <w:szCs w:val="24"/>
          <w:highlight w:val="none"/>
          <w:lang w:val="en-US" w:eastAsia="zh-CN"/>
        </w:rPr>
        <w:t>价</w:t>
      </w:r>
      <w:r>
        <w:rPr>
          <w:rFonts w:hint="eastAsia" w:ascii="宋体" w:hAnsi="宋体" w:eastAsia="宋体" w:cs="宋体"/>
          <w:b w:val="0"/>
          <w:bCs w:val="0"/>
          <w:color w:val="auto"/>
          <w:kern w:val="2"/>
          <w:sz w:val="24"/>
          <w:szCs w:val="24"/>
          <w:highlight w:val="none"/>
        </w:rPr>
        <w:t>为一次性包干今后不做调整。</w:t>
      </w:r>
      <w:r>
        <w:rPr>
          <w:rFonts w:hint="eastAsia" w:ascii="宋体" w:hAnsi="宋体" w:eastAsia="宋体" w:cs="宋体"/>
          <w:b w:val="0"/>
          <w:bCs w:val="0"/>
          <w:color w:val="auto"/>
          <w:kern w:val="2"/>
          <w:sz w:val="24"/>
          <w:szCs w:val="24"/>
          <w:highlight w:val="none"/>
          <w:lang w:val="en-US" w:eastAsia="zh-CN"/>
        </w:rPr>
        <w:t>最终服务费中标价各项服务费用，按下表计算。</w:t>
      </w:r>
      <w:r>
        <w:rPr>
          <w:rFonts w:hint="eastAsia" w:ascii="宋体" w:hAnsi="宋体" w:eastAsia="宋体" w:cs="宋体"/>
          <w:b/>
          <w:bCs/>
          <w:color w:val="auto"/>
          <w:kern w:val="2"/>
          <w:sz w:val="24"/>
          <w:szCs w:val="24"/>
          <w:highlight w:val="none"/>
          <w:lang w:val="en-US" w:eastAsia="zh-CN"/>
        </w:rPr>
        <w:t>追加审计费超过5%以外部分，收取5%的跟审追加服务费，由乙方向工程总承包方收取；若工程总承包方不予支付的，由甲方在其工程款中，无条件扣留。</w:t>
      </w:r>
    </w:p>
    <w:tbl>
      <w:tblPr>
        <w:tblStyle w:val="62"/>
        <w:tblW w:w="90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2981"/>
        <w:gridCol w:w="3733"/>
        <w:gridCol w:w="1563"/>
      </w:tblGrid>
      <w:tr w14:paraId="3DD0D842">
        <w:tblPrEx>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0892">
            <w:pPr>
              <w:keepNext w:val="0"/>
              <w:keepLines w:val="0"/>
              <w:pageBreakBefore w:val="0"/>
              <w:widowControl/>
              <w:suppressLineNumbers w:val="0"/>
              <w:kinsoku/>
              <w:wordWrap/>
              <w:overflowPunct/>
              <w:topLinePunct w:val="0"/>
              <w:bidi w:val="0"/>
              <w:spacing w:line="460" w:lineRule="exact"/>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784F">
            <w:pPr>
              <w:keepNext w:val="0"/>
              <w:keepLines w:val="0"/>
              <w:pageBreakBefore w:val="0"/>
              <w:widowControl/>
              <w:suppressLineNumbers w:val="0"/>
              <w:kinsoku/>
              <w:wordWrap/>
              <w:overflowPunct/>
              <w:topLinePunct w:val="0"/>
              <w:bidi w:val="0"/>
              <w:spacing w:line="460" w:lineRule="exact"/>
              <w:ind w:firstLine="482" w:firstLineChars="2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服务名称</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5944">
            <w:pPr>
              <w:keepNext w:val="0"/>
              <w:keepLines w:val="0"/>
              <w:pageBreakBefore w:val="0"/>
              <w:widowControl/>
              <w:suppressLineNumbers w:val="0"/>
              <w:kinsoku/>
              <w:wordWrap/>
              <w:overflowPunct/>
              <w:topLinePunct w:val="0"/>
              <w:bidi w:val="0"/>
              <w:spacing w:line="460" w:lineRule="exact"/>
              <w:ind w:firstLine="482" w:firstLineChars="2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费用计算公式</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9EB3">
            <w:pPr>
              <w:keepNext w:val="0"/>
              <w:keepLines w:val="0"/>
              <w:pageBreakBefore w:val="0"/>
              <w:widowControl/>
              <w:suppressLineNumbers w:val="0"/>
              <w:kinsoku/>
              <w:wordWrap/>
              <w:overflowPunct/>
              <w:topLinePunct w:val="0"/>
              <w:bidi w:val="0"/>
              <w:spacing w:line="460" w:lineRule="exact"/>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金额（万元）</w:t>
            </w:r>
          </w:p>
        </w:tc>
      </w:tr>
      <w:tr w14:paraId="326F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22B1">
            <w:pPr>
              <w:keepNext w:val="0"/>
              <w:keepLines w:val="0"/>
              <w:pageBreakBefore w:val="0"/>
              <w:widowControl/>
              <w:suppressLineNumbers w:val="0"/>
              <w:kinsoku/>
              <w:wordWrap/>
              <w:overflowPunct/>
              <w:topLinePunct w:val="0"/>
              <w:bidi w:val="0"/>
              <w:spacing w:line="460" w:lineRule="exact"/>
              <w:ind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94D7">
            <w:pPr>
              <w:keepNext w:val="0"/>
              <w:keepLines w:val="0"/>
              <w:pageBreakBefore w:val="0"/>
              <w:widowControl/>
              <w:suppressLineNumbers w:val="0"/>
              <w:kinsoku/>
              <w:wordWrap/>
              <w:overflowPunct/>
              <w:topLinePunct w:val="0"/>
              <w:bidi w:val="0"/>
              <w:spacing w:line="460" w:lineRule="exact"/>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跟踪审计6人，到位率50%</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25E2">
            <w:pPr>
              <w:keepNext w:val="0"/>
              <w:keepLines w:val="0"/>
              <w:pageBreakBefore w:val="0"/>
              <w:widowControl/>
              <w:suppressLineNumbers w:val="0"/>
              <w:kinsoku/>
              <w:wordWrap/>
              <w:overflowPunct/>
              <w:topLinePunct w:val="0"/>
              <w:bidi w:val="0"/>
              <w:spacing w:line="460" w:lineRule="exact"/>
              <w:ind w:firstLine="480" w:firstLineChars="20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6*30万/人*0.5*4=360万</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0B30">
            <w:pPr>
              <w:keepNext w:val="0"/>
              <w:keepLines w:val="0"/>
              <w:pageBreakBefore w:val="0"/>
              <w:widowControl/>
              <w:suppressLineNumbers w:val="0"/>
              <w:kinsoku/>
              <w:wordWrap/>
              <w:overflowPunct/>
              <w:topLinePunct w:val="0"/>
              <w:bidi w:val="0"/>
              <w:spacing w:line="460" w:lineRule="exact"/>
              <w:ind w:firstLine="480" w:firstLineChars="20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360</w:t>
            </w:r>
          </w:p>
        </w:tc>
      </w:tr>
      <w:tr w14:paraId="66E2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9090">
            <w:pPr>
              <w:keepNext w:val="0"/>
              <w:keepLines w:val="0"/>
              <w:pageBreakBefore w:val="0"/>
              <w:widowControl/>
              <w:suppressLineNumbers w:val="0"/>
              <w:kinsoku/>
              <w:wordWrap/>
              <w:overflowPunct/>
              <w:topLinePunct w:val="0"/>
              <w:bidi w:val="0"/>
              <w:spacing w:line="460" w:lineRule="exact"/>
              <w:ind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6A4C">
            <w:pPr>
              <w:keepNext w:val="0"/>
              <w:keepLines w:val="0"/>
              <w:pageBreakBefore w:val="0"/>
              <w:widowControl/>
              <w:suppressLineNumbers w:val="0"/>
              <w:kinsoku/>
              <w:wordWrap/>
              <w:overflowPunct/>
              <w:topLinePunct w:val="0"/>
              <w:bidi w:val="0"/>
              <w:spacing w:line="460" w:lineRule="exact"/>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结算编制及审核（市场价测算）</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2723">
            <w:pPr>
              <w:keepNext w:val="0"/>
              <w:keepLines w:val="0"/>
              <w:pageBreakBefore w:val="0"/>
              <w:widowControl/>
              <w:suppressLineNumbers w:val="0"/>
              <w:kinsoku/>
              <w:wordWrap/>
              <w:overflowPunct/>
              <w:topLinePunct w:val="0"/>
              <w:bidi w:val="0"/>
              <w:spacing w:line="460" w:lineRule="exact"/>
              <w:ind w:firstLine="480" w:firstLineChars="20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255.58万元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A48E">
            <w:pPr>
              <w:keepNext w:val="0"/>
              <w:keepLines w:val="0"/>
              <w:pageBreakBefore w:val="0"/>
              <w:widowControl/>
              <w:suppressLineNumbers w:val="0"/>
              <w:kinsoku/>
              <w:wordWrap/>
              <w:overflowPunct/>
              <w:topLinePunct w:val="0"/>
              <w:bidi w:val="0"/>
              <w:spacing w:line="460" w:lineRule="exact"/>
              <w:ind w:firstLine="480" w:firstLineChars="20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255.58</w:t>
            </w:r>
          </w:p>
        </w:tc>
      </w:tr>
      <w:tr w14:paraId="5C3C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DAB0">
            <w:pPr>
              <w:keepNext w:val="0"/>
              <w:keepLines w:val="0"/>
              <w:pageBreakBefore w:val="0"/>
              <w:widowControl/>
              <w:suppressLineNumbers w:val="0"/>
              <w:kinsoku/>
              <w:wordWrap/>
              <w:overflowPunct/>
              <w:topLinePunct w:val="0"/>
              <w:bidi w:val="0"/>
              <w:spacing w:line="460" w:lineRule="exact"/>
              <w:ind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B280">
            <w:pPr>
              <w:keepNext w:val="0"/>
              <w:keepLines w:val="0"/>
              <w:pageBreakBefore w:val="0"/>
              <w:widowControl/>
              <w:suppressLineNumbers w:val="0"/>
              <w:kinsoku/>
              <w:wordWrap/>
              <w:overflowPunct/>
              <w:topLinePunct w:val="0"/>
              <w:bidi w:val="0"/>
              <w:spacing w:line="460" w:lineRule="exact"/>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协助咨询（一）标段工作</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F9A6">
            <w:pPr>
              <w:keepNext w:val="0"/>
              <w:keepLines w:val="0"/>
              <w:pageBreakBefore w:val="0"/>
              <w:widowControl/>
              <w:suppressLineNumbers w:val="0"/>
              <w:kinsoku/>
              <w:wordWrap/>
              <w:overflowPunct/>
              <w:topLinePunct w:val="0"/>
              <w:bidi w:val="0"/>
              <w:spacing w:line="460" w:lineRule="exact"/>
              <w:ind w:firstLine="480" w:firstLineChars="20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4年*11万/年</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69D4">
            <w:pPr>
              <w:keepNext w:val="0"/>
              <w:keepLines w:val="0"/>
              <w:pageBreakBefore w:val="0"/>
              <w:widowControl/>
              <w:suppressLineNumbers w:val="0"/>
              <w:kinsoku/>
              <w:wordWrap/>
              <w:overflowPunct/>
              <w:topLinePunct w:val="0"/>
              <w:bidi w:val="0"/>
              <w:spacing w:line="460" w:lineRule="exact"/>
              <w:ind w:firstLine="480" w:firstLineChars="20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44</w:t>
            </w:r>
          </w:p>
        </w:tc>
      </w:tr>
      <w:tr w14:paraId="1498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E473">
            <w:pPr>
              <w:keepNext w:val="0"/>
              <w:keepLines w:val="0"/>
              <w:pageBreakBefore w:val="0"/>
              <w:widowControl/>
              <w:suppressLineNumbers w:val="0"/>
              <w:kinsoku/>
              <w:wordWrap/>
              <w:overflowPunct/>
              <w:topLinePunct w:val="0"/>
              <w:bidi w:val="0"/>
              <w:spacing w:line="460" w:lineRule="exact"/>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7509">
            <w:pPr>
              <w:keepNext w:val="0"/>
              <w:keepLines w:val="0"/>
              <w:pageBreakBefore w:val="0"/>
              <w:widowControl/>
              <w:suppressLineNumbers w:val="0"/>
              <w:kinsoku/>
              <w:wordWrap/>
              <w:overflowPunct/>
              <w:topLinePunct w:val="0"/>
              <w:bidi w:val="0"/>
              <w:spacing w:line="460" w:lineRule="exact"/>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其他零星费</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4B54">
            <w:pPr>
              <w:keepNext w:val="0"/>
              <w:keepLines w:val="0"/>
              <w:pageBreakBefore w:val="0"/>
              <w:widowControl/>
              <w:suppressLineNumbers w:val="0"/>
              <w:kinsoku/>
              <w:wordWrap/>
              <w:overflowPunct/>
              <w:topLinePunct w:val="0"/>
              <w:bidi w:val="0"/>
              <w:spacing w:line="460" w:lineRule="exact"/>
              <w:ind w:firstLine="480" w:firstLineChars="20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0.42</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E006">
            <w:pPr>
              <w:keepNext w:val="0"/>
              <w:keepLines w:val="0"/>
              <w:pageBreakBefore w:val="0"/>
              <w:widowControl/>
              <w:suppressLineNumbers w:val="0"/>
              <w:kinsoku/>
              <w:wordWrap/>
              <w:overflowPunct/>
              <w:topLinePunct w:val="0"/>
              <w:bidi w:val="0"/>
              <w:spacing w:line="460" w:lineRule="exact"/>
              <w:ind w:firstLine="480" w:firstLineChars="20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0.42</w:t>
            </w:r>
          </w:p>
        </w:tc>
      </w:tr>
      <w:tr w14:paraId="4F47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623B">
            <w:pPr>
              <w:keepNext w:val="0"/>
              <w:keepLines w:val="0"/>
              <w:pageBreakBefore w:val="0"/>
              <w:kinsoku/>
              <w:wordWrap/>
              <w:overflowPunct/>
              <w:topLinePunct w:val="0"/>
              <w:bidi w:val="0"/>
              <w:spacing w:line="460" w:lineRule="exact"/>
              <w:ind w:firstLine="240" w:firstLineChars="100"/>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F4EC">
            <w:pPr>
              <w:keepNext w:val="0"/>
              <w:keepLines w:val="0"/>
              <w:pageBreakBefore w:val="0"/>
              <w:widowControl/>
              <w:suppressLineNumbers w:val="0"/>
              <w:kinsoku/>
              <w:wordWrap/>
              <w:overflowPunct/>
              <w:topLinePunct w:val="0"/>
              <w:bidi w:val="0"/>
              <w:spacing w:line="460" w:lineRule="exact"/>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F1B1">
            <w:pPr>
              <w:keepNext w:val="0"/>
              <w:keepLines w:val="0"/>
              <w:pageBreakBefore w:val="0"/>
              <w:kinsoku/>
              <w:wordWrap/>
              <w:overflowPunct/>
              <w:topLinePunct w:val="0"/>
              <w:bidi w:val="0"/>
              <w:spacing w:line="460" w:lineRule="exact"/>
              <w:ind w:firstLine="480" w:firstLineChars="200"/>
              <w:rPr>
                <w:rFonts w:hint="eastAsia" w:ascii="宋体" w:hAnsi="宋体" w:eastAsia="宋体" w:cs="宋体"/>
                <w:i w:val="0"/>
                <w:iCs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7BD4">
            <w:pPr>
              <w:keepNext w:val="0"/>
              <w:keepLines w:val="0"/>
              <w:pageBreakBefore w:val="0"/>
              <w:widowControl/>
              <w:suppressLineNumbers w:val="0"/>
              <w:kinsoku/>
              <w:wordWrap/>
              <w:overflowPunct/>
              <w:topLinePunct w:val="0"/>
              <w:bidi w:val="0"/>
              <w:spacing w:line="460" w:lineRule="exact"/>
              <w:ind w:firstLine="480" w:firstLineChars="20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660</w:t>
            </w:r>
          </w:p>
        </w:tc>
      </w:tr>
      <w:tr w14:paraId="1846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F589">
            <w:pPr>
              <w:keepNext w:val="0"/>
              <w:keepLines w:val="0"/>
              <w:pageBreakBefore w:val="0"/>
              <w:kinsoku/>
              <w:wordWrap/>
              <w:overflowPunct/>
              <w:topLinePunct w:val="0"/>
              <w:bidi w:val="0"/>
              <w:spacing w:line="460" w:lineRule="exact"/>
              <w:ind w:firstLine="480" w:firstLineChars="200"/>
              <w:rPr>
                <w:rFonts w:hint="eastAsia" w:ascii="宋体" w:hAnsi="宋体" w:eastAsia="宋体" w:cs="宋体"/>
                <w:i w:val="0"/>
                <w:iCs w:val="0"/>
                <w:color w:val="000000"/>
                <w:sz w:val="24"/>
                <w:szCs w:val="24"/>
                <w:u w:val="none"/>
              </w:rPr>
            </w:pPr>
          </w:p>
        </w:tc>
        <w:tc>
          <w:tcPr>
            <w:tcW w:w="2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66B4">
            <w:pPr>
              <w:keepNext w:val="0"/>
              <w:keepLines w:val="0"/>
              <w:pageBreakBefore w:val="0"/>
              <w:widowControl/>
              <w:suppressLineNumbers w:val="0"/>
              <w:kinsoku/>
              <w:wordWrap/>
              <w:overflowPunct/>
              <w:topLinePunct w:val="0"/>
              <w:bidi w:val="0"/>
              <w:spacing w:line="460" w:lineRule="exact"/>
              <w:ind w:firstLine="482" w:firstLineChars="2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控制价费用</w:t>
            </w:r>
          </w:p>
        </w:tc>
        <w:tc>
          <w:tcPr>
            <w:tcW w:w="3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BFC3">
            <w:pPr>
              <w:keepNext w:val="0"/>
              <w:keepLines w:val="0"/>
              <w:pageBreakBefore w:val="0"/>
              <w:widowControl/>
              <w:suppressLineNumbers w:val="0"/>
              <w:kinsoku/>
              <w:wordWrap/>
              <w:overflowPunct/>
              <w:topLinePunct w:val="0"/>
              <w:bidi w:val="0"/>
              <w:spacing w:line="460" w:lineRule="exact"/>
              <w:ind w:firstLine="482" w:firstLineChars="2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按*80%计取</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B902">
            <w:pPr>
              <w:keepNext w:val="0"/>
              <w:keepLines w:val="0"/>
              <w:pageBreakBefore w:val="0"/>
              <w:widowControl/>
              <w:suppressLineNumbers w:val="0"/>
              <w:kinsoku/>
              <w:wordWrap/>
              <w:overflowPunct/>
              <w:topLinePunct w:val="0"/>
              <w:bidi w:val="0"/>
              <w:spacing w:line="460" w:lineRule="exact"/>
              <w:jc w:val="both"/>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660*0.8=528</w:t>
            </w:r>
          </w:p>
        </w:tc>
      </w:tr>
    </w:tbl>
    <w:p w14:paraId="43551CD7">
      <w:pPr>
        <w:keepNext w:val="0"/>
        <w:keepLines w:val="0"/>
        <w:pageBreakBefore w:val="0"/>
        <w:widowControl/>
        <w:shd w:val="clear" w:color="auto" w:fill="FFFFFF"/>
        <w:kinsoku/>
        <w:wordWrap/>
        <w:overflowPunct/>
        <w:topLinePunct w:val="0"/>
        <w:bidi w:val="0"/>
        <w:spacing w:after="0" w:line="460" w:lineRule="exact"/>
        <w:ind w:firstLine="482" w:firstLineChars="200"/>
        <w:jc w:val="left"/>
        <w:rPr>
          <w:rFonts w:hint="eastAsia" w:ascii="宋体" w:hAnsi="宋体" w:eastAsia="宋体" w:cs="宋体"/>
          <w:b/>
          <w:bCs/>
          <w:color w:val="auto"/>
          <w:kern w:val="2"/>
          <w:sz w:val="24"/>
          <w:szCs w:val="24"/>
          <w:highlight w:val="none"/>
          <w:lang w:eastAsia="zh-CN"/>
        </w:rPr>
      </w:pPr>
    </w:p>
    <w:p w14:paraId="4BB7EC00">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b w:val="0"/>
          <w:bCs w:val="0"/>
          <w:color w:val="auto"/>
          <w:kern w:val="2"/>
          <w:sz w:val="24"/>
          <w:szCs w:val="24"/>
          <w:highlight w:val="none"/>
          <w:u w:val="single"/>
        </w:rPr>
      </w:pPr>
      <w:r>
        <w:rPr>
          <w:rFonts w:hint="eastAsia" w:ascii="宋体" w:hAnsi="宋体" w:eastAsia="宋体" w:cs="宋体"/>
          <w:b w:val="0"/>
          <w:bCs w:val="0"/>
          <w:color w:val="auto"/>
          <w:kern w:val="2"/>
          <w:sz w:val="24"/>
          <w:szCs w:val="24"/>
          <w:highlight w:val="none"/>
          <w:lang w:val="en-US" w:eastAsia="zh-CN"/>
        </w:rPr>
        <w:t>7.2付款方式：</w:t>
      </w:r>
      <w:r>
        <w:rPr>
          <w:rFonts w:hint="eastAsia" w:ascii="宋体" w:hAnsi="宋体" w:eastAsia="宋体" w:cs="宋体"/>
          <w:b w:val="0"/>
          <w:bCs w:val="0"/>
          <w:color w:val="auto"/>
          <w:kern w:val="2"/>
          <w:sz w:val="24"/>
          <w:szCs w:val="24"/>
          <w:highlight w:val="none"/>
          <w:u w:val="single"/>
          <w:lang w:val="en-US" w:eastAsia="zh-CN"/>
        </w:rPr>
        <w:t>合同签定后采购人支付合同价的10%作为项目预付款，剩余部分分为连续四年，每年6月底、12月底支付（2025年、2026年、2027年、2028年），根据考核出勤率结合工作成果质量情况，每次支付合同价的10%。项目竣备，结算完成，支付至合同价的95%；剩余5%，若发生政府复审，复审完成，无乙方服务范围质量问题，支付至合同价的100%。</w:t>
      </w:r>
    </w:p>
    <w:p w14:paraId="4B3FB435">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7.</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项目因服务过程中发生的食宿、交通、出具审核报告的装订费、打印费等全部费用由</w:t>
      </w:r>
      <w:r>
        <w:rPr>
          <w:rFonts w:hint="eastAsia" w:ascii="宋体" w:hAnsi="宋体" w:eastAsia="宋体" w:cs="宋体"/>
          <w:b w:val="0"/>
          <w:bCs w:val="0"/>
          <w:color w:val="auto"/>
          <w:kern w:val="2"/>
          <w:sz w:val="24"/>
          <w:szCs w:val="24"/>
          <w:highlight w:val="none"/>
          <w:lang w:eastAsia="zh-CN"/>
        </w:rPr>
        <w:t>交易响应单位</w:t>
      </w:r>
      <w:r>
        <w:rPr>
          <w:rFonts w:hint="eastAsia" w:ascii="宋体" w:hAnsi="宋体" w:eastAsia="宋体" w:cs="宋体"/>
          <w:b w:val="0"/>
          <w:bCs w:val="0"/>
          <w:color w:val="auto"/>
          <w:kern w:val="2"/>
          <w:sz w:val="24"/>
          <w:szCs w:val="24"/>
          <w:highlight w:val="none"/>
        </w:rPr>
        <w:t>自理，</w:t>
      </w:r>
      <w:r>
        <w:rPr>
          <w:rFonts w:hint="eastAsia" w:ascii="宋体" w:hAnsi="宋体" w:eastAsia="宋体" w:cs="宋体"/>
          <w:b w:val="0"/>
          <w:bCs w:val="0"/>
          <w:color w:val="auto"/>
          <w:kern w:val="2"/>
          <w:sz w:val="24"/>
          <w:szCs w:val="24"/>
          <w:highlight w:val="none"/>
          <w:lang w:eastAsia="zh-CN"/>
        </w:rPr>
        <w:t>交易响应单位</w:t>
      </w:r>
      <w:r>
        <w:rPr>
          <w:rFonts w:hint="eastAsia" w:ascii="宋体" w:hAnsi="宋体" w:eastAsia="宋体" w:cs="宋体"/>
          <w:b w:val="0"/>
          <w:bCs w:val="0"/>
          <w:color w:val="auto"/>
          <w:kern w:val="2"/>
          <w:sz w:val="24"/>
          <w:szCs w:val="24"/>
          <w:highlight w:val="none"/>
        </w:rPr>
        <w:t>的报价中应充分考虑此等相关费用。</w:t>
      </w:r>
    </w:p>
    <w:p w14:paraId="0566D858">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7.</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eastAsia="zh-CN"/>
        </w:rPr>
        <w:t>本次交易</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color w:val="auto"/>
          <w:kern w:val="2"/>
          <w:sz w:val="24"/>
          <w:szCs w:val="24"/>
          <w:highlight w:val="none"/>
          <w:lang w:eastAsia="zh-CN"/>
        </w:rPr>
        <w:t>交易响应单位</w:t>
      </w:r>
      <w:r>
        <w:rPr>
          <w:rFonts w:hint="eastAsia" w:ascii="宋体" w:hAnsi="宋体" w:eastAsia="宋体" w:cs="宋体"/>
          <w:b w:val="0"/>
          <w:bCs w:val="0"/>
          <w:color w:val="auto"/>
          <w:kern w:val="2"/>
          <w:sz w:val="24"/>
          <w:szCs w:val="24"/>
          <w:highlight w:val="none"/>
        </w:rPr>
        <w:t>应对</w:t>
      </w:r>
      <w:r>
        <w:rPr>
          <w:rFonts w:hint="eastAsia" w:ascii="宋体" w:hAnsi="宋体" w:eastAsia="宋体" w:cs="宋体"/>
          <w:b w:val="0"/>
          <w:bCs w:val="0"/>
          <w:color w:val="auto"/>
          <w:kern w:val="2"/>
          <w:sz w:val="24"/>
          <w:szCs w:val="24"/>
          <w:highlight w:val="none"/>
          <w:lang w:eastAsia="zh-CN"/>
        </w:rPr>
        <w:t>交易响应报价</w:t>
      </w:r>
      <w:r>
        <w:rPr>
          <w:rFonts w:hint="eastAsia" w:ascii="宋体" w:hAnsi="宋体" w:eastAsia="宋体" w:cs="宋体"/>
          <w:b w:val="0"/>
          <w:bCs w:val="0"/>
          <w:color w:val="auto"/>
          <w:kern w:val="2"/>
          <w:sz w:val="24"/>
          <w:szCs w:val="24"/>
          <w:highlight w:val="none"/>
        </w:rPr>
        <w:t>、服务时限及</w:t>
      </w:r>
      <w:r>
        <w:rPr>
          <w:rFonts w:hint="eastAsia" w:ascii="宋体" w:hAnsi="宋体" w:eastAsia="宋体" w:cs="宋体"/>
          <w:b w:val="0"/>
          <w:bCs w:val="0"/>
          <w:color w:val="auto"/>
          <w:kern w:val="2"/>
          <w:sz w:val="24"/>
          <w:szCs w:val="24"/>
          <w:highlight w:val="none"/>
          <w:lang w:eastAsia="zh-CN"/>
        </w:rPr>
        <w:t>交易响应报价</w:t>
      </w:r>
      <w:r>
        <w:rPr>
          <w:rFonts w:hint="eastAsia" w:ascii="宋体" w:hAnsi="宋体" w:eastAsia="宋体" w:cs="宋体"/>
          <w:b w:val="0"/>
          <w:bCs w:val="0"/>
          <w:color w:val="auto"/>
          <w:kern w:val="2"/>
          <w:sz w:val="24"/>
          <w:szCs w:val="24"/>
          <w:highlight w:val="none"/>
        </w:rPr>
        <w:t>和结果误差率作出承诺。</w:t>
      </w:r>
    </w:p>
    <w:p w14:paraId="07983BCB">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7.</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rPr>
        <w:t>项目服务地点：采购人指定地点。</w:t>
      </w:r>
    </w:p>
    <w:p w14:paraId="7913A4F4">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rPr>
        <w:t>7.</w:t>
      </w:r>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rPr>
        <w:t>审核结果误差率2%以内。</w:t>
      </w:r>
    </w:p>
    <w:p w14:paraId="2F436E2C">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7.7</w:t>
      </w:r>
      <w:r>
        <w:rPr>
          <w:rFonts w:hint="eastAsia" w:ascii="宋体" w:hAnsi="宋体" w:eastAsia="宋体" w:cs="宋体"/>
          <w:color w:val="auto"/>
          <w:sz w:val="24"/>
          <w:szCs w:val="24"/>
          <w:highlight w:val="none"/>
        </w:rPr>
        <w:t>每项</w:t>
      </w:r>
      <w:r>
        <w:rPr>
          <w:rFonts w:hint="eastAsia" w:ascii="宋体" w:hAnsi="宋体" w:eastAsia="宋体" w:cs="宋体"/>
          <w:color w:val="auto"/>
          <w:sz w:val="24"/>
          <w:szCs w:val="24"/>
          <w:highlight w:val="none"/>
          <w:lang w:val="en-US" w:eastAsia="zh-CN"/>
        </w:rPr>
        <w:t>审核服务</w:t>
      </w:r>
      <w:r>
        <w:rPr>
          <w:rFonts w:hint="eastAsia" w:ascii="宋体" w:hAnsi="宋体" w:eastAsia="宋体" w:cs="宋体"/>
          <w:color w:val="auto"/>
          <w:sz w:val="24"/>
          <w:szCs w:val="24"/>
          <w:highlight w:val="none"/>
        </w:rPr>
        <w:t>结束后，向</w:t>
      </w:r>
      <w:r>
        <w:rPr>
          <w:rFonts w:hint="eastAsia" w:ascii="宋体" w:hAnsi="宋体" w:eastAsia="宋体" w:cs="宋体"/>
          <w:color w:val="auto"/>
          <w:sz w:val="24"/>
          <w:szCs w:val="24"/>
          <w:highlight w:val="none"/>
          <w:lang w:eastAsia="zh-CN"/>
        </w:rPr>
        <w:t>建设单位</w:t>
      </w:r>
      <w:r>
        <w:rPr>
          <w:rFonts w:hint="eastAsia" w:ascii="宋体" w:hAnsi="宋体" w:eastAsia="宋体" w:cs="宋体"/>
          <w:color w:val="auto"/>
          <w:sz w:val="24"/>
          <w:szCs w:val="24"/>
          <w:highlight w:val="none"/>
        </w:rPr>
        <w:t>无偿提供</w:t>
      </w:r>
      <w:r>
        <w:rPr>
          <w:rFonts w:hint="eastAsia" w:ascii="宋体" w:hAnsi="宋体" w:eastAsia="宋体" w:cs="宋体"/>
          <w:color w:val="auto"/>
          <w:sz w:val="24"/>
          <w:szCs w:val="24"/>
          <w:highlight w:val="none"/>
          <w:lang w:val="en-US" w:eastAsia="zh-CN"/>
        </w:rPr>
        <w:t>足够数量的</w:t>
      </w:r>
      <w:r>
        <w:rPr>
          <w:rFonts w:hint="eastAsia" w:ascii="宋体" w:hAnsi="宋体" w:eastAsia="宋体" w:cs="宋体"/>
          <w:color w:val="auto"/>
          <w:sz w:val="24"/>
          <w:szCs w:val="24"/>
          <w:highlight w:val="none"/>
        </w:rPr>
        <w:t>该项成果的纸质资料，</w:t>
      </w:r>
      <w:r>
        <w:rPr>
          <w:rFonts w:hint="eastAsia" w:ascii="宋体" w:hAnsi="宋体" w:eastAsia="宋体" w:cs="宋体"/>
          <w:color w:val="auto"/>
          <w:sz w:val="24"/>
          <w:szCs w:val="24"/>
          <w:highlight w:val="none"/>
          <w:lang w:val="en-US" w:eastAsia="zh-CN"/>
        </w:rPr>
        <w:t>并同时提供</w:t>
      </w:r>
      <w:r>
        <w:rPr>
          <w:rFonts w:hint="eastAsia" w:ascii="宋体" w:hAnsi="宋体" w:eastAsia="宋体" w:cs="宋体"/>
          <w:color w:val="auto"/>
          <w:sz w:val="24"/>
          <w:szCs w:val="24"/>
          <w:highlight w:val="none"/>
        </w:rPr>
        <w:t>一套电子版资料；</w:t>
      </w:r>
    </w:p>
    <w:p w14:paraId="2906039F">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7.8</w:t>
      </w:r>
      <w:r>
        <w:rPr>
          <w:rFonts w:hint="eastAsia" w:ascii="宋体" w:hAnsi="宋体" w:eastAsia="宋体" w:cs="宋体"/>
          <w:color w:val="auto"/>
          <w:sz w:val="24"/>
          <w:szCs w:val="24"/>
          <w:highlight w:val="none"/>
        </w:rPr>
        <w:t>法律、法规或本项目</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中规定的其他应提供的服务。</w:t>
      </w:r>
    </w:p>
    <w:p w14:paraId="3A8D45B2">
      <w:pPr>
        <w:keepNext w:val="0"/>
        <w:keepLines w:val="0"/>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7.9积极</w:t>
      </w:r>
      <w:r>
        <w:rPr>
          <w:rFonts w:hint="eastAsia" w:ascii="宋体" w:hAnsi="宋体" w:eastAsia="宋体" w:cs="宋体"/>
          <w:color w:val="auto"/>
          <w:sz w:val="24"/>
          <w:szCs w:val="24"/>
          <w:highlight w:val="none"/>
        </w:rPr>
        <w:t>处理项目</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过程中合同引起的其他相关事宜，包括但不限于</w:t>
      </w:r>
      <w:r>
        <w:rPr>
          <w:rFonts w:hint="eastAsia" w:ascii="宋体" w:hAnsi="宋体" w:eastAsia="宋体" w:cs="宋体"/>
          <w:color w:val="auto"/>
          <w:sz w:val="24"/>
          <w:szCs w:val="24"/>
          <w:highlight w:val="none"/>
          <w:lang w:eastAsia="zh-CN"/>
        </w:rPr>
        <w:t>概算审核、工程量清单审核、控制价审核</w:t>
      </w:r>
      <w:r>
        <w:rPr>
          <w:rFonts w:hint="eastAsia" w:ascii="宋体" w:hAnsi="宋体" w:eastAsia="宋体" w:cs="宋体"/>
          <w:color w:val="auto"/>
          <w:sz w:val="24"/>
          <w:szCs w:val="24"/>
          <w:highlight w:val="none"/>
        </w:rPr>
        <w:t>等关联性工作。</w:t>
      </w:r>
    </w:p>
    <w:p w14:paraId="0852DE61">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715EEE82">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、如有附图，仅作参考。</w:t>
      </w:r>
    </w:p>
    <w:p w14:paraId="3694A9A9">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、打▲内容为实质性要求，不允许有负偏离，否则将以涉及无效投标条款作无效投标。</w:t>
      </w:r>
    </w:p>
    <w:p w14:paraId="52515B40">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、中标人所提供的货物、服务须与投标承诺一致，不得以次充好、偷工减料，若在项目验收中发现有上述情况，将向有关部门举报，根据相关规定进行处理。</w:t>
      </w:r>
    </w:p>
    <w:p w14:paraId="29243FA0">
      <w:pPr>
        <w:spacing w:line="360" w:lineRule="auto"/>
        <w:ind w:firstLine="181" w:firstLineChars="50"/>
        <w:rPr>
          <w:rFonts w:hint="eastAsia" w:ascii="宋体" w:hAnsi="宋体" w:eastAsia="宋体" w:cs="宋体"/>
          <w:b/>
          <w:color w:val="000000" w:themeColor="text1"/>
          <w:sz w:val="36"/>
          <w:szCs w:val="36"/>
          <w:highlight w:val="none"/>
          <w14:textFill>
            <w14:solidFill>
              <w14:schemeClr w14:val="tx1"/>
            </w14:solidFill>
          </w14:textFill>
        </w:rPr>
      </w:pPr>
    </w:p>
    <w:p w14:paraId="611A2EFE">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E86F68D">
      <w:pPr>
        <w:widowControl/>
        <w:ind w:firstLine="720" w:firstLineChars="300"/>
        <w:jc w:val="left"/>
        <w:rPr>
          <w:rFonts w:hint="eastAsia" w:ascii="宋体" w:hAnsi="宋体" w:eastAsia="宋体" w:cs="宋体"/>
          <w:bCs/>
          <w:color w:val="000000" w:themeColor="text1"/>
          <w:sz w:val="24"/>
          <w:highlight w:val="none"/>
          <w14:textFill>
            <w14:solidFill>
              <w14:schemeClr w14:val="tx1"/>
            </w14:solidFill>
          </w14:textFill>
        </w:rPr>
      </w:pPr>
    </w:p>
    <w:p w14:paraId="04FF366C">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28" w:name="_Toc184312136"/>
      <w:bookmarkEnd w:id="28"/>
      <w:bookmarkStart w:id="29" w:name="_Toc184308085"/>
      <w:bookmarkEnd w:id="29"/>
      <w:bookmarkStart w:id="30" w:name="_Toc184308052"/>
      <w:bookmarkEnd w:id="30"/>
      <w:bookmarkStart w:id="31" w:name="_Toc184308056"/>
      <w:bookmarkEnd w:id="31"/>
      <w:bookmarkStart w:id="32" w:name="_Toc184313308"/>
      <w:bookmarkEnd w:id="32"/>
      <w:bookmarkStart w:id="33" w:name="_Toc184308082"/>
      <w:bookmarkEnd w:id="33"/>
      <w:bookmarkStart w:id="34" w:name="_Toc184310283"/>
      <w:bookmarkEnd w:id="34"/>
      <w:bookmarkStart w:id="35" w:name="_Toc184313272"/>
      <w:bookmarkEnd w:id="35"/>
      <w:bookmarkStart w:id="36" w:name="_Toc184314452"/>
      <w:bookmarkEnd w:id="36"/>
      <w:bookmarkStart w:id="37" w:name="_Toc184313303"/>
      <w:bookmarkEnd w:id="37"/>
      <w:bookmarkStart w:id="38" w:name="_Toc184312110"/>
      <w:bookmarkEnd w:id="38"/>
      <w:bookmarkStart w:id="39" w:name="_Toc184313268"/>
      <w:bookmarkEnd w:id="39"/>
      <w:bookmarkStart w:id="40" w:name="_Toc184313266"/>
      <w:bookmarkEnd w:id="40"/>
      <w:bookmarkStart w:id="41" w:name="_Toc184308098"/>
      <w:bookmarkEnd w:id="41"/>
      <w:bookmarkStart w:id="42" w:name="_Toc184313289"/>
      <w:bookmarkEnd w:id="42"/>
      <w:bookmarkStart w:id="43" w:name="_Toc184310333"/>
      <w:bookmarkEnd w:id="43"/>
      <w:bookmarkStart w:id="44" w:name="_Toc184312070"/>
      <w:bookmarkEnd w:id="44"/>
      <w:bookmarkStart w:id="45" w:name="_Toc184313251"/>
      <w:bookmarkEnd w:id="45"/>
      <w:bookmarkStart w:id="46" w:name="_Toc184314457"/>
      <w:bookmarkEnd w:id="46"/>
      <w:bookmarkStart w:id="47" w:name="_Toc184314413"/>
      <w:bookmarkEnd w:id="47"/>
      <w:bookmarkStart w:id="48" w:name="_Toc184314410"/>
      <w:bookmarkEnd w:id="48"/>
      <w:bookmarkStart w:id="49" w:name="_Toc184312067"/>
      <w:bookmarkEnd w:id="49"/>
      <w:bookmarkStart w:id="50" w:name="_Toc184314451"/>
      <w:bookmarkEnd w:id="50"/>
      <w:bookmarkStart w:id="51" w:name="_Toc184308047"/>
      <w:bookmarkEnd w:id="51"/>
      <w:bookmarkStart w:id="52" w:name="_Toc184308038"/>
      <w:bookmarkEnd w:id="52"/>
      <w:bookmarkStart w:id="53" w:name="_Toc184313240"/>
      <w:bookmarkEnd w:id="53"/>
      <w:bookmarkStart w:id="54" w:name="_Toc184310278"/>
      <w:bookmarkEnd w:id="54"/>
      <w:bookmarkStart w:id="55" w:name="_Toc184308073"/>
      <w:bookmarkEnd w:id="55"/>
      <w:bookmarkStart w:id="56" w:name="_Toc184314460"/>
      <w:bookmarkEnd w:id="56"/>
      <w:bookmarkStart w:id="57" w:name="_Toc184308102"/>
      <w:bookmarkEnd w:id="57"/>
      <w:bookmarkStart w:id="58" w:name="_Toc184310329"/>
      <w:bookmarkEnd w:id="58"/>
      <w:bookmarkStart w:id="59" w:name="_Toc184312083"/>
      <w:bookmarkEnd w:id="59"/>
      <w:bookmarkStart w:id="60" w:name="_Toc184314458"/>
      <w:bookmarkEnd w:id="60"/>
      <w:bookmarkStart w:id="61" w:name="_Toc184310290"/>
      <w:bookmarkEnd w:id="61"/>
      <w:bookmarkStart w:id="62" w:name="_Toc184313247"/>
      <w:bookmarkEnd w:id="62"/>
      <w:bookmarkStart w:id="63" w:name="_Toc184313293"/>
      <w:bookmarkEnd w:id="63"/>
      <w:bookmarkStart w:id="64" w:name="_Toc184312131"/>
      <w:bookmarkEnd w:id="64"/>
      <w:bookmarkStart w:id="65" w:name="_Toc184308037"/>
      <w:bookmarkEnd w:id="65"/>
      <w:bookmarkStart w:id="66" w:name="_Toc184313259"/>
      <w:bookmarkEnd w:id="66"/>
      <w:bookmarkStart w:id="67" w:name="_Toc184310305"/>
      <w:bookmarkEnd w:id="67"/>
      <w:bookmarkStart w:id="68" w:name="_Toc184308036"/>
      <w:bookmarkEnd w:id="68"/>
      <w:bookmarkStart w:id="69" w:name="_Toc184308068"/>
      <w:bookmarkEnd w:id="69"/>
      <w:bookmarkStart w:id="70" w:name="_Toc184308070"/>
      <w:bookmarkEnd w:id="70"/>
      <w:bookmarkStart w:id="71" w:name="_Toc184308039"/>
      <w:bookmarkEnd w:id="71"/>
      <w:bookmarkStart w:id="72" w:name="_Toc184313310"/>
      <w:bookmarkEnd w:id="72"/>
      <w:bookmarkStart w:id="73" w:name="_Toc184308084"/>
      <w:bookmarkEnd w:id="73"/>
      <w:bookmarkStart w:id="74" w:name="_Toc184310292"/>
      <w:bookmarkEnd w:id="74"/>
      <w:bookmarkStart w:id="75" w:name="_Toc184314456"/>
      <w:bookmarkEnd w:id="75"/>
      <w:bookmarkStart w:id="76" w:name="_Toc184310275"/>
      <w:bookmarkEnd w:id="76"/>
      <w:bookmarkStart w:id="77" w:name="_Toc184312088"/>
      <w:bookmarkEnd w:id="77"/>
      <w:bookmarkStart w:id="78" w:name="_Toc184312119"/>
      <w:bookmarkEnd w:id="78"/>
      <w:bookmarkStart w:id="79" w:name="_Toc184312133"/>
      <w:bookmarkEnd w:id="79"/>
      <w:bookmarkStart w:id="80" w:name="_Toc184308108"/>
      <w:bookmarkEnd w:id="80"/>
      <w:bookmarkStart w:id="81" w:name="_Toc184313297"/>
      <w:bookmarkEnd w:id="81"/>
      <w:bookmarkStart w:id="82" w:name="_Toc184313276"/>
      <w:bookmarkEnd w:id="82"/>
      <w:bookmarkStart w:id="83" w:name="_Toc184313241"/>
      <w:bookmarkEnd w:id="83"/>
      <w:bookmarkStart w:id="84" w:name="_Toc184310337"/>
      <w:bookmarkEnd w:id="84"/>
      <w:bookmarkStart w:id="85" w:name="_Toc184312112"/>
      <w:bookmarkEnd w:id="85"/>
      <w:bookmarkStart w:id="86" w:name="_Toc184310338"/>
      <w:bookmarkEnd w:id="86"/>
      <w:bookmarkStart w:id="87" w:name="_Toc184313281"/>
      <w:bookmarkEnd w:id="87"/>
      <w:bookmarkStart w:id="88" w:name="_Toc184313284"/>
      <w:bookmarkEnd w:id="88"/>
      <w:bookmarkStart w:id="89" w:name="_Toc184308072"/>
      <w:bookmarkEnd w:id="89"/>
      <w:bookmarkStart w:id="90" w:name="_Toc184312135"/>
      <w:bookmarkEnd w:id="90"/>
      <w:bookmarkStart w:id="91" w:name="_Toc184312130"/>
      <w:bookmarkEnd w:id="91"/>
      <w:bookmarkStart w:id="92" w:name="_Toc184310303"/>
      <w:bookmarkEnd w:id="92"/>
      <w:bookmarkStart w:id="93" w:name="_Toc184312076"/>
      <w:bookmarkEnd w:id="93"/>
      <w:bookmarkStart w:id="94" w:name="_Toc184310339"/>
      <w:bookmarkEnd w:id="94"/>
      <w:bookmarkStart w:id="95" w:name="_Toc184308076"/>
      <w:bookmarkEnd w:id="95"/>
      <w:bookmarkStart w:id="96" w:name="_Toc184312126"/>
      <w:bookmarkEnd w:id="96"/>
      <w:bookmarkStart w:id="97" w:name="_Toc184314412"/>
      <w:bookmarkEnd w:id="97"/>
      <w:bookmarkStart w:id="98" w:name="_Toc184310311"/>
      <w:bookmarkEnd w:id="98"/>
      <w:bookmarkStart w:id="99" w:name="_Toc184310321"/>
      <w:bookmarkEnd w:id="99"/>
      <w:bookmarkStart w:id="100" w:name="_Toc184308059"/>
      <w:bookmarkEnd w:id="100"/>
      <w:bookmarkStart w:id="101" w:name="_Toc184313298"/>
      <w:bookmarkEnd w:id="101"/>
      <w:bookmarkStart w:id="102" w:name="_Toc184310307"/>
      <w:bookmarkEnd w:id="102"/>
      <w:bookmarkStart w:id="103" w:name="_Toc184312095"/>
      <w:bookmarkEnd w:id="103"/>
      <w:bookmarkStart w:id="104" w:name="_Toc184314466"/>
      <w:bookmarkEnd w:id="104"/>
      <w:bookmarkStart w:id="105" w:name="_Toc184314482"/>
      <w:bookmarkEnd w:id="105"/>
      <w:bookmarkStart w:id="106" w:name="_Toc184310296"/>
      <w:bookmarkEnd w:id="106"/>
      <w:bookmarkStart w:id="107" w:name="_Toc184312108"/>
      <w:bookmarkEnd w:id="107"/>
      <w:bookmarkStart w:id="108" w:name="_Toc184310313"/>
      <w:bookmarkEnd w:id="108"/>
      <w:bookmarkStart w:id="109" w:name="_Toc184313253"/>
      <w:bookmarkEnd w:id="109"/>
      <w:bookmarkStart w:id="110" w:name="_Toc184310306"/>
      <w:bookmarkEnd w:id="110"/>
      <w:bookmarkStart w:id="111" w:name="_Toc184308044"/>
      <w:bookmarkEnd w:id="111"/>
      <w:bookmarkStart w:id="112" w:name="_Toc184313250"/>
      <w:bookmarkEnd w:id="112"/>
      <w:bookmarkStart w:id="113" w:name="_Toc184314459"/>
      <w:bookmarkEnd w:id="113"/>
      <w:bookmarkStart w:id="114" w:name="_Toc184314461"/>
      <w:bookmarkEnd w:id="114"/>
      <w:bookmarkStart w:id="115" w:name="_Toc184314477"/>
      <w:bookmarkEnd w:id="115"/>
      <w:bookmarkStart w:id="116" w:name="_Toc184312073"/>
      <w:bookmarkEnd w:id="116"/>
      <w:bookmarkStart w:id="117" w:name="_Toc184314431"/>
      <w:bookmarkEnd w:id="117"/>
      <w:bookmarkStart w:id="118" w:name="_Toc184310336"/>
      <w:bookmarkEnd w:id="118"/>
      <w:bookmarkStart w:id="119" w:name="_Toc184314429"/>
      <w:bookmarkEnd w:id="119"/>
      <w:bookmarkStart w:id="120" w:name="_Toc184308040"/>
      <w:bookmarkEnd w:id="120"/>
      <w:bookmarkStart w:id="121" w:name="_Toc184310317"/>
      <w:bookmarkEnd w:id="121"/>
      <w:bookmarkStart w:id="122" w:name="_Toc184314422"/>
      <w:bookmarkEnd w:id="122"/>
      <w:bookmarkStart w:id="123" w:name="_Toc184310340"/>
      <w:bookmarkEnd w:id="123"/>
      <w:bookmarkStart w:id="124" w:name="_Toc184312124"/>
      <w:bookmarkEnd w:id="124"/>
      <w:bookmarkStart w:id="125" w:name="_Toc184314426"/>
      <w:bookmarkEnd w:id="125"/>
      <w:bookmarkStart w:id="126" w:name="_Toc184312098"/>
      <w:bookmarkEnd w:id="126"/>
      <w:bookmarkStart w:id="127" w:name="_Toc184312091"/>
      <w:bookmarkEnd w:id="127"/>
      <w:bookmarkStart w:id="128" w:name="_Toc184312104"/>
      <w:bookmarkEnd w:id="128"/>
      <w:bookmarkStart w:id="129" w:name="_Toc184314434"/>
      <w:bookmarkEnd w:id="129"/>
      <w:bookmarkStart w:id="130" w:name="_Toc184312085"/>
      <w:bookmarkEnd w:id="130"/>
      <w:bookmarkStart w:id="131" w:name="_Toc184310344"/>
      <w:bookmarkEnd w:id="131"/>
      <w:bookmarkStart w:id="132" w:name="_Toc184308099"/>
      <w:bookmarkEnd w:id="132"/>
      <w:bookmarkStart w:id="133" w:name="_Toc184310324"/>
      <w:bookmarkEnd w:id="133"/>
      <w:bookmarkStart w:id="134" w:name="_Toc184312106"/>
      <w:bookmarkEnd w:id="134"/>
      <w:bookmarkStart w:id="135" w:name="_Toc184312128"/>
      <w:bookmarkEnd w:id="135"/>
      <w:bookmarkStart w:id="136" w:name="_Toc184313305"/>
      <w:bookmarkEnd w:id="136"/>
      <w:bookmarkStart w:id="137" w:name="_Toc184310319"/>
      <w:bookmarkEnd w:id="137"/>
      <w:bookmarkStart w:id="138" w:name="_Toc184313255"/>
      <w:bookmarkEnd w:id="138"/>
      <w:bookmarkStart w:id="139" w:name="_Toc184313238"/>
      <w:bookmarkEnd w:id="139"/>
      <w:bookmarkStart w:id="140" w:name="_Toc184310279"/>
      <w:bookmarkEnd w:id="140"/>
      <w:bookmarkStart w:id="141" w:name="_Toc184314415"/>
      <w:bookmarkEnd w:id="141"/>
      <w:bookmarkStart w:id="142" w:name="_Toc184310334"/>
      <w:bookmarkEnd w:id="142"/>
      <w:bookmarkStart w:id="143" w:name="_Toc184310291"/>
      <w:bookmarkEnd w:id="143"/>
      <w:bookmarkStart w:id="144" w:name="_Toc184310341"/>
      <w:bookmarkEnd w:id="144"/>
      <w:bookmarkStart w:id="145" w:name="_Toc184308083"/>
      <w:bookmarkEnd w:id="145"/>
      <w:bookmarkStart w:id="146" w:name="_Toc184310294"/>
      <w:bookmarkEnd w:id="146"/>
      <w:bookmarkStart w:id="147" w:name="_Toc184308095"/>
      <w:bookmarkEnd w:id="147"/>
      <w:bookmarkStart w:id="148" w:name="_Toc184314468"/>
      <w:bookmarkEnd w:id="148"/>
      <w:bookmarkStart w:id="149" w:name="_Toc184310302"/>
      <w:bookmarkEnd w:id="149"/>
      <w:bookmarkStart w:id="150" w:name="_Toc184310304"/>
      <w:bookmarkEnd w:id="150"/>
      <w:bookmarkStart w:id="151" w:name="_Toc184312100"/>
      <w:bookmarkEnd w:id="151"/>
      <w:bookmarkStart w:id="152" w:name="_Toc184308048"/>
      <w:bookmarkEnd w:id="152"/>
      <w:bookmarkStart w:id="153" w:name="_Toc184308045"/>
      <w:bookmarkEnd w:id="153"/>
      <w:bookmarkStart w:id="154" w:name="_Toc184312094"/>
      <w:bookmarkEnd w:id="154"/>
      <w:bookmarkStart w:id="155" w:name="_Toc184310309"/>
      <w:bookmarkEnd w:id="155"/>
      <w:bookmarkStart w:id="156" w:name="_Toc184314428"/>
      <w:bookmarkEnd w:id="156"/>
      <w:bookmarkStart w:id="157" w:name="_Toc184314423"/>
      <w:bookmarkEnd w:id="157"/>
      <w:bookmarkStart w:id="158" w:name="_Toc184313270"/>
      <w:bookmarkEnd w:id="158"/>
      <w:bookmarkStart w:id="159" w:name="_Toc184308062"/>
      <w:bookmarkEnd w:id="159"/>
      <w:bookmarkStart w:id="160" w:name="_Toc184312138"/>
      <w:bookmarkEnd w:id="160"/>
      <w:bookmarkStart w:id="161" w:name="_Toc184312132"/>
      <w:bookmarkEnd w:id="161"/>
      <w:bookmarkStart w:id="162" w:name="_Toc184313249"/>
      <w:bookmarkEnd w:id="162"/>
      <w:bookmarkStart w:id="163" w:name="_Toc184313287"/>
      <w:bookmarkEnd w:id="163"/>
      <w:bookmarkStart w:id="164" w:name="_Toc184312125"/>
      <w:bookmarkEnd w:id="164"/>
      <w:bookmarkStart w:id="165" w:name="_Toc184313254"/>
      <w:bookmarkEnd w:id="165"/>
      <w:bookmarkStart w:id="166" w:name="_Toc184310282"/>
      <w:bookmarkEnd w:id="166"/>
      <w:bookmarkStart w:id="167" w:name="_Toc184314444"/>
      <w:bookmarkEnd w:id="167"/>
      <w:bookmarkStart w:id="168" w:name="_Toc184312096"/>
      <w:bookmarkEnd w:id="168"/>
      <w:bookmarkStart w:id="169" w:name="_Toc184314417"/>
      <w:bookmarkEnd w:id="169"/>
      <w:bookmarkStart w:id="170" w:name="_Toc184310288"/>
      <w:bookmarkEnd w:id="170"/>
      <w:bookmarkStart w:id="171" w:name="_Toc184310280"/>
      <w:bookmarkEnd w:id="171"/>
      <w:bookmarkStart w:id="172" w:name="_Toc184313239"/>
      <w:bookmarkEnd w:id="172"/>
      <w:bookmarkStart w:id="173" w:name="_Toc184308067"/>
      <w:bookmarkEnd w:id="173"/>
      <w:bookmarkStart w:id="174" w:name="_Toc184308092"/>
      <w:bookmarkEnd w:id="174"/>
      <w:bookmarkStart w:id="175" w:name="_Toc184313275"/>
      <w:bookmarkEnd w:id="175"/>
      <w:bookmarkStart w:id="176" w:name="_Toc184310310"/>
      <w:bookmarkEnd w:id="176"/>
      <w:bookmarkStart w:id="177" w:name="_Toc184313283"/>
      <w:bookmarkEnd w:id="177"/>
      <w:bookmarkStart w:id="178" w:name="_Toc184308053"/>
      <w:bookmarkEnd w:id="178"/>
      <w:bookmarkStart w:id="179" w:name="_Toc184313296"/>
      <w:bookmarkEnd w:id="179"/>
      <w:bookmarkStart w:id="180" w:name="_Toc184314424"/>
      <w:bookmarkEnd w:id="180"/>
      <w:bookmarkStart w:id="181" w:name="_Toc184308061"/>
      <w:bookmarkEnd w:id="181"/>
      <w:bookmarkStart w:id="182" w:name="_Toc184314414"/>
      <w:bookmarkEnd w:id="182"/>
      <w:bookmarkStart w:id="183" w:name="_Toc184312078"/>
      <w:bookmarkEnd w:id="183"/>
      <w:bookmarkStart w:id="184" w:name="_Toc184314475"/>
      <w:bookmarkEnd w:id="184"/>
      <w:bookmarkStart w:id="185" w:name="_Toc184314435"/>
      <w:bookmarkEnd w:id="185"/>
      <w:bookmarkStart w:id="186" w:name="_Toc184310320"/>
      <w:bookmarkEnd w:id="186"/>
      <w:bookmarkStart w:id="187" w:name="_Toc184308096"/>
      <w:bookmarkEnd w:id="187"/>
      <w:bookmarkStart w:id="188" w:name="_Toc184313309"/>
      <w:bookmarkEnd w:id="188"/>
      <w:bookmarkStart w:id="189" w:name="_Toc184314470"/>
      <w:bookmarkEnd w:id="189"/>
      <w:bookmarkStart w:id="190" w:name="_Toc184313262"/>
      <w:bookmarkEnd w:id="190"/>
      <w:bookmarkStart w:id="191" w:name="_Toc184312107"/>
      <w:bookmarkEnd w:id="191"/>
      <w:bookmarkStart w:id="192" w:name="_Toc184312084"/>
      <w:bookmarkEnd w:id="192"/>
      <w:bookmarkStart w:id="193" w:name="_Toc184313278"/>
      <w:bookmarkEnd w:id="193"/>
      <w:bookmarkStart w:id="194" w:name="_Toc184312103"/>
      <w:bookmarkEnd w:id="194"/>
      <w:bookmarkStart w:id="195" w:name="_Toc184312122"/>
      <w:bookmarkEnd w:id="195"/>
      <w:bookmarkStart w:id="196" w:name="_Toc184312101"/>
      <w:bookmarkEnd w:id="196"/>
      <w:bookmarkStart w:id="197" w:name="_Toc184313252"/>
      <w:bookmarkEnd w:id="197"/>
      <w:bookmarkStart w:id="198" w:name="_Toc184314421"/>
      <w:bookmarkEnd w:id="198"/>
      <w:bookmarkStart w:id="199" w:name="_Toc184308107"/>
      <w:bookmarkEnd w:id="199"/>
      <w:bookmarkStart w:id="200" w:name="_Toc184313292"/>
      <w:bookmarkEnd w:id="200"/>
      <w:bookmarkStart w:id="201" w:name="_Toc184310289"/>
      <w:bookmarkEnd w:id="201"/>
      <w:bookmarkStart w:id="202" w:name="_Toc184312082"/>
      <w:bookmarkEnd w:id="202"/>
      <w:bookmarkStart w:id="203" w:name="_Toc184312068"/>
      <w:bookmarkEnd w:id="203"/>
      <w:bookmarkStart w:id="204" w:name="_Toc184313286"/>
      <w:bookmarkEnd w:id="204"/>
      <w:bookmarkStart w:id="205" w:name="_Toc184308077"/>
      <w:bookmarkEnd w:id="205"/>
      <w:bookmarkStart w:id="206" w:name="_Toc184313304"/>
      <w:bookmarkEnd w:id="206"/>
      <w:bookmarkStart w:id="207" w:name="_Toc184310332"/>
      <w:bookmarkEnd w:id="207"/>
      <w:bookmarkStart w:id="208" w:name="_Toc184314436"/>
      <w:bookmarkEnd w:id="208"/>
      <w:bookmarkStart w:id="209" w:name="_Toc184310281"/>
      <w:bookmarkEnd w:id="209"/>
      <w:bookmarkStart w:id="210" w:name="_Toc184312121"/>
      <w:bookmarkEnd w:id="210"/>
      <w:bookmarkStart w:id="211" w:name="_Toc184310331"/>
      <w:bookmarkEnd w:id="211"/>
      <w:bookmarkStart w:id="212" w:name="_Toc184314425"/>
      <w:bookmarkEnd w:id="212"/>
      <w:bookmarkStart w:id="213" w:name="_Toc184310308"/>
      <w:bookmarkEnd w:id="213"/>
      <w:bookmarkStart w:id="214" w:name="_Toc184312109"/>
      <w:bookmarkEnd w:id="214"/>
      <w:bookmarkStart w:id="215" w:name="_Toc184312092"/>
      <w:bookmarkEnd w:id="215"/>
      <w:bookmarkStart w:id="216" w:name="_Toc184310298"/>
      <w:bookmarkEnd w:id="216"/>
      <w:bookmarkStart w:id="217" w:name="_Toc184308042"/>
      <w:bookmarkEnd w:id="217"/>
      <w:bookmarkStart w:id="218" w:name="_Toc184308064"/>
      <w:bookmarkEnd w:id="218"/>
      <w:bookmarkStart w:id="219" w:name="_Toc184310293"/>
      <w:bookmarkEnd w:id="219"/>
      <w:bookmarkStart w:id="220" w:name="_Toc184308103"/>
      <w:bookmarkEnd w:id="220"/>
      <w:bookmarkStart w:id="221" w:name="_Toc184308046"/>
      <w:bookmarkEnd w:id="221"/>
      <w:bookmarkStart w:id="222" w:name="_Toc184312077"/>
      <w:bookmarkEnd w:id="222"/>
      <w:bookmarkStart w:id="223" w:name="_Toc184310285"/>
      <w:bookmarkEnd w:id="223"/>
      <w:bookmarkStart w:id="224" w:name="_Toc184312074"/>
      <w:bookmarkEnd w:id="224"/>
      <w:bookmarkStart w:id="225" w:name="_Toc184310325"/>
      <w:bookmarkEnd w:id="225"/>
      <w:bookmarkStart w:id="226" w:name="_Toc184313300"/>
      <w:bookmarkEnd w:id="226"/>
      <w:bookmarkStart w:id="227" w:name="_Toc184313245"/>
      <w:bookmarkEnd w:id="227"/>
      <w:bookmarkStart w:id="228" w:name="_Toc184314471"/>
      <w:bookmarkEnd w:id="228"/>
      <w:bookmarkStart w:id="229" w:name="_Toc184312139"/>
      <w:bookmarkEnd w:id="229"/>
      <w:bookmarkStart w:id="230" w:name="_Toc184312111"/>
      <w:bookmarkEnd w:id="230"/>
      <w:bookmarkStart w:id="231" w:name="_Toc184308074"/>
      <w:bookmarkEnd w:id="231"/>
      <w:bookmarkStart w:id="232" w:name="_Toc184313273"/>
      <w:bookmarkEnd w:id="232"/>
      <w:bookmarkStart w:id="233" w:name="_Toc184312086"/>
      <w:bookmarkEnd w:id="233"/>
      <w:bookmarkStart w:id="234" w:name="_Toc184312120"/>
      <w:bookmarkEnd w:id="234"/>
      <w:bookmarkStart w:id="235" w:name="_Toc184313291"/>
      <w:bookmarkEnd w:id="235"/>
      <w:bookmarkStart w:id="236" w:name="_Toc184308089"/>
      <w:bookmarkEnd w:id="236"/>
      <w:bookmarkStart w:id="237" w:name="_Toc184314446"/>
      <w:bookmarkEnd w:id="237"/>
      <w:bookmarkStart w:id="238" w:name="_Toc184313263"/>
      <w:bookmarkEnd w:id="238"/>
      <w:bookmarkStart w:id="239" w:name="_Toc184313306"/>
      <w:bookmarkEnd w:id="239"/>
      <w:bookmarkStart w:id="240" w:name="_Toc184308080"/>
      <w:bookmarkEnd w:id="240"/>
      <w:bookmarkStart w:id="241" w:name="_Toc184313295"/>
      <w:bookmarkEnd w:id="241"/>
      <w:bookmarkStart w:id="242" w:name="_Toc184313243"/>
      <w:bookmarkEnd w:id="242"/>
      <w:bookmarkStart w:id="243" w:name="_Toc184310328"/>
      <w:bookmarkEnd w:id="243"/>
      <w:bookmarkStart w:id="244" w:name="_Toc184308100"/>
      <w:bookmarkEnd w:id="244"/>
      <w:bookmarkStart w:id="245" w:name="_Toc184312071"/>
      <w:bookmarkEnd w:id="245"/>
      <w:bookmarkStart w:id="246" w:name="_Toc184312099"/>
      <w:bookmarkEnd w:id="246"/>
      <w:bookmarkStart w:id="247" w:name="_Toc184313290"/>
      <w:bookmarkEnd w:id="247"/>
      <w:bookmarkStart w:id="248" w:name="_Toc184308097"/>
      <w:bookmarkEnd w:id="248"/>
      <w:bookmarkStart w:id="249" w:name="_Toc184314438"/>
      <w:bookmarkEnd w:id="249"/>
      <w:bookmarkStart w:id="250" w:name="_Toc184308094"/>
      <w:bookmarkEnd w:id="250"/>
      <w:bookmarkStart w:id="251" w:name="_Toc184310330"/>
      <w:bookmarkEnd w:id="251"/>
      <w:bookmarkStart w:id="252" w:name="_Toc184310299"/>
      <w:bookmarkEnd w:id="252"/>
      <w:bookmarkStart w:id="253" w:name="_Toc184314420"/>
      <w:bookmarkEnd w:id="253"/>
      <w:bookmarkStart w:id="254" w:name="_Toc184313301"/>
      <w:bookmarkEnd w:id="254"/>
      <w:bookmarkStart w:id="255" w:name="_Toc184313294"/>
      <w:bookmarkEnd w:id="255"/>
      <w:bookmarkStart w:id="256" w:name="_Toc184312093"/>
      <w:bookmarkEnd w:id="256"/>
      <w:bookmarkStart w:id="257" w:name="_Toc184314450"/>
      <w:bookmarkEnd w:id="257"/>
      <w:bookmarkStart w:id="258" w:name="_Toc184308060"/>
      <w:bookmarkEnd w:id="258"/>
      <w:bookmarkStart w:id="259" w:name="_Toc184314441"/>
      <w:bookmarkEnd w:id="259"/>
      <w:bookmarkStart w:id="260" w:name="_Toc184312089"/>
      <w:bookmarkEnd w:id="260"/>
      <w:bookmarkStart w:id="261" w:name="_Toc184312075"/>
      <w:bookmarkEnd w:id="261"/>
      <w:bookmarkStart w:id="262" w:name="_Toc184314453"/>
      <w:bookmarkEnd w:id="262"/>
      <w:bookmarkStart w:id="263" w:name="_Toc184310322"/>
      <w:bookmarkEnd w:id="263"/>
      <w:bookmarkStart w:id="264" w:name="_Toc184314443"/>
      <w:bookmarkEnd w:id="264"/>
      <w:bookmarkStart w:id="265" w:name="_Toc184310326"/>
      <w:bookmarkEnd w:id="265"/>
      <w:bookmarkStart w:id="266" w:name="_Toc184312117"/>
      <w:bookmarkEnd w:id="266"/>
      <w:bookmarkStart w:id="267" w:name="_Toc184314464"/>
      <w:bookmarkEnd w:id="267"/>
      <w:bookmarkStart w:id="268" w:name="_Toc184312080"/>
      <w:bookmarkEnd w:id="268"/>
      <w:bookmarkStart w:id="269" w:name="_Toc184314469"/>
      <w:bookmarkEnd w:id="269"/>
      <w:bookmarkStart w:id="270" w:name="_Toc184313274"/>
      <w:bookmarkEnd w:id="270"/>
      <w:bookmarkStart w:id="271" w:name="_Toc184313244"/>
      <w:bookmarkEnd w:id="271"/>
      <w:bookmarkStart w:id="272" w:name="_Toc184310335"/>
      <w:bookmarkEnd w:id="272"/>
      <w:bookmarkStart w:id="273" w:name="_Toc184310276"/>
      <w:bookmarkEnd w:id="273"/>
      <w:bookmarkStart w:id="274" w:name="_Toc184308065"/>
      <w:bookmarkEnd w:id="274"/>
      <w:bookmarkStart w:id="275" w:name="_Toc184310277"/>
      <w:bookmarkEnd w:id="275"/>
      <w:bookmarkStart w:id="276" w:name="_Toc184308088"/>
      <w:bookmarkEnd w:id="276"/>
      <w:bookmarkStart w:id="277" w:name="_Toc184313279"/>
      <w:bookmarkEnd w:id="277"/>
      <w:bookmarkStart w:id="278" w:name="_Toc184310342"/>
      <w:bookmarkEnd w:id="278"/>
      <w:bookmarkStart w:id="279" w:name="_Toc184313256"/>
      <w:bookmarkEnd w:id="279"/>
      <w:bookmarkStart w:id="280" w:name="_Toc184308049"/>
      <w:bookmarkEnd w:id="280"/>
      <w:bookmarkStart w:id="281" w:name="_Toc184312102"/>
      <w:bookmarkEnd w:id="281"/>
      <w:bookmarkStart w:id="282" w:name="_Toc184312105"/>
      <w:bookmarkEnd w:id="282"/>
      <w:bookmarkStart w:id="283" w:name="_Toc184310297"/>
      <w:bookmarkEnd w:id="283"/>
      <w:bookmarkStart w:id="284" w:name="_Toc184312129"/>
      <w:bookmarkEnd w:id="284"/>
      <w:bookmarkStart w:id="285" w:name="_Toc184313280"/>
      <w:bookmarkEnd w:id="285"/>
      <w:bookmarkStart w:id="286" w:name="_Toc184314455"/>
      <w:bookmarkEnd w:id="286"/>
      <w:bookmarkStart w:id="287" w:name="_Toc184314465"/>
      <w:bookmarkEnd w:id="287"/>
      <w:bookmarkStart w:id="288" w:name="_Toc184313288"/>
      <w:bookmarkEnd w:id="288"/>
      <w:bookmarkStart w:id="289" w:name="_Toc184308106"/>
      <w:bookmarkEnd w:id="289"/>
      <w:bookmarkStart w:id="290" w:name="_Toc184312079"/>
      <w:bookmarkEnd w:id="290"/>
      <w:bookmarkStart w:id="291" w:name="_Toc184314474"/>
      <w:bookmarkEnd w:id="291"/>
      <w:bookmarkStart w:id="292" w:name="_Toc184310312"/>
      <w:bookmarkEnd w:id="292"/>
      <w:bookmarkStart w:id="293" w:name="_Toc184312087"/>
      <w:bookmarkEnd w:id="293"/>
      <w:bookmarkStart w:id="294" w:name="_Toc184313269"/>
      <w:bookmarkEnd w:id="294"/>
      <w:bookmarkStart w:id="295" w:name="_Toc184313265"/>
      <w:bookmarkEnd w:id="295"/>
      <w:bookmarkStart w:id="296" w:name="_Toc184313261"/>
      <w:bookmarkEnd w:id="296"/>
      <w:bookmarkStart w:id="297" w:name="_Toc184314476"/>
      <w:bookmarkEnd w:id="297"/>
      <w:bookmarkStart w:id="298" w:name="_Toc184312097"/>
      <w:bookmarkEnd w:id="298"/>
      <w:bookmarkStart w:id="299" w:name="_Toc184314472"/>
      <w:bookmarkEnd w:id="299"/>
      <w:bookmarkStart w:id="300" w:name="_Toc184308057"/>
      <w:bookmarkEnd w:id="300"/>
      <w:bookmarkStart w:id="301" w:name="_Toc184313302"/>
      <w:bookmarkEnd w:id="301"/>
      <w:bookmarkStart w:id="302" w:name="_Toc184313242"/>
      <w:bookmarkEnd w:id="302"/>
      <w:bookmarkStart w:id="303" w:name="_Toc184312072"/>
      <w:bookmarkEnd w:id="303"/>
      <w:bookmarkStart w:id="304" w:name="_Toc184308091"/>
      <w:bookmarkEnd w:id="304"/>
      <w:bookmarkStart w:id="305" w:name="_Toc184308058"/>
      <w:bookmarkEnd w:id="305"/>
      <w:bookmarkStart w:id="306" w:name="_Toc184310300"/>
      <w:bookmarkEnd w:id="306"/>
      <w:bookmarkStart w:id="307" w:name="_Toc184312118"/>
      <w:bookmarkEnd w:id="307"/>
      <w:bookmarkStart w:id="308" w:name="_Toc184310295"/>
      <w:bookmarkEnd w:id="308"/>
      <w:bookmarkStart w:id="309" w:name="_Toc184308105"/>
      <w:bookmarkEnd w:id="309"/>
      <w:bookmarkStart w:id="310" w:name="_Toc184308090"/>
      <w:bookmarkEnd w:id="310"/>
      <w:bookmarkStart w:id="311" w:name="_Toc184308075"/>
      <w:bookmarkEnd w:id="311"/>
      <w:bookmarkStart w:id="312" w:name="_Toc184314447"/>
      <w:bookmarkEnd w:id="312"/>
      <w:bookmarkStart w:id="313" w:name="_Toc184314480"/>
      <w:bookmarkEnd w:id="313"/>
      <w:bookmarkStart w:id="314" w:name="_Toc184314449"/>
      <w:bookmarkEnd w:id="314"/>
      <w:bookmarkStart w:id="315" w:name="_Toc184308104"/>
      <w:bookmarkEnd w:id="315"/>
      <w:bookmarkStart w:id="316" w:name="_Toc184310318"/>
      <w:bookmarkEnd w:id="316"/>
      <w:bookmarkStart w:id="317" w:name="_Toc184308043"/>
      <w:bookmarkEnd w:id="317"/>
      <w:bookmarkStart w:id="318" w:name="_Toc184314481"/>
      <w:bookmarkEnd w:id="318"/>
      <w:bookmarkStart w:id="319" w:name="_Toc184314439"/>
      <w:bookmarkEnd w:id="319"/>
      <w:bookmarkStart w:id="320" w:name="_Toc184313299"/>
      <w:bookmarkEnd w:id="320"/>
      <w:bookmarkStart w:id="321" w:name="_Toc184310286"/>
      <w:bookmarkEnd w:id="321"/>
      <w:bookmarkStart w:id="322" w:name="_Toc184308041"/>
      <w:bookmarkEnd w:id="322"/>
      <w:bookmarkStart w:id="323" w:name="_Toc184310316"/>
      <w:bookmarkEnd w:id="323"/>
      <w:bookmarkStart w:id="324" w:name="_Toc184308066"/>
      <w:bookmarkEnd w:id="324"/>
      <w:bookmarkStart w:id="325" w:name="_Toc184313260"/>
      <w:bookmarkEnd w:id="325"/>
      <w:bookmarkStart w:id="326" w:name="_Toc184310287"/>
      <w:bookmarkEnd w:id="326"/>
      <w:bookmarkStart w:id="327" w:name="_Toc184310274"/>
      <w:bookmarkEnd w:id="327"/>
      <w:bookmarkStart w:id="328" w:name="_Toc184310301"/>
      <w:bookmarkEnd w:id="328"/>
      <w:bookmarkStart w:id="329" w:name="_Toc184314478"/>
      <w:bookmarkEnd w:id="329"/>
      <w:bookmarkStart w:id="330" w:name="_Toc184310272"/>
      <w:bookmarkEnd w:id="330"/>
      <w:bookmarkStart w:id="331" w:name="_Toc184310315"/>
      <w:bookmarkEnd w:id="331"/>
      <w:bookmarkStart w:id="332" w:name="_Toc184314419"/>
      <w:bookmarkEnd w:id="332"/>
      <w:bookmarkStart w:id="333" w:name="_Toc184308055"/>
      <w:bookmarkEnd w:id="333"/>
      <w:bookmarkStart w:id="334" w:name="_Toc184312114"/>
      <w:bookmarkEnd w:id="334"/>
      <w:bookmarkStart w:id="335" w:name="_Toc184314479"/>
      <w:bookmarkEnd w:id="335"/>
      <w:bookmarkStart w:id="336" w:name="_Toc184313258"/>
      <w:bookmarkEnd w:id="336"/>
      <w:bookmarkStart w:id="337" w:name="_Toc184314411"/>
      <w:bookmarkEnd w:id="337"/>
      <w:bookmarkStart w:id="338" w:name="_Toc184312090"/>
      <w:bookmarkEnd w:id="338"/>
      <w:bookmarkStart w:id="339" w:name="_Toc184308078"/>
      <w:bookmarkEnd w:id="339"/>
      <w:bookmarkStart w:id="340" w:name="_Toc184308079"/>
      <w:bookmarkEnd w:id="340"/>
      <w:bookmarkStart w:id="341" w:name="_Toc184313282"/>
      <w:bookmarkEnd w:id="341"/>
      <w:bookmarkStart w:id="342" w:name="_Toc184313307"/>
      <w:bookmarkEnd w:id="342"/>
      <w:bookmarkStart w:id="343" w:name="_Toc184314448"/>
      <w:bookmarkEnd w:id="343"/>
      <w:bookmarkStart w:id="344" w:name="_Toc184308069"/>
      <w:bookmarkEnd w:id="344"/>
      <w:bookmarkStart w:id="345" w:name="_Toc184314427"/>
      <w:bookmarkEnd w:id="345"/>
      <w:bookmarkStart w:id="346" w:name="_Toc184308087"/>
      <w:bookmarkEnd w:id="346"/>
      <w:bookmarkStart w:id="347" w:name="_Toc184312069"/>
      <w:bookmarkEnd w:id="347"/>
      <w:bookmarkStart w:id="348" w:name="_Toc184312137"/>
      <w:bookmarkEnd w:id="348"/>
      <w:bookmarkStart w:id="349" w:name="_Toc184308063"/>
      <w:bookmarkEnd w:id="349"/>
      <w:bookmarkStart w:id="350" w:name="_Toc184308093"/>
      <w:bookmarkEnd w:id="350"/>
      <w:bookmarkStart w:id="351" w:name="_Toc184314437"/>
      <w:bookmarkEnd w:id="351"/>
      <w:bookmarkStart w:id="352" w:name="_Toc184314433"/>
      <w:bookmarkEnd w:id="352"/>
      <w:bookmarkStart w:id="353" w:name="_Toc184312123"/>
      <w:bookmarkEnd w:id="353"/>
      <w:bookmarkStart w:id="354" w:name="_Toc184314454"/>
      <w:bookmarkEnd w:id="354"/>
      <w:bookmarkStart w:id="355" w:name="_Toc184314473"/>
      <w:bookmarkEnd w:id="355"/>
      <w:bookmarkStart w:id="356" w:name="_Toc184310323"/>
      <w:bookmarkEnd w:id="356"/>
      <w:bookmarkStart w:id="357" w:name="_Toc184308054"/>
      <w:bookmarkEnd w:id="357"/>
      <w:bookmarkStart w:id="358" w:name="_Toc184314462"/>
      <w:bookmarkEnd w:id="358"/>
      <w:bookmarkStart w:id="359" w:name="_Toc184313285"/>
      <w:bookmarkEnd w:id="359"/>
      <w:bookmarkStart w:id="360" w:name="_Toc184310284"/>
      <w:bookmarkEnd w:id="360"/>
      <w:bookmarkStart w:id="361" w:name="_Toc184313257"/>
      <w:bookmarkEnd w:id="361"/>
      <w:bookmarkStart w:id="362" w:name="_Toc184310327"/>
      <w:bookmarkEnd w:id="362"/>
      <w:bookmarkStart w:id="363" w:name="_Toc184312081"/>
      <w:bookmarkEnd w:id="363"/>
      <w:bookmarkStart w:id="364" w:name="_Toc184313246"/>
      <w:bookmarkEnd w:id="364"/>
      <w:bookmarkStart w:id="365" w:name="_Toc184308071"/>
      <w:bookmarkEnd w:id="365"/>
      <w:bookmarkStart w:id="366" w:name="_Toc184313248"/>
      <w:bookmarkEnd w:id="366"/>
      <w:bookmarkStart w:id="367" w:name="_Toc184312115"/>
      <w:bookmarkEnd w:id="367"/>
      <w:bookmarkStart w:id="368" w:name="_Toc184312113"/>
      <w:bookmarkEnd w:id="368"/>
      <w:bookmarkStart w:id="369" w:name="_Toc184312116"/>
      <w:bookmarkEnd w:id="369"/>
      <w:bookmarkStart w:id="370" w:name="_Toc184314463"/>
      <w:bookmarkEnd w:id="370"/>
      <w:bookmarkStart w:id="371" w:name="_Toc184314440"/>
      <w:bookmarkEnd w:id="371"/>
      <w:bookmarkStart w:id="372" w:name="_Toc184314445"/>
      <w:bookmarkEnd w:id="372"/>
      <w:bookmarkStart w:id="373" w:name="_Toc184313264"/>
      <w:bookmarkEnd w:id="373"/>
      <w:bookmarkStart w:id="374" w:name="_Toc184308086"/>
      <w:bookmarkEnd w:id="374"/>
      <w:bookmarkStart w:id="375" w:name="_Toc184310343"/>
      <w:bookmarkEnd w:id="375"/>
      <w:bookmarkStart w:id="376" w:name="_Toc184314432"/>
      <w:bookmarkEnd w:id="376"/>
      <w:bookmarkStart w:id="377" w:name="_Toc184310273"/>
      <w:bookmarkEnd w:id="377"/>
      <w:bookmarkStart w:id="378" w:name="_Toc184314416"/>
      <w:bookmarkEnd w:id="378"/>
      <w:bookmarkStart w:id="379" w:name="_Toc184312127"/>
      <w:bookmarkEnd w:id="379"/>
      <w:bookmarkStart w:id="380" w:name="_Toc184313271"/>
      <w:bookmarkEnd w:id="380"/>
      <w:bookmarkStart w:id="381" w:name="_Toc184308081"/>
      <w:bookmarkEnd w:id="381"/>
      <w:bookmarkStart w:id="382" w:name="_Toc184313267"/>
      <w:bookmarkEnd w:id="382"/>
      <w:bookmarkStart w:id="383" w:name="_Toc184308050"/>
      <w:bookmarkEnd w:id="383"/>
      <w:bookmarkStart w:id="384" w:name="_Toc184314442"/>
      <w:bookmarkEnd w:id="384"/>
      <w:bookmarkStart w:id="385" w:name="_Toc184310314"/>
      <w:bookmarkEnd w:id="385"/>
      <w:bookmarkStart w:id="386" w:name="_Toc184314430"/>
      <w:bookmarkEnd w:id="386"/>
      <w:bookmarkStart w:id="387" w:name="_Toc184308051"/>
      <w:bookmarkEnd w:id="387"/>
      <w:bookmarkStart w:id="388" w:name="_Toc184314467"/>
      <w:bookmarkEnd w:id="388"/>
      <w:bookmarkStart w:id="389" w:name="_Toc184313277"/>
      <w:bookmarkEnd w:id="389"/>
      <w:bookmarkStart w:id="390" w:name="_Toc184314418"/>
      <w:bookmarkEnd w:id="390"/>
      <w:bookmarkStart w:id="391" w:name="_Toc184312134"/>
      <w:bookmarkEnd w:id="391"/>
      <w:bookmarkStart w:id="392" w:name="_Toc184308101"/>
      <w:bookmarkEnd w:id="392"/>
      <w:r>
        <w:rPr>
          <w:rFonts w:hint="eastAsia" w:ascii="宋体" w:hAnsi="宋体" w:eastAsia="宋体" w:cs="宋体"/>
          <w:b/>
          <w:color w:val="000000" w:themeColor="text1"/>
          <w:sz w:val="36"/>
          <w:szCs w:val="36"/>
          <w:highlight w:val="none"/>
          <w14:textFill>
            <w14:solidFill>
              <w14:schemeClr w14:val="tx1"/>
            </w14:solidFill>
          </w14:textFill>
        </w:rPr>
        <w:t>评标办法</w:t>
      </w:r>
    </w:p>
    <w:p w14:paraId="2F9573A5">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p w14:paraId="2C4039A2">
      <w:pPr>
        <w:rPr>
          <w:rFonts w:hint="eastAsia" w:ascii="宋体" w:hAnsi="宋体" w:eastAsia="宋体" w:cs="宋体"/>
          <w:color w:val="000000" w:themeColor="text1"/>
          <w:highlight w:val="none"/>
          <w:lang w:val="en-US" w:eastAsia="zh-CN"/>
          <w14:textFill>
            <w14:solidFill>
              <w14:schemeClr w14:val="tx1"/>
            </w14:solidFill>
          </w14:textFill>
        </w:rPr>
      </w:pPr>
    </w:p>
    <w:p w14:paraId="043A14B6">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1、商务资信</w:t>
      </w:r>
      <w:r>
        <w:rPr>
          <w:rFonts w:hint="eastAsia" w:ascii="宋体" w:hAnsi="宋体" w:eastAsia="宋体" w:cs="宋体"/>
          <w:b/>
          <w:bCs/>
          <w:color w:val="auto"/>
          <w:sz w:val="24"/>
          <w:szCs w:val="24"/>
          <w:highlight w:val="none"/>
          <w:lang w:val="en-US" w:eastAsia="zh-CN"/>
        </w:rPr>
        <w:t>部分</w:t>
      </w:r>
      <w:r>
        <w:rPr>
          <w:rFonts w:hint="eastAsia" w:ascii="宋体" w:hAnsi="宋体" w:eastAsia="宋体" w:cs="宋体"/>
          <w:b/>
          <w:bCs/>
          <w:color w:val="auto"/>
          <w:sz w:val="24"/>
          <w:szCs w:val="24"/>
          <w:highlight w:val="none"/>
        </w:rPr>
        <w:t>（20分）</w:t>
      </w:r>
    </w:p>
    <w:tbl>
      <w:tblPr>
        <w:tblStyle w:val="62"/>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45"/>
        <w:gridCol w:w="5823"/>
        <w:gridCol w:w="778"/>
        <w:gridCol w:w="987"/>
      </w:tblGrid>
      <w:tr w14:paraId="6DDB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12FB4ACE">
            <w:pPr>
              <w:pStyle w:val="25"/>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分类</w:t>
            </w:r>
          </w:p>
        </w:tc>
        <w:tc>
          <w:tcPr>
            <w:tcW w:w="745" w:type="dxa"/>
            <w:noWrap w:val="0"/>
            <w:vAlign w:val="center"/>
          </w:tcPr>
          <w:p w14:paraId="7FBD3E6D">
            <w:pPr>
              <w:pStyle w:val="25"/>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23" w:type="dxa"/>
            <w:noWrap w:val="0"/>
            <w:vAlign w:val="center"/>
          </w:tcPr>
          <w:p w14:paraId="1E7C4A38">
            <w:pPr>
              <w:pStyle w:val="25"/>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评分内容和标准</w:t>
            </w:r>
          </w:p>
        </w:tc>
        <w:tc>
          <w:tcPr>
            <w:tcW w:w="778" w:type="dxa"/>
            <w:noWrap w:val="0"/>
            <w:vAlign w:val="center"/>
          </w:tcPr>
          <w:p w14:paraId="048253B1">
            <w:pPr>
              <w:pStyle w:val="25"/>
              <w:spacing w:line="360" w:lineRule="exact"/>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分值区间</w:t>
            </w:r>
          </w:p>
        </w:tc>
        <w:tc>
          <w:tcPr>
            <w:tcW w:w="987" w:type="dxa"/>
            <w:noWrap w:val="0"/>
            <w:vAlign w:val="center"/>
          </w:tcPr>
          <w:p w14:paraId="12233101">
            <w:pPr>
              <w:pStyle w:val="25"/>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主观/客观分</w:t>
            </w:r>
          </w:p>
        </w:tc>
      </w:tr>
      <w:tr w14:paraId="76D4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00" w:type="dxa"/>
            <w:vMerge w:val="restart"/>
            <w:noWrap w:val="0"/>
            <w:vAlign w:val="center"/>
          </w:tcPr>
          <w:p w14:paraId="5D317713">
            <w:pPr>
              <w:pStyle w:val="25"/>
              <w:spacing w:line="36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商务资信（20分）</w:t>
            </w:r>
          </w:p>
        </w:tc>
        <w:tc>
          <w:tcPr>
            <w:tcW w:w="745" w:type="dxa"/>
            <w:noWrap w:val="0"/>
            <w:vAlign w:val="center"/>
          </w:tcPr>
          <w:p w14:paraId="682C7C95">
            <w:pPr>
              <w:pStyle w:val="25"/>
              <w:spacing w:line="36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823" w:type="dxa"/>
            <w:noWrap w:val="0"/>
            <w:vAlign w:val="center"/>
          </w:tcPr>
          <w:p w14:paraId="5B39685C">
            <w:pPr>
              <w:pStyle w:val="25"/>
              <w:snapToGrid w:val="0"/>
              <w:spacing w:after="0" w:line="360" w:lineRule="auto"/>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响应单位</w:t>
            </w:r>
            <w:r>
              <w:rPr>
                <w:rFonts w:hint="eastAsia" w:ascii="宋体" w:hAnsi="宋体" w:eastAsia="宋体" w:cs="宋体"/>
                <w:kern w:val="2"/>
                <w:sz w:val="24"/>
                <w:szCs w:val="24"/>
                <w:lang w:val="en-US" w:eastAsia="zh-CN"/>
              </w:rPr>
              <w:t>同时具有质量管理体系认证证书、环境管理体系认证证书、职业健康安全管理体系认证证书、信息安全管理体系认证证书、企业诚信管理体系，且在有效期内的得2分，缺</w:t>
            </w:r>
            <w:r>
              <w:rPr>
                <w:rFonts w:hint="eastAsia" w:ascii="宋体" w:hAnsi="宋体" w:eastAsia="宋体" w:cs="宋体"/>
                <w:color w:val="auto"/>
                <w:kern w:val="2"/>
                <w:sz w:val="24"/>
                <w:szCs w:val="24"/>
                <w:highlight w:val="none"/>
                <w:lang w:val="en-US" w:eastAsia="zh-CN"/>
              </w:rPr>
              <w:t>1扣0.5分</w:t>
            </w:r>
            <w:r>
              <w:rPr>
                <w:rFonts w:hint="eastAsia" w:ascii="宋体" w:hAnsi="宋体" w:eastAsia="宋体" w:cs="宋体"/>
                <w:kern w:val="2"/>
                <w:sz w:val="24"/>
                <w:szCs w:val="24"/>
                <w:lang w:val="en-US" w:eastAsia="zh-CN"/>
              </w:rPr>
              <w:t>。【有效证明材料：提供在有效期内的认证证书复印件并加盖单位公章，否则不得分】</w:t>
            </w:r>
          </w:p>
        </w:tc>
        <w:tc>
          <w:tcPr>
            <w:tcW w:w="778" w:type="dxa"/>
            <w:noWrap w:val="0"/>
            <w:vAlign w:val="center"/>
          </w:tcPr>
          <w:p w14:paraId="19BD8DB5">
            <w:pPr>
              <w:pStyle w:val="25"/>
              <w:spacing w:line="36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987" w:type="dxa"/>
            <w:noWrap w:val="0"/>
            <w:vAlign w:val="center"/>
          </w:tcPr>
          <w:p w14:paraId="5E854FA9">
            <w:pPr>
              <w:pStyle w:val="25"/>
              <w:spacing w:line="36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052E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700" w:type="dxa"/>
            <w:vMerge w:val="continue"/>
            <w:noWrap w:val="0"/>
            <w:vAlign w:val="center"/>
          </w:tcPr>
          <w:p w14:paraId="6345E52E">
            <w:pPr>
              <w:pStyle w:val="25"/>
              <w:spacing w:line="360" w:lineRule="exact"/>
              <w:ind w:firstLine="0" w:firstLineChars="0"/>
              <w:rPr>
                <w:rFonts w:hint="eastAsia" w:ascii="宋体" w:hAnsi="宋体" w:eastAsia="宋体" w:cs="宋体"/>
                <w:color w:val="auto"/>
                <w:kern w:val="0"/>
                <w:sz w:val="24"/>
                <w:szCs w:val="24"/>
                <w:highlight w:val="none"/>
              </w:rPr>
            </w:pPr>
          </w:p>
        </w:tc>
        <w:tc>
          <w:tcPr>
            <w:tcW w:w="745" w:type="dxa"/>
            <w:noWrap w:val="0"/>
            <w:vAlign w:val="center"/>
          </w:tcPr>
          <w:p w14:paraId="4632CA25">
            <w:pPr>
              <w:pStyle w:val="25"/>
              <w:spacing w:line="36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823" w:type="dxa"/>
            <w:noWrap w:val="0"/>
            <w:vAlign w:val="center"/>
          </w:tcPr>
          <w:p w14:paraId="291BDA2E">
            <w:pPr>
              <w:spacing w:after="0" w:line="360" w:lineRule="exact"/>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响应单位</w:t>
            </w:r>
            <w:r>
              <w:rPr>
                <w:rFonts w:hint="eastAsia" w:ascii="宋体" w:hAnsi="宋体" w:eastAsia="宋体" w:cs="宋体"/>
                <w:sz w:val="24"/>
                <w:szCs w:val="24"/>
              </w:rPr>
              <w:t>开标当月（以提供的证书时间为准）获得省级建设工程造价管理部门颁发的造价咨询企业动态信用等级AAA 的得0.5分，获得造价咨询企业动态信用等级AAAA 的得</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分，获得造价咨询企业动态信用等级AAAAA 的得</w:t>
            </w:r>
            <w:r>
              <w:rPr>
                <w:rFonts w:hint="eastAsia" w:ascii="宋体" w:hAnsi="宋体" w:eastAsia="宋体" w:cs="宋体"/>
                <w:sz w:val="24"/>
                <w:szCs w:val="24"/>
                <w:lang w:val="en-US" w:eastAsia="zh-CN"/>
              </w:rPr>
              <w:t>2.0</w:t>
            </w:r>
            <w:r>
              <w:rPr>
                <w:rFonts w:hint="eastAsia" w:ascii="宋体" w:hAnsi="宋体" w:eastAsia="宋体" w:cs="宋体"/>
                <w:sz w:val="24"/>
                <w:szCs w:val="24"/>
              </w:rPr>
              <w:t>分。本项满分</w:t>
            </w:r>
            <w:r>
              <w:rPr>
                <w:rFonts w:hint="eastAsia" w:ascii="宋体" w:hAnsi="宋体" w:eastAsia="宋体" w:cs="宋体"/>
                <w:sz w:val="24"/>
                <w:szCs w:val="24"/>
                <w:lang w:eastAsia="zh-CN"/>
              </w:rPr>
              <w:t>2</w:t>
            </w:r>
            <w:r>
              <w:rPr>
                <w:rFonts w:hint="eastAsia" w:ascii="宋体" w:hAnsi="宋体" w:eastAsia="宋体" w:cs="宋体"/>
                <w:sz w:val="24"/>
                <w:szCs w:val="24"/>
              </w:rPr>
              <w:t>分，没有不得分。</w:t>
            </w:r>
            <w:r>
              <w:rPr>
                <w:rFonts w:hint="eastAsia" w:ascii="宋体" w:hAnsi="宋体" w:eastAsia="宋体" w:cs="宋体"/>
                <w:sz w:val="24"/>
                <w:szCs w:val="24"/>
                <w:lang w:eastAsia="zh-CN"/>
              </w:rPr>
              <w:t>【</w:t>
            </w:r>
            <w:r>
              <w:rPr>
                <w:rFonts w:hint="eastAsia" w:ascii="宋体" w:hAnsi="宋体" w:eastAsia="宋体" w:cs="宋体"/>
                <w:sz w:val="24"/>
                <w:szCs w:val="24"/>
              </w:rPr>
              <w:t>有效证明材料：（网站：http://www.zjzj.net/index）上企业信用等级查询网页截图或信用等级证书，</w:t>
            </w:r>
            <w:r>
              <w:rPr>
                <w:rFonts w:hint="eastAsia" w:ascii="宋体" w:hAnsi="宋体" w:eastAsia="宋体" w:cs="宋体"/>
                <w:color w:val="auto"/>
                <w:sz w:val="24"/>
                <w:szCs w:val="24"/>
                <w:highlight w:val="none"/>
              </w:rPr>
              <w:t>提供网页打印证明（开标前一周内页面查询结果并加盖</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公章）或信用报告复印件，未按要求提供不得分</w:t>
            </w:r>
            <w:r>
              <w:rPr>
                <w:rFonts w:hint="eastAsia" w:ascii="宋体" w:hAnsi="宋体" w:eastAsia="宋体" w:cs="宋体"/>
                <w:sz w:val="24"/>
                <w:szCs w:val="24"/>
                <w:lang w:eastAsia="zh-CN"/>
              </w:rPr>
              <w:t>】</w:t>
            </w:r>
          </w:p>
        </w:tc>
        <w:tc>
          <w:tcPr>
            <w:tcW w:w="778" w:type="dxa"/>
            <w:noWrap w:val="0"/>
            <w:vAlign w:val="center"/>
          </w:tcPr>
          <w:p w14:paraId="547FC659">
            <w:pPr>
              <w:pStyle w:val="25"/>
              <w:spacing w:line="36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w:t>
            </w:r>
          </w:p>
        </w:tc>
        <w:tc>
          <w:tcPr>
            <w:tcW w:w="987" w:type="dxa"/>
            <w:noWrap w:val="0"/>
            <w:vAlign w:val="center"/>
          </w:tcPr>
          <w:p w14:paraId="4093AA2A">
            <w:pPr>
              <w:pStyle w:val="25"/>
              <w:spacing w:line="36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099A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noWrap w:val="0"/>
            <w:vAlign w:val="center"/>
          </w:tcPr>
          <w:p w14:paraId="4A3D69F5">
            <w:pPr>
              <w:pStyle w:val="25"/>
              <w:spacing w:line="360" w:lineRule="exact"/>
              <w:ind w:firstLine="0" w:firstLineChars="0"/>
              <w:rPr>
                <w:rFonts w:hint="eastAsia" w:ascii="宋体" w:hAnsi="宋体" w:eastAsia="宋体" w:cs="宋体"/>
                <w:color w:val="auto"/>
                <w:kern w:val="0"/>
                <w:sz w:val="24"/>
                <w:szCs w:val="24"/>
                <w:highlight w:val="none"/>
              </w:rPr>
            </w:pPr>
          </w:p>
        </w:tc>
        <w:tc>
          <w:tcPr>
            <w:tcW w:w="745" w:type="dxa"/>
            <w:noWrap w:val="0"/>
            <w:vAlign w:val="center"/>
          </w:tcPr>
          <w:p w14:paraId="502B72E2">
            <w:pPr>
              <w:pStyle w:val="25"/>
              <w:spacing w:line="36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823" w:type="dxa"/>
            <w:noWrap w:val="0"/>
            <w:vAlign w:val="center"/>
          </w:tcPr>
          <w:p w14:paraId="5B9163E5">
            <w:pPr>
              <w:spacing w:line="360" w:lineRule="exact"/>
              <w:ind w:left="42" w:leftChars="20" w:right="42" w:rightChars="20" w:firstLine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响应单位2019年8月1日至今（时间以证书或获奖文件上的落款时间为准），获得过省级及以上造价主管部门（造价管理站）颁发的“品牌”造价企业荣誉的，得1分；没有的不得分，本项最高得3分。</w:t>
            </w:r>
          </w:p>
          <w:p w14:paraId="6480E305">
            <w:pPr>
              <w:spacing w:after="0" w:line="360" w:lineRule="exact"/>
              <w:rPr>
                <w:rFonts w:hint="eastAsia" w:ascii="宋体" w:hAnsi="宋体" w:eastAsia="宋体" w:cs="宋体"/>
                <w:kern w:val="0"/>
                <w:sz w:val="24"/>
                <w:szCs w:val="24"/>
                <w:lang w:val="en-US" w:eastAsia="zh-CN"/>
              </w:rPr>
            </w:pPr>
            <w:r>
              <w:rPr>
                <w:rFonts w:hint="eastAsia" w:ascii="宋体" w:hAnsi="宋体" w:eastAsia="宋体" w:cs="宋体"/>
                <w:kern w:val="2"/>
                <w:sz w:val="24"/>
                <w:szCs w:val="24"/>
                <w:lang w:val="en-US" w:eastAsia="zh-CN"/>
              </w:rPr>
              <w:t>【证明材料：表彰文件或荣誉证书或网络查询网址，不能网查核实的不得分】</w:t>
            </w:r>
          </w:p>
        </w:tc>
        <w:tc>
          <w:tcPr>
            <w:tcW w:w="778" w:type="dxa"/>
            <w:noWrap w:val="0"/>
            <w:vAlign w:val="center"/>
          </w:tcPr>
          <w:p w14:paraId="61DD2917">
            <w:pPr>
              <w:pStyle w:val="25"/>
              <w:spacing w:line="36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987" w:type="dxa"/>
            <w:noWrap w:val="0"/>
            <w:vAlign w:val="center"/>
          </w:tcPr>
          <w:p w14:paraId="14765ABA">
            <w:pPr>
              <w:pStyle w:val="25"/>
              <w:spacing w:line="360" w:lineRule="exact"/>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r w14:paraId="6B83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0" w:type="dxa"/>
            <w:vMerge w:val="continue"/>
            <w:noWrap w:val="0"/>
            <w:vAlign w:val="center"/>
          </w:tcPr>
          <w:p w14:paraId="23984EB0">
            <w:pPr>
              <w:pStyle w:val="25"/>
              <w:spacing w:line="360" w:lineRule="exact"/>
              <w:ind w:firstLine="0" w:firstLineChars="0"/>
              <w:rPr>
                <w:rFonts w:hint="eastAsia" w:ascii="宋体" w:hAnsi="宋体" w:eastAsia="宋体" w:cs="宋体"/>
                <w:color w:val="auto"/>
                <w:kern w:val="0"/>
                <w:sz w:val="24"/>
                <w:szCs w:val="24"/>
                <w:highlight w:val="none"/>
              </w:rPr>
            </w:pPr>
          </w:p>
        </w:tc>
        <w:tc>
          <w:tcPr>
            <w:tcW w:w="745" w:type="dxa"/>
            <w:noWrap w:val="0"/>
            <w:vAlign w:val="center"/>
          </w:tcPr>
          <w:p w14:paraId="2D0B667D">
            <w:pPr>
              <w:pStyle w:val="25"/>
              <w:spacing w:line="36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5823" w:type="dxa"/>
            <w:noWrap w:val="0"/>
            <w:vAlign w:val="center"/>
          </w:tcPr>
          <w:p w14:paraId="4413806A">
            <w:pPr>
              <w:spacing w:after="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响应单位</w:t>
            </w:r>
            <w:r>
              <w:rPr>
                <w:rFonts w:hint="eastAsia" w:ascii="宋体" w:hAnsi="宋体" w:eastAsia="宋体" w:cs="宋体"/>
                <w:kern w:val="2"/>
                <w:sz w:val="24"/>
                <w:szCs w:val="24"/>
                <w:highlight w:val="none"/>
                <w:lang w:val="en-US" w:eastAsia="zh-CN"/>
              </w:rPr>
              <w:t>2019年8月1日至今（时间以合同签订时间为准）承接过单个合同项目：总建筑面积在25万平方米及以上的公共建筑工程全过程跟踪审计或全过程造价控制或全过程工程咨询中的造价咨询（需包含跟踪审计或全过程造价控制工作内容）业绩，每个得2.0分；总建筑面积在20万平方米（含）至25万平方米（不含）的公共建筑工程全过程跟踪审计或全过程造价控制或全过程工程咨询中的造价咨询（需包含跟踪审计或全过程造价控制工作内容）业绩，每个得1.5分，本项只计取2个业绩，最多得4分；（有效证明材料：咨询合同，合同未体现相关评审要素，需提供该项目的初步设计批复，证明材料只限上述材料，其余材料不予认可，业绩时间以合同签订为准；)注：合同中须能体现相应项目经济技术指标；</w:t>
            </w:r>
          </w:p>
        </w:tc>
        <w:tc>
          <w:tcPr>
            <w:tcW w:w="778" w:type="dxa"/>
            <w:noWrap w:val="0"/>
            <w:vAlign w:val="center"/>
          </w:tcPr>
          <w:p w14:paraId="3BC81ED8">
            <w:pPr>
              <w:pStyle w:val="25"/>
              <w:spacing w:line="36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987" w:type="dxa"/>
            <w:noWrap w:val="0"/>
            <w:vAlign w:val="center"/>
          </w:tcPr>
          <w:p w14:paraId="3709388D">
            <w:pPr>
              <w:pStyle w:val="25"/>
              <w:spacing w:line="36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2BE7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jc w:val="center"/>
        </w:trPr>
        <w:tc>
          <w:tcPr>
            <w:tcW w:w="700" w:type="dxa"/>
            <w:vMerge w:val="continue"/>
            <w:noWrap w:val="0"/>
            <w:vAlign w:val="center"/>
          </w:tcPr>
          <w:p w14:paraId="49EB07C6">
            <w:pPr>
              <w:pStyle w:val="25"/>
              <w:spacing w:line="360" w:lineRule="exact"/>
              <w:ind w:firstLine="0" w:firstLineChars="0"/>
              <w:rPr>
                <w:rFonts w:hint="eastAsia" w:ascii="宋体" w:hAnsi="宋体" w:eastAsia="宋体" w:cs="宋体"/>
                <w:color w:val="auto"/>
                <w:kern w:val="0"/>
                <w:sz w:val="24"/>
                <w:szCs w:val="24"/>
                <w:highlight w:val="none"/>
              </w:rPr>
            </w:pPr>
          </w:p>
        </w:tc>
        <w:tc>
          <w:tcPr>
            <w:tcW w:w="745" w:type="dxa"/>
            <w:noWrap w:val="0"/>
            <w:vAlign w:val="center"/>
          </w:tcPr>
          <w:p w14:paraId="2FE2B54F">
            <w:pPr>
              <w:pStyle w:val="25"/>
              <w:spacing w:line="36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5823" w:type="dxa"/>
            <w:noWrap w:val="0"/>
            <w:vAlign w:val="center"/>
          </w:tcPr>
          <w:p w14:paraId="699BD3B3">
            <w:pPr>
              <w:spacing w:line="360" w:lineRule="exact"/>
              <w:ind w:left="42" w:leftChars="20" w:right="42" w:rightChars="20"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拟派项目负责人：</w:t>
            </w:r>
          </w:p>
          <w:p w14:paraId="1D8D987F">
            <w:pPr>
              <w:spacing w:line="360" w:lineRule="exact"/>
              <w:ind w:left="42" w:leftChars="20" w:right="42" w:rightChars="20"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1、具有高级及以上技术职称的得0.5分；</w:t>
            </w:r>
          </w:p>
          <w:p w14:paraId="1EB15A57">
            <w:pPr>
              <w:spacing w:line="360" w:lineRule="exact"/>
              <w:ind w:left="42" w:leftChars="20" w:right="42" w:rightChars="20"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2、拟派项目负责人一级造价师注册年限满15年的得1.5分，注册年限满10年到15年的得1分，注册年限5年到10年的得0.5分，小于5年不得分。</w:t>
            </w:r>
          </w:p>
          <w:p w14:paraId="234E6685">
            <w:pPr>
              <w:spacing w:line="360" w:lineRule="exact"/>
              <w:ind w:left="42" w:leftChars="20" w:right="42" w:rightChars="20"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3、自2019 年8月1 日以来参与过单个项目获得过省级及以上造价管理协会或造价管理部门颁发的优质造价咨询成果奖或优秀造价咨询成果奖，每个得2.0分，最高得4分。</w:t>
            </w:r>
          </w:p>
          <w:p w14:paraId="5A26DF9F">
            <w:pPr>
              <w:spacing w:after="0" w:line="360" w:lineRule="exact"/>
              <w:ind w:left="42" w:leftChars="20" w:right="42" w:rightChars="2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rPr>
              <w:t>（证明材料：职称证、注册资格证书、执业资格证书、开标前近三个月在投标单位缴纳的社保证明，2024年5月、2024年6月、2024年7月；表彰文件或荣誉证书，时间以文件或荣誉证书落款时间为准（延续注册或变更注册的须提供证明材料）。</w:t>
            </w:r>
          </w:p>
        </w:tc>
        <w:tc>
          <w:tcPr>
            <w:tcW w:w="778" w:type="dxa"/>
            <w:noWrap w:val="0"/>
            <w:vAlign w:val="center"/>
          </w:tcPr>
          <w:p w14:paraId="6D4739B4">
            <w:pPr>
              <w:pStyle w:val="25"/>
              <w:spacing w:line="36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987" w:type="dxa"/>
            <w:noWrap w:val="0"/>
            <w:vAlign w:val="center"/>
          </w:tcPr>
          <w:p w14:paraId="2A3EBE43">
            <w:pPr>
              <w:pStyle w:val="25"/>
              <w:spacing w:line="36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0B64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700" w:type="dxa"/>
            <w:vMerge w:val="continue"/>
            <w:noWrap w:val="0"/>
            <w:vAlign w:val="center"/>
          </w:tcPr>
          <w:p w14:paraId="1055373F">
            <w:pPr>
              <w:pStyle w:val="25"/>
              <w:spacing w:line="360" w:lineRule="exact"/>
              <w:ind w:firstLine="0" w:firstLineChars="0"/>
              <w:rPr>
                <w:rFonts w:hint="eastAsia" w:ascii="宋体" w:hAnsi="宋体" w:eastAsia="宋体" w:cs="宋体"/>
                <w:color w:val="auto"/>
                <w:kern w:val="0"/>
                <w:sz w:val="24"/>
                <w:szCs w:val="24"/>
                <w:highlight w:val="none"/>
              </w:rPr>
            </w:pPr>
          </w:p>
        </w:tc>
        <w:tc>
          <w:tcPr>
            <w:tcW w:w="745" w:type="dxa"/>
            <w:noWrap w:val="0"/>
            <w:vAlign w:val="center"/>
          </w:tcPr>
          <w:p w14:paraId="132060B9">
            <w:pPr>
              <w:pStyle w:val="25"/>
              <w:spacing w:line="36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5823" w:type="dxa"/>
            <w:noWrap w:val="0"/>
            <w:vAlign w:val="center"/>
          </w:tcPr>
          <w:p w14:paraId="32024CAC">
            <w:pPr>
              <w:spacing w:line="360" w:lineRule="exact"/>
              <w:ind w:left="42" w:leftChars="20" w:right="42" w:rightChars="20"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拟派技术负责人：</w:t>
            </w:r>
          </w:p>
          <w:p w14:paraId="7D7C490E">
            <w:pPr>
              <w:spacing w:line="360" w:lineRule="exact"/>
              <w:ind w:left="42" w:leftChars="20" w:right="42" w:rightChars="20"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1）具有（安装工程专业）一级注册造价工程师的且同时具有高级及以上技术职称的得0.5分；</w:t>
            </w:r>
          </w:p>
          <w:p w14:paraId="21558F31">
            <w:pPr>
              <w:spacing w:line="360" w:lineRule="exact"/>
              <w:ind w:left="42" w:leftChars="20" w:right="42" w:rightChars="20"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2）注册造价工程师（安装工程专业）取得年限15年（从初始注册时间计算至开标当日）及以上的得1.5分,注册年限满10年到15年的得1分，注册年限5年到10年的得0.5分，小于5年不得分；</w:t>
            </w:r>
          </w:p>
          <w:p w14:paraId="0670354F">
            <w:pPr>
              <w:spacing w:line="360" w:lineRule="exact"/>
              <w:ind w:left="42" w:leftChars="20" w:right="42" w:rightChars="20"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3）具有一级注册造价工程师其他专业增项的每个得1分，最高得1分。</w:t>
            </w:r>
          </w:p>
          <w:p w14:paraId="780C9D63">
            <w:pPr>
              <w:spacing w:line="360" w:lineRule="exact"/>
              <w:ind w:left="42" w:leftChars="20" w:right="42" w:rightChars="20" w:firstLineChars="0"/>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highlight w:val="none"/>
                <w:lang w:val="en-US" w:eastAsia="zh-CN"/>
              </w:rPr>
              <w:t>（满分3分）（证明材料：提供相关证书的扫描件及近三个月（2024年5月、2024年6月、2024年7月）在投标人单位缴纳的社保证明）</w:t>
            </w:r>
          </w:p>
        </w:tc>
        <w:tc>
          <w:tcPr>
            <w:tcW w:w="778" w:type="dxa"/>
            <w:noWrap w:val="0"/>
            <w:vAlign w:val="center"/>
          </w:tcPr>
          <w:p w14:paraId="1DEA14B4">
            <w:pPr>
              <w:pStyle w:val="25"/>
              <w:spacing w:line="36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987" w:type="dxa"/>
            <w:noWrap w:val="0"/>
            <w:vAlign w:val="center"/>
          </w:tcPr>
          <w:p w14:paraId="2B94AA2E">
            <w:pPr>
              <w:pStyle w:val="25"/>
              <w:spacing w:line="36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bl>
    <w:p w14:paraId="14FF4930">
      <w:pPr>
        <w:keepNext w:val="0"/>
        <w:keepLines w:val="0"/>
        <w:pageBreakBefore w:val="0"/>
        <w:widowControl w:val="0"/>
        <w:kinsoku/>
        <w:wordWrap/>
        <w:overflowPunct/>
        <w:topLinePunct w:val="0"/>
        <w:autoSpaceDE w:val="0"/>
        <w:autoSpaceDN w:val="0"/>
        <w:bidi w:val="0"/>
        <w:adjustRightInd w:val="0"/>
        <w:snapToGrid/>
        <w:spacing w:line="360" w:lineRule="auto"/>
        <w:ind w:firstLine="723" w:firstLineChars="3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2、技术</w:t>
      </w:r>
      <w:r>
        <w:rPr>
          <w:rFonts w:hint="eastAsia" w:ascii="宋体" w:hAnsi="宋体" w:eastAsia="宋体" w:cs="宋体"/>
          <w:b/>
          <w:bCs/>
          <w:color w:val="auto"/>
          <w:sz w:val="24"/>
          <w:szCs w:val="24"/>
          <w:highlight w:val="none"/>
          <w:lang w:val="en-US" w:eastAsia="zh-CN"/>
        </w:rPr>
        <w:t>部分</w:t>
      </w:r>
      <w:r>
        <w:rPr>
          <w:rFonts w:hint="eastAsia" w:ascii="宋体" w:hAnsi="宋体" w:eastAsia="宋体" w:cs="宋体"/>
          <w:b/>
          <w:bCs/>
          <w:color w:val="auto"/>
          <w:sz w:val="24"/>
          <w:szCs w:val="24"/>
          <w:highlight w:val="none"/>
          <w:lang w:bidi="ar"/>
        </w:rPr>
        <w:t>（70分）</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sz w:val="24"/>
          <w:szCs w:val="24"/>
        </w:rPr>
        <w:t>尽量言简意赅，切中要点，不要为了篇幅而上传不需要的资料以及大量摘抄规范文件，</w:t>
      </w:r>
      <w:r>
        <w:rPr>
          <w:rFonts w:hint="eastAsia" w:ascii="宋体" w:hAnsi="宋体" w:eastAsia="宋体" w:cs="宋体"/>
          <w:b/>
          <w:bCs/>
          <w:sz w:val="24"/>
          <w:szCs w:val="24"/>
          <w:lang w:val="en-US" w:eastAsia="zh-CN"/>
        </w:rPr>
        <w:t>要求</w:t>
      </w:r>
      <w:r>
        <w:rPr>
          <w:rFonts w:hint="eastAsia" w:ascii="宋体" w:hAnsi="宋体" w:eastAsia="宋体" w:cs="宋体"/>
          <w:b/>
          <w:bCs/>
          <w:sz w:val="24"/>
          <w:szCs w:val="24"/>
        </w:rPr>
        <w:t>供应商方案不超过</w:t>
      </w:r>
      <w:r>
        <w:rPr>
          <w:rFonts w:hint="eastAsia" w:ascii="宋体" w:hAnsi="宋体" w:eastAsia="宋体" w:cs="宋体"/>
          <w:b/>
          <w:bCs/>
          <w:sz w:val="24"/>
          <w:szCs w:val="24"/>
          <w:lang w:val="en-US" w:eastAsia="zh-CN"/>
        </w:rPr>
        <w:t>50</w:t>
      </w:r>
      <w:r>
        <w:rPr>
          <w:rFonts w:hint="eastAsia" w:ascii="宋体" w:hAnsi="宋体" w:eastAsia="宋体" w:cs="宋体"/>
          <w:b/>
          <w:bCs/>
          <w:sz w:val="24"/>
          <w:szCs w:val="24"/>
        </w:rPr>
        <w:t>页，采用宋体小四字体，间距1.5倍行距</w:t>
      </w:r>
      <w:r>
        <w:rPr>
          <w:rFonts w:hint="eastAsia" w:ascii="宋体" w:hAnsi="宋体" w:eastAsia="宋体" w:cs="宋体"/>
          <w:b/>
          <w:bCs/>
          <w:color w:val="auto"/>
          <w:sz w:val="24"/>
          <w:szCs w:val="24"/>
          <w:highlight w:val="none"/>
          <w:lang w:eastAsia="zh-CN" w:bidi="ar"/>
        </w:rPr>
        <w:t>）</w:t>
      </w:r>
    </w:p>
    <w:tbl>
      <w:tblPr>
        <w:tblStyle w:val="62"/>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83"/>
        <w:gridCol w:w="1083"/>
        <w:gridCol w:w="4733"/>
        <w:gridCol w:w="815"/>
        <w:gridCol w:w="993"/>
      </w:tblGrid>
      <w:tr w14:paraId="4756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blHeader/>
          <w:jc w:val="center"/>
        </w:trPr>
        <w:tc>
          <w:tcPr>
            <w:tcW w:w="669" w:type="dxa"/>
            <w:noWrap w:val="0"/>
            <w:vAlign w:val="center"/>
          </w:tcPr>
          <w:p w14:paraId="2F7D7014">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分类</w:t>
            </w:r>
          </w:p>
        </w:tc>
        <w:tc>
          <w:tcPr>
            <w:tcW w:w="783" w:type="dxa"/>
            <w:noWrap w:val="0"/>
            <w:vAlign w:val="center"/>
          </w:tcPr>
          <w:p w14:paraId="45EBDA67">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083" w:type="dxa"/>
            <w:noWrap w:val="0"/>
            <w:vAlign w:val="center"/>
          </w:tcPr>
          <w:p w14:paraId="746BC88B">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4733" w:type="dxa"/>
            <w:noWrap w:val="0"/>
            <w:vAlign w:val="center"/>
          </w:tcPr>
          <w:p w14:paraId="584147AE">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评标内容</w:t>
            </w:r>
          </w:p>
        </w:tc>
        <w:tc>
          <w:tcPr>
            <w:tcW w:w="815" w:type="dxa"/>
            <w:noWrap w:val="0"/>
            <w:vAlign w:val="center"/>
          </w:tcPr>
          <w:p w14:paraId="225A63F2">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分值区间</w:t>
            </w:r>
          </w:p>
        </w:tc>
        <w:tc>
          <w:tcPr>
            <w:tcW w:w="993" w:type="dxa"/>
            <w:noWrap w:val="0"/>
            <w:vAlign w:val="center"/>
          </w:tcPr>
          <w:p w14:paraId="179DDCDF">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主观/客观分</w:t>
            </w:r>
          </w:p>
        </w:tc>
      </w:tr>
      <w:tr w14:paraId="04CE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blHeader/>
          <w:jc w:val="center"/>
        </w:trPr>
        <w:tc>
          <w:tcPr>
            <w:tcW w:w="669" w:type="dxa"/>
            <w:vMerge w:val="restart"/>
            <w:noWrap w:val="0"/>
            <w:vAlign w:val="center"/>
          </w:tcPr>
          <w:p w14:paraId="0D6FBB7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技术分（70分）</w:t>
            </w:r>
          </w:p>
        </w:tc>
        <w:tc>
          <w:tcPr>
            <w:tcW w:w="783" w:type="dxa"/>
            <w:vMerge w:val="restart"/>
            <w:noWrap w:val="0"/>
            <w:vAlign w:val="center"/>
          </w:tcPr>
          <w:p w14:paraId="615A17E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3" w:type="dxa"/>
            <w:vMerge w:val="restart"/>
            <w:noWrap w:val="0"/>
            <w:vAlign w:val="center"/>
          </w:tcPr>
          <w:p w14:paraId="0C87663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工作实施总体方案（30分）</w:t>
            </w:r>
          </w:p>
        </w:tc>
        <w:tc>
          <w:tcPr>
            <w:tcW w:w="4733" w:type="dxa"/>
            <w:noWrap w:val="0"/>
            <w:vAlign w:val="center"/>
          </w:tcPr>
          <w:p w14:paraId="3CC53856">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rPr>
              <w:t>根据实施审核方案可行性、针对性情况，评标委员会综合评定（3-6分）</w:t>
            </w:r>
          </w:p>
        </w:tc>
        <w:tc>
          <w:tcPr>
            <w:tcW w:w="815" w:type="dxa"/>
            <w:noWrap w:val="0"/>
            <w:vAlign w:val="center"/>
          </w:tcPr>
          <w:p w14:paraId="3305F04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p>
        </w:tc>
        <w:tc>
          <w:tcPr>
            <w:tcW w:w="993" w:type="dxa"/>
            <w:noWrap w:val="0"/>
            <w:vAlign w:val="center"/>
          </w:tcPr>
          <w:p w14:paraId="19A7A3F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E75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blHeader/>
          <w:jc w:val="center"/>
        </w:trPr>
        <w:tc>
          <w:tcPr>
            <w:tcW w:w="669" w:type="dxa"/>
            <w:vMerge w:val="continue"/>
            <w:noWrap w:val="0"/>
            <w:vAlign w:val="center"/>
          </w:tcPr>
          <w:p w14:paraId="24539A48">
            <w:pPr>
              <w:spacing w:line="400" w:lineRule="exact"/>
              <w:jc w:val="center"/>
              <w:rPr>
                <w:rFonts w:hint="eastAsia" w:ascii="宋体" w:hAnsi="宋体" w:eastAsia="宋体" w:cs="宋体"/>
                <w:color w:val="auto"/>
                <w:sz w:val="24"/>
                <w:szCs w:val="24"/>
                <w:highlight w:val="none"/>
              </w:rPr>
            </w:pPr>
          </w:p>
        </w:tc>
        <w:tc>
          <w:tcPr>
            <w:tcW w:w="783" w:type="dxa"/>
            <w:vMerge w:val="continue"/>
            <w:noWrap w:val="0"/>
            <w:vAlign w:val="center"/>
          </w:tcPr>
          <w:p w14:paraId="2A15C856">
            <w:pPr>
              <w:spacing w:line="400" w:lineRule="exact"/>
              <w:jc w:val="center"/>
              <w:rPr>
                <w:rFonts w:hint="eastAsia" w:ascii="宋体" w:hAnsi="宋体" w:eastAsia="宋体" w:cs="宋体"/>
                <w:color w:val="auto"/>
                <w:sz w:val="24"/>
                <w:szCs w:val="24"/>
                <w:highlight w:val="none"/>
              </w:rPr>
            </w:pPr>
          </w:p>
        </w:tc>
        <w:tc>
          <w:tcPr>
            <w:tcW w:w="1083" w:type="dxa"/>
            <w:vMerge w:val="continue"/>
            <w:noWrap w:val="0"/>
            <w:vAlign w:val="center"/>
          </w:tcPr>
          <w:p w14:paraId="43195431">
            <w:pPr>
              <w:spacing w:line="400" w:lineRule="exact"/>
              <w:jc w:val="center"/>
              <w:rPr>
                <w:rFonts w:hint="eastAsia" w:ascii="宋体" w:hAnsi="宋体" w:eastAsia="宋体" w:cs="宋体"/>
                <w:color w:val="auto"/>
                <w:sz w:val="24"/>
                <w:szCs w:val="24"/>
                <w:highlight w:val="none"/>
              </w:rPr>
            </w:pPr>
          </w:p>
        </w:tc>
        <w:tc>
          <w:tcPr>
            <w:tcW w:w="4733" w:type="dxa"/>
            <w:noWrap w:val="0"/>
            <w:vAlign w:val="center"/>
          </w:tcPr>
          <w:p w14:paraId="358EA468">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rPr>
              <w:t>项目组成员专业配置是否合理，分工是否明确，评标委员会综合评定（3-6分）</w:t>
            </w:r>
          </w:p>
        </w:tc>
        <w:tc>
          <w:tcPr>
            <w:tcW w:w="815" w:type="dxa"/>
            <w:noWrap w:val="0"/>
            <w:vAlign w:val="center"/>
          </w:tcPr>
          <w:p w14:paraId="1E4F80C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p>
        </w:tc>
        <w:tc>
          <w:tcPr>
            <w:tcW w:w="993" w:type="dxa"/>
            <w:noWrap w:val="0"/>
            <w:vAlign w:val="center"/>
          </w:tcPr>
          <w:p w14:paraId="32BAA7B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222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blHeader/>
          <w:jc w:val="center"/>
        </w:trPr>
        <w:tc>
          <w:tcPr>
            <w:tcW w:w="669" w:type="dxa"/>
            <w:vMerge w:val="continue"/>
            <w:noWrap w:val="0"/>
            <w:vAlign w:val="center"/>
          </w:tcPr>
          <w:p w14:paraId="6B2D612C">
            <w:pPr>
              <w:spacing w:line="400" w:lineRule="exact"/>
              <w:jc w:val="center"/>
              <w:rPr>
                <w:rFonts w:hint="eastAsia" w:ascii="宋体" w:hAnsi="宋体" w:eastAsia="宋体" w:cs="宋体"/>
                <w:color w:val="auto"/>
                <w:sz w:val="24"/>
                <w:szCs w:val="24"/>
                <w:highlight w:val="none"/>
              </w:rPr>
            </w:pPr>
          </w:p>
        </w:tc>
        <w:tc>
          <w:tcPr>
            <w:tcW w:w="783" w:type="dxa"/>
            <w:vMerge w:val="continue"/>
            <w:noWrap w:val="0"/>
            <w:vAlign w:val="center"/>
          </w:tcPr>
          <w:p w14:paraId="1BDBFC2D">
            <w:pPr>
              <w:spacing w:line="400" w:lineRule="exact"/>
              <w:jc w:val="center"/>
              <w:rPr>
                <w:rFonts w:hint="eastAsia" w:ascii="宋体" w:hAnsi="宋体" w:eastAsia="宋体" w:cs="宋体"/>
                <w:color w:val="auto"/>
                <w:sz w:val="24"/>
                <w:szCs w:val="24"/>
                <w:highlight w:val="none"/>
              </w:rPr>
            </w:pPr>
          </w:p>
        </w:tc>
        <w:tc>
          <w:tcPr>
            <w:tcW w:w="1083" w:type="dxa"/>
            <w:vMerge w:val="continue"/>
            <w:noWrap w:val="0"/>
            <w:vAlign w:val="center"/>
          </w:tcPr>
          <w:p w14:paraId="28B6777E">
            <w:pPr>
              <w:spacing w:line="400" w:lineRule="exact"/>
              <w:jc w:val="center"/>
              <w:rPr>
                <w:rFonts w:hint="eastAsia" w:ascii="宋体" w:hAnsi="宋体" w:eastAsia="宋体" w:cs="宋体"/>
                <w:color w:val="auto"/>
                <w:sz w:val="24"/>
                <w:szCs w:val="24"/>
                <w:highlight w:val="none"/>
              </w:rPr>
            </w:pPr>
          </w:p>
        </w:tc>
        <w:tc>
          <w:tcPr>
            <w:tcW w:w="4733" w:type="dxa"/>
            <w:noWrap w:val="0"/>
            <w:vAlign w:val="center"/>
          </w:tcPr>
          <w:p w14:paraId="63AF5674">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提供的本项目过程中可能遇到的问题分析及应对应急处理方案、重难点工作分析等情况，评标委员会综合评定（3-6分）</w:t>
            </w:r>
          </w:p>
        </w:tc>
        <w:tc>
          <w:tcPr>
            <w:tcW w:w="815" w:type="dxa"/>
            <w:noWrap w:val="0"/>
            <w:vAlign w:val="center"/>
          </w:tcPr>
          <w:p w14:paraId="3BB31D1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p>
        </w:tc>
        <w:tc>
          <w:tcPr>
            <w:tcW w:w="993" w:type="dxa"/>
            <w:noWrap w:val="0"/>
            <w:vAlign w:val="center"/>
          </w:tcPr>
          <w:p w14:paraId="00FBB95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EA7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blHeader/>
          <w:jc w:val="center"/>
        </w:trPr>
        <w:tc>
          <w:tcPr>
            <w:tcW w:w="669" w:type="dxa"/>
            <w:vMerge w:val="continue"/>
            <w:noWrap w:val="0"/>
            <w:vAlign w:val="center"/>
          </w:tcPr>
          <w:p w14:paraId="2D98AE38">
            <w:pPr>
              <w:spacing w:line="400" w:lineRule="exact"/>
              <w:jc w:val="center"/>
              <w:rPr>
                <w:rFonts w:hint="eastAsia" w:ascii="宋体" w:hAnsi="宋体" w:eastAsia="宋体" w:cs="宋体"/>
                <w:color w:val="auto"/>
                <w:sz w:val="24"/>
                <w:szCs w:val="24"/>
                <w:highlight w:val="none"/>
              </w:rPr>
            </w:pPr>
          </w:p>
        </w:tc>
        <w:tc>
          <w:tcPr>
            <w:tcW w:w="783" w:type="dxa"/>
            <w:vMerge w:val="continue"/>
            <w:noWrap w:val="0"/>
            <w:vAlign w:val="center"/>
          </w:tcPr>
          <w:p w14:paraId="28A43B5D">
            <w:pPr>
              <w:spacing w:line="400" w:lineRule="exact"/>
              <w:jc w:val="center"/>
              <w:rPr>
                <w:rFonts w:hint="eastAsia" w:ascii="宋体" w:hAnsi="宋体" w:eastAsia="宋体" w:cs="宋体"/>
                <w:color w:val="auto"/>
                <w:sz w:val="24"/>
                <w:szCs w:val="24"/>
                <w:highlight w:val="none"/>
              </w:rPr>
            </w:pPr>
          </w:p>
        </w:tc>
        <w:tc>
          <w:tcPr>
            <w:tcW w:w="1083" w:type="dxa"/>
            <w:vMerge w:val="continue"/>
            <w:noWrap w:val="0"/>
            <w:vAlign w:val="center"/>
          </w:tcPr>
          <w:p w14:paraId="6F3BED47">
            <w:pPr>
              <w:spacing w:line="400" w:lineRule="exact"/>
              <w:jc w:val="center"/>
              <w:rPr>
                <w:rFonts w:hint="eastAsia" w:ascii="宋体" w:hAnsi="宋体" w:eastAsia="宋体" w:cs="宋体"/>
                <w:color w:val="auto"/>
                <w:sz w:val="24"/>
                <w:szCs w:val="24"/>
                <w:highlight w:val="none"/>
              </w:rPr>
            </w:pPr>
          </w:p>
        </w:tc>
        <w:tc>
          <w:tcPr>
            <w:tcW w:w="4733" w:type="dxa"/>
            <w:noWrap w:val="0"/>
            <w:vAlign w:val="center"/>
          </w:tcPr>
          <w:p w14:paraId="7CA9FBF2">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rPr>
              <w:t>实施方案中对相关协调管理职能、争议解决机制等方面是否明确，评标委员会综合评定（3-6分）</w:t>
            </w:r>
          </w:p>
        </w:tc>
        <w:tc>
          <w:tcPr>
            <w:tcW w:w="815" w:type="dxa"/>
            <w:noWrap w:val="0"/>
            <w:vAlign w:val="center"/>
          </w:tcPr>
          <w:p w14:paraId="684AF50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p>
        </w:tc>
        <w:tc>
          <w:tcPr>
            <w:tcW w:w="993" w:type="dxa"/>
            <w:noWrap w:val="0"/>
            <w:vAlign w:val="center"/>
          </w:tcPr>
          <w:p w14:paraId="6FFB087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D58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blHeader/>
          <w:jc w:val="center"/>
        </w:trPr>
        <w:tc>
          <w:tcPr>
            <w:tcW w:w="669" w:type="dxa"/>
            <w:vMerge w:val="continue"/>
            <w:noWrap w:val="0"/>
            <w:vAlign w:val="center"/>
          </w:tcPr>
          <w:p w14:paraId="795D3A93">
            <w:pPr>
              <w:spacing w:line="400" w:lineRule="exact"/>
              <w:jc w:val="center"/>
              <w:rPr>
                <w:rFonts w:hint="eastAsia" w:ascii="宋体" w:hAnsi="宋体" w:eastAsia="宋体" w:cs="宋体"/>
                <w:color w:val="auto"/>
                <w:sz w:val="24"/>
                <w:szCs w:val="24"/>
                <w:highlight w:val="none"/>
              </w:rPr>
            </w:pPr>
          </w:p>
        </w:tc>
        <w:tc>
          <w:tcPr>
            <w:tcW w:w="783" w:type="dxa"/>
            <w:vMerge w:val="continue"/>
            <w:noWrap w:val="0"/>
            <w:vAlign w:val="center"/>
          </w:tcPr>
          <w:p w14:paraId="5A46B736">
            <w:pPr>
              <w:spacing w:line="400" w:lineRule="exact"/>
              <w:jc w:val="center"/>
              <w:rPr>
                <w:rFonts w:hint="eastAsia" w:ascii="宋体" w:hAnsi="宋体" w:eastAsia="宋体" w:cs="宋体"/>
                <w:color w:val="auto"/>
                <w:sz w:val="24"/>
                <w:szCs w:val="24"/>
                <w:highlight w:val="none"/>
              </w:rPr>
            </w:pPr>
          </w:p>
        </w:tc>
        <w:tc>
          <w:tcPr>
            <w:tcW w:w="1083" w:type="dxa"/>
            <w:vMerge w:val="continue"/>
            <w:noWrap w:val="0"/>
            <w:vAlign w:val="center"/>
          </w:tcPr>
          <w:p w14:paraId="7EAD28F3">
            <w:pPr>
              <w:spacing w:line="400" w:lineRule="exact"/>
              <w:jc w:val="center"/>
              <w:rPr>
                <w:rFonts w:hint="eastAsia" w:ascii="宋体" w:hAnsi="宋体" w:eastAsia="宋体" w:cs="宋体"/>
                <w:color w:val="auto"/>
                <w:sz w:val="24"/>
                <w:szCs w:val="24"/>
                <w:highlight w:val="none"/>
              </w:rPr>
            </w:pPr>
          </w:p>
        </w:tc>
        <w:tc>
          <w:tcPr>
            <w:tcW w:w="4733" w:type="dxa"/>
            <w:noWrap w:val="0"/>
            <w:vAlign w:val="center"/>
          </w:tcPr>
          <w:p w14:paraId="095A37D9">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rPr>
              <w:t>服务计划是否周密，工作思路是否清晰等情况，评标委员会综合评定（3-6分）</w:t>
            </w:r>
          </w:p>
        </w:tc>
        <w:tc>
          <w:tcPr>
            <w:tcW w:w="815" w:type="dxa"/>
            <w:noWrap w:val="0"/>
            <w:vAlign w:val="center"/>
          </w:tcPr>
          <w:p w14:paraId="0F1D45B1">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p>
        </w:tc>
        <w:tc>
          <w:tcPr>
            <w:tcW w:w="993" w:type="dxa"/>
            <w:noWrap w:val="0"/>
            <w:vAlign w:val="center"/>
          </w:tcPr>
          <w:p w14:paraId="07085C5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3E9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blHeader/>
          <w:jc w:val="center"/>
        </w:trPr>
        <w:tc>
          <w:tcPr>
            <w:tcW w:w="669" w:type="dxa"/>
            <w:vMerge w:val="continue"/>
            <w:noWrap w:val="0"/>
            <w:vAlign w:val="center"/>
          </w:tcPr>
          <w:p w14:paraId="1F8A6B58">
            <w:pPr>
              <w:spacing w:line="400" w:lineRule="exact"/>
              <w:jc w:val="center"/>
              <w:rPr>
                <w:rFonts w:hint="eastAsia" w:ascii="宋体" w:hAnsi="宋体" w:eastAsia="宋体" w:cs="宋体"/>
                <w:color w:val="auto"/>
                <w:sz w:val="24"/>
                <w:szCs w:val="24"/>
                <w:highlight w:val="none"/>
              </w:rPr>
            </w:pPr>
          </w:p>
        </w:tc>
        <w:tc>
          <w:tcPr>
            <w:tcW w:w="783" w:type="dxa"/>
            <w:vMerge w:val="restart"/>
            <w:noWrap w:val="0"/>
            <w:vAlign w:val="center"/>
          </w:tcPr>
          <w:p w14:paraId="5DF5E66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083" w:type="dxa"/>
            <w:vMerge w:val="restart"/>
            <w:noWrap w:val="0"/>
            <w:vAlign w:val="center"/>
          </w:tcPr>
          <w:p w14:paraId="0FB1663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质量保证措施(22分)</w:t>
            </w:r>
          </w:p>
        </w:tc>
        <w:tc>
          <w:tcPr>
            <w:tcW w:w="4733" w:type="dxa"/>
            <w:noWrap w:val="0"/>
            <w:vAlign w:val="center"/>
          </w:tcPr>
          <w:p w14:paraId="1DD4453B">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rPr>
              <w:t>措施是否完善，合理等情况，评标委员会综合评定（3-6分）</w:t>
            </w:r>
          </w:p>
        </w:tc>
        <w:tc>
          <w:tcPr>
            <w:tcW w:w="815" w:type="dxa"/>
            <w:noWrap w:val="0"/>
            <w:vAlign w:val="center"/>
          </w:tcPr>
          <w:p w14:paraId="1E87D35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p>
        </w:tc>
        <w:tc>
          <w:tcPr>
            <w:tcW w:w="993" w:type="dxa"/>
            <w:noWrap w:val="0"/>
            <w:vAlign w:val="center"/>
          </w:tcPr>
          <w:p w14:paraId="2962D29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168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blHeader/>
          <w:jc w:val="center"/>
        </w:trPr>
        <w:tc>
          <w:tcPr>
            <w:tcW w:w="669" w:type="dxa"/>
            <w:vMerge w:val="continue"/>
            <w:noWrap w:val="0"/>
            <w:vAlign w:val="center"/>
          </w:tcPr>
          <w:p w14:paraId="4B158E0F">
            <w:pPr>
              <w:spacing w:line="400" w:lineRule="exact"/>
              <w:jc w:val="center"/>
              <w:rPr>
                <w:rFonts w:hint="eastAsia" w:ascii="宋体" w:hAnsi="宋体" w:eastAsia="宋体" w:cs="宋体"/>
                <w:color w:val="auto"/>
                <w:sz w:val="24"/>
                <w:szCs w:val="24"/>
                <w:highlight w:val="none"/>
              </w:rPr>
            </w:pPr>
          </w:p>
        </w:tc>
        <w:tc>
          <w:tcPr>
            <w:tcW w:w="783" w:type="dxa"/>
            <w:vMerge w:val="continue"/>
            <w:noWrap w:val="0"/>
            <w:vAlign w:val="center"/>
          </w:tcPr>
          <w:p w14:paraId="640EE4C0">
            <w:pPr>
              <w:spacing w:line="400" w:lineRule="exact"/>
              <w:jc w:val="center"/>
              <w:rPr>
                <w:rFonts w:hint="eastAsia" w:ascii="宋体" w:hAnsi="宋体" w:eastAsia="宋体" w:cs="宋体"/>
                <w:color w:val="auto"/>
                <w:sz w:val="24"/>
                <w:szCs w:val="24"/>
                <w:highlight w:val="none"/>
              </w:rPr>
            </w:pPr>
          </w:p>
        </w:tc>
        <w:tc>
          <w:tcPr>
            <w:tcW w:w="1083" w:type="dxa"/>
            <w:vMerge w:val="continue"/>
            <w:noWrap w:val="0"/>
            <w:vAlign w:val="center"/>
          </w:tcPr>
          <w:p w14:paraId="209507CF">
            <w:pPr>
              <w:spacing w:line="400" w:lineRule="exact"/>
              <w:jc w:val="center"/>
              <w:rPr>
                <w:rFonts w:hint="eastAsia" w:ascii="宋体" w:hAnsi="宋体" w:eastAsia="宋体" w:cs="宋体"/>
                <w:color w:val="auto"/>
                <w:sz w:val="24"/>
                <w:szCs w:val="24"/>
                <w:highlight w:val="none"/>
              </w:rPr>
            </w:pPr>
          </w:p>
        </w:tc>
        <w:tc>
          <w:tcPr>
            <w:tcW w:w="4733" w:type="dxa"/>
            <w:noWrap w:val="0"/>
            <w:vAlign w:val="center"/>
          </w:tcPr>
          <w:p w14:paraId="68637336">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rPr>
              <w:t>审核质量相关控制制度是否健全，评标委员会综合评定（3-6分）</w:t>
            </w:r>
          </w:p>
        </w:tc>
        <w:tc>
          <w:tcPr>
            <w:tcW w:w="815" w:type="dxa"/>
            <w:noWrap w:val="0"/>
            <w:vAlign w:val="center"/>
          </w:tcPr>
          <w:p w14:paraId="23554131">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p>
        </w:tc>
        <w:tc>
          <w:tcPr>
            <w:tcW w:w="993" w:type="dxa"/>
            <w:noWrap w:val="0"/>
            <w:vAlign w:val="center"/>
          </w:tcPr>
          <w:p w14:paraId="0200C00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DCC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blHeader/>
          <w:jc w:val="center"/>
        </w:trPr>
        <w:tc>
          <w:tcPr>
            <w:tcW w:w="669" w:type="dxa"/>
            <w:vMerge w:val="continue"/>
            <w:noWrap w:val="0"/>
            <w:vAlign w:val="center"/>
          </w:tcPr>
          <w:p w14:paraId="6DE15EF2">
            <w:pPr>
              <w:spacing w:line="400" w:lineRule="exact"/>
              <w:jc w:val="center"/>
              <w:rPr>
                <w:rFonts w:hint="eastAsia" w:ascii="宋体" w:hAnsi="宋体" w:eastAsia="宋体" w:cs="宋体"/>
                <w:color w:val="auto"/>
                <w:sz w:val="24"/>
                <w:szCs w:val="24"/>
                <w:highlight w:val="none"/>
              </w:rPr>
            </w:pPr>
          </w:p>
        </w:tc>
        <w:tc>
          <w:tcPr>
            <w:tcW w:w="783" w:type="dxa"/>
            <w:vMerge w:val="continue"/>
            <w:noWrap w:val="0"/>
            <w:vAlign w:val="center"/>
          </w:tcPr>
          <w:p w14:paraId="3C366721">
            <w:pPr>
              <w:spacing w:line="400" w:lineRule="exact"/>
              <w:jc w:val="center"/>
              <w:rPr>
                <w:rFonts w:hint="eastAsia" w:ascii="宋体" w:hAnsi="宋体" w:eastAsia="宋体" w:cs="宋体"/>
                <w:color w:val="auto"/>
                <w:sz w:val="24"/>
                <w:szCs w:val="24"/>
                <w:highlight w:val="none"/>
              </w:rPr>
            </w:pPr>
          </w:p>
        </w:tc>
        <w:tc>
          <w:tcPr>
            <w:tcW w:w="1083" w:type="dxa"/>
            <w:vMerge w:val="continue"/>
            <w:noWrap w:val="0"/>
            <w:vAlign w:val="center"/>
          </w:tcPr>
          <w:p w14:paraId="797A1803">
            <w:pPr>
              <w:spacing w:line="400" w:lineRule="exact"/>
              <w:jc w:val="center"/>
              <w:rPr>
                <w:rFonts w:hint="eastAsia" w:ascii="宋体" w:hAnsi="宋体" w:eastAsia="宋体" w:cs="宋体"/>
                <w:color w:val="auto"/>
                <w:sz w:val="24"/>
                <w:szCs w:val="24"/>
                <w:highlight w:val="none"/>
              </w:rPr>
            </w:pPr>
          </w:p>
        </w:tc>
        <w:tc>
          <w:tcPr>
            <w:tcW w:w="4733" w:type="dxa"/>
            <w:noWrap w:val="0"/>
            <w:vAlign w:val="center"/>
          </w:tcPr>
          <w:p w14:paraId="46B68DE2">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rPr>
              <w:t>职业道德、廉价自律等控制和承诺措施等情况，评标委员会综合评定（3-6分）</w:t>
            </w:r>
          </w:p>
        </w:tc>
        <w:tc>
          <w:tcPr>
            <w:tcW w:w="815" w:type="dxa"/>
            <w:noWrap w:val="0"/>
            <w:vAlign w:val="center"/>
          </w:tcPr>
          <w:p w14:paraId="504BCBE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p>
        </w:tc>
        <w:tc>
          <w:tcPr>
            <w:tcW w:w="993" w:type="dxa"/>
            <w:noWrap w:val="0"/>
            <w:vAlign w:val="center"/>
          </w:tcPr>
          <w:p w14:paraId="10A5262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61D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blHeader/>
          <w:jc w:val="center"/>
        </w:trPr>
        <w:tc>
          <w:tcPr>
            <w:tcW w:w="669" w:type="dxa"/>
            <w:vMerge w:val="continue"/>
            <w:noWrap w:val="0"/>
            <w:vAlign w:val="center"/>
          </w:tcPr>
          <w:p w14:paraId="12C8095B">
            <w:pPr>
              <w:spacing w:line="400" w:lineRule="exact"/>
              <w:jc w:val="center"/>
              <w:rPr>
                <w:rFonts w:hint="eastAsia" w:ascii="宋体" w:hAnsi="宋体" w:eastAsia="宋体" w:cs="宋体"/>
                <w:color w:val="auto"/>
                <w:sz w:val="24"/>
                <w:szCs w:val="24"/>
                <w:highlight w:val="none"/>
              </w:rPr>
            </w:pPr>
          </w:p>
        </w:tc>
        <w:tc>
          <w:tcPr>
            <w:tcW w:w="783" w:type="dxa"/>
            <w:vMerge w:val="continue"/>
            <w:noWrap w:val="0"/>
            <w:vAlign w:val="center"/>
          </w:tcPr>
          <w:p w14:paraId="4433EB7F">
            <w:pPr>
              <w:spacing w:line="400" w:lineRule="exact"/>
              <w:jc w:val="center"/>
              <w:rPr>
                <w:rFonts w:hint="eastAsia" w:ascii="宋体" w:hAnsi="宋体" w:eastAsia="宋体" w:cs="宋体"/>
                <w:color w:val="auto"/>
                <w:sz w:val="24"/>
                <w:szCs w:val="24"/>
                <w:highlight w:val="none"/>
              </w:rPr>
            </w:pPr>
          </w:p>
        </w:tc>
        <w:tc>
          <w:tcPr>
            <w:tcW w:w="1083" w:type="dxa"/>
            <w:vMerge w:val="continue"/>
            <w:noWrap w:val="0"/>
            <w:vAlign w:val="center"/>
          </w:tcPr>
          <w:p w14:paraId="676270DC">
            <w:pPr>
              <w:spacing w:line="400" w:lineRule="exact"/>
              <w:jc w:val="center"/>
              <w:rPr>
                <w:rFonts w:hint="eastAsia" w:ascii="宋体" w:hAnsi="宋体" w:eastAsia="宋体" w:cs="宋体"/>
                <w:color w:val="auto"/>
                <w:sz w:val="24"/>
                <w:szCs w:val="24"/>
                <w:highlight w:val="none"/>
              </w:rPr>
            </w:pPr>
          </w:p>
        </w:tc>
        <w:tc>
          <w:tcPr>
            <w:tcW w:w="4733" w:type="dxa"/>
            <w:noWrap w:val="0"/>
            <w:vAlign w:val="center"/>
          </w:tcPr>
          <w:p w14:paraId="1585C436">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rPr>
              <w:t>审核的合理性建议（2-4分）</w:t>
            </w:r>
          </w:p>
        </w:tc>
        <w:tc>
          <w:tcPr>
            <w:tcW w:w="815" w:type="dxa"/>
            <w:noWrap w:val="0"/>
            <w:vAlign w:val="center"/>
          </w:tcPr>
          <w:p w14:paraId="5FAD474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w:t>
            </w:r>
          </w:p>
        </w:tc>
        <w:tc>
          <w:tcPr>
            <w:tcW w:w="993" w:type="dxa"/>
            <w:noWrap w:val="0"/>
            <w:vAlign w:val="center"/>
          </w:tcPr>
          <w:p w14:paraId="6461C2F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CD0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blHeader/>
          <w:jc w:val="center"/>
        </w:trPr>
        <w:tc>
          <w:tcPr>
            <w:tcW w:w="669" w:type="dxa"/>
            <w:vMerge w:val="continue"/>
            <w:noWrap w:val="0"/>
            <w:vAlign w:val="center"/>
          </w:tcPr>
          <w:p w14:paraId="00D6B9A4">
            <w:pPr>
              <w:spacing w:line="400" w:lineRule="exact"/>
              <w:jc w:val="center"/>
              <w:rPr>
                <w:rFonts w:hint="eastAsia" w:ascii="宋体" w:hAnsi="宋体" w:eastAsia="宋体" w:cs="宋体"/>
                <w:color w:val="auto"/>
                <w:sz w:val="24"/>
                <w:szCs w:val="24"/>
                <w:highlight w:val="none"/>
              </w:rPr>
            </w:pPr>
          </w:p>
        </w:tc>
        <w:tc>
          <w:tcPr>
            <w:tcW w:w="783" w:type="dxa"/>
            <w:vMerge w:val="restart"/>
            <w:noWrap w:val="0"/>
            <w:vAlign w:val="center"/>
          </w:tcPr>
          <w:p w14:paraId="2A7F7B91">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083" w:type="dxa"/>
            <w:vMerge w:val="restart"/>
            <w:noWrap w:val="0"/>
            <w:vAlign w:val="center"/>
          </w:tcPr>
          <w:p w14:paraId="52265F8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进度保证措施(12分)</w:t>
            </w:r>
          </w:p>
        </w:tc>
        <w:tc>
          <w:tcPr>
            <w:tcW w:w="4733" w:type="dxa"/>
            <w:noWrap w:val="0"/>
            <w:vAlign w:val="center"/>
          </w:tcPr>
          <w:p w14:paraId="43604089">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rPr>
              <w:t>时间的控制方法（3-6分）</w:t>
            </w:r>
          </w:p>
        </w:tc>
        <w:tc>
          <w:tcPr>
            <w:tcW w:w="815" w:type="dxa"/>
            <w:noWrap w:val="0"/>
            <w:vAlign w:val="center"/>
          </w:tcPr>
          <w:p w14:paraId="010D0ED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p>
        </w:tc>
        <w:tc>
          <w:tcPr>
            <w:tcW w:w="993" w:type="dxa"/>
            <w:noWrap w:val="0"/>
            <w:vAlign w:val="center"/>
          </w:tcPr>
          <w:p w14:paraId="2DDF9F3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8A8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blHeader/>
          <w:jc w:val="center"/>
        </w:trPr>
        <w:tc>
          <w:tcPr>
            <w:tcW w:w="669" w:type="dxa"/>
            <w:vMerge w:val="continue"/>
            <w:noWrap w:val="0"/>
            <w:vAlign w:val="center"/>
          </w:tcPr>
          <w:p w14:paraId="03BD5C21">
            <w:pPr>
              <w:spacing w:line="400" w:lineRule="exact"/>
              <w:rPr>
                <w:rFonts w:hint="eastAsia" w:ascii="宋体" w:hAnsi="宋体" w:eastAsia="宋体" w:cs="宋体"/>
                <w:color w:val="auto"/>
                <w:sz w:val="24"/>
                <w:szCs w:val="24"/>
                <w:highlight w:val="none"/>
              </w:rPr>
            </w:pPr>
          </w:p>
        </w:tc>
        <w:tc>
          <w:tcPr>
            <w:tcW w:w="783" w:type="dxa"/>
            <w:vMerge w:val="continue"/>
            <w:noWrap w:val="0"/>
            <w:vAlign w:val="center"/>
          </w:tcPr>
          <w:p w14:paraId="35FDABFD">
            <w:pPr>
              <w:spacing w:line="400" w:lineRule="exact"/>
              <w:rPr>
                <w:rFonts w:hint="eastAsia" w:ascii="宋体" w:hAnsi="宋体" w:eastAsia="宋体" w:cs="宋体"/>
                <w:color w:val="auto"/>
                <w:sz w:val="24"/>
                <w:szCs w:val="24"/>
                <w:highlight w:val="none"/>
              </w:rPr>
            </w:pPr>
          </w:p>
        </w:tc>
        <w:tc>
          <w:tcPr>
            <w:tcW w:w="1083" w:type="dxa"/>
            <w:vMerge w:val="continue"/>
            <w:noWrap w:val="0"/>
            <w:vAlign w:val="center"/>
          </w:tcPr>
          <w:p w14:paraId="3319CC58">
            <w:pPr>
              <w:spacing w:line="400" w:lineRule="exact"/>
              <w:rPr>
                <w:rFonts w:hint="eastAsia" w:ascii="宋体" w:hAnsi="宋体" w:eastAsia="宋体" w:cs="宋体"/>
                <w:color w:val="auto"/>
                <w:sz w:val="24"/>
                <w:szCs w:val="24"/>
                <w:highlight w:val="none"/>
              </w:rPr>
            </w:pPr>
          </w:p>
        </w:tc>
        <w:tc>
          <w:tcPr>
            <w:tcW w:w="4733" w:type="dxa"/>
            <w:noWrap w:val="0"/>
            <w:vAlign w:val="center"/>
          </w:tcPr>
          <w:p w14:paraId="30AA8D08">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进度的保证措施（3-6分）</w:t>
            </w:r>
          </w:p>
        </w:tc>
        <w:tc>
          <w:tcPr>
            <w:tcW w:w="815" w:type="dxa"/>
            <w:noWrap w:val="0"/>
            <w:vAlign w:val="center"/>
          </w:tcPr>
          <w:p w14:paraId="6217929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p>
        </w:tc>
        <w:tc>
          <w:tcPr>
            <w:tcW w:w="993" w:type="dxa"/>
            <w:noWrap w:val="0"/>
            <w:vAlign w:val="center"/>
          </w:tcPr>
          <w:p w14:paraId="06F5F15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4B3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blHeader/>
          <w:jc w:val="center"/>
        </w:trPr>
        <w:tc>
          <w:tcPr>
            <w:tcW w:w="669" w:type="dxa"/>
            <w:vMerge w:val="continue"/>
            <w:noWrap w:val="0"/>
            <w:vAlign w:val="center"/>
          </w:tcPr>
          <w:p w14:paraId="40E61031">
            <w:pPr>
              <w:spacing w:line="400" w:lineRule="exact"/>
              <w:rPr>
                <w:rFonts w:hint="eastAsia" w:ascii="宋体" w:hAnsi="宋体" w:eastAsia="宋体" w:cs="宋体"/>
                <w:color w:val="auto"/>
                <w:sz w:val="24"/>
                <w:szCs w:val="24"/>
                <w:highlight w:val="none"/>
              </w:rPr>
            </w:pPr>
          </w:p>
        </w:tc>
        <w:tc>
          <w:tcPr>
            <w:tcW w:w="783" w:type="dxa"/>
            <w:noWrap w:val="0"/>
            <w:vAlign w:val="center"/>
          </w:tcPr>
          <w:p w14:paraId="676BCBB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83" w:type="dxa"/>
            <w:noWrap w:val="0"/>
            <w:vAlign w:val="center"/>
          </w:tcPr>
          <w:p w14:paraId="7F973022">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服务承诺（6分）</w:t>
            </w:r>
          </w:p>
        </w:tc>
        <w:tc>
          <w:tcPr>
            <w:tcW w:w="4733" w:type="dxa"/>
            <w:noWrap w:val="0"/>
            <w:vAlign w:val="center"/>
          </w:tcPr>
          <w:p w14:paraId="69C151CA">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根据本地化服务能力、售后服务方案、措施、响应等情况（3-6分）</w:t>
            </w:r>
          </w:p>
        </w:tc>
        <w:tc>
          <w:tcPr>
            <w:tcW w:w="815" w:type="dxa"/>
            <w:noWrap w:val="0"/>
            <w:vAlign w:val="center"/>
          </w:tcPr>
          <w:p w14:paraId="54BEDB9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w:t>
            </w:r>
          </w:p>
        </w:tc>
        <w:tc>
          <w:tcPr>
            <w:tcW w:w="993" w:type="dxa"/>
            <w:noWrap w:val="0"/>
            <w:vAlign w:val="center"/>
          </w:tcPr>
          <w:p w14:paraId="0ABBFB4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bl>
    <w:p w14:paraId="5C299220">
      <w:pPr>
        <w:rPr>
          <w:rFonts w:hint="eastAsia" w:ascii="宋体" w:hAnsi="宋体" w:eastAsia="宋体" w:cs="宋体"/>
          <w:b/>
          <w:bCs/>
          <w:color w:val="auto"/>
          <w:sz w:val="21"/>
          <w:szCs w:val="21"/>
          <w:highlight w:val="none"/>
          <w:lang w:val="en-US" w:eastAsia="zh-CN"/>
        </w:rPr>
      </w:pPr>
    </w:p>
    <w:p w14:paraId="24C8EE30">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3、报价部分（10分）</w:t>
      </w:r>
    </w:p>
    <w:tbl>
      <w:tblPr>
        <w:tblStyle w:val="63"/>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2"/>
        <w:gridCol w:w="4969"/>
        <w:gridCol w:w="819"/>
        <w:gridCol w:w="993"/>
      </w:tblGrid>
      <w:tr w14:paraId="16BE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412" w:type="dxa"/>
            <w:noWrap w:val="0"/>
            <w:vAlign w:val="center"/>
          </w:tcPr>
          <w:p w14:paraId="5B73BB03">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价格</w:t>
            </w:r>
            <w:r>
              <w:rPr>
                <w:rFonts w:hint="eastAsia" w:ascii="宋体" w:hAnsi="宋体" w:eastAsia="宋体" w:cs="宋体"/>
                <w:color w:val="auto"/>
                <w:sz w:val="24"/>
                <w:szCs w:val="24"/>
                <w:highlight w:val="none"/>
                <w:shd w:val="clear" w:color="auto" w:fill="auto"/>
                <w:lang w:val="en-US" w:eastAsia="zh-CN"/>
              </w:rPr>
              <w:t>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10分</w:t>
            </w:r>
            <w:r>
              <w:rPr>
                <w:rFonts w:hint="eastAsia" w:ascii="宋体" w:hAnsi="宋体" w:eastAsia="宋体" w:cs="宋体"/>
                <w:color w:val="auto"/>
                <w:sz w:val="24"/>
                <w:szCs w:val="24"/>
                <w:highlight w:val="none"/>
                <w:shd w:val="clear" w:color="auto" w:fill="auto"/>
                <w:lang w:eastAsia="zh-CN"/>
              </w:rPr>
              <w:t>）</w:t>
            </w:r>
          </w:p>
        </w:tc>
        <w:tc>
          <w:tcPr>
            <w:tcW w:w="4969" w:type="dxa"/>
            <w:noWrap w:val="0"/>
            <w:vAlign w:val="center"/>
          </w:tcPr>
          <w:p w14:paraId="3DB315F1">
            <w:pPr>
              <w:spacing w:after="0"/>
              <w:rPr>
                <w:rFonts w:hint="eastAsia" w:ascii="宋体" w:hAnsi="宋体" w:eastAsia="宋体" w:cs="宋体"/>
                <w:sz w:val="24"/>
                <w:szCs w:val="24"/>
              </w:rPr>
            </w:pPr>
            <w:r>
              <w:rPr>
                <w:rFonts w:hint="eastAsia" w:ascii="宋体" w:hAnsi="宋体" w:eastAsia="宋体" w:cs="宋体"/>
                <w:sz w:val="24"/>
                <w:szCs w:val="24"/>
              </w:rPr>
              <w:t>1、（1）有效投标人大于5家的，对所有通过审查的有效投标人按投标报价从低到高的顺序先去除N家单位(N=通过资格审查的投标单位家数*10%，数值四舍五入)的报价，再按投标报价从高到低的顺序去除N家单位，然后对剩余通过审查的单位的投标报价进行一次算术平均；最后对第一次平均值以下（不含平均值，不含先前去除的N家单位报价）的报价进行第二次算术平均，以第二次平均价为评标基准价（若评标基准价低于风险控制价，则以风险控制价为基准价）；（2）有效投标人≤5家的，所有通过审查的有效投标人投标报价的平均值为评标基准价。（若评标基准价低于风险控制价，则以风险控制价为基准价）</w:t>
            </w:r>
          </w:p>
          <w:p w14:paraId="144A1A5C">
            <w:pPr>
              <w:spacing w:after="0"/>
              <w:rPr>
                <w:rFonts w:hint="eastAsia" w:ascii="宋体" w:hAnsi="宋体" w:eastAsia="宋体" w:cs="宋体"/>
                <w:sz w:val="24"/>
                <w:szCs w:val="24"/>
              </w:rPr>
            </w:pPr>
            <w:r>
              <w:rPr>
                <w:rFonts w:hint="eastAsia" w:ascii="宋体" w:hAnsi="宋体" w:eastAsia="宋体" w:cs="宋体"/>
                <w:sz w:val="24"/>
                <w:szCs w:val="24"/>
              </w:rPr>
              <w:t>2、所有进入商务标评审的有效投标人投标报价与评标基准价对比，计算报价的得分值，即：</w:t>
            </w:r>
          </w:p>
          <w:p w14:paraId="175E3B3D">
            <w:pPr>
              <w:spacing w:after="0"/>
              <w:rPr>
                <w:rFonts w:hint="eastAsia" w:ascii="宋体" w:hAnsi="宋体" w:eastAsia="宋体" w:cs="宋体"/>
                <w:sz w:val="24"/>
                <w:szCs w:val="24"/>
              </w:rPr>
            </w:pPr>
            <w:r>
              <w:rPr>
                <w:rFonts w:hint="eastAsia" w:ascii="宋体" w:hAnsi="宋体" w:eastAsia="宋体" w:cs="宋体"/>
                <w:sz w:val="24"/>
                <w:szCs w:val="24"/>
              </w:rPr>
              <w:t>a)投标报价等于评标基准价时，得满分</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6F05C2A5">
            <w:pPr>
              <w:spacing w:after="0"/>
              <w:rPr>
                <w:rFonts w:hint="eastAsia" w:ascii="宋体" w:hAnsi="宋体" w:eastAsia="宋体" w:cs="宋体"/>
                <w:sz w:val="24"/>
                <w:szCs w:val="24"/>
              </w:rPr>
            </w:pPr>
            <w:r>
              <w:rPr>
                <w:rFonts w:hint="eastAsia" w:ascii="宋体" w:hAnsi="宋体" w:eastAsia="宋体" w:cs="宋体"/>
                <w:sz w:val="24"/>
                <w:szCs w:val="24"/>
              </w:rPr>
              <w:t>b)投标报价每高于评标基准价1个百分点，扣0.5分；</w:t>
            </w:r>
          </w:p>
          <w:p w14:paraId="7117A370">
            <w:pPr>
              <w:spacing w:after="0"/>
              <w:rPr>
                <w:rFonts w:hint="eastAsia" w:ascii="宋体" w:hAnsi="宋体" w:eastAsia="宋体" w:cs="宋体"/>
                <w:sz w:val="24"/>
                <w:szCs w:val="24"/>
              </w:rPr>
            </w:pPr>
            <w:r>
              <w:rPr>
                <w:rFonts w:hint="eastAsia" w:ascii="宋体" w:hAnsi="宋体" w:eastAsia="宋体" w:cs="宋体"/>
                <w:sz w:val="24"/>
                <w:szCs w:val="24"/>
              </w:rPr>
              <w:t>得分＝</w:t>
            </w:r>
            <w:r>
              <w:rPr>
                <w:rFonts w:hint="eastAsia" w:ascii="宋体" w:hAnsi="宋体" w:eastAsia="宋体" w:cs="宋体"/>
                <w:sz w:val="24"/>
                <w:szCs w:val="24"/>
                <w:lang w:val="en-US" w:eastAsia="zh-CN"/>
              </w:rPr>
              <w:t>10</w:t>
            </w:r>
            <w:r>
              <w:rPr>
                <w:rFonts w:hint="eastAsia" w:ascii="宋体" w:hAnsi="宋体" w:eastAsia="宋体" w:cs="宋体"/>
                <w:sz w:val="24"/>
                <w:szCs w:val="24"/>
              </w:rPr>
              <w:t>分－∣[（投标报价/评标基准价）－1]*100*0.5分∣</w:t>
            </w:r>
          </w:p>
          <w:p w14:paraId="0A6AD879">
            <w:pPr>
              <w:spacing w:after="0"/>
              <w:rPr>
                <w:rFonts w:hint="eastAsia" w:ascii="宋体" w:hAnsi="宋体" w:eastAsia="宋体" w:cs="宋体"/>
                <w:sz w:val="24"/>
                <w:szCs w:val="24"/>
              </w:rPr>
            </w:pPr>
            <w:r>
              <w:rPr>
                <w:rFonts w:hint="eastAsia" w:ascii="宋体" w:hAnsi="宋体" w:eastAsia="宋体" w:cs="宋体"/>
                <w:sz w:val="24"/>
                <w:szCs w:val="24"/>
              </w:rPr>
              <w:t>C)投标报价每低于评标基准价1个百分点，扣0.25分；（若投标报价低于风险控制价时每低于评标基准价1个百分点扣1分；）</w:t>
            </w:r>
          </w:p>
          <w:p w14:paraId="0088FD39">
            <w:pPr>
              <w:spacing w:after="0"/>
              <w:rPr>
                <w:rFonts w:hint="eastAsia" w:ascii="宋体" w:hAnsi="宋体" w:eastAsia="宋体" w:cs="宋体"/>
                <w:sz w:val="24"/>
                <w:szCs w:val="24"/>
              </w:rPr>
            </w:pPr>
            <w:r>
              <w:rPr>
                <w:rFonts w:hint="eastAsia" w:ascii="宋体" w:hAnsi="宋体" w:eastAsia="宋体" w:cs="宋体"/>
                <w:sz w:val="24"/>
                <w:szCs w:val="24"/>
              </w:rPr>
              <w:t>得分＝</w:t>
            </w:r>
            <w:r>
              <w:rPr>
                <w:rFonts w:hint="eastAsia" w:ascii="宋体" w:hAnsi="宋体" w:eastAsia="宋体" w:cs="宋体"/>
                <w:sz w:val="24"/>
                <w:szCs w:val="24"/>
                <w:lang w:val="en-US" w:eastAsia="zh-CN"/>
              </w:rPr>
              <w:t>10</w:t>
            </w:r>
            <w:r>
              <w:rPr>
                <w:rFonts w:hint="eastAsia" w:ascii="宋体" w:hAnsi="宋体" w:eastAsia="宋体" w:cs="宋体"/>
                <w:sz w:val="24"/>
                <w:szCs w:val="24"/>
              </w:rPr>
              <w:t>分－∣[（投标报价/评标基准价）－1]*100*0.25（或1）分∣</w:t>
            </w:r>
          </w:p>
          <w:p w14:paraId="61E4FEA9">
            <w:pPr>
              <w:spacing w:after="0"/>
              <w:rPr>
                <w:rFonts w:hint="eastAsia" w:ascii="宋体" w:hAnsi="宋体" w:eastAsia="宋体" w:cs="宋体"/>
                <w:sz w:val="24"/>
                <w:szCs w:val="24"/>
              </w:rPr>
            </w:pPr>
            <w:r>
              <w:rPr>
                <w:rFonts w:hint="eastAsia" w:ascii="宋体" w:hAnsi="宋体" w:eastAsia="宋体" w:cs="宋体"/>
                <w:sz w:val="24"/>
                <w:szCs w:val="24"/>
              </w:rPr>
              <w:t>不为整数时用插入法计算（分值保留二位小数，四舍五入）。</w:t>
            </w:r>
          </w:p>
          <w:p w14:paraId="7F34F028">
            <w:pPr>
              <w:pStyle w:val="2"/>
              <w:rPr>
                <w:rFonts w:hint="eastAsia" w:ascii="宋体" w:hAnsi="宋体" w:eastAsia="宋体" w:cs="宋体"/>
                <w:sz w:val="24"/>
                <w:szCs w:val="24"/>
                <w:lang w:val="en-US" w:eastAsia="zh-CN"/>
              </w:rPr>
            </w:pPr>
            <w:r>
              <w:rPr>
                <w:rFonts w:hint="eastAsia" w:ascii="宋体" w:hAnsi="宋体" w:eastAsia="宋体" w:cs="宋体"/>
                <w:sz w:val="24"/>
                <w:szCs w:val="24"/>
              </w:rPr>
              <w:t>备注：报价扣分扣完为止，得分最低为0分</w:t>
            </w:r>
            <w:r>
              <w:rPr>
                <w:rFonts w:hint="eastAsia" w:ascii="宋体" w:hAnsi="宋体" w:eastAsia="宋体" w:cs="宋体"/>
                <w:sz w:val="24"/>
                <w:szCs w:val="24"/>
                <w:lang w:val="zh-CN"/>
              </w:rPr>
              <w:t>。</w:t>
            </w:r>
            <w:r>
              <w:rPr>
                <w:rFonts w:hint="eastAsia" w:ascii="宋体" w:hAnsi="宋体" w:eastAsia="宋体" w:cs="宋体"/>
                <w:sz w:val="24"/>
                <w:szCs w:val="24"/>
              </w:rPr>
              <w:t xml:space="preserve"> </w:t>
            </w:r>
          </w:p>
        </w:tc>
        <w:tc>
          <w:tcPr>
            <w:tcW w:w="819" w:type="dxa"/>
            <w:noWrap w:val="0"/>
            <w:vAlign w:val="center"/>
          </w:tcPr>
          <w:p w14:paraId="78E6BAB4">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0-10</w:t>
            </w:r>
          </w:p>
        </w:tc>
        <w:tc>
          <w:tcPr>
            <w:tcW w:w="993" w:type="dxa"/>
            <w:noWrap w:val="0"/>
            <w:vAlign w:val="center"/>
          </w:tcPr>
          <w:p w14:paraId="1E7D5E64">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p>
        </w:tc>
      </w:tr>
    </w:tbl>
    <w:p w14:paraId="06A1F636">
      <w:pPr>
        <w:keepNext w:val="0"/>
        <w:keepLines w:val="0"/>
        <w:pageBreakBefore w:val="0"/>
        <w:widowControl/>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b/>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color w:val="auto"/>
          <w:sz w:val="24"/>
          <w:szCs w:val="24"/>
          <w:highlight w:val="none"/>
        </w:rPr>
        <w:t>上述评标基准价计算精度保留到元，除计算错误外，评标过程中评标基准价保持不变。</w:t>
      </w:r>
    </w:p>
    <w:p w14:paraId="66A3D05E">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中标价低于风险控制价的，中标人在提交履约保证金的同时须额外向采购人提交中标净值与风险控制价之差额作为风险担保金（采用现金、汇票或支票），风险保证金至工程竣工（ 交工） 验收合格后5日内退还。</w:t>
      </w:r>
    </w:p>
    <w:p w14:paraId="68802D30">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评分条款中涉及的业绩、荣誉、人员、社保等分公司均有效。</w:t>
      </w:r>
    </w:p>
    <w:p w14:paraId="1D961867">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6618B78F">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rPr>
        <w:t>编制响应文件（商务技术文件部分）时，建议按此目录（序号和内容）提供评审标准相应的商务技术资料。</w:t>
      </w:r>
    </w:p>
    <w:p w14:paraId="6B698103">
      <w:pPr>
        <w:rPr>
          <w:rFonts w:hint="eastAsia" w:ascii="宋体" w:hAnsi="宋体" w:eastAsia="宋体" w:cs="宋体"/>
          <w:color w:val="000000" w:themeColor="text1"/>
          <w:highlight w:val="none"/>
          <w:lang w:val="en-US" w:eastAsia="zh-CN"/>
          <w14:textFill>
            <w14:solidFill>
              <w14:schemeClr w14:val="tx1"/>
            </w14:solidFill>
          </w14:textFill>
        </w:rPr>
      </w:pPr>
    </w:p>
    <w:p w14:paraId="16576979">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6D127ACD">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2885A51">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71C411EA">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14:paraId="500C6024">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三、评标程序</w:t>
      </w:r>
    </w:p>
    <w:p w14:paraId="7D2D9121">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31ECE2C">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7A8DBB1">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2182CDF8">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584D70A5">
      <w:pPr>
        <w:pStyle w:val="128"/>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14:paraId="0825F763">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3F4A941">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7ADD3472">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3532F244">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6AB17D1D">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34F11F25">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14:paraId="67168A12">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01F20D86">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A28073">
      <w:pPr>
        <w:pStyle w:val="128"/>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26EB002">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FBCFE8">
      <w:pP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671D69">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67DCD6">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3EA51103">
      <w:pPr>
        <w:pStyle w:val="128"/>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1BA7AF">
      <w:pPr>
        <w:pStyle w:val="25"/>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14:paraId="74AD4FCC">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5024FA56">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14:paraId="11FCAD46">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169E0565">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14:paraId="3B3D0883">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01199505">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14:paraId="6428CD56">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14:paraId="3442CA9A">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34190578">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14:paraId="726D5BC8">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14:paraId="596A70F9">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267154D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478A0430">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14:paraId="63389CCC">
      <w:pPr>
        <w:pStyle w:val="4"/>
        <w:ind w:left="862" w:leftChars="20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4.2.14 投标文件不满足招标文件的实质性要求的；</w:t>
      </w:r>
    </w:p>
    <w:p w14:paraId="09EDD6B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2F4ACD66">
      <w:pPr>
        <w:pStyle w:val="25"/>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2B1D8A8">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14:paraId="7AA9B11F">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06754A17">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14:paraId="3A18F07A">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41B71C37">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应当将废标理由通知所有投标人。</w:t>
      </w:r>
    </w:p>
    <w:p w14:paraId="55AD4AA9">
      <w:pPr>
        <w:pStyle w:val="25"/>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沟通并作书面记录。采购人、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确认后，将修改招标文件，重新组织采购活动。</w:t>
      </w:r>
    </w:p>
    <w:p w14:paraId="74CC6F6C">
      <w:pPr>
        <w:pStyle w:val="25"/>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0736DB3C">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14:paraId="4843596A">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D4DA4F2">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AF74EDC">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14:paraId="4E1D5F98">
      <w:pPr>
        <w:pStyle w:val="25"/>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62CF2E7">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93" w:name="第五部分"/>
      <w:bookmarkStart w:id="394" w:name="_Toc86217003"/>
    </w:p>
    <w:p w14:paraId="645B7493">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30FED8C1">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53136352">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1262DE7B">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67B21847">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45E8F516">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0C509A06">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7FEEAAE5">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08F7EF22">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5DECE49E">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694FD78C">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6062AE37">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14:paraId="37C0956A">
      <w:pPr>
        <w:spacing w:line="360" w:lineRule="auto"/>
        <w:ind w:left="-420" w:leftChars="-200" w:right="-420" w:rightChars="-200" w:firstLine="480" w:firstLineChars="200"/>
        <w:jc w:val="center"/>
        <w:outlineLvl w:val="0"/>
        <w:rPr>
          <w:rFonts w:hint="eastAsia" w:ascii="宋体" w:hAnsi="宋体" w:eastAsia="宋体" w:cs="宋体"/>
          <w:color w:val="000000" w:themeColor="text1"/>
          <w:sz w:val="24"/>
          <w:highlight w:val="none"/>
          <w14:textFill>
            <w14:solidFill>
              <w14:schemeClr w14:val="tx1"/>
            </w14:solidFill>
          </w14:textFill>
        </w:rPr>
      </w:pPr>
    </w:p>
    <w:p w14:paraId="62AAF351">
      <w:pPr>
        <w:pStyle w:val="4"/>
        <w:rPr>
          <w:rFonts w:hint="eastAsia" w:ascii="宋体" w:hAnsi="宋体" w:eastAsia="宋体" w:cs="宋体"/>
          <w:color w:val="000000" w:themeColor="text1"/>
          <w:sz w:val="24"/>
          <w:highlight w:val="none"/>
          <w14:textFill>
            <w14:solidFill>
              <w14:schemeClr w14:val="tx1"/>
            </w14:solidFill>
          </w14:textFill>
        </w:rPr>
      </w:pPr>
    </w:p>
    <w:p w14:paraId="77C4392C">
      <w:pPr>
        <w:rPr>
          <w:rFonts w:hint="eastAsia" w:ascii="宋体" w:hAnsi="宋体" w:eastAsia="宋体" w:cs="宋体"/>
          <w:color w:val="000000" w:themeColor="text1"/>
          <w:sz w:val="24"/>
          <w:highlight w:val="none"/>
          <w14:textFill>
            <w14:solidFill>
              <w14:schemeClr w14:val="tx1"/>
            </w14:solidFill>
          </w14:textFill>
        </w:rPr>
      </w:pPr>
    </w:p>
    <w:p w14:paraId="1A1BC40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4EE936C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  月  日</w:t>
      </w:r>
    </w:p>
    <w:p w14:paraId="3AD4DE4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项目名称：杭政储出[2024]33号地块商业商务世纪城智能产业园跟踪审计及结算审核项目</w:t>
      </w:r>
    </w:p>
    <w:p w14:paraId="73BE293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47455C9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5058FC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供、需双方根据项目（交易编号  -  -   ）成交结果和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的要求，并经双方协调一致，订立本合同。</w:t>
      </w:r>
    </w:p>
    <w:p w14:paraId="4E80C5E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7A26711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6C5C356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385B910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w:t>
      </w:r>
    </w:p>
    <w:p w14:paraId="4A782C5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64FA384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14:paraId="4A40B39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6A7F1BC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14:paraId="55BC3C4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2"/>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1486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B2AD33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3751F08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4A7CF97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446FAB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6DFF796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14:paraId="3FF4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142FC2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0544E0B3">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39D79EF7">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8850C52">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3ADBEE34">
            <w:pPr>
              <w:spacing w:line="360" w:lineRule="auto"/>
              <w:jc w:val="center"/>
              <w:rPr>
                <w:rFonts w:hint="eastAsia" w:ascii="宋体" w:hAnsi="宋体" w:eastAsia="宋体" w:cs="宋体"/>
                <w:color w:val="auto"/>
                <w:sz w:val="24"/>
                <w:highlight w:val="none"/>
              </w:rPr>
            </w:pPr>
          </w:p>
        </w:tc>
      </w:tr>
      <w:tr w14:paraId="4305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830C51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59714975">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8859172">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911F116">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919EF22">
            <w:pPr>
              <w:spacing w:line="360" w:lineRule="auto"/>
              <w:jc w:val="center"/>
              <w:rPr>
                <w:rFonts w:hint="eastAsia" w:ascii="宋体" w:hAnsi="宋体" w:eastAsia="宋体" w:cs="宋体"/>
                <w:color w:val="auto"/>
                <w:sz w:val="24"/>
                <w:highlight w:val="none"/>
              </w:rPr>
            </w:pPr>
          </w:p>
        </w:tc>
      </w:tr>
    </w:tbl>
    <w:p w14:paraId="606A080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76873CE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规定的时间向甲方提供有关技术资料。</w:t>
      </w:r>
    </w:p>
    <w:p w14:paraId="5397400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691CE4CB">
      <w:pPr>
        <w:pStyle w:val="25"/>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四、服务范围及工作内容</w:t>
      </w:r>
    </w:p>
    <w:p w14:paraId="7B32A750">
      <w:pPr>
        <w:pStyle w:val="25"/>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（一）服务范围：杭政储出[2024]33号地块商业商务世纪城智能产业园跟踪审计及结算审核项目。</w:t>
      </w:r>
    </w:p>
    <w:p w14:paraId="20A20AD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（二）工作内容</w:t>
      </w:r>
    </w:p>
    <w:p w14:paraId="74D53FB3">
      <w:pPr>
        <w:pStyle w:val="25"/>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1、过程跟踪审计</w:t>
      </w:r>
    </w:p>
    <w:p w14:paraId="20C3011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 参与造价控制有关的工程会议（材料定价会议等）；</w:t>
      </w:r>
    </w:p>
    <w:p w14:paraId="5EBFD9B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1.2 负责对承包人报送的每月(期)完成进度款月（期）报表进行审核，并提出当月(期)付款核定书；</w:t>
      </w:r>
    </w:p>
    <w:p w14:paraId="0B99807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1.3 承包方或甲方提出索赔时，凭据合同和有关法律、法规，提供咨询意见；</w:t>
      </w:r>
    </w:p>
    <w:p w14:paraId="58DD62B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 及时审核设计变更、现场签证等联系单，相应调整造价控制目标，并向甲方提供造价控制动态分析报告；</w:t>
      </w:r>
    </w:p>
    <w:p w14:paraId="36547B7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1.5 提供与造价控制相关的人工、材料、设备等造价信息和其他咨询服务，</w:t>
      </w:r>
    </w:p>
    <w:p w14:paraId="3C47ED6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1.6适时对施工现场进行查勘，特别是隐蔽工程的查看和验收，核实有关变更及签证，及时了解工程情况并进行必要的拍照、摄像，留取证据，确保计量准确和审核完整、真实。</w:t>
      </w:r>
    </w:p>
    <w:p w14:paraId="78E72C3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1.7参加招标人召开的招标文件讨论会，针对招标文件中涉及的工程总承包合同部分，提出建设性意见。针对造价方面，着重强调成本控制策略的优化、变更管理流程的完善、以及风险分担机制的合理设置等。</w:t>
      </w:r>
    </w:p>
    <w:p w14:paraId="0A62C02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1.8在招投标阶段，针对投标人提出的造价方面问题，及时开展全面而细致的澄清工作。</w:t>
      </w:r>
    </w:p>
    <w:p w14:paraId="31A3417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1.9对中标人的投标报价进行详尽的清标分析，根据清标分析的结果，从造价管理的角度出发，提出具有针对性的建设管理建议。</w:t>
      </w:r>
    </w:p>
    <w:p w14:paraId="37C36B9D">
      <w:pPr>
        <w:pStyle w:val="25"/>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2、工程结算审核</w:t>
      </w:r>
    </w:p>
    <w:p w14:paraId="5ED058D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2.1根据工程合同相应的建设工程法律、法规、标准规范与工程计价依据、招投标文件、施工图纸、现场发生的各项有效证明审核工程造价；</w:t>
      </w:r>
    </w:p>
    <w:p w14:paraId="4EF7FA2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2.2现场踏勘、计量复核；</w:t>
      </w:r>
    </w:p>
    <w:p w14:paraId="66D8592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2.3工程量、工程要素价格及各类项目费用进行审核确定；</w:t>
      </w:r>
    </w:p>
    <w:p w14:paraId="351CC55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2.4编制工程结算审核报告。</w:t>
      </w:r>
    </w:p>
    <w:p w14:paraId="7D774843">
      <w:pPr>
        <w:pStyle w:val="25"/>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3、咨询服务方式及人员安排</w:t>
      </w:r>
    </w:p>
    <w:p w14:paraId="5ABF757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3.1参加项目各类与造价有关的重要会议及事宜，并书面提出专业咨询意见。</w:t>
      </w:r>
    </w:p>
    <w:p w14:paraId="74CEC52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3.2根据现场实际情况及甲方工程的需要，随叫随到，及时以书面方式向甲方提供咨询服务。</w:t>
      </w:r>
    </w:p>
    <w:p w14:paraId="21EEAF6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3.3中标单位人员勘查施工现场，每人每个月不少于15天，时刻掌握项目实地建设情况，对隐蔽工程进行原始录像。接收招标人每月考勤，对少于1天，按照每人每天800元处罚。</w:t>
      </w:r>
    </w:p>
    <w:p w14:paraId="002C61C9">
      <w:pPr>
        <w:pStyle w:val="25"/>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4、分阶段完成结算审核工作</w:t>
      </w:r>
    </w:p>
    <w:p w14:paraId="7495C467">
      <w:pPr>
        <w:pStyle w:val="25"/>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a、按照工程实际推进进度，每个分部工程实体完成后，45天内需完成结算编制工作并出具初稿；非乙方原因，延误1天，处罚2万元/天。</w:t>
      </w:r>
    </w:p>
    <w:p w14:paraId="37E7D5A4">
      <w:pPr>
        <w:pStyle w:val="25"/>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b、参加建设单位组织的各种会议，并提出专业性的意见与建议，负责本项目的跟踪审计工作，对自已单位成果承担法律责任。</w:t>
      </w:r>
    </w:p>
    <w:p w14:paraId="5524CCE8">
      <w:pPr>
        <w:pStyle w:val="25"/>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C、及时出具中期支付跟审意见，若影响工程进度，甲方视事实情况予以2~5万/次处罚。对所有出具文件，均需盖单位公章及造价人员执业资格章。</w:t>
      </w:r>
    </w:p>
    <w:p w14:paraId="6A460094">
      <w:pPr>
        <w:pStyle w:val="25"/>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D、参加建设单位组织的各种会议，并提出专业性的意见与建议，积极协助本项目的跟踪审计工作。未准时参加建设单位要求各种涉及造价工作会议，或未参与涉及造价问题处理的，每次处罚1万元</w:t>
      </w:r>
    </w:p>
    <w:p w14:paraId="036A0B4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、转包或分包</w:t>
      </w:r>
    </w:p>
    <w:p w14:paraId="03E7A1E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14:paraId="7531C04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14:paraId="574B151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、服务质量保证期</w:t>
      </w:r>
    </w:p>
    <w:p w14:paraId="491AA51B">
      <w:pPr>
        <w:pStyle w:val="25"/>
        <w:snapToGrid w:val="0"/>
        <w:spacing w:line="360" w:lineRule="auto"/>
        <w:rPr>
          <w:rFonts w:hint="eastAsia" w:ascii="宋体" w:hAnsi="宋体" w:eastAsia="宋体" w:cs="宋体"/>
          <w:b/>
          <w:bCs/>
          <w:color w:val="auto"/>
          <w:highlight w:val="none"/>
          <w:u w:val="single"/>
        </w:rPr>
      </w:pPr>
      <w:r>
        <w:rPr>
          <w:rFonts w:hint="eastAsia" w:ascii="宋体" w:hAnsi="宋体" w:eastAsia="宋体" w:cs="宋体"/>
          <w:color w:val="auto"/>
          <w:highlight w:val="none"/>
        </w:rPr>
        <w:t>1. 服务时间：</w:t>
      </w:r>
      <w:r>
        <w:rPr>
          <w:rFonts w:hint="eastAsia" w:ascii="宋体" w:hAnsi="宋体" w:eastAsia="宋体" w:cs="宋体"/>
          <w:b/>
          <w:bCs/>
          <w:color w:val="auto"/>
          <w:highlight w:val="none"/>
          <w:u w:val="single"/>
        </w:rPr>
        <w:t>接到甲方工作任务时间~整个项目竣备，并完成结算工作</w:t>
      </w:r>
    </w:p>
    <w:p w14:paraId="2955072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、合同履行时间、履行方式及履行地点</w:t>
      </w:r>
    </w:p>
    <w:p w14:paraId="7583C19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1EEF121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14:paraId="01B282B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14:paraId="6419B72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、款项支付</w:t>
      </w:r>
    </w:p>
    <w:p w14:paraId="6295EB51">
      <w:pPr>
        <w:pStyle w:val="25"/>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7.1本项目服务费暂按工程建安造价249600万元（最终以结算审核为准）为取费基数，交易响应单位应根据交易文件提供的取费标准结合自身能力和力量的投入进行报价，本项目交易预算价为660万元，风险控制价528万元，交易响应报价精确到元，交易响应报价超过最高限价的作无效响应处理。成交价为一次性包干今后不做调整。追加审计费超过5%以外部分，收取5%的跟审追加服务费，由乙方向施工总承包方收取；若施工总承包方不予支付的，由甲方在其工程款中，无条件扣留。</w:t>
      </w:r>
    </w:p>
    <w:p w14:paraId="56A34D16">
      <w:pPr>
        <w:pStyle w:val="25"/>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7.2付款方式：合同签定后采购人支付合同价的10%作为项目预付款，剩余部分分为连续四年，每年6月底、12月底支付（2025年、2026年、2027年、2028年），根据考核出勤率结合工作成果质量情况，每次支付合同价的10%。项目竣备，结算完成，支付至合同价的95%；剩余5%，若发生政府复审，复审完成，无乙方服务范围质量问题，支付至合同价的100%。</w:t>
      </w:r>
    </w:p>
    <w:p w14:paraId="3BDD28D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7.3项目因服务过程中发生的食宿、交通、出具审核报告的装订费、打印费等全部费用由交易响应单位自理，交易响应单位的报价中应充分考虑此等相关费用。</w:t>
      </w:r>
    </w:p>
    <w:p w14:paraId="7814509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7.4本次交易，交易响应单位应对交易响应报价、服务时限及交易响应报价和结果误差率作出承诺。</w:t>
      </w:r>
    </w:p>
    <w:p w14:paraId="1737743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7.5项目服务地点：采购人指定地点。</w:t>
      </w:r>
    </w:p>
    <w:p w14:paraId="3F85D0C7">
      <w:pPr>
        <w:pStyle w:val="25"/>
        <w:snapToGrid w:val="0"/>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▲7.6审核结果误差率2%以内。</w:t>
      </w:r>
    </w:p>
    <w:p w14:paraId="14A7844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7.7每项审核服务结束后，向建设单位无偿提供足够数量的该项成果的纸质资料，并同时提供一套电子版资料；</w:t>
      </w:r>
    </w:p>
    <w:p w14:paraId="320B4EA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7.8法律、法规或本项目交易文件中规定的其他应提供的服务。</w:t>
      </w:r>
    </w:p>
    <w:p w14:paraId="70C40AA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7.9处理上述内容以外与项目概算审核、工程量清单审核、控制价审核工作中所有其他相关工作内容。</w:t>
      </w:r>
    </w:p>
    <w:p w14:paraId="7572F41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7.10协助处理项目施工过程中合同引起的其他相关事宜，包括但不限于概算审核、工程量清单审核、控制价审核等关联性工作。</w:t>
      </w:r>
    </w:p>
    <w:p w14:paraId="43C769C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、税费</w:t>
      </w:r>
    </w:p>
    <w:p w14:paraId="031E217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32630A8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、质量保证及后续服务</w:t>
      </w:r>
    </w:p>
    <w:p w14:paraId="4936041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规定向甲方提供服务。</w:t>
      </w:r>
    </w:p>
    <w:p w14:paraId="6C24925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扣除结算金额外，乙方应负责免费提供后续善后服务，同时承担相应责任。</w:t>
      </w:r>
    </w:p>
    <w:p w14:paraId="7D11C34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、违约责任</w:t>
      </w:r>
    </w:p>
    <w:p w14:paraId="3BA956E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2DED8E3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2.乙方未能如期提供服务的，每日向甲方支付合同款项的千分之六作为违约金。乙方超过约定日期3个工作日仍不能提供服务的，甲方可解除本合同，追究乙赔偿责任。</w:t>
      </w:r>
      <w:r>
        <w:rPr>
          <w:rFonts w:hint="eastAsia" w:ascii="宋体" w:hAnsi="宋体" w:eastAsia="宋体" w:cs="宋体"/>
          <w:color w:val="auto"/>
          <w:highlight w:val="none"/>
          <w:lang w:val="en-US" w:eastAsia="zh-CN"/>
        </w:rPr>
        <w:t xml:space="preserve">  3</w:t>
      </w:r>
      <w:r>
        <w:rPr>
          <w:rFonts w:hint="eastAsia" w:ascii="宋体" w:hAnsi="宋体" w:eastAsia="宋体" w:cs="宋体"/>
          <w:color w:val="auto"/>
          <w:highlight w:val="none"/>
        </w:rPr>
        <w:t>.如发现乙方违反</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、响应文件和合同的有关规定，甲方有权根据约定和《杭州市政府采购</w:t>
      </w:r>
      <w:r>
        <w:rPr>
          <w:rFonts w:hint="eastAsia" w:ascii="宋体" w:hAnsi="宋体" w:eastAsia="宋体" w:cs="宋体"/>
          <w:color w:val="auto"/>
          <w:highlight w:val="none"/>
          <w:lang w:eastAsia="zh-CN"/>
        </w:rPr>
        <w:t>响应单位</w:t>
      </w:r>
      <w:r>
        <w:rPr>
          <w:rFonts w:hint="eastAsia" w:ascii="宋体" w:hAnsi="宋体" w:eastAsia="宋体" w:cs="宋体"/>
          <w:color w:val="auto"/>
          <w:highlight w:val="none"/>
        </w:rPr>
        <w:t>合同履行和售后服务考核暂行办法》，对乙方进行处罚，并有权提前终止合同。</w:t>
      </w:r>
    </w:p>
    <w:p w14:paraId="3F6B2927">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、争议的解决</w:t>
      </w:r>
    </w:p>
    <w:p w14:paraId="5385AC2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w:t>
      </w:r>
      <w:r>
        <w:rPr>
          <w:rFonts w:hint="eastAsia" w:ascii="宋体" w:hAnsi="宋体" w:eastAsia="宋体" w:cs="宋体"/>
          <w:b w:val="0"/>
          <w:bCs w:val="0"/>
          <w:color w:val="auto"/>
          <w:highlight w:val="none"/>
        </w:rPr>
        <w:t>方式</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解决。</w:t>
      </w:r>
    </w:p>
    <w:p w14:paraId="468B3A2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提请杭州仲裁委员会按照该会仲裁规则进行仲裁，仲裁裁决是终局的，对合同双方均有约束力。</w:t>
      </w:r>
    </w:p>
    <w:p w14:paraId="7903E81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向有管辖权的人民法院提起诉讼。</w:t>
      </w:r>
    </w:p>
    <w:p w14:paraId="747F805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、合同生效</w:t>
      </w:r>
    </w:p>
    <w:p w14:paraId="609A152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14:paraId="451B404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2.本合同经需、供双方法定代表人或其授权委托人签字并加盖单位公章或合同章后生效。</w:t>
      </w:r>
    </w:p>
    <w:p w14:paraId="2929C2C2">
      <w:pPr>
        <w:pStyle w:val="25"/>
        <w:snapToGrid w:val="0"/>
        <w:spacing w:line="360" w:lineRule="auto"/>
        <w:rPr>
          <w:rFonts w:hint="eastAsia" w:ascii="宋体" w:hAnsi="宋体" w:eastAsia="宋体" w:cs="宋体"/>
          <w:color w:val="auto"/>
          <w:highlight w:val="none"/>
        </w:rPr>
      </w:pPr>
    </w:p>
    <w:p w14:paraId="7ED6BF57">
      <w:pPr>
        <w:pStyle w:val="25"/>
        <w:snapToGrid w:val="0"/>
        <w:spacing w:line="360" w:lineRule="auto"/>
        <w:rPr>
          <w:rFonts w:hint="eastAsia" w:ascii="宋体" w:hAnsi="宋体" w:eastAsia="宋体" w:cs="宋体"/>
          <w:color w:val="auto"/>
          <w:highlight w:val="none"/>
        </w:rPr>
      </w:pPr>
    </w:p>
    <w:p w14:paraId="3101CDF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234FB01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35EF245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40AB46B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74E395D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018DE87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3CE9EA4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                             帐号：</w:t>
      </w:r>
      <w:r>
        <w:rPr>
          <w:rFonts w:hint="eastAsia" w:ascii="宋体" w:hAnsi="宋体" w:eastAsia="宋体" w:cs="宋体"/>
          <w:color w:val="auto"/>
          <w:highlight w:val="none"/>
        </w:rPr>
        <w:br w:type="page"/>
      </w:r>
    </w:p>
    <w:p w14:paraId="591E877E">
      <w:pPr>
        <w:rPr>
          <w:rFonts w:hint="eastAsia" w:ascii="宋体" w:hAnsi="宋体" w:eastAsia="宋体" w:cs="宋体"/>
          <w:color w:val="000000" w:themeColor="text1"/>
          <w:highlight w:val="none"/>
          <w14:textFill>
            <w14:solidFill>
              <w14:schemeClr w14:val="tx1"/>
            </w14:solidFill>
          </w14:textFill>
        </w:rPr>
      </w:pPr>
    </w:p>
    <w:p w14:paraId="0C1CE294">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3"/>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47481A54">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21C7E492">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34026B76">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245F3C37">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1B75AA3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0921C73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D49EEF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EDA337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E19D2D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7B2C531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我方参与（项目名称）【招标编号：（采购编号）】政府采购活动，郑重承诺：</w:t>
      </w:r>
    </w:p>
    <w:p w14:paraId="2588B907">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0485E4F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35FDBD2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0CE06D3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7FBA27E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1C8608E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5E31542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5CE0651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76CDF8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7D4C790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91F248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3454421B">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3BF6C1F2">
      <w:pPr>
        <w:snapToGrid w:val="0"/>
        <w:spacing w:line="360" w:lineRule="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5F4C0816">
      <w:pPr>
        <w:snapToGrid w:val="0"/>
        <w:spacing w:line="360" w:lineRule="auto"/>
        <w:ind w:right="480" w:firstLine="559" w:firstLineChars="233"/>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E2E4ABA">
      <w:pPr>
        <w:rPr>
          <w:rFonts w:hint="eastAsia" w:ascii="宋体" w:hAnsi="宋体" w:eastAsia="宋体" w:cs="宋体"/>
          <w:color w:val="000000" w:themeColor="text1"/>
          <w:highlight w:val="none"/>
          <w14:textFill>
            <w14:solidFill>
              <w14:schemeClr w14:val="tx1"/>
            </w14:solidFill>
          </w14:textFill>
        </w:rPr>
      </w:pPr>
    </w:p>
    <w:p w14:paraId="35FA0AA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9CEBC2A">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2EDB01CD">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7D1DA75A">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12BD41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D81F32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A58BED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14:paraId="7AAF16D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9350079">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72E862ED">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14:paraId="5CDD87AD">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E9925F6">
      <w:pPr>
        <w:snapToGrid w:val="0"/>
        <w:spacing w:before="50" w:after="50"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p>
    <w:p w14:paraId="294EC3BB">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视同符合了资格条件，无需再向中小企业分包，无需提供分包意向协议。</w:t>
      </w:r>
    </w:p>
    <w:p w14:paraId="564E344D">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76D9D3C">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14:paraId="325DA1D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14:paraId="77B999D4">
      <w:pPr>
        <w:rPr>
          <w:rFonts w:hint="eastAsia" w:ascii="宋体" w:hAnsi="宋体" w:eastAsia="宋体" w:cs="宋体"/>
          <w:color w:val="000000" w:themeColor="text1"/>
          <w:highlight w:val="none"/>
          <w14:textFill>
            <w14:solidFill>
              <w14:schemeClr w14:val="tx1"/>
            </w14:solidFill>
          </w14:textFill>
        </w:rPr>
      </w:pPr>
    </w:p>
    <w:p w14:paraId="2ACFBF0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527C0A7">
      <w:pPr>
        <w:widowControl/>
        <w:adjustRightInd/>
        <w:jc w:val="left"/>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6BB0D4A5">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52F3385B">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14:paraId="6E6900DE">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473329F3">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14:paraId="2A3F06AA">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w:t>
      </w:r>
      <w:r>
        <w:rPr>
          <w:rFonts w:hint="eastAsia" w:ascii="宋体" w:hAnsi="宋体" w:eastAsia="宋体" w:cs="宋体"/>
          <w:color w:val="000000" w:themeColor="text1"/>
          <w:highlight w:val="none"/>
          <w14:textFill>
            <w14:solidFill>
              <w14:schemeClr w14:val="tx1"/>
            </w14:solidFill>
          </w14:textFill>
        </w:rPr>
        <w:t>…………………………………………………………………………（页码）</w:t>
      </w:r>
    </w:p>
    <w:p w14:paraId="536379C5">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14:paraId="284CCEC0">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（6）投标标的清单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14:paraId="37520DCD">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14:paraId="22A4DAB2">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44B92C3">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F83B785">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343B159">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90311CD">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FC4E21C">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06DD068">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EAC9B9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1AF04AC">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A4C394D">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06BDE6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7D55F1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D4C75F1">
      <w:pP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30A8961">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693ECE76">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10642DF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2EF678B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2DD755F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52B99AC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0823828A">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6F5059C4">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31215F37">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Start w:id="395" w:name="_Hlk101257010"/>
      <w:r>
        <w:rPr>
          <w:rFonts w:hint="eastAsia" w:ascii="宋体" w:hAnsi="宋体" w:eastAsia="宋体" w:cs="宋体"/>
          <w:color w:val="000000" w:themeColor="text1"/>
          <w:sz w:val="24"/>
          <w:highlight w:val="none"/>
          <w14:textFill>
            <w14:solidFill>
              <w14:schemeClr w14:val="tx1"/>
            </w14:solidFill>
          </w14:textFill>
        </w:rPr>
        <w:t>（如果有)</w:t>
      </w:r>
      <w:bookmarkEnd w:id="395"/>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p>
    <w:p w14:paraId="7CBF710B">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2.1.3落实政府采购政策需满足的资格要求（如果有）；</w:t>
      </w:r>
    </w:p>
    <w:p w14:paraId="6604705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2.1.4本项目的特定资格要求（如果有)。</w:t>
      </w:r>
    </w:p>
    <w:p w14:paraId="1482C852">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707C929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0012744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47FD7F2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2.2.3分包意向协议（如果有)；</w:t>
      </w:r>
    </w:p>
    <w:p w14:paraId="20A3CE36">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63BF2905">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14:paraId="7C3C6BE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14:paraId="50645F9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14:paraId="1EEE2AAE">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3D252D11">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065F39A8">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16D9C93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14:paraId="201542A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14:paraId="39049CC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776C3F24">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BD4CDB6">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4CF22D96">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139B66DE">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47A8D35A">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1BB42CD0">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14:paraId="5577C71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6ACB70F5">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4E0A4918">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5546300">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E7538F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D1B897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5C8DED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63DFA9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8B89D3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47F9DD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936583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BC22BC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12F7AD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4593A0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B3BC1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F52684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5B305E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0940A3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49CC1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09DA4B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6BE1EC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B3014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0E2AA5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C108CB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B24AE2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40FFAE">
      <w:pPr>
        <w:pStyle w:val="4"/>
        <w:rPr>
          <w:rFonts w:hint="eastAsia" w:ascii="宋体" w:hAnsi="宋体" w:eastAsia="宋体" w:cs="宋体"/>
          <w:color w:val="000000" w:themeColor="text1"/>
          <w:highlight w:val="none"/>
          <w:lang w:val="en-US"/>
          <w14:textFill>
            <w14:solidFill>
              <w14:schemeClr w14:val="tx1"/>
            </w14:solidFill>
          </w14:textFill>
        </w:rPr>
      </w:pPr>
    </w:p>
    <w:p w14:paraId="62056FE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AEA047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47C553A">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0F0C1887">
      <w:pPr>
        <w:snapToGrid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4D47418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340F43DC">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14:paraId="24CF4424">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0373043">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2133FBE3">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2540AB62">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2743B2A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217B5EFC">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54B7DF3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F47AC1A">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0E700EEA">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407AEEC">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4D2C2A7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2289FAAC">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602C7BE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82673B6">
      <w:pPr>
        <w:rPr>
          <w:rFonts w:hint="eastAsia" w:ascii="宋体" w:hAnsi="宋体" w:eastAsia="宋体" w:cs="宋体"/>
          <w:color w:val="000000" w:themeColor="text1"/>
          <w:highlight w:val="none"/>
          <w14:textFill>
            <w14:solidFill>
              <w14:schemeClr w14:val="tx1"/>
            </w14:solidFill>
          </w14:textFill>
        </w:rPr>
      </w:pPr>
    </w:p>
    <w:p w14:paraId="0E4F9E27">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652C8D61">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10A0010C">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000A0DDF">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0156DEFA">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3C808C6">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82F054E">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FB5CA66">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34E1C997">
      <w:pPr>
        <w:pStyle w:val="146"/>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34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D741FC">
            <w:pPr>
              <w:pStyle w:val="146"/>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21B3E425">
            <w:pPr>
              <w:pStyle w:val="146"/>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21D0B2B6">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A38F03F">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14:paraId="232E0E18">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77DFF24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154811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74BC36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BB521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C6C98E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C6C51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D65C90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B22F45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F88F3F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3542B7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7F31B2A">
      <w:pPr>
        <w:snapToGrid w:val="0"/>
        <w:spacing w:line="360" w:lineRule="auto"/>
        <w:ind w:right="480"/>
        <w:rPr>
          <w:rFonts w:hint="eastAsia" w:ascii="宋体" w:hAnsi="宋体" w:eastAsia="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31F7B76">
      <w:pPr>
        <w:snapToGrid w:val="0"/>
        <w:spacing w:line="360" w:lineRule="auto"/>
        <w:ind w:firstLine="3534"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50CE66E2">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3D4A638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006ED35B">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78BFCEA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6A2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97346F">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14:paraId="7283D5DB">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4508A5B8">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9D41845">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6CF4CFE1">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452C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D52E5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tcPr>
          <w:p w14:paraId="2F71546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46B1095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0E689C97">
            <w:pPr>
              <w:rPr>
                <w:rFonts w:hint="eastAsia" w:ascii="宋体" w:hAnsi="宋体" w:eastAsia="宋体" w:cs="宋体"/>
                <w:color w:val="000000" w:themeColor="text1"/>
                <w:sz w:val="24"/>
                <w:highlight w:val="none"/>
                <w14:textFill>
                  <w14:solidFill>
                    <w14:schemeClr w14:val="tx1"/>
                  </w14:solidFill>
                </w14:textFill>
              </w:rPr>
            </w:pPr>
          </w:p>
          <w:p w14:paraId="030F19B0">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7B0F0A1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24D6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DA445E">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tcPr>
          <w:p w14:paraId="0635F86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24833956">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09480DD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14AD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41DCC6">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991" w:type="dxa"/>
          </w:tcPr>
          <w:p w14:paraId="322D241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5AEE56B4">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1D3A279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14:paraId="5E38E1B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056A531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BDA70C">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14:paraId="5E237F9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03A8F4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02EFB7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A83E08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4945BF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A51114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A57323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2635A7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FC07AF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6BD9F3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0AE02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DB731E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E9A2F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14:paraId="02AB4CA4">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3F3F8F8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7C295A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366C78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9D3FA6E">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B9F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BEA35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3F5B78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08F18E4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6A822FE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B56B5E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D908827">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6270C7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CBFBB1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392E085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01F52FF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2B9E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01B79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BC0A0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5F2E33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08EF4F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A991DF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8A64C5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14B43C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27C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8446A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E60584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E7E69D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4ECD83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7D2E4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711BEB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D5311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DC7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7B615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52A0F00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6B7777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CA9835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2E16A5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2EC67A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353F4C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4C6F5A94">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7EACFB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60F24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EFF6A1">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441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B91C74">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42B9606D">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26FC9341">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069F8B87">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06FD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83AE1C">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480CAE0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04B3163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83FBBE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3713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0D531E">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661F568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458D3F9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768BC5C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3B8A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603C09">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092588C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00E819D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F24617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7140EB19">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6A1D04B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58C777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7410CE3">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15F5B592">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0697E820">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0DC062AC">
      <w:pPr>
        <w:widowControl/>
        <w:adjustRightInd/>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65C8B264">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62AA9C6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A12635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CEC59D4">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678F91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2C26B32">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BBB5FA0">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6CC57819">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7256688C">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1A70320">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184C5A1E">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3B35A177">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424C09A2">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005FE9A">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3BEC5D56">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6E7CAAE9">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470DB50F">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1D8CD35A">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2C88994B">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6E487BA6">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00184FFC">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5BBACD4">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1BB44454">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0055DD00">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526A809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14:paraId="504986F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（2）中小企业声明函………………………………………………………………（页码）</w:t>
      </w:r>
    </w:p>
    <w:p w14:paraId="53FC569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0758DF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2774BF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17B3B8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B4EBC2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B6D214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E3CEE4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CFAB65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49807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49B858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65510F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782790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C8615C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406D0C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CF445C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6091592">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DB058E5">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A34197C">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1DE8625">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12C0177">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F96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19DFAE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992" w:type="dxa"/>
            <w:vAlign w:val="center"/>
          </w:tcPr>
          <w:p w14:paraId="40ADC61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2268" w:type="dxa"/>
          </w:tcPr>
          <w:p w14:paraId="79349D0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8ED7B2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2410" w:type="dxa"/>
            <w:vAlign w:val="center"/>
          </w:tcPr>
          <w:p w14:paraId="3386E85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268" w:type="dxa"/>
            <w:vAlign w:val="center"/>
          </w:tcPr>
          <w:p w14:paraId="6EDB1F8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2126" w:type="dxa"/>
            <w:vAlign w:val="center"/>
          </w:tcPr>
          <w:p w14:paraId="33FD8127">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2127" w:type="dxa"/>
          </w:tcPr>
          <w:p w14:paraId="256CFB7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2F1174B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服务人数</w:t>
            </w:r>
          </w:p>
        </w:tc>
        <w:tc>
          <w:tcPr>
            <w:tcW w:w="2126" w:type="dxa"/>
            <w:vAlign w:val="center"/>
          </w:tcPr>
          <w:p w14:paraId="08406E0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9C0F21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74D9067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7C5A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1CB35F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992" w:type="dxa"/>
            <w:vAlign w:val="center"/>
          </w:tcPr>
          <w:p w14:paraId="11B60F2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2268" w:type="dxa"/>
            <w:vAlign w:val="center"/>
          </w:tcPr>
          <w:p w14:paraId="25274D3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3154D9B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13A0C35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51AA50D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211A384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07767FE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ED0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12A78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992" w:type="dxa"/>
            <w:vAlign w:val="center"/>
          </w:tcPr>
          <w:p w14:paraId="3536A5E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w:t>
            </w:r>
          </w:p>
        </w:tc>
        <w:tc>
          <w:tcPr>
            <w:tcW w:w="2268" w:type="dxa"/>
            <w:vAlign w:val="center"/>
          </w:tcPr>
          <w:p w14:paraId="7B0F02E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2F66D54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0233AB0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59F0350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0B69296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1352179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2C9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6D36B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992" w:type="dxa"/>
            <w:vAlign w:val="center"/>
          </w:tcPr>
          <w:p w14:paraId="2CD857D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38CE35B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409DDD0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26A7EDE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4343EF0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0B5EFF9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16EDD54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E4B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8CE52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791CA2B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3682445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7785291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1AC90C9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1320ACB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1F72E94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1A866FD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591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44D5C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92" w:type="dxa"/>
            <w:vAlign w:val="center"/>
          </w:tcPr>
          <w:p w14:paraId="27D6C69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1BB2E36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10" w:type="dxa"/>
            <w:vAlign w:val="center"/>
          </w:tcPr>
          <w:p w14:paraId="6621E9B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8" w:type="dxa"/>
            <w:vAlign w:val="center"/>
          </w:tcPr>
          <w:p w14:paraId="505E9BA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671B158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7" w:type="dxa"/>
          </w:tcPr>
          <w:p w14:paraId="11E9E87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26" w:type="dxa"/>
            <w:vAlign w:val="center"/>
          </w:tcPr>
          <w:p w14:paraId="515301C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3C4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3AF225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8647" w:type="dxa"/>
            <w:gridSpan w:val="4"/>
          </w:tcPr>
          <w:p w14:paraId="24B3F42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732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8E7158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8647" w:type="dxa"/>
            <w:gridSpan w:val="4"/>
          </w:tcPr>
          <w:p w14:paraId="649C0FE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3AE6E493">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3259BF18">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C4384BB">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5EFDCCCC">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19D0151">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197A8D">
      <w:pPr>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未做阐述说明的，投标无效。</w:t>
      </w:r>
    </w:p>
    <w:p w14:paraId="6FDED7DA">
      <w:pPr>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p>
    <w:p w14:paraId="01C250D1">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60EE33C6">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6FC64364">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4742ED17">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1A246E6">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4C3CAB8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CF8B10D">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B22A151">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BF6D37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F130F7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DF49A49">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957216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D881CBE">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BD5E880">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28A2FDF">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535F474">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07ADABF">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A7E73DD">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B2AA478">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FB14F9C">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7DB2B64">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B6B723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p>
    <w:p w14:paraId="115542FA">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14:paraId="6CC6562F">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396" w:name="OLE_LINK14"/>
      <w:bookmarkStart w:id="397"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396"/>
    <w:bookmarkEnd w:id="397"/>
    <w:p w14:paraId="12643E66">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159C2C7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_单位的_</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419356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795C78A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8E356B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91662A1">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06E8D427">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7C11122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F93139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9F0804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BA21A4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2AFCE17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AAEDED7">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AD310AF">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BEB2409">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DDCAA8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CEAF0C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009754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D23C3DA">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09D491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CC0F6EB">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E1C0565">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14:paraId="2451171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198C0EA0">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7E321502">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E7D95A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7EFC7C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B51F51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023023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0A65C2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6932A35">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1FFDEA2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2EC1EB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669093F">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D79B4D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105617E">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15514562">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95CCD85">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5FE4DE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D2211E9">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2381A41">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2300FEF">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7697A58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6430ECB">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6A364C86">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08410A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64B1A87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11CED135">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5B66E8A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403E81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A6E8B3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96CFA1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562607D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4FD811A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02BB5E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0E8DD38F">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1BDFD1D3">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1B4EEFB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6DD4EFD">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6104749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8CC9EA">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8AF6D28">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66990B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3E5D6E7">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8574F0B">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9F3547C">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059479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CC4447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0F138A1">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4AF2DC7">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ABE51C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5292A9D">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5610FC39">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34CE77C1">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14:paraId="390E310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BF9BFD6">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3012D66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062E336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0168FD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F0F4E70">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0A291B7D">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2A8A53E">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805CCF7">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6427DF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88E8FC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22D1F1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0AE7A1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791A415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9AF1DB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E1DC4B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47B5B7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3ACDC9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5EAC47E7">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0F80FF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1AD2BD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DDB632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95B7FE3">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AA83E2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5BEA2F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50315729">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F170426">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BA906BB">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27CAF7D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24045F98">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D90A10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C7BF493">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B62D7E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E6D7CA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8EF0F3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248C9AA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690CCEB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05F07EE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88AFE5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2E7C1E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15E9207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76596925">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3937E5A">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B183673">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06A39C9A">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5E56E1">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33F85F4">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2A99BDA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2924C459">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60EA2EA7">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5C9A2CCB">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C9C6877">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2C81E0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54EBA3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98BAE58">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215119B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049BD55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7158C05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81973D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0BB9F277">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B2A8C6E">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5250C94">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A4A0E9F">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28033D11">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3E59EEA7">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2649041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4BEC64D4">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1A1CDDD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E4453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5ADDB8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E74FD5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FCF2FD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14C44E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FD101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DC9635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85E74B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CE1856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3C4D6F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36768A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874F65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18D9A9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EFD993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08643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450B6C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BED8671">
      <w:pPr>
        <w:autoSpaceDE w:val="0"/>
        <w:autoSpaceDN w:val="0"/>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14:paraId="24BED032">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1459C18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41550E2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852F9B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4AF91A6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2F2187F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993329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8C8A89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0CCC983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51FAA644">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398"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bookmarkEnd w:id="398"/>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399"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399"/>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76438F2F">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400"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400"/>
    </w:p>
    <w:p w14:paraId="6BDF9FE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0188A3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384F37E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773FEC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0CC112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5AE4981C">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91004FD">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10B36CBF">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FA83B1D">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0B4FDEC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73E593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BBBAD8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207404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E75719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A7C44F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EA767B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61D02F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835175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921DF3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C56390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4B75AC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BFAFAC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9978DA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0F556E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A6A7E7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E2CE0F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086552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A379A4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55587A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9B783A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FDEA26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53BA8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A1749A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261BA5D">
      <w:pPr>
        <w:snapToGrid w:val="0"/>
        <w:spacing w:line="360" w:lineRule="auto"/>
        <w:ind w:firstLine="3666" w:firstLineChars="1100"/>
        <w:rPr>
          <w:rFonts w:hint="eastAsia" w:ascii="宋体" w:hAnsi="宋体" w:eastAsia="宋体" w:cs="宋体"/>
          <w:b/>
          <w:color w:val="000000" w:themeColor="text1"/>
          <w:spacing w:val="6"/>
          <w:sz w:val="32"/>
          <w:szCs w:val="32"/>
          <w:highlight w:val="none"/>
          <w14:textFill>
            <w14:solidFill>
              <w14:schemeClr w14:val="tx1"/>
            </w14:solidFill>
          </w14:textFill>
        </w:rPr>
      </w:pPr>
    </w:p>
    <w:p w14:paraId="58DEE2C4">
      <w:pPr>
        <w:widowControl/>
        <w:adjustRightInd/>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38828079">
      <w:pPr>
        <w:snapToGrid w:val="0"/>
        <w:spacing w:line="360" w:lineRule="auto"/>
        <w:ind w:firstLine="3666"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附件6：</w:t>
      </w: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14:paraId="7746DC3C">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20BEA0D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76190F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66845B1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（分包供应商2名称），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70E77A00">
      <w:pPr>
        <w:pStyle w:val="4"/>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032619F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7168D47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14:paraId="597FFF38">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5F403370">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52CECA9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1235D19E">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9768E6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1FDF91A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BFEC7B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07936A34">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10BED4B3">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77437F2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703166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28373D1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3495195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4100E095">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投标人名称(电子签名)：</w:t>
      </w:r>
    </w:p>
    <w:p w14:paraId="0DF2C37B">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7C74134B">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4B29B054">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56EABC44">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5CF41C3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93C069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A7D6A6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544390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258EA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9FC606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0146E0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1997B3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D2ED1E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9E9E72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6D9773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DD839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48AB79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C39D2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3FE8D2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D22ACE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E95095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D2D41E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41FAA9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69EB9A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CCBB23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434239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46C831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0C7771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60BA24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B1BCA5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FFF643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DE3B2F0">
      <w:pPr>
        <w:spacing w:line="360" w:lineRule="auto"/>
        <w:jc w:val="left"/>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附件7：中小企业声明函</w:t>
      </w:r>
    </w:p>
    <w:p w14:paraId="733AE1A0">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14:paraId="4C105579">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14:paraId="6B9E4D7D">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D00F73F">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6E791BF8">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094A5F70">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2D8E9381">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A408447">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420D646B">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14:paraId="2A524DD9">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74DFA4A4">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20CF162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14:paraId="00BC2DAF">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w:t>
      </w:r>
    </w:p>
    <w:p w14:paraId="261282A8">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A39DB6">
      <w:pPr>
        <w:spacing w:line="360" w:lineRule="auto"/>
        <w:ind w:right="420"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9816C0">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4E8B70B5">
      <w:pPr>
        <w:pStyle w:val="4"/>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样品（演示）授权委托书</w:t>
      </w:r>
    </w:p>
    <w:p w14:paraId="29B246BF">
      <w:pPr>
        <w:jc w:val="center"/>
        <w:rPr>
          <w:rFonts w:hint="eastAsia" w:ascii="宋体" w:hAnsi="宋体" w:eastAsia="宋体" w:cs="宋体"/>
          <w:color w:val="000000" w:themeColor="text1"/>
          <w:sz w:val="40"/>
          <w:highlight w:val="none"/>
          <w14:textFill>
            <w14:solidFill>
              <w14:schemeClr w14:val="tx1"/>
            </w14:solidFill>
          </w14:textFill>
        </w:rPr>
      </w:pPr>
      <w:r>
        <w:rPr>
          <w:rFonts w:hint="eastAsia" w:ascii="宋体" w:hAnsi="宋体" w:eastAsia="宋体" w:cs="宋体"/>
          <w:color w:val="000000" w:themeColor="text1"/>
          <w:sz w:val="40"/>
          <w:highlight w:val="none"/>
          <w14:textFill>
            <w14:solidFill>
              <w14:schemeClr w14:val="tx1"/>
            </w14:solidFill>
          </w14:textFill>
        </w:rPr>
        <w:t>样品（演示）授权委托书</w:t>
      </w:r>
    </w:p>
    <w:p w14:paraId="35F36CA6">
      <w:pPr>
        <w:jc w:val="center"/>
        <w:rPr>
          <w:rFonts w:hint="eastAsia" w:ascii="宋体" w:hAnsi="宋体" w:eastAsia="宋体" w:cs="宋体"/>
          <w:color w:val="000000" w:themeColor="text1"/>
          <w:sz w:val="40"/>
          <w:highlight w:val="none"/>
          <w14:textFill>
            <w14:solidFill>
              <w14:schemeClr w14:val="tx1"/>
            </w14:solidFill>
          </w14:textFill>
        </w:rPr>
      </w:pPr>
    </w:p>
    <w:p w14:paraId="492F225D">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XXX（单位名称或采购机构名称）</w:t>
      </w:r>
      <w:r>
        <w:rPr>
          <w:rFonts w:hint="eastAsia" w:ascii="宋体" w:hAnsi="宋体" w:eastAsia="宋体" w:cs="宋体"/>
          <w:color w:val="000000" w:themeColor="text1"/>
          <w:highlight w:val="none"/>
          <w:lang w:val="zh-CN"/>
          <w14:textFill>
            <w14:solidFill>
              <w14:schemeClr w14:val="tx1"/>
            </w14:solidFill>
          </w14:textFill>
        </w:rPr>
        <w:t>：</w:t>
      </w:r>
    </w:p>
    <w:p w14:paraId="35DCF766">
      <w:pPr>
        <w:snapToGrid w:val="0"/>
        <w:spacing w:line="360" w:lineRule="auto"/>
        <w:ind w:left="254" w:leftChars="121" w:firstLine="420" w:firstLineChars="200"/>
        <w:rPr>
          <w:rFonts w:hint="eastAsia" w:ascii="宋体" w:hAnsi="宋体" w:eastAsia="宋体" w:cs="宋体"/>
          <w:color w:val="000000" w:themeColor="text1"/>
          <w:highlight w:val="none"/>
          <w:u w:val="singl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兹委派</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先生/女士，身份证号：</w:t>
      </w:r>
      <w:r>
        <w:rPr>
          <w:rFonts w:hint="eastAsia" w:ascii="宋体" w:hAnsi="宋体" w:eastAsia="宋体" w:cs="宋体"/>
          <w:color w:val="000000" w:themeColor="text1"/>
          <w:highlight w:val="none"/>
          <w:u w:val="single"/>
          <w:lang w:val="zh-CN"/>
          <w14:textFill>
            <w14:solidFill>
              <w14:schemeClr w14:val="tx1"/>
            </w14:solidFill>
          </w14:textFill>
        </w:rPr>
        <w:t xml:space="preserve">                   </w:t>
      </w:r>
    </w:p>
    <w:p w14:paraId="1745D1EE">
      <w:pPr>
        <w:snapToGrid w:val="0"/>
        <w:spacing w:line="360" w:lineRule="auto"/>
        <w:ind w:left="254" w:leftChars="121"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手机：</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，代表我公司前来递交</w:t>
      </w:r>
      <w:r>
        <w:rPr>
          <w:rFonts w:hint="eastAsia" w:ascii="宋体" w:hAnsi="宋体" w:eastAsia="宋体" w:cs="宋体"/>
          <w:color w:val="000000" w:themeColor="text1"/>
          <w:highlight w:val="none"/>
          <w:u w:val="single"/>
          <w:lang w:val="zh-CN"/>
          <w14:textFill>
            <w14:solidFill>
              <w14:schemeClr w14:val="tx1"/>
            </w14:solidFill>
          </w14:textFill>
        </w:rPr>
        <w:t xml:space="preserve">                           采购项目</w:t>
      </w:r>
      <w:r>
        <w:rPr>
          <w:rFonts w:hint="eastAsia" w:ascii="宋体" w:hAnsi="宋体" w:eastAsia="宋体" w:cs="宋体"/>
          <w:color w:val="000000" w:themeColor="text1"/>
          <w:highlight w:val="none"/>
          <w:lang w:val="zh-CN"/>
          <w14:textFill>
            <w14:solidFill>
              <w14:schemeClr w14:val="tx1"/>
            </w14:solidFill>
          </w14:textFill>
        </w:rPr>
        <w:t>【项目编号：              】（标项号：  ）投标样品或参加演示，并全权负责标后取回样品等其他处理事宜。</w:t>
      </w:r>
    </w:p>
    <w:p w14:paraId="6E79CBF8">
      <w:pPr>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0805BED7">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特此告知。</w:t>
      </w:r>
    </w:p>
    <w:p w14:paraId="00367ECD">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投标人名称(公章)：</w:t>
      </w:r>
    </w:p>
    <w:p w14:paraId="52E4F5CF">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722AE3C6">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签发日期：  年  月   日</w:t>
      </w:r>
    </w:p>
    <w:p w14:paraId="0725D46E">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p>
    <w:p w14:paraId="5B9FB9ED">
      <w:pPr>
        <w:snapToGrid w:val="0"/>
        <w:spacing w:line="360" w:lineRule="auto"/>
        <w:ind w:right="1920"/>
        <w:rPr>
          <w:rFonts w:hint="eastAsia" w:ascii="宋体" w:hAnsi="宋体" w:eastAsia="宋体" w:cs="宋体"/>
          <w:color w:val="000000" w:themeColor="text1"/>
          <w:highlight w:val="none"/>
          <w:lang w:val="zh-CN"/>
          <w14:textFill>
            <w14:solidFill>
              <w14:schemeClr w14:val="tx1"/>
            </w14:solidFill>
          </w14:textFill>
        </w:rPr>
      </w:pPr>
    </w:p>
    <w:p w14:paraId="3691104B">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p>
    <w:p w14:paraId="37416DEB">
      <w:pP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受委托人</w:t>
      </w:r>
      <w:r>
        <w:rPr>
          <w:rFonts w:hint="eastAsia" w:ascii="宋体" w:hAnsi="宋体" w:eastAsia="宋体" w:cs="宋体"/>
          <w:color w:val="000000" w:themeColor="text1"/>
          <w:highlight w:val="none"/>
          <w:lang w:val="zh-CN"/>
          <w14:textFill>
            <w14:solidFill>
              <w14:schemeClr w14:val="tx1"/>
            </w14:solidFill>
          </w14:textFill>
        </w:rPr>
        <w:t>身份证复印件：</w:t>
      </w:r>
    </w:p>
    <w:p w14:paraId="775A645D">
      <w:pP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p>
    <w:p w14:paraId="085E9F07">
      <w:pP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说明：本委托书在有样品或演示时由受委托人携带至指定地点。</w:t>
      </w:r>
    </w:p>
    <w:p w14:paraId="0CDB400A">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同时有样品和演示的，可委托不同人员。</w:t>
      </w:r>
    </w:p>
    <w:p w14:paraId="74E7A16C">
      <w:pPr>
        <w:pStyle w:val="4"/>
        <w:rPr>
          <w:rFonts w:hint="eastAsia" w:ascii="宋体" w:hAnsi="宋体" w:eastAsia="宋体" w:cs="宋体"/>
          <w:color w:val="000000" w:themeColor="text1"/>
          <w:highlight w:val="none"/>
          <w14:textFill>
            <w14:solidFill>
              <w14:schemeClr w14:val="tx1"/>
            </w14:solidFill>
          </w14:textFill>
        </w:rPr>
      </w:pPr>
    </w:p>
    <w:p w14:paraId="13D8A517">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0039A838">
      <w:pPr>
        <w:pStyle w:val="4"/>
        <w:rPr>
          <w:rFonts w:hint="eastAsia" w:ascii="宋体" w:hAnsi="宋体" w:eastAsia="宋体" w:cs="宋体"/>
          <w:color w:val="000000" w:themeColor="text1"/>
          <w:highlight w:val="none"/>
          <w14:textFill>
            <w14:solidFill>
              <w14:schemeClr w14:val="tx1"/>
            </w14:solidFill>
          </w14:textFill>
        </w:rPr>
      </w:pPr>
    </w:p>
    <w:p w14:paraId="66A917B0">
      <w:pPr>
        <w:pStyle w:val="4"/>
        <w:rPr>
          <w:rFonts w:hint="eastAsia" w:ascii="宋体" w:hAnsi="宋体" w:eastAsia="宋体" w:cs="宋体"/>
          <w:color w:val="000000" w:themeColor="text1"/>
          <w:highlight w:val="none"/>
          <w:lang w:val="en-US"/>
          <w14:textFill>
            <w14:solidFill>
              <w14:schemeClr w14:val="tx1"/>
            </w14:solidFill>
          </w14:textFill>
        </w:rPr>
      </w:pPr>
    </w:p>
    <w:p w14:paraId="19003CDE">
      <w:pPr>
        <w:spacing w:line="360" w:lineRule="auto"/>
        <w:ind w:right="420"/>
        <w:rPr>
          <w:rFonts w:hint="eastAsia" w:ascii="宋体" w:hAnsi="宋体" w:eastAsia="宋体" w:cs="宋体"/>
          <w:color w:val="000000" w:themeColor="text1"/>
          <w:highlight w:val="none"/>
          <w14:textFill>
            <w14:solidFill>
              <w14:schemeClr w14:val="tx1"/>
            </w14:solidFill>
          </w14:textFill>
        </w:rPr>
      </w:pPr>
    </w:p>
    <w:p w14:paraId="36F3FE7C">
      <w:pPr>
        <w:spacing w:line="360" w:lineRule="auto"/>
        <w:rPr>
          <w:rFonts w:hint="eastAsia" w:ascii="宋体" w:hAnsi="宋体" w:eastAsia="宋体" w:cs="宋体"/>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9C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4273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23A8">
    <w:pPr>
      <w:pStyle w:val="40"/>
      <w:framePr w:wrap="around" w:vAnchor="text" w:hAnchor="margin" w:xAlign="right" w:y="1"/>
      <w:rPr>
        <w:rStyle w:val="72"/>
      </w:rPr>
    </w:pPr>
    <w:r>
      <w:fldChar w:fldCharType="begin"/>
    </w:r>
    <w:r>
      <w:rPr>
        <w:rStyle w:val="72"/>
      </w:rPr>
      <w:instrText xml:space="preserve">PAGE  </w:instrText>
    </w:r>
    <w:r>
      <w:fldChar w:fldCharType="end"/>
    </w:r>
  </w:p>
  <w:p w14:paraId="265E683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49F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64085800"/>
    <w:bookmarkStart w:id="402" w:name="_Toc91899912"/>
    <w:bookmarkStart w:id="403" w:name="_Toc36110187"/>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B7F4">
    <w:pPr>
      <w:pStyle w:val="40"/>
      <w:framePr w:wrap="around" w:vAnchor="text" w:hAnchor="margin" w:xAlign="right" w:y="1"/>
      <w:rPr>
        <w:rStyle w:val="72"/>
      </w:rPr>
    </w:pPr>
    <w:r>
      <w:fldChar w:fldCharType="begin"/>
    </w:r>
    <w:r>
      <w:rPr>
        <w:rStyle w:val="72"/>
      </w:rPr>
      <w:instrText xml:space="preserve">PAGE  </w:instrText>
    </w:r>
    <w:r>
      <w:fldChar w:fldCharType="end"/>
    </w:r>
  </w:p>
  <w:p w14:paraId="307EBDA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4572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FA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7B818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849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1A15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B4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5D803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399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56FE7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FA0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B3318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6F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51EA1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B588">
    <w:pPr>
      <w:pStyle w:val="41"/>
      <w:pBdr>
        <w:bottom w:val="single" w:color="auto" w:sz="6" w:space="4"/>
      </w:pBdr>
      <w:jc w:val="right"/>
    </w:pPr>
    <w:r>
      <w:t></w:t>
    </w:r>
    <w:r>
      <w:rPr>
        <w:rFonts w:hint="eastAsia"/>
      </w:rPr>
      <w:t xml:space="preserve">             </w:t>
    </w:r>
    <w:r>
      <w:t>杭州市政府采购公开招标文件</w:t>
    </w:r>
  </w:p>
  <w:p w14:paraId="64F39FD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3903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3724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5450">
    <w:pPr>
      <w:pStyle w:val="41"/>
      <w:rPr>
        <w:rFonts w:ascii="仿宋_GB2312" w:eastAsia="仿宋_GB2312"/>
        <w:b/>
        <w:i/>
        <w:u w:val="single"/>
      </w:rPr>
    </w:pPr>
    <w:r>
      <w:t></w:t>
    </w:r>
    <w:r>
      <w:rPr>
        <w:rFonts w:hint="eastAsia"/>
      </w:rPr>
      <w:t xml:space="preserve">                                                  </w:t>
    </w:r>
    <w:r>
      <w:t xml:space="preserve">             杭州市政府采购公开招标文件</w:t>
    </w:r>
  </w:p>
  <w:p w14:paraId="4525334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B7E36">
    <w:pPr>
      <w:pStyle w:val="41"/>
    </w:pPr>
    <w:r>
      <w:t></w:t>
    </w:r>
    <w:r>
      <w:rPr>
        <w:rFonts w:hint="eastAsia"/>
      </w:rPr>
      <w:t xml:space="preserve">         </w:t>
    </w:r>
  </w:p>
  <w:p w14:paraId="6A6E9C68">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720C">
    <w:pPr>
      <w:pStyle w:val="41"/>
      <w:rPr>
        <w:rFonts w:ascii="仿宋_GB2312" w:eastAsia="仿宋_GB2312"/>
        <w:b/>
        <w:i/>
        <w:u w:val="single"/>
      </w:rPr>
    </w:pPr>
    <w:r>
      <w:t></w:t>
    </w:r>
    <w:r>
      <w:rPr>
        <w:rFonts w:hint="eastAsia"/>
      </w:rPr>
      <w:t xml:space="preserve">                                                  </w:t>
    </w:r>
    <w:r>
      <w:t>杭州市政府采购公开招标文件</w:t>
    </w:r>
  </w:p>
  <w:p w14:paraId="6E7C880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823C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AD98">
    <w:pPr>
      <w:pStyle w:val="41"/>
      <w:jc w:val="right"/>
      <w:rPr>
        <w:rFonts w:ascii="仿宋_GB2312" w:eastAsia="仿宋_GB2312"/>
        <w:b/>
        <w:i/>
        <w:u w:val="single"/>
      </w:rPr>
    </w:pPr>
    <w:r>
      <w:rPr>
        <w:rFonts w:hint="eastAsia"/>
      </w:rPr>
      <w:t xml:space="preserve">                                  </w:t>
    </w:r>
    <w:r>
      <w:t>杭州市政府采购公开招标文件</w:t>
    </w:r>
  </w:p>
  <w:p w14:paraId="5D1D863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C838">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6E5F7">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TZhM2MyNzhmOWI5N2JkZjQ2MjA2ZTVkOTFiN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720EE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8021F"/>
    <w:rsid w:val="434B790E"/>
    <w:rsid w:val="4360274F"/>
    <w:rsid w:val="43977AB6"/>
    <w:rsid w:val="43A3342B"/>
    <w:rsid w:val="43C77C27"/>
    <w:rsid w:val="43DE09EE"/>
    <w:rsid w:val="44002FAD"/>
    <w:rsid w:val="445C5F0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E2039"/>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B1AF4"/>
    <w:rsid w:val="54487265"/>
    <w:rsid w:val="544D6070"/>
    <w:rsid w:val="54605E1E"/>
    <w:rsid w:val="54B3506A"/>
    <w:rsid w:val="54CA0D16"/>
    <w:rsid w:val="54DD4057"/>
    <w:rsid w:val="54E7490F"/>
    <w:rsid w:val="550764A4"/>
    <w:rsid w:val="550B2BF6"/>
    <w:rsid w:val="55214EB5"/>
    <w:rsid w:val="55364EFD"/>
    <w:rsid w:val="555D4828"/>
    <w:rsid w:val="557A4C8B"/>
    <w:rsid w:val="557E17DE"/>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23269"/>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35701</Words>
  <Characters>37848</Characters>
  <Lines>281</Lines>
  <Paragraphs>79</Paragraphs>
  <TotalTime>23</TotalTime>
  <ScaleCrop>false</ScaleCrop>
  <LinksUpToDate>false</LinksUpToDate>
  <CharactersWithSpaces>42584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Mrs12</cp:lastModifiedBy>
  <cp:lastPrinted>2021-12-30T11:06:00Z</cp:lastPrinted>
  <dcterms:modified xsi:type="dcterms:W3CDTF">2024-09-09T08:47:25Z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