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val="0"/>
          <w:bCs w:val="0"/>
          <w:color w:val="auto"/>
          <w:sz w:val="30"/>
          <w:szCs w:val="30"/>
          <w:highlight w:val="none"/>
          <w:lang w:val="en-US" w:eastAsia="zh-CN"/>
        </w:rPr>
      </w:pPr>
    </w:p>
    <w:p>
      <w:pPr>
        <w:snapToGrid w:val="0"/>
        <w:spacing w:beforeLines="0" w:afterLines="0"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杭州临平</w:t>
      </w:r>
      <w:r>
        <w:rPr>
          <w:rFonts w:hint="eastAsia" w:ascii="仿宋" w:hAnsi="仿宋" w:eastAsia="仿宋" w:cs="仿宋"/>
          <w:b/>
          <w:color w:val="auto"/>
          <w:sz w:val="36"/>
          <w:szCs w:val="36"/>
          <w:highlight w:val="none"/>
        </w:rPr>
        <w:t>钱江停车管理有限公司</w:t>
      </w:r>
    </w:p>
    <w:p>
      <w:pPr>
        <w:jc w:val="center"/>
        <w:rPr>
          <w:rFonts w:hint="eastAsia" w:ascii="仿宋" w:hAnsi="仿宋" w:eastAsia="仿宋" w:cs="仿宋"/>
          <w:b/>
          <w:bCs/>
          <w:color w:val="auto"/>
          <w:sz w:val="48"/>
          <w:szCs w:val="48"/>
          <w:highlight w:val="none"/>
        </w:rPr>
      </w:pPr>
      <w:r>
        <w:rPr>
          <w:rFonts w:hint="eastAsia" w:ascii="仿宋" w:hAnsi="仿宋" w:eastAsia="仿宋" w:cs="仿宋"/>
          <w:b/>
          <w:color w:val="auto"/>
          <w:sz w:val="36"/>
          <w:szCs w:val="36"/>
          <w:highlight w:val="none"/>
          <w:lang w:val="en-US" w:eastAsia="zh-CN"/>
        </w:rPr>
        <w:t>2025年度道路停车PDA专用热敏纸采购项目</w:t>
      </w:r>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仿宋" w:hAnsi="仿宋" w:eastAsia="仿宋" w:cs="仿宋"/>
          <w:b/>
          <w:color w:val="auto"/>
          <w:kern w:val="2"/>
          <w:sz w:val="36"/>
          <w:szCs w:val="36"/>
          <w:highlight w:val="none"/>
          <w:lang w:val="en-US" w:eastAsia="zh-CN" w:bidi="ar-SA"/>
        </w:rPr>
      </w:pPr>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default" w:ascii="仿宋" w:hAnsi="仿宋" w:eastAsia="仿宋" w:cs="仿宋"/>
          <w:b/>
          <w:color w:val="auto"/>
          <w:kern w:val="2"/>
          <w:sz w:val="36"/>
          <w:szCs w:val="36"/>
          <w:highlight w:val="none"/>
          <w:lang w:val="en-US" w:eastAsia="zh-CN" w:bidi="ar-SA"/>
        </w:rPr>
      </w:pPr>
      <w:r>
        <w:rPr>
          <w:rFonts w:hint="eastAsia" w:ascii="仿宋" w:hAnsi="仿宋" w:eastAsia="仿宋" w:cs="仿宋"/>
          <w:b/>
          <w:color w:val="auto"/>
          <w:kern w:val="2"/>
          <w:sz w:val="36"/>
          <w:szCs w:val="36"/>
          <w:highlight w:val="none"/>
          <w:lang w:val="en-US" w:eastAsia="zh-CN" w:bidi="ar-SA"/>
        </w:rPr>
        <w:t>项目编号：</w:t>
      </w:r>
      <w:r>
        <w:rPr>
          <w:rFonts w:hint="eastAsia" w:ascii="仿宋" w:hAnsi="仿宋" w:eastAsia="仿宋" w:cs="仿宋"/>
          <w:b/>
          <w:color w:val="auto"/>
          <w:kern w:val="2"/>
          <w:sz w:val="36"/>
          <w:szCs w:val="36"/>
          <w:highlight w:val="none"/>
          <w:u w:val="single"/>
          <w:lang w:val="en-US" w:eastAsia="zh-CN" w:bidi="ar-SA"/>
        </w:rPr>
        <w:t>HLQT-2024-002</w:t>
      </w:r>
    </w:p>
    <w:p>
      <w:pPr>
        <w:jc w:val="center"/>
        <w:rPr>
          <w:rFonts w:hint="eastAsia" w:ascii="仿宋" w:hAnsi="仿宋" w:eastAsia="仿宋" w:cs="仿宋"/>
          <w:b/>
          <w:bCs/>
          <w:color w:val="auto"/>
          <w:sz w:val="48"/>
          <w:szCs w:val="48"/>
          <w:highlight w:val="none"/>
        </w:rPr>
      </w:pPr>
    </w:p>
    <w:p>
      <w:pPr>
        <w:jc w:val="center"/>
        <w:rPr>
          <w:rFonts w:hint="eastAsia" w:ascii="仿宋" w:hAnsi="仿宋" w:eastAsia="仿宋" w:cs="仿宋"/>
          <w:b/>
          <w:bCs/>
          <w:color w:val="auto"/>
          <w:sz w:val="48"/>
          <w:szCs w:val="48"/>
          <w:highlight w:val="none"/>
        </w:rPr>
      </w:pPr>
    </w:p>
    <w:p>
      <w:pPr>
        <w:jc w:val="center"/>
        <w:outlineLvl w:val="9"/>
        <w:rPr>
          <w:rFonts w:hint="eastAsia" w:ascii="仿宋" w:hAnsi="仿宋" w:eastAsia="仿宋" w:cs="仿宋"/>
          <w:b/>
          <w:color w:val="auto"/>
          <w:sz w:val="52"/>
          <w:szCs w:val="52"/>
          <w:highlight w:val="none"/>
        </w:rPr>
      </w:pPr>
      <w:bookmarkStart w:id="0" w:name="_Toc7601"/>
      <w:r>
        <w:rPr>
          <w:rFonts w:hint="eastAsia" w:ascii="仿宋" w:hAnsi="仿宋" w:eastAsia="仿宋" w:cs="仿宋"/>
          <w:b/>
          <w:color w:val="auto"/>
          <w:sz w:val="52"/>
          <w:szCs w:val="52"/>
          <w:highlight w:val="none"/>
        </w:rPr>
        <w:t>询</w:t>
      </w:r>
      <w:bookmarkEnd w:id="0"/>
    </w:p>
    <w:p>
      <w:pPr>
        <w:jc w:val="center"/>
        <w:outlineLvl w:val="9"/>
        <w:rPr>
          <w:rFonts w:hint="eastAsia" w:ascii="仿宋" w:hAnsi="仿宋" w:eastAsia="仿宋" w:cs="仿宋"/>
          <w:b/>
          <w:color w:val="auto"/>
          <w:sz w:val="52"/>
          <w:szCs w:val="52"/>
          <w:highlight w:val="none"/>
        </w:rPr>
      </w:pPr>
      <w:bookmarkStart w:id="1" w:name="_Toc31318"/>
      <w:r>
        <w:rPr>
          <w:rFonts w:hint="eastAsia" w:ascii="仿宋" w:hAnsi="仿宋" w:eastAsia="仿宋" w:cs="仿宋"/>
          <w:b/>
          <w:color w:val="auto"/>
          <w:sz w:val="52"/>
          <w:szCs w:val="52"/>
          <w:highlight w:val="none"/>
        </w:rPr>
        <w:t>价</w:t>
      </w:r>
      <w:bookmarkEnd w:id="1"/>
    </w:p>
    <w:p>
      <w:pPr>
        <w:jc w:val="center"/>
        <w:outlineLvl w:val="9"/>
        <w:rPr>
          <w:rFonts w:hint="eastAsia" w:ascii="仿宋" w:hAnsi="仿宋" w:eastAsia="仿宋" w:cs="仿宋"/>
          <w:b/>
          <w:color w:val="auto"/>
          <w:sz w:val="52"/>
          <w:szCs w:val="52"/>
          <w:highlight w:val="none"/>
        </w:rPr>
      </w:pPr>
      <w:bookmarkStart w:id="2" w:name="_Toc31929"/>
      <w:r>
        <w:rPr>
          <w:rFonts w:hint="eastAsia" w:ascii="仿宋" w:hAnsi="仿宋" w:eastAsia="仿宋" w:cs="仿宋"/>
          <w:b/>
          <w:color w:val="auto"/>
          <w:sz w:val="52"/>
          <w:szCs w:val="52"/>
          <w:highlight w:val="none"/>
        </w:rPr>
        <w:t>文</w:t>
      </w:r>
      <w:bookmarkEnd w:id="2"/>
    </w:p>
    <w:p>
      <w:pPr>
        <w:jc w:val="center"/>
        <w:outlineLvl w:val="9"/>
        <w:rPr>
          <w:rFonts w:hint="eastAsia" w:ascii="仿宋" w:hAnsi="仿宋" w:eastAsia="仿宋" w:cs="仿宋"/>
          <w:b/>
          <w:color w:val="auto"/>
          <w:sz w:val="52"/>
          <w:szCs w:val="52"/>
          <w:highlight w:val="none"/>
        </w:rPr>
      </w:pPr>
      <w:bookmarkStart w:id="3" w:name="_Toc15118"/>
      <w:r>
        <w:rPr>
          <w:rFonts w:hint="eastAsia" w:ascii="仿宋" w:hAnsi="仿宋" w:eastAsia="仿宋" w:cs="仿宋"/>
          <w:b/>
          <w:color w:val="auto"/>
          <w:sz w:val="52"/>
          <w:szCs w:val="52"/>
          <w:highlight w:val="none"/>
        </w:rPr>
        <w:t>件</w:t>
      </w:r>
      <w:bookmarkEnd w:id="3"/>
    </w:p>
    <w:p>
      <w:pPr>
        <w:pStyle w:val="11"/>
        <w:rPr>
          <w:rFonts w:hint="eastAsia" w:ascii="仿宋" w:hAnsi="仿宋" w:eastAsia="仿宋" w:cs="仿宋"/>
          <w:b/>
          <w:bCs/>
          <w:color w:val="auto"/>
          <w:sz w:val="48"/>
          <w:szCs w:val="48"/>
          <w:highlight w:val="none"/>
          <w:u w:val="single"/>
        </w:rPr>
      </w:pPr>
    </w:p>
    <w:p>
      <w:pPr>
        <w:pStyle w:val="11"/>
        <w:rPr>
          <w:rFonts w:hint="eastAsia" w:ascii="仿宋" w:hAnsi="仿宋" w:eastAsia="仿宋" w:cs="仿宋"/>
          <w:b/>
          <w:bCs/>
          <w:color w:val="auto"/>
          <w:sz w:val="48"/>
          <w:szCs w:val="48"/>
          <w:highlight w:val="none"/>
          <w:u w:val="single"/>
        </w:rPr>
      </w:pPr>
    </w:p>
    <w:p>
      <w:pPr>
        <w:snapToGrid w:val="0"/>
        <w:spacing w:beforeLines="0" w:afterLines="0" w:line="360" w:lineRule="auto"/>
        <w:jc w:val="center"/>
        <w:rPr>
          <w:rFonts w:hint="eastAsia" w:ascii="仿宋" w:hAnsi="仿宋" w:eastAsia="仿宋" w:cs="仿宋"/>
          <w:b/>
          <w:color w:val="auto"/>
          <w:sz w:val="36"/>
          <w:szCs w:val="36"/>
          <w:highlight w:val="none"/>
          <w:u w:val="single"/>
        </w:rPr>
      </w:pPr>
      <w:bookmarkStart w:id="4" w:name="_Toc17477"/>
      <w:r>
        <w:rPr>
          <w:rFonts w:hint="eastAsia" w:ascii="仿宋" w:hAnsi="仿宋" w:eastAsia="仿宋" w:cs="仿宋"/>
          <w:b/>
          <w:bCs/>
          <w:color w:val="auto"/>
          <w:sz w:val="36"/>
          <w:szCs w:val="36"/>
          <w:highlight w:val="none"/>
          <w:lang w:val="en-US" w:eastAsia="zh-CN"/>
        </w:rPr>
        <w:t>询价人：</w:t>
      </w:r>
      <w:bookmarkEnd w:id="4"/>
      <w:r>
        <w:rPr>
          <w:rFonts w:hint="eastAsia" w:ascii="仿宋" w:hAnsi="仿宋" w:eastAsia="仿宋" w:cs="仿宋"/>
          <w:b/>
          <w:color w:val="auto"/>
          <w:sz w:val="36"/>
          <w:szCs w:val="36"/>
          <w:highlight w:val="none"/>
          <w:u w:val="single"/>
          <w:lang w:val="en-US" w:eastAsia="zh-CN"/>
        </w:rPr>
        <w:t>杭州临平</w:t>
      </w:r>
      <w:r>
        <w:rPr>
          <w:rFonts w:hint="eastAsia" w:ascii="仿宋" w:hAnsi="仿宋" w:eastAsia="仿宋" w:cs="仿宋"/>
          <w:b/>
          <w:color w:val="auto"/>
          <w:sz w:val="36"/>
          <w:szCs w:val="36"/>
          <w:highlight w:val="none"/>
          <w:u w:val="single"/>
        </w:rPr>
        <w:t>钱江停车管理有限公司</w:t>
      </w:r>
    </w:p>
    <w:p>
      <w:pPr>
        <w:ind w:firstLine="1084" w:firstLineChars="300"/>
        <w:jc w:val="both"/>
        <w:rPr>
          <w:rFonts w:hint="eastAsia" w:ascii="仿宋" w:hAnsi="仿宋" w:eastAsia="仿宋" w:cs="仿宋"/>
          <w:b/>
          <w:bCs/>
          <w:color w:val="auto"/>
          <w:sz w:val="36"/>
          <w:szCs w:val="36"/>
          <w:highlight w:val="none"/>
          <w:lang w:val="en-US" w:eastAsia="zh-CN"/>
        </w:rPr>
      </w:pPr>
    </w:p>
    <w:p>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202</w:t>
      </w:r>
      <w:r>
        <w:rPr>
          <w:rFonts w:hint="eastAsia" w:ascii="仿宋" w:hAnsi="仿宋" w:eastAsia="仿宋" w:cs="仿宋"/>
          <w:b/>
          <w:bCs/>
          <w:color w:val="auto"/>
          <w:sz w:val="36"/>
          <w:szCs w:val="36"/>
          <w:highlight w:val="none"/>
          <w:lang w:val="en-US" w:eastAsia="zh-CN"/>
        </w:rPr>
        <w:t>4</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11</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rPr>
        <w:t>日</w:t>
      </w:r>
    </w:p>
    <w:p>
      <w:pPr>
        <w:rPr>
          <w:rFonts w:hint="eastAsia" w:ascii="仿宋" w:hAnsi="仿宋" w:eastAsia="仿宋" w:cs="仿宋"/>
          <w:b w:val="0"/>
          <w:bCs w:val="0"/>
          <w:color w:val="auto"/>
          <w:sz w:val="44"/>
          <w:szCs w:val="44"/>
          <w:highlight w:val="none"/>
        </w:rPr>
      </w:pPr>
      <w:r>
        <w:rPr>
          <w:rFonts w:hint="eastAsia" w:ascii="仿宋" w:hAnsi="仿宋" w:eastAsia="仿宋" w:cs="仿宋"/>
          <w:b w:val="0"/>
          <w:bCs w:val="0"/>
          <w:color w:val="auto"/>
          <w:sz w:val="44"/>
          <w:szCs w:val="44"/>
          <w:highlight w:val="none"/>
        </w:rPr>
        <w:br w:type="page"/>
      </w:r>
    </w:p>
    <w:sdt>
      <w:sdtPr>
        <w:rPr>
          <w:rFonts w:hint="eastAsia" w:ascii="仿宋" w:hAnsi="仿宋" w:eastAsia="仿宋" w:cs="仿宋"/>
          <w:color w:val="auto"/>
          <w:kern w:val="2"/>
          <w:sz w:val="21"/>
          <w:szCs w:val="24"/>
          <w:highlight w:val="none"/>
          <w:lang w:val="en-US" w:eastAsia="zh-CN" w:bidi="ar-SA"/>
        </w:rPr>
        <w:id w:val="147451652"/>
        <w15:color w:val="DBDBDB"/>
        <w:docPartObj>
          <w:docPartGallery w:val="Table of Contents"/>
          <w:docPartUnique/>
        </w:docPartObj>
      </w:sdtPr>
      <w:sdtEndPr>
        <w:rPr>
          <w:rFonts w:hint="eastAsia" w:ascii="仿宋" w:hAnsi="仿宋" w:eastAsia="仿宋" w:cs="仿宋"/>
          <w:b/>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color w:val="auto"/>
              <w:sz w:val="48"/>
              <w:szCs w:val="48"/>
              <w:highlight w:val="none"/>
            </w:rPr>
          </w:pPr>
          <w:r>
            <w:rPr>
              <w:rFonts w:hint="eastAsia" w:ascii="仿宋" w:hAnsi="仿宋" w:eastAsia="仿宋" w:cs="仿宋"/>
              <w:color w:val="auto"/>
              <w:sz w:val="32"/>
              <w:szCs w:val="32"/>
              <w:highlight w:val="none"/>
            </w:rPr>
            <w:t>目录</w:t>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TOC \o "1-2" \h \u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_Toc3176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48"/>
              <w:highlight w:val="none"/>
              <w:lang w:val="en-US" w:eastAsia="zh-CN"/>
            </w:rPr>
            <w:t>第一部分、</w:t>
          </w:r>
          <w:r>
            <w:rPr>
              <w:rFonts w:hint="eastAsia" w:ascii="仿宋" w:hAnsi="仿宋" w:eastAsia="仿宋" w:cs="仿宋"/>
              <w:color w:val="auto"/>
              <w:sz w:val="28"/>
              <w:szCs w:val="48"/>
              <w:highlight w:val="none"/>
            </w:rPr>
            <w:t>询价公告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_Toc3176 \h </w:instrText>
          </w:r>
          <w:r>
            <w:rPr>
              <w:color w:val="auto"/>
              <w:sz w:val="28"/>
              <w:szCs w:val="36"/>
              <w:highlight w:val="none"/>
            </w:rPr>
            <w:fldChar w:fldCharType="separate"/>
          </w:r>
          <w:r>
            <w:rPr>
              <w:color w:val="auto"/>
              <w:sz w:val="28"/>
              <w:szCs w:val="36"/>
              <w:highlight w:val="none"/>
            </w:rPr>
            <w:t>3</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_Toc6304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48"/>
              <w:highlight w:val="none"/>
              <w:lang w:val="en-US" w:eastAsia="zh-CN"/>
            </w:rPr>
            <w:t>第二部分、</w:t>
          </w:r>
          <w:r>
            <w:rPr>
              <w:rFonts w:hint="eastAsia" w:ascii="仿宋" w:hAnsi="仿宋" w:eastAsia="仿宋" w:cs="仿宋"/>
              <w:color w:val="auto"/>
              <w:sz w:val="28"/>
              <w:szCs w:val="48"/>
              <w:highlight w:val="none"/>
            </w:rPr>
            <w:t>询价</w:t>
          </w:r>
          <w:r>
            <w:rPr>
              <w:rFonts w:hint="eastAsia" w:ascii="仿宋" w:hAnsi="仿宋" w:eastAsia="仿宋" w:cs="仿宋"/>
              <w:color w:val="auto"/>
              <w:sz w:val="28"/>
              <w:szCs w:val="48"/>
              <w:highlight w:val="none"/>
              <w:lang w:val="en-US" w:eastAsia="zh-CN"/>
            </w:rPr>
            <w:t>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_Toc6304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_Toc6369 </w:instrText>
          </w:r>
          <w:r>
            <w:rPr>
              <w:rFonts w:hint="eastAsia" w:ascii="仿宋" w:hAnsi="仿宋" w:eastAsia="仿宋" w:cs="仿宋"/>
              <w:color w:val="auto"/>
              <w:sz w:val="28"/>
              <w:szCs w:val="36"/>
              <w:highlight w:val="none"/>
            </w:rPr>
            <w:fldChar w:fldCharType="separate"/>
          </w:r>
          <w:r>
            <w:rPr>
              <w:rFonts w:hint="eastAsia" w:ascii="仿宋" w:hAnsi="仿宋" w:eastAsia="仿宋" w:cs="仿宋"/>
              <w:bCs/>
              <w:color w:val="auto"/>
              <w:kern w:val="2"/>
              <w:sz w:val="28"/>
              <w:szCs w:val="44"/>
              <w:highlight w:val="none"/>
              <w:lang w:val="en-US" w:eastAsia="zh-CN" w:bidi="ar-SA"/>
            </w:rPr>
            <w:t>第三部分、服务内容及要求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_Toc6369 \h </w:instrText>
          </w:r>
          <w:r>
            <w:rPr>
              <w:color w:val="auto"/>
              <w:sz w:val="28"/>
              <w:szCs w:val="36"/>
              <w:highlight w:val="none"/>
            </w:rPr>
            <w:fldChar w:fldCharType="separate"/>
          </w:r>
          <w:r>
            <w:rPr>
              <w:color w:val="auto"/>
              <w:sz w:val="28"/>
              <w:szCs w:val="36"/>
              <w:highlight w:val="none"/>
            </w:rPr>
            <w:t>12</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_Toc10216 </w:instrText>
          </w:r>
          <w:r>
            <w:rPr>
              <w:rFonts w:hint="eastAsia" w:ascii="仿宋" w:hAnsi="仿宋" w:eastAsia="仿宋" w:cs="仿宋"/>
              <w:color w:val="auto"/>
              <w:sz w:val="28"/>
              <w:szCs w:val="36"/>
              <w:highlight w:val="none"/>
            </w:rPr>
            <w:fldChar w:fldCharType="separate"/>
          </w:r>
          <w:r>
            <w:rPr>
              <w:rFonts w:hint="eastAsia" w:ascii="仿宋" w:hAnsi="仿宋" w:eastAsia="仿宋" w:cs="仿宋"/>
              <w:bCs/>
              <w:color w:val="auto"/>
              <w:sz w:val="28"/>
              <w:szCs w:val="44"/>
              <w:highlight w:val="none"/>
              <w:lang w:val="en-US" w:eastAsia="zh-CN"/>
            </w:rPr>
            <w:t>第四部分、</w:t>
          </w:r>
          <w:r>
            <w:rPr>
              <w:rFonts w:hint="eastAsia" w:ascii="仿宋" w:hAnsi="仿宋" w:eastAsia="仿宋" w:cs="仿宋"/>
              <w:bCs/>
              <w:color w:val="auto"/>
              <w:sz w:val="28"/>
              <w:szCs w:val="44"/>
              <w:highlight w:val="none"/>
              <w:lang w:eastAsia="zh-CN"/>
            </w:rPr>
            <w:t>应价文件</w:t>
          </w:r>
          <w:r>
            <w:rPr>
              <w:rFonts w:hint="eastAsia" w:ascii="仿宋" w:hAnsi="仿宋" w:eastAsia="仿宋" w:cs="仿宋"/>
              <w:bCs/>
              <w:color w:val="auto"/>
              <w:sz w:val="28"/>
              <w:szCs w:val="44"/>
              <w:highlight w:val="none"/>
            </w:rPr>
            <w:t>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_Toc10216 \h </w:instrText>
          </w:r>
          <w:r>
            <w:rPr>
              <w:color w:val="auto"/>
              <w:sz w:val="28"/>
              <w:szCs w:val="36"/>
              <w:highlight w:val="none"/>
            </w:rPr>
            <w:fldChar w:fldCharType="separate"/>
          </w:r>
          <w:r>
            <w:rPr>
              <w:color w:val="auto"/>
              <w:sz w:val="28"/>
              <w:szCs w:val="36"/>
              <w:highlight w:val="none"/>
            </w:rPr>
            <w:t>14</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15"/>
            <w:tabs>
              <w:tab w:val="right" w:leader="dot" w:pos="8632"/>
              <w:tab w:val="clear" w:pos="840"/>
              <w:tab w:val="clear" w:pos="8296"/>
            </w:tabs>
            <w:rPr>
              <w:color w:val="auto"/>
              <w:sz w:val="28"/>
              <w:szCs w:val="36"/>
              <w:highlight w:val="none"/>
            </w:rPr>
          </w:pP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HYPERLINK \l _Toc9771 </w:instrText>
          </w:r>
          <w:r>
            <w:rPr>
              <w:rFonts w:hint="eastAsia" w:ascii="仿宋" w:hAnsi="仿宋" w:eastAsia="仿宋" w:cs="仿宋"/>
              <w:color w:val="auto"/>
              <w:sz w:val="28"/>
              <w:szCs w:val="36"/>
              <w:highlight w:val="none"/>
            </w:rPr>
            <w:fldChar w:fldCharType="separate"/>
          </w:r>
          <w:r>
            <w:rPr>
              <w:rFonts w:hint="eastAsia" w:ascii="仿宋" w:hAnsi="仿宋" w:eastAsia="仿宋" w:cs="仿宋"/>
              <w:bCs/>
              <w:color w:val="auto"/>
              <w:sz w:val="28"/>
              <w:szCs w:val="44"/>
              <w:highlight w:val="none"/>
              <w:lang w:val="en-US" w:eastAsia="zh-CN"/>
            </w:rPr>
            <w:t>第五部分、拟签订的合同文本</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_Toc9771 \h </w:instrText>
          </w:r>
          <w:r>
            <w:rPr>
              <w:color w:val="auto"/>
              <w:sz w:val="28"/>
              <w:szCs w:val="36"/>
              <w:highlight w:val="none"/>
            </w:rPr>
            <w:fldChar w:fldCharType="separate"/>
          </w:r>
          <w:r>
            <w:rPr>
              <w:color w:val="auto"/>
              <w:sz w:val="28"/>
              <w:szCs w:val="36"/>
              <w:highlight w:val="none"/>
            </w:rPr>
            <w:t>23</w:t>
          </w:r>
          <w:r>
            <w:rPr>
              <w:color w:val="auto"/>
              <w:sz w:val="28"/>
              <w:szCs w:val="36"/>
              <w:highlight w:val="none"/>
            </w:rPr>
            <w:fldChar w:fldCharType="end"/>
          </w:r>
          <w:r>
            <w:rPr>
              <w:rFonts w:hint="eastAsia" w:ascii="仿宋" w:hAnsi="仿宋" w:eastAsia="仿宋" w:cs="仿宋"/>
              <w:color w:val="auto"/>
              <w:sz w:val="28"/>
              <w:szCs w:val="36"/>
              <w:highlight w:val="none"/>
            </w:rPr>
            <w:fldChar w:fldCharType="end"/>
          </w:r>
        </w:p>
        <w:p>
          <w:pPr>
            <w:pStyle w:val="43"/>
            <w:keepNext w:val="0"/>
            <w:keepLines w:val="0"/>
            <w:pageBreakBefore w:val="0"/>
            <w:widowControl/>
            <w:numPr>
              <w:ilvl w:val="-1"/>
              <w:numId w:val="0"/>
            </w:numPr>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
              <w:color w:val="auto"/>
              <w:sz w:val="24"/>
              <w:szCs w:val="24"/>
              <w:highlight w:val="none"/>
            </w:rPr>
            <w:fldChar w:fldCharType="end"/>
          </w:r>
        </w:p>
      </w:sdtContent>
    </w:sdt>
    <w:p>
      <w:pPr>
        <w:jc w:val="left"/>
        <w:rPr>
          <w:rStyle w:val="27"/>
          <w:rFonts w:hint="eastAsia" w:ascii="仿宋" w:hAnsi="仿宋" w:eastAsia="仿宋" w:cs="仿宋"/>
          <w:b/>
          <w:color w:val="auto"/>
          <w:sz w:val="36"/>
          <w:szCs w:val="36"/>
          <w:highlight w:val="none"/>
        </w:rPr>
      </w:pPr>
      <w:r>
        <w:rPr>
          <w:rStyle w:val="27"/>
          <w:rFonts w:hint="eastAsia" w:ascii="仿宋" w:hAnsi="仿宋" w:eastAsia="仿宋" w:cs="仿宋"/>
          <w:b/>
          <w:color w:val="auto"/>
          <w:sz w:val="36"/>
          <w:szCs w:val="36"/>
          <w:highlight w:val="none"/>
        </w:rPr>
        <w:br w:type="page"/>
      </w:r>
    </w:p>
    <w:p>
      <w:pPr>
        <w:numPr>
          <w:ilvl w:val="-1"/>
          <w:numId w:val="0"/>
        </w:numPr>
        <w:jc w:val="center"/>
        <w:outlineLvl w:val="0"/>
        <w:rPr>
          <w:rStyle w:val="27"/>
          <w:rFonts w:hint="eastAsia" w:ascii="仿宋" w:hAnsi="仿宋" w:eastAsia="仿宋" w:cs="仿宋"/>
          <w:b/>
          <w:color w:val="auto"/>
          <w:sz w:val="36"/>
          <w:szCs w:val="36"/>
          <w:highlight w:val="none"/>
        </w:rPr>
      </w:pPr>
      <w:bookmarkStart w:id="5" w:name="_Toc3176"/>
      <w:bookmarkStart w:id="6" w:name="_Toc18742"/>
      <w:bookmarkStart w:id="7" w:name="_Toc24043"/>
      <w:r>
        <w:rPr>
          <w:rStyle w:val="27"/>
          <w:rFonts w:hint="eastAsia" w:ascii="仿宋" w:hAnsi="仿宋" w:eastAsia="仿宋" w:cs="仿宋"/>
          <w:b/>
          <w:color w:val="auto"/>
          <w:sz w:val="36"/>
          <w:szCs w:val="36"/>
          <w:highlight w:val="none"/>
          <w:lang w:val="en-US" w:eastAsia="zh-CN"/>
        </w:rPr>
        <w:t>第一部分、</w:t>
      </w:r>
      <w:r>
        <w:rPr>
          <w:rStyle w:val="27"/>
          <w:rFonts w:hint="eastAsia" w:ascii="仿宋" w:hAnsi="仿宋" w:eastAsia="仿宋" w:cs="仿宋"/>
          <w:b/>
          <w:color w:val="auto"/>
          <w:sz w:val="36"/>
          <w:szCs w:val="36"/>
          <w:highlight w:val="none"/>
        </w:rPr>
        <w:t>询价公告</w:t>
      </w:r>
      <w:bookmarkEnd w:id="5"/>
      <w:bookmarkEnd w:id="6"/>
      <w:bookmarkEnd w:id="7"/>
    </w:p>
    <w:p>
      <w:pPr>
        <w:pStyle w:val="19"/>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Fonts w:hint="eastAsia" w:ascii="仿宋" w:hAnsi="仿宋" w:eastAsia="仿宋" w:cs="仿宋"/>
          <w:color w:val="auto"/>
          <w:sz w:val="24"/>
          <w:szCs w:val="24"/>
          <w:highlight w:val="none"/>
          <w:lang w:val="en-US" w:eastAsia="zh-CN"/>
        </w:rPr>
      </w:pPr>
      <w:bookmarkStart w:id="8" w:name="_Toc11086"/>
      <w:r>
        <w:rPr>
          <w:rStyle w:val="25"/>
          <w:rFonts w:hint="eastAsia" w:ascii="仿宋" w:hAnsi="仿宋" w:eastAsia="仿宋" w:cs="仿宋"/>
          <w:color w:val="auto"/>
          <w:sz w:val="24"/>
          <w:szCs w:val="24"/>
          <w:highlight w:val="none"/>
        </w:rPr>
        <w:t>一、</w:t>
      </w:r>
      <w:r>
        <w:rPr>
          <w:rStyle w:val="25"/>
          <w:rFonts w:hint="eastAsia" w:ascii="仿宋" w:hAnsi="仿宋" w:eastAsia="仿宋" w:cs="仿宋"/>
          <w:color w:val="auto"/>
          <w:sz w:val="24"/>
          <w:szCs w:val="24"/>
          <w:highlight w:val="none"/>
          <w:lang w:eastAsia="zh-CN"/>
        </w:rPr>
        <w:t>询价人</w:t>
      </w:r>
      <w:r>
        <w:rPr>
          <w:rStyle w:val="25"/>
          <w:rFonts w:hint="eastAsia" w:ascii="仿宋" w:hAnsi="仿宋" w:eastAsia="仿宋" w:cs="仿宋"/>
          <w:color w:val="auto"/>
          <w:sz w:val="24"/>
          <w:szCs w:val="24"/>
          <w:highlight w:val="none"/>
        </w:rPr>
        <w:t>：</w:t>
      </w:r>
      <w:bookmarkEnd w:id="8"/>
      <w:r>
        <w:rPr>
          <w:rStyle w:val="25"/>
          <w:rFonts w:hint="eastAsia" w:ascii="仿宋" w:hAnsi="仿宋" w:eastAsia="仿宋" w:cs="仿宋"/>
          <w:b w:val="0"/>
          <w:bCs/>
          <w:color w:val="auto"/>
          <w:sz w:val="24"/>
          <w:szCs w:val="24"/>
          <w:highlight w:val="none"/>
          <w:u w:val="none"/>
          <w:lang w:eastAsia="zh-CN"/>
        </w:rPr>
        <w:t>杭州</w:t>
      </w:r>
      <w:r>
        <w:rPr>
          <w:rStyle w:val="25"/>
          <w:rFonts w:hint="eastAsia" w:ascii="仿宋" w:hAnsi="仿宋" w:eastAsia="仿宋" w:cs="仿宋"/>
          <w:b w:val="0"/>
          <w:bCs/>
          <w:color w:val="auto"/>
          <w:sz w:val="24"/>
          <w:szCs w:val="24"/>
          <w:highlight w:val="none"/>
          <w:u w:val="none"/>
          <w:lang w:val="en-US" w:eastAsia="zh-CN"/>
        </w:rPr>
        <w:t>临平钱江停车管理</w:t>
      </w:r>
      <w:r>
        <w:rPr>
          <w:rStyle w:val="25"/>
          <w:rFonts w:hint="eastAsia" w:ascii="仿宋" w:hAnsi="仿宋" w:eastAsia="仿宋" w:cs="仿宋"/>
          <w:b w:val="0"/>
          <w:bCs/>
          <w:color w:val="auto"/>
          <w:sz w:val="24"/>
          <w:szCs w:val="24"/>
          <w:highlight w:val="none"/>
          <w:u w:val="none"/>
          <w:lang w:eastAsia="zh-CN"/>
        </w:rPr>
        <w:t>有限公司</w:t>
      </w:r>
    </w:p>
    <w:p>
      <w:pPr>
        <w:pStyle w:val="19"/>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rPr>
          <w:rStyle w:val="27"/>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rPr>
        <w:t>二、项目名称：</w:t>
      </w:r>
      <w:r>
        <w:rPr>
          <w:rStyle w:val="25"/>
          <w:rFonts w:hint="eastAsia" w:ascii="仿宋" w:hAnsi="仿宋" w:eastAsia="仿宋" w:cs="仿宋"/>
          <w:color w:val="auto"/>
          <w:sz w:val="24"/>
          <w:szCs w:val="24"/>
          <w:highlight w:val="none"/>
          <w:lang w:val="en-US" w:eastAsia="zh-CN"/>
        </w:rPr>
        <w:t>2025年度道路停车PDA专用热敏纸采购项目</w:t>
      </w:r>
    </w:p>
    <w:p>
      <w:pPr>
        <w:pStyle w:val="19"/>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rPr>
          <w:rStyle w:val="25"/>
          <w:rFonts w:hint="default" w:ascii="仿宋" w:hAnsi="仿宋" w:eastAsia="仿宋" w:cs="仿宋"/>
          <w:b w:val="0"/>
          <w:bCs/>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三</w:t>
      </w:r>
      <w:r>
        <w:rPr>
          <w:rStyle w:val="25"/>
          <w:rFonts w:hint="eastAsia" w:ascii="仿宋" w:hAnsi="仿宋" w:eastAsia="仿宋" w:cs="仿宋"/>
          <w:color w:val="auto"/>
          <w:sz w:val="24"/>
          <w:szCs w:val="24"/>
          <w:highlight w:val="none"/>
        </w:rPr>
        <w:t>、项目编号：</w:t>
      </w:r>
      <w:r>
        <w:rPr>
          <w:rStyle w:val="25"/>
          <w:rFonts w:hint="eastAsia" w:ascii="仿宋" w:hAnsi="仿宋" w:eastAsia="仿宋" w:cs="仿宋"/>
          <w:color w:val="auto"/>
          <w:sz w:val="24"/>
          <w:szCs w:val="24"/>
          <w:highlight w:val="none"/>
          <w:lang w:val="en-US" w:eastAsia="zh-CN"/>
        </w:rPr>
        <w:t>HLQT-2024-002</w:t>
      </w:r>
    </w:p>
    <w:p>
      <w:pPr>
        <w:pStyle w:val="19"/>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rPr>
          <w:rFonts w:hint="eastAsia" w:ascii="仿宋" w:hAnsi="仿宋" w:eastAsia="仿宋" w:cs="仿宋"/>
          <w:color w:val="auto"/>
          <w:sz w:val="24"/>
          <w:szCs w:val="24"/>
          <w:highlight w:val="none"/>
          <w:lang w:eastAsia="zh-CN"/>
        </w:rPr>
      </w:pPr>
      <w:r>
        <w:rPr>
          <w:rStyle w:val="25"/>
          <w:rFonts w:hint="eastAsia" w:ascii="仿宋" w:hAnsi="仿宋" w:eastAsia="仿宋" w:cs="仿宋"/>
          <w:color w:val="auto"/>
          <w:sz w:val="24"/>
          <w:szCs w:val="24"/>
          <w:highlight w:val="none"/>
          <w:lang w:eastAsia="zh-CN"/>
        </w:rPr>
        <w:t>四、</w:t>
      </w:r>
      <w:r>
        <w:rPr>
          <w:rStyle w:val="25"/>
          <w:rFonts w:hint="eastAsia" w:ascii="仿宋" w:hAnsi="仿宋" w:eastAsia="仿宋" w:cs="仿宋"/>
          <w:color w:val="auto"/>
          <w:sz w:val="24"/>
          <w:szCs w:val="24"/>
          <w:highlight w:val="none"/>
        </w:rPr>
        <w:t>采购方式：</w:t>
      </w:r>
      <w:r>
        <w:rPr>
          <w:rStyle w:val="25"/>
          <w:rFonts w:hint="eastAsia" w:ascii="仿宋" w:hAnsi="仿宋" w:eastAsia="仿宋" w:cs="仿宋"/>
          <w:color w:val="auto"/>
          <w:sz w:val="24"/>
          <w:szCs w:val="24"/>
          <w:highlight w:val="none"/>
          <w:lang w:val="en-US" w:eastAsia="zh-CN"/>
        </w:rPr>
        <w:t>公开</w:t>
      </w:r>
      <w:r>
        <w:rPr>
          <w:rStyle w:val="25"/>
          <w:rFonts w:hint="eastAsia" w:ascii="仿宋" w:hAnsi="仿宋" w:eastAsia="仿宋" w:cs="仿宋"/>
          <w:b w:val="0"/>
          <w:color w:val="auto"/>
          <w:sz w:val="24"/>
          <w:szCs w:val="24"/>
          <w:highlight w:val="none"/>
        </w:rPr>
        <w:t>询价</w:t>
      </w:r>
    </w:p>
    <w:p>
      <w:pPr>
        <w:keepNext w:val="0"/>
        <w:keepLines w:val="0"/>
        <w:pageBreakBefore w:val="0"/>
        <w:kinsoku/>
        <w:wordWrap/>
        <w:overflowPunct/>
        <w:topLinePunct w:val="0"/>
        <w:autoSpaceDE/>
        <w:autoSpaceDN/>
        <w:bidi w:val="0"/>
        <w:adjustRightInd/>
        <w:snapToGrid w:val="0"/>
        <w:spacing w:line="420" w:lineRule="exact"/>
        <w:textAlignment w:val="auto"/>
        <w:outlineLvl w:val="1"/>
        <w:rPr>
          <w:rStyle w:val="25"/>
          <w:rFonts w:hint="eastAsia" w:ascii="仿宋" w:hAnsi="仿宋" w:eastAsia="仿宋" w:cs="仿宋"/>
          <w:b w:val="0"/>
          <w:bCs w:val="0"/>
          <w:color w:val="auto"/>
          <w:kern w:val="0"/>
          <w:sz w:val="24"/>
          <w:szCs w:val="24"/>
          <w:highlight w:val="none"/>
          <w:lang w:val="en-US" w:eastAsia="zh-CN"/>
        </w:rPr>
      </w:pPr>
      <w:bookmarkStart w:id="9" w:name="_Toc16380"/>
      <w:bookmarkStart w:id="10" w:name="_Toc15920"/>
      <w:r>
        <w:rPr>
          <w:rStyle w:val="25"/>
          <w:rFonts w:hint="eastAsia" w:ascii="仿宋" w:hAnsi="仿宋" w:eastAsia="仿宋" w:cs="仿宋"/>
          <w:color w:val="auto"/>
          <w:sz w:val="24"/>
          <w:szCs w:val="24"/>
          <w:highlight w:val="none"/>
          <w:lang w:eastAsia="zh-CN"/>
        </w:rPr>
        <w:t>五</w:t>
      </w:r>
      <w:r>
        <w:rPr>
          <w:rStyle w:val="25"/>
          <w:rFonts w:hint="eastAsia" w:ascii="仿宋" w:hAnsi="仿宋" w:eastAsia="仿宋" w:cs="仿宋"/>
          <w:color w:val="auto"/>
          <w:sz w:val="24"/>
          <w:szCs w:val="24"/>
          <w:highlight w:val="none"/>
        </w:rPr>
        <w:t>、采购内容：</w:t>
      </w:r>
      <w:bookmarkEnd w:id="9"/>
      <w:bookmarkStart w:id="11" w:name="_Toc1427"/>
      <w:bookmarkStart w:id="12" w:name="_Toc10372"/>
      <w:r>
        <w:rPr>
          <w:rStyle w:val="25"/>
          <w:rFonts w:hint="eastAsia" w:ascii="仿宋" w:hAnsi="仿宋" w:eastAsia="仿宋" w:cs="仿宋"/>
          <w:color w:val="auto"/>
          <w:sz w:val="24"/>
          <w:szCs w:val="24"/>
          <w:highlight w:val="none"/>
          <w:lang w:val="en-US" w:eastAsia="zh-CN"/>
        </w:rPr>
        <w:t>240240卷57*31-11米热敏纸</w:t>
      </w:r>
      <w:r>
        <w:rPr>
          <w:rStyle w:val="25"/>
          <w:rFonts w:hint="eastAsia" w:ascii="仿宋" w:hAnsi="仿宋" w:eastAsia="仿宋" w:cs="仿宋"/>
          <w:b w:val="0"/>
          <w:color w:val="auto"/>
          <w:kern w:val="0"/>
          <w:sz w:val="24"/>
          <w:szCs w:val="24"/>
          <w:highlight w:val="none"/>
          <w:u w:val="none"/>
          <w:lang w:val="en-US" w:eastAsia="zh-CN"/>
        </w:rPr>
        <w:t>。</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9"/>
        <w:rPr>
          <w:rStyle w:val="24"/>
          <w:rFonts w:hint="eastAsia" w:ascii="仿宋" w:hAnsi="仿宋" w:eastAsia="仿宋" w:cs="仿宋"/>
          <w:b w:val="0"/>
          <w:bCs w:val="0"/>
          <w:color w:val="auto"/>
          <w:kern w:val="2"/>
          <w:sz w:val="24"/>
          <w:szCs w:val="24"/>
          <w:highlight w:val="none"/>
          <w:u w:val="none"/>
          <w:lang w:val="en-US" w:eastAsia="zh-CN"/>
        </w:rPr>
      </w:pPr>
      <w:r>
        <w:rPr>
          <w:rStyle w:val="24"/>
          <w:rFonts w:hint="eastAsia" w:ascii="仿宋" w:hAnsi="仿宋" w:eastAsia="仿宋" w:cs="仿宋"/>
          <w:b w:val="0"/>
          <w:bCs w:val="0"/>
          <w:color w:val="auto"/>
          <w:kern w:val="2"/>
          <w:sz w:val="24"/>
          <w:szCs w:val="24"/>
          <w:highlight w:val="none"/>
          <w:u w:val="none"/>
          <w:lang w:val="en-US" w:eastAsia="zh-CN" w:bidi="ar-SA"/>
        </w:rPr>
        <w:t>合同最高限价</w:t>
      </w:r>
      <w:r>
        <w:rPr>
          <w:rStyle w:val="24"/>
          <w:rFonts w:hint="eastAsia" w:ascii="仿宋" w:hAnsi="仿宋" w:eastAsia="仿宋" w:cs="仿宋"/>
          <w:b w:val="0"/>
          <w:bCs w:val="0"/>
          <w:color w:val="auto"/>
          <w:kern w:val="2"/>
          <w:sz w:val="24"/>
          <w:szCs w:val="24"/>
          <w:highlight w:val="none"/>
          <w:u w:val="single"/>
          <w:lang w:val="en-US" w:eastAsia="zh-CN" w:bidi="ar-SA"/>
        </w:rPr>
        <w:t xml:space="preserve"> </w:t>
      </w:r>
      <w:r>
        <w:rPr>
          <w:rStyle w:val="25"/>
          <w:rFonts w:hint="eastAsia" w:ascii="仿宋" w:hAnsi="仿宋" w:eastAsia="仿宋" w:cs="仿宋"/>
          <w:b w:val="0"/>
          <w:bCs w:val="0"/>
          <w:color w:val="auto"/>
          <w:kern w:val="0"/>
          <w:sz w:val="24"/>
          <w:szCs w:val="24"/>
          <w:highlight w:val="none"/>
          <w:u w:val="single"/>
          <w:lang w:val="en-US" w:eastAsia="zh-CN" w:bidi="ar-SA"/>
        </w:rPr>
        <w:t>18.018</w:t>
      </w:r>
      <w:r>
        <w:rPr>
          <w:rStyle w:val="24"/>
          <w:rFonts w:hint="eastAsia" w:ascii="仿宋" w:hAnsi="仿宋" w:eastAsia="仿宋" w:cs="仿宋"/>
          <w:b w:val="0"/>
          <w:bCs w:val="0"/>
          <w:color w:val="auto"/>
          <w:kern w:val="2"/>
          <w:sz w:val="24"/>
          <w:szCs w:val="24"/>
          <w:highlight w:val="none"/>
          <w:u w:val="single"/>
          <w:lang w:val="en-US" w:eastAsia="zh-CN" w:bidi="ar-SA"/>
        </w:rPr>
        <w:t xml:space="preserve"> </w:t>
      </w:r>
      <w:r>
        <w:rPr>
          <w:rStyle w:val="24"/>
          <w:rFonts w:hint="eastAsia" w:ascii="仿宋" w:hAnsi="仿宋" w:eastAsia="仿宋" w:cs="仿宋"/>
          <w:b w:val="0"/>
          <w:bCs w:val="0"/>
          <w:color w:val="auto"/>
          <w:kern w:val="2"/>
          <w:sz w:val="24"/>
          <w:szCs w:val="24"/>
          <w:highlight w:val="none"/>
          <w:u w:val="none"/>
          <w:lang w:val="en-US" w:eastAsia="zh-CN" w:bidi="ar-SA"/>
        </w:rPr>
        <w:t>万元，</w:t>
      </w:r>
      <w:r>
        <w:rPr>
          <w:rFonts w:hint="eastAsia" w:ascii="仿宋" w:hAnsi="仿宋" w:eastAsia="仿宋" w:cs="仿宋"/>
          <w:b w:val="0"/>
          <w:bCs w:val="0"/>
          <w:color w:val="auto"/>
          <w:kern w:val="2"/>
          <w:sz w:val="24"/>
          <w:szCs w:val="24"/>
          <w:highlight w:val="none"/>
          <w:u w:val="none"/>
          <w:lang w:val="en-US" w:eastAsia="zh-CN" w:bidi="ar-SA"/>
        </w:rPr>
        <w:t>综合单价限价见“第三部分、服务内容及要求”</w:t>
      </w:r>
      <w:r>
        <w:rPr>
          <w:rStyle w:val="24"/>
          <w:rFonts w:hint="eastAsia" w:ascii="仿宋" w:hAnsi="仿宋" w:eastAsia="仿宋" w:cs="仿宋"/>
          <w:b w:val="0"/>
          <w:bCs w:val="0"/>
          <w:color w:val="auto"/>
          <w:kern w:val="2"/>
          <w:sz w:val="24"/>
          <w:szCs w:val="24"/>
          <w:highlight w:val="none"/>
          <w:u w:val="none"/>
          <w:lang w:val="en-US" w:eastAsia="zh-CN" w:bidi="ar-SA"/>
        </w:rPr>
        <w:t>。</w:t>
      </w:r>
    </w:p>
    <w:bookmarkEnd w:id="10"/>
    <w:p>
      <w:pPr>
        <w:keepNext w:val="0"/>
        <w:keepLines w:val="0"/>
        <w:pageBreakBefore w:val="0"/>
        <w:kinsoku/>
        <w:wordWrap/>
        <w:overflowPunct/>
        <w:topLinePunct w:val="0"/>
        <w:autoSpaceDE/>
        <w:autoSpaceDN/>
        <w:bidi w:val="0"/>
        <w:adjustRightInd/>
        <w:snapToGrid w:val="0"/>
        <w:spacing w:line="420" w:lineRule="exact"/>
        <w:textAlignment w:val="auto"/>
        <w:outlineLvl w:val="1"/>
        <w:rPr>
          <w:rStyle w:val="25"/>
          <w:rFonts w:hint="eastAsia" w:ascii="仿宋" w:hAnsi="仿宋" w:eastAsia="仿宋" w:cs="仿宋"/>
          <w:color w:val="auto"/>
          <w:kern w:val="0"/>
          <w:sz w:val="24"/>
          <w:szCs w:val="24"/>
          <w:highlight w:val="none"/>
          <w:lang w:eastAsia="zh-CN"/>
        </w:rPr>
      </w:pPr>
      <w:bookmarkStart w:id="13" w:name="_Toc25693"/>
      <w:r>
        <w:rPr>
          <w:rStyle w:val="25"/>
          <w:rFonts w:hint="eastAsia" w:ascii="仿宋" w:hAnsi="仿宋" w:eastAsia="仿宋" w:cs="仿宋"/>
          <w:color w:val="auto"/>
          <w:kern w:val="0"/>
          <w:sz w:val="24"/>
          <w:szCs w:val="24"/>
          <w:highlight w:val="none"/>
          <w:lang w:val="en-US" w:eastAsia="zh-CN"/>
        </w:rPr>
        <w:t>六</w:t>
      </w:r>
      <w:r>
        <w:rPr>
          <w:rStyle w:val="25"/>
          <w:rFonts w:hint="eastAsia" w:ascii="仿宋" w:hAnsi="仿宋" w:eastAsia="仿宋" w:cs="仿宋"/>
          <w:color w:val="auto"/>
          <w:kern w:val="0"/>
          <w:sz w:val="24"/>
          <w:szCs w:val="24"/>
          <w:highlight w:val="none"/>
        </w:rPr>
        <w:t>、</w:t>
      </w:r>
      <w:r>
        <w:rPr>
          <w:rStyle w:val="25"/>
          <w:rFonts w:hint="eastAsia" w:ascii="仿宋" w:hAnsi="仿宋" w:eastAsia="仿宋" w:cs="仿宋"/>
          <w:color w:val="auto"/>
          <w:kern w:val="0"/>
          <w:sz w:val="24"/>
          <w:szCs w:val="24"/>
          <w:highlight w:val="none"/>
          <w:lang w:eastAsia="zh-CN"/>
        </w:rPr>
        <w:t>供应商</w:t>
      </w:r>
      <w:r>
        <w:rPr>
          <w:rStyle w:val="25"/>
          <w:rFonts w:hint="eastAsia" w:ascii="仿宋" w:hAnsi="仿宋" w:eastAsia="仿宋" w:cs="仿宋"/>
          <w:color w:val="auto"/>
          <w:kern w:val="0"/>
          <w:sz w:val="24"/>
          <w:szCs w:val="24"/>
          <w:highlight w:val="none"/>
        </w:rPr>
        <w:t>资格条件</w:t>
      </w:r>
      <w:bookmarkEnd w:id="11"/>
      <w:r>
        <w:rPr>
          <w:rStyle w:val="25"/>
          <w:rFonts w:hint="eastAsia" w:ascii="仿宋" w:hAnsi="仿宋" w:eastAsia="仿宋" w:cs="仿宋"/>
          <w:color w:val="auto"/>
          <w:kern w:val="0"/>
          <w:sz w:val="24"/>
          <w:szCs w:val="24"/>
          <w:highlight w:val="none"/>
          <w:lang w:eastAsia="zh-CN"/>
        </w:rPr>
        <w:t>：</w:t>
      </w:r>
      <w:bookmarkEnd w:id="12"/>
      <w:bookmarkEnd w:id="13"/>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bookmarkStart w:id="14" w:name="_Toc15144"/>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bookmarkEnd w:id="14"/>
      <w:r>
        <w:rPr>
          <w:rFonts w:hint="eastAsia" w:ascii="仿宋" w:hAnsi="仿宋" w:eastAsia="仿宋" w:cs="仿宋"/>
          <w:color w:val="auto"/>
          <w:sz w:val="24"/>
          <w:szCs w:val="24"/>
          <w:highlight w:val="none"/>
        </w:rPr>
        <w:t>具有独立法人资格企业</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询价人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3、具有类似的</w:t>
      </w:r>
      <w:r>
        <w:rPr>
          <w:rStyle w:val="27"/>
          <w:rFonts w:hint="eastAsia" w:ascii="仿宋" w:hAnsi="仿宋" w:eastAsia="仿宋" w:cs="仿宋"/>
          <w:color w:val="auto"/>
          <w:sz w:val="24"/>
          <w:szCs w:val="24"/>
          <w:highlight w:val="none"/>
          <w:lang w:eastAsia="zh-CN"/>
        </w:rPr>
        <w:t>节能诊断服务</w:t>
      </w:r>
      <w:r>
        <w:rPr>
          <w:rFonts w:hint="eastAsia" w:ascii="仿宋" w:hAnsi="仿宋" w:eastAsia="仿宋" w:cs="仿宋"/>
          <w:color w:val="auto"/>
          <w:sz w:val="24"/>
          <w:szCs w:val="24"/>
          <w:highlight w:val="none"/>
          <w:lang w:val="en-US" w:eastAsia="zh-CN"/>
        </w:rPr>
        <w:t>业绩不少于1例；（证明材料提供合同）。</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4、不接受联合体应价。</w:t>
      </w:r>
    </w:p>
    <w:p>
      <w:pPr>
        <w:keepNext w:val="0"/>
        <w:keepLines w:val="0"/>
        <w:pageBreakBefore w:val="0"/>
        <w:kinsoku/>
        <w:wordWrap/>
        <w:overflowPunct/>
        <w:topLinePunct w:val="0"/>
        <w:autoSpaceDE/>
        <w:autoSpaceDN/>
        <w:bidi w:val="0"/>
        <w:adjustRightInd/>
        <w:snapToGrid w:val="0"/>
        <w:spacing w:line="420" w:lineRule="exact"/>
        <w:textAlignment w:val="auto"/>
        <w:outlineLvl w:val="1"/>
        <w:rPr>
          <w:rFonts w:hint="eastAsia" w:ascii="仿宋" w:hAnsi="仿宋" w:eastAsia="仿宋" w:cs="仿宋"/>
          <w:b/>
          <w:bCs/>
          <w:color w:val="auto"/>
          <w:sz w:val="24"/>
          <w:szCs w:val="24"/>
          <w:highlight w:val="none"/>
          <w:lang w:val="en-US" w:eastAsia="zh-CN"/>
        </w:rPr>
      </w:pPr>
      <w:bookmarkStart w:id="15" w:name="_Toc27184"/>
      <w:bookmarkStart w:id="16" w:name="_Toc248"/>
      <w:bookmarkStart w:id="17" w:name="_Toc16721"/>
      <w:r>
        <w:rPr>
          <w:rFonts w:hint="eastAsia" w:ascii="仿宋" w:hAnsi="仿宋" w:eastAsia="仿宋" w:cs="仿宋"/>
          <w:b/>
          <w:bCs/>
          <w:color w:val="auto"/>
          <w:sz w:val="24"/>
          <w:szCs w:val="24"/>
          <w:highlight w:val="none"/>
          <w:lang w:val="en-US" w:eastAsia="zh-CN"/>
        </w:rPr>
        <w:t>七、询价文件获取</w:t>
      </w:r>
      <w:bookmarkEnd w:id="15"/>
      <w:r>
        <w:rPr>
          <w:rFonts w:hint="eastAsia" w:ascii="仿宋" w:hAnsi="仿宋" w:eastAsia="仿宋" w:cs="仿宋"/>
          <w:b/>
          <w:bCs/>
          <w:color w:val="auto"/>
          <w:sz w:val="24"/>
          <w:szCs w:val="24"/>
          <w:highlight w:val="none"/>
          <w:lang w:val="en-US" w:eastAsia="zh-CN"/>
        </w:rPr>
        <w:t>：</w:t>
      </w:r>
      <w:bookmarkEnd w:id="16"/>
      <w:bookmarkEnd w:id="17"/>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bookmarkStart w:id="18" w:name="_Toc22253"/>
      <w:r>
        <w:rPr>
          <w:rFonts w:hint="eastAsia" w:ascii="仿宋" w:hAnsi="仿宋" w:eastAsia="仿宋" w:cs="仿宋"/>
          <w:b w:val="0"/>
          <w:color w:val="auto"/>
          <w:sz w:val="24"/>
          <w:szCs w:val="24"/>
          <w:highlight w:val="none"/>
        </w:rPr>
        <w:t>时间：</w:t>
      </w:r>
      <w:r>
        <w:rPr>
          <w:rFonts w:hint="eastAsia" w:ascii="仿宋" w:hAnsi="仿宋" w:eastAsia="仿宋" w:cs="仿宋"/>
          <w:b w:val="0"/>
          <w:bCs w:val="0"/>
          <w:color w:val="auto"/>
          <w:sz w:val="24"/>
          <w:szCs w:val="24"/>
          <w:highlight w:val="none"/>
          <w:u w:val="single"/>
          <w:lang w:val="en-US" w:eastAsia="zh-CN"/>
        </w:rPr>
        <w:t>2024年11月13日</w:t>
      </w:r>
      <w:r>
        <w:rPr>
          <w:rFonts w:hint="eastAsia" w:ascii="仿宋" w:hAnsi="仿宋" w:eastAsia="仿宋" w:cs="仿宋"/>
          <w:color w:val="auto"/>
          <w:sz w:val="24"/>
          <w:szCs w:val="24"/>
          <w:highlight w:val="none"/>
          <w:u w:val="single"/>
        </w:rPr>
        <w:t>至</w:t>
      </w:r>
      <w:r>
        <w:rPr>
          <w:rFonts w:hint="eastAsia" w:ascii="仿宋" w:hAnsi="仿宋" w:eastAsia="仿宋" w:cs="仿宋"/>
          <w:color w:val="auto"/>
          <w:sz w:val="24"/>
          <w:szCs w:val="24"/>
          <w:highlight w:val="none"/>
          <w:u w:val="single"/>
          <w:lang w:val="en-US" w:eastAsia="zh-CN"/>
        </w:rPr>
        <w:t>2024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u w:val="single"/>
        </w:rPr>
        <w:t>日，每天0</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:00至1</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sz w:val="24"/>
          <w:szCs w:val="24"/>
          <w:highlight w:val="none"/>
        </w:rPr>
        <w:t>方式：</w:t>
      </w:r>
      <w:r>
        <w:rPr>
          <w:rFonts w:hint="eastAsia" w:ascii="仿宋" w:hAnsi="仿宋" w:eastAsia="仿宋" w:cs="仿宋"/>
          <w:color w:val="auto"/>
          <w:sz w:val="24"/>
          <w:szCs w:val="24"/>
          <w:highlight w:val="none"/>
          <w:u w:val="none"/>
          <w:lang w:val="en-US" w:eastAsia="zh-CN"/>
        </w:rPr>
        <w:t>供应商在报名及获取截止时间前将报名需提供的资料扫描生成PDF格式发送至邮箱</w:t>
      </w:r>
      <w:r>
        <w:rPr>
          <w:rFonts w:hint="eastAsia" w:ascii="仿宋" w:hAnsi="仿宋" w:eastAsia="仿宋" w:cs="仿宋"/>
          <w:color w:val="auto"/>
          <w:sz w:val="24"/>
          <w:szCs w:val="24"/>
          <w:highlight w:val="none"/>
          <w:u w:val="single"/>
          <w:lang w:val="en-US" w:eastAsia="zh-CN"/>
        </w:rPr>
        <w:t>17367078930@163.com</w:t>
      </w:r>
      <w:r>
        <w:rPr>
          <w:rFonts w:hint="eastAsia" w:ascii="仿宋" w:hAnsi="仿宋" w:eastAsia="仿宋" w:cs="仿宋"/>
          <w:color w:val="auto"/>
          <w:sz w:val="24"/>
          <w:szCs w:val="24"/>
          <w:highlight w:val="none"/>
          <w:u w:val="none"/>
          <w:lang w:val="en-US" w:eastAsia="zh-CN"/>
        </w:rPr>
        <w:t>（邮件备注为***单位的***项目报名资料），同时电话告知询价人</w:t>
      </w:r>
      <w:r>
        <w:rPr>
          <w:rFonts w:hint="eastAsia" w:ascii="仿宋" w:hAnsi="仿宋" w:eastAsia="仿宋" w:cs="仿宋"/>
          <w:color w:val="auto"/>
          <w:sz w:val="24"/>
          <w:szCs w:val="24"/>
          <w:highlight w:val="none"/>
          <w:u w:val="single"/>
          <w:lang w:val="en-US" w:eastAsia="zh-CN"/>
        </w:rPr>
        <w:t>17367078930</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kern w:val="0"/>
          <w:sz w:val="24"/>
          <w:szCs w:val="24"/>
          <w:highlight w:val="none"/>
          <w:u w:val="none"/>
          <w:lang w:val="en-US" w:eastAsia="zh-CN"/>
        </w:rPr>
        <w:t>询价人</w:t>
      </w:r>
      <w:r>
        <w:rPr>
          <w:rFonts w:hint="eastAsia" w:ascii="仿宋" w:hAnsi="仿宋" w:eastAsia="仿宋" w:cs="仿宋"/>
          <w:color w:val="auto"/>
          <w:kern w:val="0"/>
          <w:sz w:val="24"/>
          <w:szCs w:val="24"/>
          <w:highlight w:val="none"/>
          <w:u w:val="none"/>
        </w:rPr>
        <w:t>确认收到资料后发出</w:t>
      </w:r>
      <w:r>
        <w:rPr>
          <w:rFonts w:hint="eastAsia" w:ascii="仿宋" w:hAnsi="仿宋" w:eastAsia="仿宋" w:cs="仿宋"/>
          <w:color w:val="auto"/>
          <w:kern w:val="0"/>
          <w:sz w:val="24"/>
          <w:szCs w:val="24"/>
          <w:highlight w:val="none"/>
          <w:u w:val="none"/>
          <w:lang w:val="en-US" w:eastAsia="zh-CN"/>
        </w:rPr>
        <w:t>询价</w:t>
      </w:r>
      <w:r>
        <w:rPr>
          <w:rFonts w:hint="eastAsia" w:ascii="仿宋" w:hAnsi="仿宋" w:eastAsia="仿宋" w:cs="仿宋"/>
          <w:color w:val="auto"/>
          <w:kern w:val="0"/>
          <w:sz w:val="24"/>
          <w:szCs w:val="24"/>
          <w:highlight w:val="none"/>
          <w:u w:val="none"/>
        </w:rPr>
        <w:t>文件</w:t>
      </w:r>
      <w:r>
        <w:rPr>
          <w:rFonts w:hint="eastAsia" w:ascii="仿宋" w:hAnsi="仿宋" w:eastAsia="仿宋" w:cs="仿宋"/>
          <w:color w:val="auto"/>
          <w:sz w:val="24"/>
          <w:szCs w:val="24"/>
          <w:highlight w:val="none"/>
          <w:u w:val="none"/>
          <w:lang w:val="en-US" w:eastAsia="zh-CN"/>
        </w:rPr>
        <w:t>。</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报名需递交的资料：授权委托书原件及授权代表在供应商单位的社保缴纳证明、报名表原件和营业执照复印件（加盖单位物理公章）。</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售价（元）：</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p>
    <w:bookmarkEnd w:id="18"/>
    <w:p>
      <w:pPr>
        <w:keepNext w:val="0"/>
        <w:keepLines w:val="0"/>
        <w:pageBreakBefore w:val="0"/>
        <w:kinsoku/>
        <w:wordWrap w:val="0"/>
        <w:overflowPunct/>
        <w:topLinePunct w:val="0"/>
        <w:autoSpaceDE/>
        <w:autoSpaceDN/>
        <w:bidi w:val="0"/>
        <w:adjustRightInd/>
        <w:snapToGrid w:val="0"/>
        <w:spacing w:line="420" w:lineRule="exact"/>
        <w:jc w:val="left"/>
        <w:textAlignment w:val="auto"/>
        <w:outlineLvl w:val="1"/>
        <w:rPr>
          <w:rFonts w:hint="eastAsia" w:ascii="仿宋" w:hAnsi="仿宋" w:eastAsia="仿宋" w:cs="仿宋"/>
          <w:b/>
          <w:bCs/>
          <w:color w:val="auto"/>
          <w:sz w:val="24"/>
          <w:szCs w:val="24"/>
          <w:highlight w:val="none"/>
          <w:lang w:val="en-US" w:eastAsia="zh-CN"/>
        </w:rPr>
      </w:pPr>
      <w:bookmarkStart w:id="19" w:name="_Toc10147"/>
      <w:bookmarkStart w:id="20" w:name="_Toc5358"/>
      <w:bookmarkStart w:id="21" w:name="_Toc30897"/>
      <w:bookmarkStart w:id="22" w:name="_Toc31561"/>
      <w:r>
        <w:rPr>
          <w:rFonts w:hint="eastAsia" w:ascii="仿宋" w:hAnsi="仿宋" w:eastAsia="仿宋" w:cs="仿宋"/>
          <w:b/>
          <w:bCs/>
          <w:color w:val="auto"/>
          <w:sz w:val="24"/>
          <w:szCs w:val="24"/>
          <w:highlight w:val="none"/>
          <w:lang w:val="en-US" w:eastAsia="zh-CN"/>
        </w:rPr>
        <w:t>八、应价文件递交</w:t>
      </w:r>
      <w:bookmarkEnd w:id="19"/>
      <w:r>
        <w:rPr>
          <w:rFonts w:hint="eastAsia" w:ascii="仿宋" w:hAnsi="仿宋" w:eastAsia="仿宋" w:cs="仿宋"/>
          <w:b/>
          <w:bCs/>
          <w:color w:val="auto"/>
          <w:sz w:val="24"/>
          <w:szCs w:val="24"/>
          <w:highlight w:val="none"/>
          <w:lang w:val="en-US" w:eastAsia="zh-CN"/>
        </w:rPr>
        <w:t>：</w:t>
      </w:r>
      <w:bookmarkEnd w:id="20"/>
      <w:bookmarkEnd w:id="21"/>
    </w:p>
    <w:p>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default" w:ascii="仿宋" w:hAnsi="仿宋" w:eastAsia="仿宋" w:cs="仿宋"/>
          <w:color w:val="auto"/>
          <w:sz w:val="24"/>
          <w:szCs w:val="24"/>
          <w:highlight w:val="none"/>
          <w:lang w:val="en-US" w:eastAsia="zh-CN"/>
        </w:rPr>
      </w:pPr>
      <w:bookmarkStart w:id="23"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23"/>
      <w:r>
        <w:rPr>
          <w:rFonts w:hint="eastAsia" w:ascii="仿宋" w:hAnsi="仿宋" w:eastAsia="仿宋" w:cs="仿宋"/>
          <w:color w:val="auto"/>
          <w:sz w:val="24"/>
          <w:szCs w:val="24"/>
          <w:highlight w:val="none"/>
          <w:u w:val="single"/>
          <w:lang w:val="en-US" w:eastAsia="zh-CN"/>
        </w:rPr>
        <w:t>2024年11月18日 09:30（北京时间）</w:t>
      </w:r>
      <w:r>
        <w:rPr>
          <w:rFonts w:hint="eastAsia" w:ascii="仿宋" w:hAnsi="仿宋" w:eastAsia="仿宋" w:cs="仿宋"/>
          <w:color w:val="auto"/>
          <w:sz w:val="24"/>
          <w:szCs w:val="24"/>
          <w:highlight w:val="none"/>
          <w:lang w:val="en-US" w:eastAsia="zh-CN"/>
        </w:rPr>
        <w:tab/>
      </w:r>
    </w:p>
    <w:p>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w:t>
      </w:r>
      <w:r>
        <w:rPr>
          <w:rFonts w:hint="eastAsia" w:ascii="仿宋" w:hAnsi="仿宋" w:eastAsia="仿宋" w:cs="仿宋"/>
          <w:color w:val="auto"/>
          <w:sz w:val="24"/>
          <w:szCs w:val="24"/>
          <w:highlight w:val="none"/>
          <w:u w:val="single"/>
          <w:lang w:val="en-US" w:eastAsia="zh-CN"/>
        </w:rPr>
        <w:t>浙</w:t>
      </w:r>
      <w:r>
        <w:rPr>
          <w:rFonts w:hint="eastAsia" w:ascii="仿宋" w:hAnsi="仿宋" w:eastAsia="仿宋" w:cs="仿宋"/>
          <w:color w:val="auto"/>
          <w:sz w:val="24"/>
          <w:szCs w:val="24"/>
          <w:highlight w:val="none"/>
          <w:u w:val="single"/>
        </w:rPr>
        <w:t>江省杭州市临平区临平街道昌达路107号9幢4楼</w:t>
      </w:r>
      <w:r>
        <w:rPr>
          <w:rFonts w:hint="eastAsia" w:ascii="仿宋" w:hAnsi="仿宋" w:eastAsia="仿宋" w:cs="仿宋"/>
          <w:color w:val="auto"/>
          <w:sz w:val="24"/>
          <w:szCs w:val="24"/>
          <w:highlight w:val="none"/>
          <w:lang w:val="en-US" w:eastAsia="zh-CN"/>
        </w:rPr>
        <w:t>。</w:t>
      </w:r>
    </w:p>
    <w:p>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3、递交方式：</w:t>
      </w:r>
    </w:p>
    <w:p>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bookmarkStart w:id="24" w:name="_Toc16505"/>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现场递交，即交即走。各</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人法定代表人或其授权代表对</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文件的递交记录情况进行签字确认。</w:t>
      </w:r>
      <w:r>
        <w:rPr>
          <w:rFonts w:hint="eastAsia" w:ascii="仿宋" w:hAnsi="仿宋" w:eastAsia="仿宋" w:cs="仿宋"/>
          <w:color w:val="auto"/>
          <w:sz w:val="24"/>
          <w:szCs w:val="24"/>
          <w:highlight w:val="none"/>
          <w:lang w:val="en-US" w:eastAsia="zh-CN"/>
        </w:rPr>
        <w:t>地点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浙</w:t>
      </w:r>
      <w:r>
        <w:rPr>
          <w:rFonts w:hint="eastAsia" w:ascii="仿宋" w:hAnsi="仿宋" w:eastAsia="仿宋" w:cs="仿宋"/>
          <w:color w:val="auto"/>
          <w:sz w:val="24"/>
          <w:szCs w:val="24"/>
          <w:highlight w:val="none"/>
          <w:u w:val="single"/>
        </w:rPr>
        <w:t>江省杭州市临平区临平街道昌达路107号9幢4楼</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邮寄或快递方式：</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人在</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截止时间之前将</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文件快递或邮寄至</w:t>
      </w:r>
      <w:r>
        <w:rPr>
          <w:rFonts w:hint="eastAsia" w:ascii="仿宋" w:hAnsi="仿宋" w:eastAsia="仿宋" w:cs="仿宋"/>
          <w:color w:val="auto"/>
          <w:sz w:val="24"/>
          <w:szCs w:val="24"/>
          <w:highlight w:val="none"/>
          <w:u w:val="single"/>
          <w:lang w:val="en-US" w:eastAsia="zh-CN"/>
        </w:rPr>
        <w:t>浙</w:t>
      </w:r>
      <w:r>
        <w:rPr>
          <w:rFonts w:hint="eastAsia" w:ascii="仿宋" w:hAnsi="仿宋" w:eastAsia="仿宋" w:cs="仿宋"/>
          <w:color w:val="auto"/>
          <w:sz w:val="24"/>
          <w:szCs w:val="24"/>
          <w:highlight w:val="none"/>
          <w:u w:val="single"/>
        </w:rPr>
        <w:t>江省杭州市临平区临平街道昌达路107号9幢4楼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应价</w:t>
      </w:r>
      <w:r>
        <w:rPr>
          <w:rFonts w:hint="eastAsia" w:ascii="仿宋" w:hAnsi="仿宋" w:eastAsia="仿宋" w:cs="仿宋"/>
          <w:color w:val="auto"/>
          <w:sz w:val="24"/>
          <w:szCs w:val="24"/>
          <w:highlight w:val="none"/>
          <w:u w:val="single"/>
        </w:rPr>
        <w:t>人自行确保</w:t>
      </w:r>
      <w:r>
        <w:rPr>
          <w:rFonts w:hint="eastAsia" w:ascii="仿宋" w:hAnsi="仿宋" w:eastAsia="仿宋" w:cs="仿宋"/>
          <w:color w:val="auto"/>
          <w:sz w:val="24"/>
          <w:szCs w:val="24"/>
          <w:highlight w:val="none"/>
          <w:u w:val="single"/>
          <w:lang w:val="en-US" w:eastAsia="zh-CN"/>
        </w:rPr>
        <w:t>应价</w:t>
      </w:r>
      <w:r>
        <w:rPr>
          <w:rFonts w:hint="eastAsia" w:ascii="仿宋" w:hAnsi="仿宋" w:eastAsia="仿宋" w:cs="仿宋"/>
          <w:color w:val="auto"/>
          <w:sz w:val="24"/>
          <w:szCs w:val="24"/>
          <w:highlight w:val="none"/>
          <w:u w:val="single"/>
        </w:rPr>
        <w:t>文件在</w:t>
      </w:r>
      <w:r>
        <w:rPr>
          <w:rFonts w:hint="eastAsia" w:ascii="仿宋" w:hAnsi="仿宋" w:eastAsia="仿宋" w:cs="仿宋"/>
          <w:color w:val="auto"/>
          <w:sz w:val="24"/>
          <w:szCs w:val="24"/>
          <w:highlight w:val="none"/>
          <w:u w:val="single"/>
          <w:lang w:eastAsia="zh-CN"/>
        </w:rPr>
        <w:t>应价</w:t>
      </w:r>
      <w:r>
        <w:rPr>
          <w:rFonts w:hint="eastAsia" w:ascii="仿宋" w:hAnsi="仿宋" w:eastAsia="仿宋" w:cs="仿宋"/>
          <w:color w:val="auto"/>
          <w:sz w:val="24"/>
          <w:szCs w:val="24"/>
          <w:highlight w:val="none"/>
          <w:u w:val="single"/>
        </w:rPr>
        <w:t>文件截止时间前到达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eastAsia="zh-CN"/>
        </w:rPr>
        <w:t>应价</w:t>
      </w:r>
      <w:r>
        <w:rPr>
          <w:rFonts w:hint="eastAsia" w:ascii="仿宋" w:hAnsi="仿宋" w:eastAsia="仿宋" w:cs="仿宋"/>
          <w:color w:val="auto"/>
          <w:sz w:val="24"/>
          <w:szCs w:val="24"/>
          <w:highlight w:val="none"/>
          <w:u w:val="single"/>
        </w:rPr>
        <w:t>文件按</w:t>
      </w:r>
      <w:r>
        <w:rPr>
          <w:rFonts w:hint="eastAsia" w:ascii="仿宋" w:hAnsi="仿宋" w:eastAsia="仿宋" w:cs="仿宋"/>
          <w:color w:val="auto"/>
          <w:sz w:val="24"/>
          <w:szCs w:val="24"/>
          <w:highlight w:val="none"/>
          <w:u w:val="single"/>
          <w:lang w:eastAsia="zh-CN"/>
        </w:rPr>
        <w:t>询价</w:t>
      </w:r>
      <w:r>
        <w:rPr>
          <w:rFonts w:hint="eastAsia" w:ascii="仿宋" w:hAnsi="仿宋" w:eastAsia="仿宋" w:cs="仿宋"/>
          <w:color w:val="auto"/>
          <w:sz w:val="24"/>
          <w:szCs w:val="24"/>
          <w:highlight w:val="none"/>
          <w:u w:val="single"/>
        </w:rPr>
        <w:t>文件要求密封后再进行快递或邮寄包裹，包裹上写明“项目名称、</w:t>
      </w:r>
      <w:r>
        <w:rPr>
          <w:rFonts w:hint="eastAsia" w:ascii="仿宋" w:hAnsi="仿宋" w:eastAsia="仿宋" w:cs="仿宋"/>
          <w:color w:val="auto"/>
          <w:sz w:val="24"/>
          <w:szCs w:val="24"/>
          <w:highlight w:val="none"/>
          <w:u w:val="single"/>
          <w:lang w:eastAsia="zh-CN"/>
        </w:rPr>
        <w:t>应价</w:t>
      </w:r>
      <w:r>
        <w:rPr>
          <w:rFonts w:hint="eastAsia" w:ascii="仿宋" w:hAnsi="仿宋" w:eastAsia="仿宋" w:cs="仿宋"/>
          <w:color w:val="auto"/>
          <w:sz w:val="24"/>
          <w:szCs w:val="24"/>
          <w:highlight w:val="none"/>
          <w:u w:val="single"/>
        </w:rPr>
        <w:t>单位名称信息”。因快递或邮寄包裹拆封后，发现</w:t>
      </w:r>
      <w:r>
        <w:rPr>
          <w:rFonts w:hint="eastAsia" w:ascii="仿宋" w:hAnsi="仿宋" w:eastAsia="仿宋" w:cs="仿宋"/>
          <w:color w:val="auto"/>
          <w:sz w:val="24"/>
          <w:szCs w:val="24"/>
          <w:highlight w:val="none"/>
          <w:u w:val="single"/>
          <w:lang w:eastAsia="zh-CN"/>
        </w:rPr>
        <w:t>应价</w:t>
      </w:r>
      <w:r>
        <w:rPr>
          <w:rFonts w:hint="eastAsia" w:ascii="仿宋" w:hAnsi="仿宋" w:eastAsia="仿宋" w:cs="仿宋"/>
          <w:color w:val="auto"/>
          <w:sz w:val="24"/>
          <w:szCs w:val="24"/>
          <w:highlight w:val="none"/>
          <w:u w:val="single"/>
        </w:rPr>
        <w:t>文件未按要求包装或密封的，拒绝接受。</w:t>
      </w:r>
    </w:p>
    <w:p>
      <w:pPr>
        <w:keepNext w:val="0"/>
        <w:keepLines w:val="0"/>
        <w:pageBreakBefore w:val="0"/>
        <w:kinsoku/>
        <w:wordWrap w:val="0"/>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人接收快递或邮寄包裹破损的，直接不予签收。收件人：</w:t>
      </w:r>
      <w:r>
        <w:rPr>
          <w:rFonts w:hint="eastAsia" w:ascii="仿宋" w:hAnsi="仿宋" w:eastAsia="仿宋" w:cs="仿宋"/>
          <w:color w:val="auto"/>
          <w:sz w:val="24"/>
          <w:szCs w:val="24"/>
          <w:highlight w:val="none"/>
          <w:u w:val="single"/>
          <w:lang w:val="en-US" w:eastAsia="zh-CN"/>
        </w:rPr>
        <w:t>李工，</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lang w:val="en-US" w:eastAsia="zh-CN"/>
        </w:rPr>
        <w:t>17367078930</w:t>
      </w:r>
      <w:r>
        <w:rPr>
          <w:rFonts w:hint="eastAsia" w:ascii="仿宋" w:hAnsi="仿宋" w:eastAsia="仿宋" w:cs="仿宋"/>
          <w:color w:val="auto"/>
          <w:sz w:val="24"/>
          <w:szCs w:val="24"/>
          <w:highlight w:val="none"/>
        </w:rPr>
        <w:t>。</w:t>
      </w:r>
    </w:p>
    <w:p>
      <w:pPr>
        <w:keepNext w:val="0"/>
        <w:keepLines w:val="0"/>
        <w:pageBreakBefore w:val="0"/>
        <w:widowControl w:val="0"/>
        <w:kinsoku/>
        <w:wordWrap w:val="0"/>
        <w:overflowPunct/>
        <w:topLinePunct w:val="0"/>
        <w:autoSpaceDE/>
        <w:autoSpaceDN/>
        <w:bidi w:val="0"/>
        <w:adjustRightInd/>
        <w:snapToGrid w:val="0"/>
        <w:spacing w:line="420" w:lineRule="exact"/>
        <w:ind w:firstLine="0" w:firstLineChars="0"/>
        <w:textAlignment w:val="auto"/>
        <w:outlineLvl w:val="1"/>
        <w:rPr>
          <w:rFonts w:hint="eastAsia" w:ascii="仿宋" w:hAnsi="仿宋" w:eastAsia="仿宋" w:cs="仿宋"/>
          <w:color w:val="auto"/>
          <w:sz w:val="24"/>
          <w:szCs w:val="24"/>
          <w:highlight w:val="none"/>
          <w:lang w:val="en-US" w:eastAsia="zh-CN"/>
        </w:rPr>
      </w:pPr>
      <w:bookmarkStart w:id="25" w:name="_Toc30743"/>
      <w:r>
        <w:rPr>
          <w:rFonts w:hint="eastAsia" w:ascii="仿宋" w:hAnsi="仿宋" w:eastAsia="仿宋" w:cs="仿宋"/>
          <w:b/>
          <w:bCs/>
          <w:color w:val="auto"/>
          <w:sz w:val="24"/>
          <w:szCs w:val="24"/>
          <w:highlight w:val="none"/>
          <w:lang w:val="en-US" w:eastAsia="zh-CN"/>
        </w:rPr>
        <w:t>九、应价文件开启：</w:t>
      </w:r>
      <w:bookmarkEnd w:id="24"/>
      <w:bookmarkEnd w:id="25"/>
    </w:p>
    <w:p>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1、时间：时间：2024年11月18日 14:00（北京时间）</w:t>
      </w:r>
    </w:p>
    <w:p>
      <w:pPr>
        <w:keepNext w:val="0"/>
        <w:keepLines w:val="0"/>
        <w:pageBreakBefore w:val="0"/>
        <w:kinsoku/>
        <w:wordWrap w:val="0"/>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w:t>
      </w:r>
      <w:r>
        <w:rPr>
          <w:rFonts w:hint="eastAsia" w:ascii="仿宋" w:hAnsi="仿宋" w:eastAsia="仿宋" w:cs="仿宋"/>
          <w:color w:val="auto"/>
          <w:sz w:val="24"/>
          <w:szCs w:val="24"/>
          <w:highlight w:val="none"/>
          <w:u w:val="single"/>
          <w:lang w:val="en-US" w:eastAsia="zh-CN"/>
        </w:rPr>
        <w:t>浙</w:t>
      </w:r>
      <w:r>
        <w:rPr>
          <w:rFonts w:hint="eastAsia" w:ascii="仿宋" w:hAnsi="仿宋" w:eastAsia="仿宋" w:cs="仿宋"/>
          <w:color w:val="auto"/>
          <w:sz w:val="24"/>
          <w:szCs w:val="24"/>
          <w:highlight w:val="none"/>
          <w:u w:val="single"/>
        </w:rPr>
        <w:t>江省杭州市临平区临平街道昌达路107号9幢4楼</w:t>
      </w:r>
      <w:r>
        <w:rPr>
          <w:rFonts w:hint="eastAsia" w:ascii="仿宋" w:hAnsi="仿宋" w:eastAsia="仿宋" w:cs="仿宋"/>
          <w:color w:val="auto"/>
          <w:sz w:val="24"/>
          <w:szCs w:val="24"/>
          <w:highlight w:val="none"/>
          <w:u w:val="single"/>
          <w:lang w:val="en-US" w:eastAsia="zh-CN"/>
        </w:rPr>
        <w:t>会议室</w:t>
      </w:r>
      <w:r>
        <w:rPr>
          <w:rFonts w:hint="eastAsia" w:ascii="仿宋" w:hAnsi="仿宋" w:eastAsia="仿宋" w:cs="仿宋"/>
          <w:color w:val="auto"/>
          <w:sz w:val="24"/>
          <w:szCs w:val="24"/>
          <w:highlight w:val="none"/>
          <w:lang w:val="en-US" w:eastAsia="zh-CN"/>
        </w:rPr>
        <w:t>。</w:t>
      </w:r>
    </w:p>
    <w:p>
      <w:pPr>
        <w:pStyle w:val="19"/>
        <w:keepNext w:val="0"/>
        <w:keepLines w:val="0"/>
        <w:pageBreakBefore w:val="0"/>
        <w:widowControl/>
        <w:kinsoku/>
        <w:wordWrap w:val="0"/>
        <w:overflowPunct/>
        <w:topLinePunct w:val="0"/>
        <w:autoSpaceDE/>
        <w:autoSpaceDN/>
        <w:bidi w:val="0"/>
        <w:adjustRightInd/>
        <w:snapToGrid w:val="0"/>
        <w:spacing w:beforeAutospacing="0" w:after="0" w:afterAutospacing="0" w:line="4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3、形式：现场开标。</w:t>
      </w:r>
    </w:p>
    <w:p>
      <w:pPr>
        <w:pStyle w:val="19"/>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Fonts w:hint="eastAsia" w:ascii="仿宋" w:hAnsi="仿宋" w:eastAsia="仿宋" w:cs="仿宋"/>
          <w:color w:val="auto"/>
          <w:sz w:val="24"/>
          <w:szCs w:val="24"/>
          <w:highlight w:val="none"/>
        </w:rPr>
      </w:pPr>
      <w:r>
        <w:rPr>
          <w:rStyle w:val="25"/>
          <w:rFonts w:hint="eastAsia" w:ascii="仿宋" w:hAnsi="仿宋" w:eastAsia="仿宋" w:cs="仿宋"/>
          <w:color w:val="auto"/>
          <w:sz w:val="24"/>
          <w:szCs w:val="24"/>
          <w:highlight w:val="none"/>
          <w:lang w:eastAsia="zh-CN"/>
        </w:rPr>
        <w:t>十</w:t>
      </w:r>
      <w:r>
        <w:rPr>
          <w:rStyle w:val="25"/>
          <w:rFonts w:hint="eastAsia" w:ascii="仿宋" w:hAnsi="仿宋" w:eastAsia="仿宋" w:cs="仿宋"/>
          <w:color w:val="auto"/>
          <w:sz w:val="24"/>
          <w:szCs w:val="24"/>
          <w:highlight w:val="none"/>
        </w:rPr>
        <w:t>、公告期限：</w:t>
      </w:r>
      <w:bookmarkEnd w:id="22"/>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开始、结束之日为工作日）</w:t>
      </w:r>
      <w:r>
        <w:rPr>
          <w:rFonts w:hint="eastAsia" w:ascii="仿宋" w:hAnsi="仿宋" w:eastAsia="仿宋" w:cs="仿宋"/>
          <w:color w:val="auto"/>
          <w:sz w:val="24"/>
          <w:szCs w:val="24"/>
          <w:highlight w:val="none"/>
        </w:rPr>
        <w:t>。</w:t>
      </w:r>
    </w:p>
    <w:p>
      <w:pPr>
        <w:pStyle w:val="19"/>
        <w:keepNext w:val="0"/>
        <w:keepLines w:val="0"/>
        <w:pageBreakBefore w:val="0"/>
        <w:widowControl/>
        <w:kinsoku/>
        <w:overflowPunct/>
        <w:topLinePunct w:val="0"/>
        <w:autoSpaceDE/>
        <w:autoSpaceDN/>
        <w:bidi w:val="0"/>
        <w:adjustRightInd/>
        <w:spacing w:beforeAutospacing="0" w:after="0" w:afterAutospacing="0" w:line="420" w:lineRule="exact"/>
        <w:textAlignment w:val="auto"/>
        <w:outlineLvl w:val="9"/>
        <w:rPr>
          <w:rFonts w:hint="eastAsia" w:ascii="仿宋" w:hAnsi="仿宋" w:eastAsia="仿宋" w:cs="仿宋"/>
          <w:color w:val="auto"/>
          <w:sz w:val="24"/>
          <w:szCs w:val="24"/>
          <w:highlight w:val="none"/>
          <w:lang w:val="en-US"/>
        </w:rPr>
      </w:pPr>
      <w:bookmarkStart w:id="26" w:name="_Toc4855"/>
      <w:r>
        <w:rPr>
          <w:rStyle w:val="25"/>
          <w:rFonts w:hint="eastAsia" w:ascii="仿宋" w:hAnsi="仿宋" w:eastAsia="仿宋" w:cs="仿宋"/>
          <w:color w:val="auto"/>
          <w:sz w:val="24"/>
          <w:szCs w:val="24"/>
          <w:highlight w:val="none"/>
          <w:lang w:val="en-US" w:eastAsia="zh-CN"/>
        </w:rPr>
        <w:t>十一</w:t>
      </w:r>
      <w:r>
        <w:rPr>
          <w:rStyle w:val="25"/>
          <w:rFonts w:hint="eastAsia" w:ascii="仿宋" w:hAnsi="仿宋" w:eastAsia="仿宋" w:cs="仿宋"/>
          <w:color w:val="auto"/>
          <w:sz w:val="24"/>
          <w:szCs w:val="24"/>
          <w:highlight w:val="none"/>
        </w:rPr>
        <w:t>、</w:t>
      </w:r>
      <w:bookmarkEnd w:id="26"/>
      <w:bookmarkStart w:id="27" w:name="_Toc14714"/>
      <w:r>
        <w:rPr>
          <w:rStyle w:val="25"/>
          <w:rFonts w:hint="eastAsia" w:ascii="仿宋" w:hAnsi="仿宋" w:eastAsia="仿宋" w:cs="仿宋"/>
          <w:color w:val="auto"/>
          <w:sz w:val="24"/>
          <w:szCs w:val="24"/>
          <w:highlight w:val="none"/>
        </w:rPr>
        <w:t>其他事项：</w:t>
      </w:r>
      <w:bookmarkEnd w:id="27"/>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认为询价文件使自己的权益受到损害的，可以自</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之日起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个工作日内，以书面形式向</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提出</w:t>
      </w:r>
      <w:r>
        <w:rPr>
          <w:rFonts w:hint="eastAsia" w:ascii="仿宋" w:hAnsi="仿宋" w:eastAsia="仿宋" w:cs="仿宋"/>
          <w:color w:val="auto"/>
          <w:sz w:val="24"/>
          <w:szCs w:val="24"/>
          <w:highlight w:val="none"/>
          <w:lang w:eastAsia="zh-CN"/>
        </w:rPr>
        <w:t>异议</w:t>
      </w:r>
      <w:r>
        <w:rPr>
          <w:rFonts w:hint="eastAsia" w:ascii="仿宋" w:hAnsi="仿宋" w:eastAsia="仿宋" w:cs="仿宋"/>
          <w:color w:val="auto"/>
          <w:sz w:val="24"/>
          <w:szCs w:val="24"/>
          <w:highlight w:val="none"/>
        </w:rPr>
        <w:t>。未</w:t>
      </w:r>
      <w:r>
        <w:rPr>
          <w:rFonts w:hint="eastAsia" w:ascii="仿宋" w:hAnsi="仿宋" w:eastAsia="仿宋" w:cs="仿宋"/>
          <w:color w:val="auto"/>
          <w:sz w:val="24"/>
          <w:szCs w:val="24"/>
          <w:highlight w:val="none"/>
          <w:lang w:val="en-US" w:eastAsia="zh-CN"/>
        </w:rPr>
        <w:t>报名供应商</w:t>
      </w:r>
      <w:r>
        <w:rPr>
          <w:rFonts w:hint="eastAsia" w:ascii="仿宋" w:hAnsi="仿宋" w:eastAsia="仿宋" w:cs="仿宋"/>
          <w:color w:val="auto"/>
          <w:sz w:val="24"/>
          <w:szCs w:val="24"/>
          <w:highlight w:val="none"/>
        </w:rPr>
        <w:t>不得对询价文件提出质疑，</w:t>
      </w:r>
      <w:r>
        <w:rPr>
          <w:rFonts w:hint="eastAsia" w:ascii="仿宋" w:hAnsi="仿宋" w:eastAsia="仿宋" w:cs="仿宋"/>
          <w:color w:val="auto"/>
          <w:sz w:val="24"/>
          <w:szCs w:val="24"/>
          <w:highlight w:val="none"/>
          <w:lang w:eastAsia="zh-CN"/>
        </w:rPr>
        <w:t>应价文件</w:t>
      </w:r>
      <w:r>
        <w:rPr>
          <w:rFonts w:hint="eastAsia" w:ascii="仿宋" w:hAnsi="仿宋" w:eastAsia="仿宋" w:cs="仿宋"/>
          <w:color w:val="auto"/>
          <w:sz w:val="24"/>
          <w:szCs w:val="24"/>
          <w:highlight w:val="none"/>
        </w:rPr>
        <w:t>将被拒绝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应价人指参加本次应价的供应商。</w:t>
      </w:r>
    </w:p>
    <w:p>
      <w:pPr>
        <w:pStyle w:val="19"/>
        <w:keepNext w:val="0"/>
        <w:keepLines w:val="0"/>
        <w:pageBreakBefore w:val="0"/>
        <w:widowControl/>
        <w:kinsoku/>
        <w:wordWrap/>
        <w:overflowPunct/>
        <w:topLinePunct w:val="0"/>
        <w:autoSpaceDE/>
        <w:autoSpaceDN/>
        <w:bidi w:val="0"/>
        <w:adjustRightInd/>
        <w:snapToGrid w:val="0"/>
        <w:spacing w:beforeAutospacing="0" w:after="0" w:afterAutospacing="0" w:line="420" w:lineRule="exact"/>
        <w:textAlignment w:val="auto"/>
        <w:outlineLvl w:val="9"/>
        <w:rPr>
          <w:rStyle w:val="25"/>
          <w:rFonts w:hint="eastAsia" w:ascii="仿宋" w:hAnsi="仿宋" w:eastAsia="仿宋" w:cs="仿宋"/>
          <w:color w:val="auto"/>
          <w:sz w:val="24"/>
          <w:szCs w:val="24"/>
          <w:highlight w:val="none"/>
          <w:lang w:eastAsia="zh-CN"/>
        </w:rPr>
      </w:pPr>
      <w:bookmarkStart w:id="28" w:name="_Toc13377"/>
      <w:r>
        <w:rPr>
          <w:rStyle w:val="25"/>
          <w:rFonts w:hint="eastAsia" w:ascii="仿宋" w:hAnsi="仿宋" w:eastAsia="仿宋" w:cs="仿宋"/>
          <w:color w:val="auto"/>
          <w:sz w:val="24"/>
          <w:szCs w:val="24"/>
          <w:highlight w:val="none"/>
        </w:rPr>
        <w:t>十</w:t>
      </w:r>
      <w:r>
        <w:rPr>
          <w:rStyle w:val="25"/>
          <w:rFonts w:hint="eastAsia" w:ascii="仿宋" w:hAnsi="仿宋" w:eastAsia="仿宋" w:cs="仿宋"/>
          <w:color w:val="auto"/>
          <w:sz w:val="24"/>
          <w:szCs w:val="24"/>
          <w:highlight w:val="none"/>
          <w:lang w:val="en-US" w:eastAsia="zh-CN"/>
        </w:rPr>
        <w:t>二</w:t>
      </w:r>
      <w:r>
        <w:rPr>
          <w:rStyle w:val="25"/>
          <w:rFonts w:hint="eastAsia" w:ascii="仿宋" w:hAnsi="仿宋" w:eastAsia="仿宋" w:cs="仿宋"/>
          <w:color w:val="auto"/>
          <w:sz w:val="24"/>
          <w:szCs w:val="24"/>
          <w:highlight w:val="none"/>
        </w:rPr>
        <w:t>、联系方式</w:t>
      </w:r>
      <w:bookmarkEnd w:id="28"/>
      <w:r>
        <w:rPr>
          <w:rStyle w:val="25"/>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9"/>
        <w:rPr>
          <w:rFonts w:hint="default" w:ascii="仿宋" w:hAnsi="仿宋" w:eastAsia="仿宋" w:cs="仿宋"/>
          <w:color w:val="auto"/>
          <w:sz w:val="24"/>
          <w:szCs w:val="24"/>
          <w:highlight w:val="none"/>
          <w:lang w:val="en-US" w:eastAsia="zh-CN"/>
        </w:rPr>
      </w:pPr>
      <w:bookmarkStart w:id="29" w:name="_Toc22977"/>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询价人</w:t>
      </w:r>
      <w:r>
        <w:rPr>
          <w:rFonts w:hint="eastAsia" w:ascii="仿宋" w:hAnsi="仿宋" w:eastAsia="仿宋" w:cs="仿宋"/>
          <w:b/>
          <w:color w:val="auto"/>
          <w:sz w:val="24"/>
          <w:szCs w:val="24"/>
          <w:highlight w:val="none"/>
        </w:rPr>
        <w:t>名称：</w:t>
      </w:r>
      <w:r>
        <w:rPr>
          <w:rStyle w:val="25"/>
          <w:rFonts w:hint="eastAsia" w:ascii="仿宋" w:hAnsi="仿宋" w:eastAsia="仿宋" w:cs="仿宋"/>
          <w:b w:val="0"/>
          <w:bCs/>
          <w:color w:val="auto"/>
          <w:sz w:val="24"/>
          <w:szCs w:val="24"/>
          <w:highlight w:val="none"/>
          <w:u w:val="none"/>
          <w:lang w:eastAsia="zh-CN"/>
        </w:rPr>
        <w:t>杭州</w:t>
      </w:r>
      <w:r>
        <w:rPr>
          <w:rStyle w:val="25"/>
          <w:rFonts w:hint="eastAsia" w:ascii="仿宋" w:hAnsi="仿宋" w:eastAsia="仿宋" w:cs="仿宋"/>
          <w:b w:val="0"/>
          <w:bCs/>
          <w:color w:val="auto"/>
          <w:sz w:val="24"/>
          <w:szCs w:val="24"/>
          <w:highlight w:val="none"/>
          <w:u w:val="none"/>
          <w:lang w:val="en-US" w:eastAsia="zh-CN"/>
        </w:rPr>
        <w:t>临平钱江停车管理</w:t>
      </w:r>
      <w:r>
        <w:rPr>
          <w:rStyle w:val="25"/>
          <w:rFonts w:hint="eastAsia" w:ascii="仿宋" w:hAnsi="仿宋" w:eastAsia="仿宋" w:cs="仿宋"/>
          <w:b w:val="0"/>
          <w:bCs/>
          <w:color w:val="auto"/>
          <w:sz w:val="24"/>
          <w:szCs w:val="24"/>
          <w:highlight w:val="none"/>
          <w:u w:val="none"/>
          <w:lang w:eastAsia="zh-CN"/>
        </w:rPr>
        <w:t>有限公司</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highlight w:val="none"/>
        </w:rPr>
        <w:t>浙江省杭州市临平区临平街道昌达路107号9幢4楼</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color w:val="auto"/>
          <w:sz w:val="24"/>
          <w:szCs w:val="24"/>
          <w:highlight w:val="none"/>
        </w:rPr>
        <w:t>联系人：</w:t>
      </w:r>
      <w:r>
        <w:rPr>
          <w:rFonts w:hint="eastAsia" w:ascii="仿宋" w:hAnsi="仿宋" w:eastAsia="仿宋" w:cs="仿宋"/>
          <w:b/>
          <w:color w:val="auto"/>
          <w:sz w:val="24"/>
          <w:szCs w:val="24"/>
          <w:highlight w:val="none"/>
          <w:lang w:val="en-US" w:eastAsia="zh-CN"/>
        </w:rPr>
        <w:t>李工</w:t>
      </w:r>
      <w:r>
        <w:rPr>
          <w:rFonts w:hint="eastAsia" w:ascii="仿宋" w:hAnsi="仿宋" w:eastAsia="仿宋" w:cs="仿宋"/>
          <w:b w:val="0"/>
          <w:bCs/>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联系电话：17367078930</w:t>
      </w:r>
      <w:r>
        <w:rPr>
          <w:rFonts w:hint="eastAsia" w:ascii="仿宋" w:hAnsi="仿宋" w:eastAsia="仿宋" w:cs="仿宋"/>
          <w:b w:val="0"/>
          <w:bCs/>
          <w:color w:val="auto"/>
          <w:sz w:val="24"/>
          <w:szCs w:val="24"/>
          <w:highlight w:val="none"/>
          <w:lang w:val="en-US" w:eastAsia="zh-CN"/>
        </w:rPr>
        <w:t xml:space="preserve">  </w:t>
      </w:r>
      <w:bookmarkEnd w:id="29"/>
      <w:r>
        <w:rPr>
          <w:rFonts w:hint="eastAsia" w:ascii="仿宋" w:hAnsi="仿宋" w:eastAsia="仿宋" w:cs="仿宋"/>
          <w:b w:val="0"/>
          <w:bCs/>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sz w:val="24"/>
          <w:szCs w:val="24"/>
          <w:highlight w:val="none"/>
          <w:lang w:val="en-US" w:eastAsia="zh-CN"/>
        </w:rPr>
      </w:pPr>
    </w:p>
    <w:p>
      <w:pPr>
        <w:jc w:val="right"/>
        <w:outlineLvl w:val="9"/>
        <w:rPr>
          <w:rFonts w:hint="eastAsia" w:ascii="仿宋" w:hAnsi="仿宋" w:eastAsia="仿宋" w:cs="仿宋"/>
          <w:b w:val="0"/>
          <w:bCs/>
          <w:color w:val="auto"/>
          <w:sz w:val="24"/>
          <w:szCs w:val="24"/>
          <w:highlight w:val="none"/>
          <w:lang w:val="en-US" w:eastAsia="zh-CN"/>
        </w:rPr>
      </w:pPr>
      <w:bookmarkStart w:id="30" w:name="_Toc21836"/>
      <w:bookmarkStart w:id="31" w:name="_Toc2408"/>
      <w:r>
        <w:rPr>
          <w:rFonts w:hint="eastAsia" w:ascii="仿宋" w:hAnsi="仿宋" w:eastAsia="仿宋" w:cs="仿宋"/>
          <w:b w:val="0"/>
          <w:bCs/>
          <w:color w:val="auto"/>
          <w:sz w:val="24"/>
          <w:szCs w:val="24"/>
          <w:highlight w:val="none"/>
          <w:lang w:val="en-US" w:eastAsia="zh-CN"/>
        </w:rPr>
        <w:t>日期：2024年11月12日</w:t>
      </w:r>
    </w:p>
    <w:p>
      <w:pPr>
        <w:jc w:val="left"/>
        <w:outlineLvl w:val="9"/>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br w:type="page"/>
      </w:r>
    </w:p>
    <w:p>
      <w:pPr>
        <w:jc w:val="center"/>
        <w:outlineLvl w:val="0"/>
        <w:rPr>
          <w:rFonts w:hint="eastAsia" w:ascii="仿宋" w:hAnsi="仿宋" w:eastAsia="仿宋" w:cs="仿宋"/>
          <w:b/>
          <w:color w:val="auto"/>
          <w:sz w:val="36"/>
          <w:szCs w:val="36"/>
          <w:highlight w:val="none"/>
          <w:lang w:eastAsia="zh-CN"/>
        </w:rPr>
      </w:pPr>
      <w:bookmarkStart w:id="32" w:name="_Toc6304"/>
      <w:r>
        <w:rPr>
          <w:rFonts w:hint="eastAsia" w:ascii="仿宋" w:hAnsi="仿宋" w:eastAsia="仿宋" w:cs="仿宋"/>
          <w:b/>
          <w:color w:val="auto"/>
          <w:sz w:val="36"/>
          <w:szCs w:val="36"/>
          <w:highlight w:val="none"/>
          <w:lang w:val="en-US" w:eastAsia="zh-CN"/>
        </w:rPr>
        <w:t>第二部分、</w:t>
      </w:r>
      <w:r>
        <w:rPr>
          <w:rFonts w:hint="eastAsia" w:ascii="仿宋" w:hAnsi="仿宋" w:eastAsia="仿宋" w:cs="仿宋"/>
          <w:b/>
          <w:color w:val="auto"/>
          <w:sz w:val="36"/>
          <w:szCs w:val="36"/>
          <w:highlight w:val="none"/>
        </w:rPr>
        <w:t>询价</w:t>
      </w:r>
      <w:bookmarkEnd w:id="30"/>
      <w:r>
        <w:rPr>
          <w:rFonts w:hint="eastAsia" w:ascii="仿宋" w:hAnsi="仿宋" w:eastAsia="仿宋" w:cs="仿宋"/>
          <w:b/>
          <w:color w:val="auto"/>
          <w:sz w:val="36"/>
          <w:szCs w:val="36"/>
          <w:highlight w:val="none"/>
          <w:lang w:val="en-US" w:eastAsia="zh-CN"/>
        </w:rPr>
        <w:t>须知</w:t>
      </w:r>
      <w:bookmarkEnd w:id="31"/>
      <w:bookmarkEnd w:id="32"/>
    </w:p>
    <w:p>
      <w:pPr>
        <w:rPr>
          <w:rFonts w:hint="eastAsia" w:ascii="仿宋" w:hAnsi="仿宋" w:eastAsia="仿宋" w:cs="仿宋"/>
          <w:color w:val="auto"/>
          <w:sz w:val="21"/>
          <w:szCs w:val="21"/>
          <w:highlight w:val="none"/>
          <w:u w:val="single"/>
        </w:rPr>
      </w:pPr>
    </w:p>
    <w:p>
      <w:pPr>
        <w:widowControl w:val="0"/>
        <w:numPr>
          <w:ilvl w:val="0"/>
          <w:numId w:val="0"/>
        </w:numPr>
        <w:wordWrap w:val="0"/>
        <w:spacing w:line="360" w:lineRule="auto"/>
        <w:ind w:firstLine="482" w:firstLineChars="200"/>
        <w:outlineLvl w:val="1"/>
        <w:rPr>
          <w:rFonts w:hint="eastAsia" w:ascii="仿宋" w:hAnsi="仿宋" w:eastAsia="仿宋" w:cs="仿宋"/>
          <w:b/>
          <w:color w:val="auto"/>
          <w:sz w:val="24"/>
          <w:szCs w:val="24"/>
          <w:highlight w:val="none"/>
        </w:rPr>
      </w:pPr>
      <w:bookmarkStart w:id="33" w:name="_Toc9093"/>
      <w:bookmarkStart w:id="34" w:name="_Toc20440"/>
      <w:r>
        <w:rPr>
          <w:rFonts w:hint="eastAsia" w:ascii="仿宋" w:hAnsi="仿宋" w:eastAsia="仿宋" w:cs="仿宋"/>
          <w:b/>
          <w:color w:val="auto"/>
          <w:sz w:val="24"/>
          <w:szCs w:val="24"/>
          <w:highlight w:val="none"/>
        </w:rPr>
        <w:t>一</w:t>
      </w:r>
      <w:r>
        <w:rPr>
          <w:rFonts w:hint="eastAsia" w:ascii="仿宋" w:hAnsi="仿宋" w:eastAsia="仿宋" w:cs="仿宋"/>
          <w:b/>
          <w:bCs w:val="0"/>
          <w:color w:val="auto"/>
          <w:sz w:val="24"/>
          <w:szCs w:val="24"/>
          <w:highlight w:val="none"/>
        </w:rPr>
        <w:t>、项目名称</w:t>
      </w:r>
      <w:r>
        <w:rPr>
          <w:rFonts w:hint="eastAsia" w:ascii="仿宋" w:hAnsi="仿宋" w:eastAsia="仿宋" w:cs="仿宋"/>
          <w:b/>
          <w:color w:val="auto"/>
          <w:sz w:val="24"/>
          <w:szCs w:val="24"/>
          <w:highlight w:val="none"/>
        </w:rPr>
        <w:t>：</w:t>
      </w:r>
      <w:bookmarkEnd w:id="33"/>
      <w:bookmarkEnd w:id="34"/>
      <w:r>
        <w:rPr>
          <w:rStyle w:val="25"/>
          <w:rFonts w:hint="eastAsia" w:ascii="仿宋" w:hAnsi="仿宋" w:eastAsia="仿宋" w:cs="仿宋"/>
          <w:color w:val="auto"/>
          <w:sz w:val="24"/>
          <w:szCs w:val="24"/>
          <w:highlight w:val="none"/>
          <w:lang w:val="en-US" w:eastAsia="zh-CN"/>
        </w:rPr>
        <w:t>2025年度道路停车PDA专用热敏纸采购项目</w:t>
      </w:r>
    </w:p>
    <w:p>
      <w:pPr>
        <w:widowControl w:val="0"/>
        <w:numPr>
          <w:ilvl w:val="0"/>
          <w:numId w:val="0"/>
        </w:numPr>
        <w:wordWrap w:val="0"/>
        <w:snapToGrid w:val="0"/>
        <w:spacing w:line="360" w:lineRule="auto"/>
        <w:ind w:firstLine="482" w:firstLineChars="200"/>
        <w:outlineLvl w:val="1"/>
        <w:rPr>
          <w:rFonts w:hint="eastAsia" w:ascii="仿宋" w:hAnsi="仿宋" w:eastAsia="仿宋" w:cs="仿宋"/>
          <w:color w:val="auto"/>
          <w:sz w:val="24"/>
          <w:szCs w:val="24"/>
          <w:highlight w:val="none"/>
          <w:lang w:val="en-US" w:eastAsia="zh-CN"/>
        </w:rPr>
      </w:pPr>
      <w:bookmarkStart w:id="35" w:name="_Toc19707"/>
      <w:bookmarkStart w:id="36" w:name="_Toc9029"/>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采购内容：</w:t>
      </w:r>
      <w:bookmarkEnd w:id="35"/>
      <w:r>
        <w:rPr>
          <w:rFonts w:hint="eastAsia" w:ascii="仿宋" w:hAnsi="仿宋" w:eastAsia="仿宋" w:cs="仿宋"/>
          <w:b/>
          <w:color w:val="auto"/>
          <w:sz w:val="24"/>
          <w:szCs w:val="24"/>
          <w:highlight w:val="none"/>
          <w:lang w:val="en-US" w:eastAsia="zh-CN"/>
        </w:rPr>
        <w:t>详见公告</w:t>
      </w:r>
      <w:bookmarkEnd w:id="36"/>
    </w:p>
    <w:p>
      <w:pPr>
        <w:wordWrap w:val="0"/>
        <w:autoSpaceDE/>
        <w:autoSpaceDN/>
        <w:adjustRightInd/>
        <w:spacing w:line="360" w:lineRule="auto"/>
        <w:ind w:firstLine="482"/>
        <w:outlineLvl w:val="1"/>
        <w:rPr>
          <w:rFonts w:hint="eastAsia" w:ascii="仿宋" w:hAnsi="仿宋" w:eastAsia="仿宋" w:cs="仿宋"/>
          <w:b/>
          <w:bCs/>
          <w:color w:val="auto"/>
          <w:sz w:val="24"/>
          <w:szCs w:val="24"/>
          <w:highlight w:val="none"/>
        </w:rPr>
      </w:pPr>
      <w:bookmarkStart w:id="37" w:name="_Toc1965"/>
      <w:bookmarkStart w:id="38" w:name="_Toc20717"/>
      <w:r>
        <w:rPr>
          <w:rFonts w:hint="eastAsia" w:ascii="仿宋" w:hAnsi="仿宋" w:eastAsia="仿宋" w:cs="仿宋"/>
          <w:b/>
          <w:color w:val="auto"/>
          <w:sz w:val="24"/>
          <w:highlight w:val="none"/>
          <w:lang w:val="en-US" w:eastAsia="zh-CN"/>
        </w:rPr>
        <w:t>三、</w:t>
      </w:r>
      <w:bookmarkEnd w:id="37"/>
      <w:bookmarkStart w:id="39" w:name="_Toc5881"/>
      <w:bookmarkStart w:id="40" w:name="_Toc11385"/>
      <w:r>
        <w:rPr>
          <w:rFonts w:hint="eastAsia" w:ascii="仿宋" w:hAnsi="仿宋" w:eastAsia="仿宋" w:cs="仿宋"/>
          <w:b/>
          <w:bCs/>
          <w:color w:val="auto"/>
          <w:sz w:val="24"/>
          <w:szCs w:val="24"/>
          <w:highlight w:val="none"/>
        </w:rPr>
        <w:t>报价要求：</w:t>
      </w:r>
      <w:bookmarkEnd w:id="38"/>
      <w:bookmarkEnd w:id="39"/>
      <w:bookmarkEnd w:id="40"/>
    </w:p>
    <w:p>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包括但不限于人工费、材料费、机械费、一次和二次运输费、差旅费、交通费、打印费、企业管理费、利润、税金</w:t>
      </w:r>
      <w:r>
        <w:rPr>
          <w:rFonts w:hint="eastAsia" w:ascii="仿宋" w:hAnsi="仿宋" w:eastAsia="仿宋" w:cs="仿宋"/>
          <w:color w:val="auto"/>
          <w:sz w:val="24"/>
          <w:highlight w:val="none"/>
        </w:rPr>
        <w:t>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pPr>
        <w:pStyle w:val="20"/>
        <w:wordWrap w:val="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3、供应商开具增值税专票。</w:t>
      </w:r>
    </w:p>
    <w:p>
      <w:pPr>
        <w:keepNext w:val="0"/>
        <w:keepLines w:val="0"/>
        <w:pageBreakBefore w:val="0"/>
        <w:kinsoku/>
        <w:wordWrap w:val="0"/>
        <w:overflowPunct/>
        <w:topLinePunct w:val="0"/>
        <w:bidi w:val="0"/>
        <w:snapToGrid w:val="0"/>
        <w:spacing w:line="360" w:lineRule="auto"/>
        <w:ind w:firstLine="482" w:firstLineChars="200"/>
        <w:textAlignment w:val="auto"/>
        <w:outlineLvl w:val="1"/>
        <w:rPr>
          <w:rFonts w:hint="eastAsia" w:ascii="仿宋" w:hAnsi="仿宋" w:eastAsia="仿宋" w:cs="仿宋"/>
          <w:b/>
          <w:bCs/>
          <w:color w:val="auto"/>
          <w:sz w:val="24"/>
          <w:szCs w:val="24"/>
          <w:highlight w:val="none"/>
        </w:rPr>
      </w:pPr>
      <w:bookmarkStart w:id="41" w:name="_Toc27099"/>
      <w:bookmarkStart w:id="42" w:name="_Toc24500"/>
      <w:bookmarkStart w:id="43" w:name="_Toc22192"/>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应价文件要求</w:t>
      </w:r>
      <w:r>
        <w:rPr>
          <w:rFonts w:hint="eastAsia" w:ascii="仿宋" w:hAnsi="仿宋" w:eastAsia="仿宋" w:cs="仿宋"/>
          <w:b/>
          <w:bCs/>
          <w:color w:val="auto"/>
          <w:sz w:val="24"/>
          <w:szCs w:val="24"/>
          <w:highlight w:val="none"/>
        </w:rPr>
        <w:t>：</w:t>
      </w:r>
      <w:bookmarkEnd w:id="41"/>
      <w:bookmarkEnd w:id="42"/>
      <w:bookmarkEnd w:id="43"/>
    </w:p>
    <w:p>
      <w:pPr>
        <w:keepNext w:val="0"/>
        <w:keepLines w:val="0"/>
        <w:pageBreakBefore w:val="0"/>
        <w:kinsoku/>
        <w:wordWrap w:val="0"/>
        <w:overflowPunct/>
        <w:topLinePunct w:val="0"/>
        <w:bidi w:val="0"/>
        <w:snapToGrid w:val="0"/>
        <w:spacing w:line="360" w:lineRule="auto"/>
        <w:ind w:firstLine="480" w:firstLineChars="200"/>
        <w:textAlignment w:val="auto"/>
        <w:outlineLvl w:val="1"/>
        <w:rPr>
          <w:rFonts w:hint="eastAsia" w:ascii="仿宋" w:hAnsi="仿宋" w:eastAsia="仿宋" w:cs="仿宋"/>
          <w:color w:val="auto"/>
          <w:sz w:val="24"/>
          <w:szCs w:val="24"/>
          <w:highlight w:val="none"/>
          <w:lang w:val="en-US" w:eastAsia="zh-CN"/>
        </w:rPr>
      </w:pPr>
      <w:bookmarkStart w:id="44" w:name="_Toc6450"/>
      <w:bookmarkStart w:id="45" w:name="_Toc29202"/>
      <w:bookmarkStart w:id="46" w:name="_Toc6370"/>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应价文件组成：</w:t>
      </w:r>
      <w:bookmarkEnd w:id="44"/>
      <w:bookmarkEnd w:id="45"/>
      <w:bookmarkEnd w:id="46"/>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报价函</w:t>
      </w:r>
      <w:r>
        <w:rPr>
          <w:rFonts w:hint="eastAsia" w:ascii="仿宋" w:hAnsi="仿宋" w:eastAsia="仿宋" w:cs="仿宋"/>
          <w:color w:val="auto"/>
          <w:sz w:val="24"/>
          <w:szCs w:val="24"/>
          <w:highlight w:val="none"/>
          <w:lang w:val="en-US" w:eastAsia="zh-CN"/>
        </w:rPr>
        <w:t>及附表</w:t>
      </w:r>
      <w:r>
        <w:rPr>
          <w:rFonts w:hint="eastAsia" w:ascii="仿宋" w:hAnsi="仿宋" w:eastAsia="仿宋" w:cs="仿宋"/>
          <w:color w:val="auto"/>
          <w:sz w:val="24"/>
          <w:szCs w:val="24"/>
          <w:highlight w:val="none"/>
        </w:rPr>
        <w:t>；</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报价明细清单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法定代表人签字的，仅提供法定代表人身份证明）</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val="en-US" w:eastAsia="zh-CN"/>
        </w:rPr>
        <w:t>企业营业执照副本复印件；</w:t>
      </w:r>
    </w:p>
    <w:p>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5、供应商</w:t>
      </w:r>
      <w:r>
        <w:rPr>
          <w:rFonts w:hint="eastAsia" w:ascii="仿宋" w:hAnsi="仿宋" w:eastAsia="仿宋" w:cs="仿宋"/>
          <w:color w:val="auto"/>
          <w:sz w:val="24"/>
          <w:szCs w:val="24"/>
          <w:highlight w:val="none"/>
          <w:lang w:val="en-US" w:eastAsia="zh-CN"/>
        </w:rPr>
        <w:t>资格条件要求提供的其他材料；</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szCs w:val="24"/>
          <w:highlight w:val="none"/>
          <w:lang w:val="en-US" w:eastAsia="zh-CN"/>
        </w:rPr>
        <w:t>声明函；</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偏离表；</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8、其他应价人认为需要提供的材料。</w:t>
      </w:r>
    </w:p>
    <w:p>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注：以上复印件均需加盖应价人单位公章。</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47" w:name="_Toc15069"/>
      <w:bookmarkStart w:id="48" w:name="_Toc3405"/>
      <w:bookmarkStart w:id="49" w:name="_Toc22903"/>
      <w:bookmarkStart w:id="50" w:name="_Toc21594"/>
      <w:r>
        <w:rPr>
          <w:rFonts w:hint="eastAsia" w:ascii="仿宋" w:hAnsi="仿宋" w:eastAsia="仿宋" w:cs="仿宋"/>
          <w:color w:val="auto"/>
          <w:sz w:val="24"/>
          <w:szCs w:val="24"/>
          <w:highlight w:val="none"/>
          <w:lang w:val="en-US" w:eastAsia="zh-CN"/>
        </w:rPr>
        <w:t>（二）</w:t>
      </w:r>
      <w:bookmarkEnd w:id="47"/>
      <w:bookmarkEnd w:id="48"/>
      <w:bookmarkStart w:id="51" w:name="_Toc5448"/>
      <w:r>
        <w:rPr>
          <w:rFonts w:hint="eastAsia" w:ascii="仿宋" w:hAnsi="仿宋" w:eastAsia="仿宋" w:cs="仿宋"/>
          <w:color w:val="auto"/>
          <w:sz w:val="24"/>
          <w:szCs w:val="24"/>
          <w:highlight w:val="none"/>
          <w:lang w:val="en-US" w:eastAsia="zh-CN"/>
        </w:rPr>
        <w:t>应价文件份数</w:t>
      </w:r>
      <w:r>
        <w:rPr>
          <w:rFonts w:hint="eastAsia" w:ascii="仿宋" w:hAnsi="仿宋" w:eastAsia="仿宋" w:cs="仿宋"/>
          <w:color w:val="auto"/>
          <w:sz w:val="24"/>
          <w:szCs w:val="24"/>
          <w:highlight w:val="none"/>
          <w:lang w:val="en-US" w:eastAsia="zh-CN"/>
        </w:rPr>
        <w:tab/>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1、纸质文件：三份，其中正本壹份，副本贰份。正本和副本内容有出入，以正本为准，副本可用正本复印。</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2.电子文件：一份，存储介质U盘。</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（三）装订及签署</w:t>
      </w:r>
      <w:r>
        <w:rPr>
          <w:rFonts w:hint="eastAsia" w:ascii="仿宋" w:hAnsi="仿宋" w:eastAsia="仿宋" w:cs="仿宋"/>
          <w:color w:val="auto"/>
          <w:sz w:val="24"/>
          <w:szCs w:val="24"/>
          <w:highlight w:val="none"/>
          <w:lang w:val="en-US" w:eastAsia="zh-CN"/>
        </w:rPr>
        <w:tab/>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1、应价文件采用订书钉装订或无线胶装形式，不得有活页，否则其不利后果应价人自行负责；</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价文件封面和内部内容要求加盖应价人公章、法人或授权代表签署或盖章的必须加盖公章和签署。应价文件中有修改的，修改处须由其法定代表人或其授权代表签署或盖章。由于字迹模糊或表达不清引起的后果由应价人自行负责。</w:t>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（四）包装及密封</w:t>
      </w:r>
      <w:r>
        <w:rPr>
          <w:rFonts w:hint="eastAsia" w:ascii="仿宋" w:hAnsi="仿宋" w:eastAsia="仿宋" w:cs="仿宋"/>
          <w:color w:val="auto"/>
          <w:sz w:val="24"/>
          <w:szCs w:val="24"/>
          <w:highlight w:val="none"/>
          <w:lang w:val="en-US" w:eastAsia="zh-CN"/>
        </w:rPr>
        <w:tab/>
      </w:r>
    </w:p>
    <w:p>
      <w:pPr>
        <w:keepNext w:val="0"/>
        <w:keepLines w:val="0"/>
        <w:pageBreakBefore w:val="0"/>
        <w:kinsoku/>
        <w:wordWrap w:val="0"/>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价人将装订好的应价文件密封包装在一个密封袋内，密封袋封口处须加盖应价人公章。封皮上写明项目编号、项目名称及应价人名称、应价人地址、联系方式。并注明“应价文件”、“开启时间前不得启封”等字样。如果应价人未按上述要求密封及加写标记的，询价人对应价文件的误投和提前启封不负责任。否则其不利后果应价人自行负责。</w:t>
      </w:r>
    </w:p>
    <w:bookmarkEnd w:id="51"/>
    <w:p>
      <w:pPr>
        <w:keepNext w:val="0"/>
        <w:keepLines w:val="0"/>
        <w:wordWrap w:val="0"/>
        <w:snapToGrid w:val="0"/>
        <w:spacing w:line="360" w:lineRule="auto"/>
        <w:ind w:firstLine="482" w:firstLineChars="200"/>
        <w:outlineLvl w:val="1"/>
        <w:rPr>
          <w:rFonts w:hint="eastAsia" w:ascii="仿宋" w:hAnsi="仿宋" w:eastAsia="仿宋" w:cs="仿宋"/>
          <w:b/>
          <w:bCs/>
          <w:color w:val="auto"/>
          <w:sz w:val="24"/>
          <w:szCs w:val="24"/>
          <w:highlight w:val="none"/>
          <w:lang w:val="en-US" w:eastAsia="zh-CN"/>
        </w:rPr>
      </w:pPr>
      <w:bookmarkStart w:id="52" w:name="_Toc17095"/>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u w:val="none"/>
          <w:lang w:val="en-US" w:eastAsia="zh-CN"/>
        </w:rPr>
        <w:t>、报</w:t>
      </w:r>
      <w:r>
        <w:rPr>
          <w:rFonts w:hint="eastAsia" w:ascii="仿宋" w:hAnsi="仿宋" w:eastAsia="仿宋" w:cs="仿宋"/>
          <w:b/>
          <w:bCs/>
          <w:color w:val="auto"/>
          <w:sz w:val="24"/>
          <w:szCs w:val="24"/>
          <w:highlight w:val="none"/>
          <w:lang w:val="en-US" w:eastAsia="zh-CN"/>
        </w:rPr>
        <w:t>名获取询价文件不足三家的，重新发布询价公告。</w:t>
      </w:r>
      <w:bookmarkEnd w:id="52"/>
    </w:p>
    <w:p>
      <w:pPr>
        <w:keepNext w:val="0"/>
        <w:keepLines w:val="0"/>
        <w:wordWrap w:val="0"/>
        <w:snapToGrid w:val="0"/>
        <w:spacing w:line="360" w:lineRule="auto"/>
        <w:ind w:firstLine="482" w:firstLineChars="200"/>
        <w:outlineLvl w:val="1"/>
        <w:rPr>
          <w:rFonts w:hint="eastAsia" w:ascii="仿宋" w:hAnsi="仿宋" w:eastAsia="仿宋" w:cs="仿宋"/>
          <w:b/>
          <w:bCs/>
          <w:color w:val="auto"/>
          <w:sz w:val="24"/>
          <w:szCs w:val="24"/>
          <w:highlight w:val="none"/>
          <w:lang w:val="en-US" w:eastAsia="zh-CN"/>
        </w:rPr>
      </w:pPr>
      <w:bookmarkStart w:id="53" w:name="_Toc4123"/>
      <w:r>
        <w:rPr>
          <w:rFonts w:hint="eastAsia" w:ascii="仿宋" w:hAnsi="仿宋" w:eastAsia="仿宋" w:cs="仿宋"/>
          <w:b/>
          <w:bCs/>
          <w:color w:val="auto"/>
          <w:sz w:val="24"/>
          <w:szCs w:val="24"/>
          <w:highlight w:val="none"/>
          <w:lang w:val="en-US" w:eastAsia="zh-CN"/>
        </w:rPr>
        <w:t>六、应价有效期:开启之日起不少于90天。</w:t>
      </w:r>
      <w:bookmarkEnd w:id="49"/>
      <w:bookmarkEnd w:id="53"/>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bookmarkStart w:id="54" w:name="_Toc30986"/>
      <w:r>
        <w:rPr>
          <w:rFonts w:hint="eastAsia" w:ascii="仿宋" w:hAnsi="仿宋" w:eastAsia="仿宋" w:cs="仿宋"/>
          <w:b/>
          <w:bCs/>
          <w:color w:val="auto"/>
          <w:sz w:val="24"/>
          <w:szCs w:val="24"/>
          <w:highlight w:val="none"/>
          <w:lang w:val="en-US" w:eastAsia="zh-CN"/>
        </w:rPr>
        <w:t>七、应价文件递交</w:t>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1、递交形式：详见公告。</w:t>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2、应价文件拒收</w:t>
      </w:r>
      <w:r>
        <w:rPr>
          <w:rFonts w:hint="eastAsia" w:ascii="仿宋" w:hAnsi="仿宋" w:eastAsia="仿宋" w:cs="仿宋"/>
          <w:color w:val="auto"/>
          <w:sz w:val="24"/>
          <w:szCs w:val="24"/>
          <w:highlight w:val="none"/>
          <w:lang w:val="en-US" w:eastAsia="zh-CN"/>
        </w:rPr>
        <w:tab/>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存在下列情况之一的，应价文件被拒绝接受：</w:t>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（1）逾期送达的、未送达指定地点的；</w:t>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（2）由于包装不妥严重破损或失散的；</w:t>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（3）未按照询价文件规定要求包装或密封的；</w:t>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（4）以电讯形式递交的；</w:t>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（5）不符合法律、法规和询价文件中规定的其他实质性要求的。</w:t>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3、存在下列情况之一的，视为拒收，当场退回应价文件：</w:t>
      </w:r>
    </w:p>
    <w:p>
      <w:pPr>
        <w:pStyle w:val="20"/>
        <w:pageBreakBefore w:val="0"/>
        <w:kinsoku/>
        <w:wordWrap w:val="0"/>
        <w:overflowPunct/>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（1）纸质应价文件不符合装订要求的。</w:t>
      </w:r>
    </w:p>
    <w:p>
      <w:pPr>
        <w:pStyle w:val="20"/>
        <w:pageBreakBefore w:val="0"/>
        <w:kinsoku/>
        <w:wordWrap w:val="0"/>
        <w:overflowPunct/>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（2）其他：无。</w:t>
      </w:r>
    </w:p>
    <w:p>
      <w:pPr>
        <w:pageBreakBefore w:val="0"/>
        <w:kinsoku/>
        <w:wordWrap w:val="0"/>
        <w:overflowPunct/>
        <w:bidi w:val="0"/>
        <w:spacing w:line="360" w:lineRule="auto"/>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kern w:val="0"/>
          <w:sz w:val="24"/>
          <w:highlight w:val="none"/>
          <w:u w:val="none"/>
          <w:lang w:val="en-US" w:eastAsia="zh-CN"/>
        </w:rPr>
        <w:t>4、递交应价文件不足三家的，询价失败。</w:t>
      </w:r>
    </w:p>
    <w:p>
      <w:pPr>
        <w:keepNext w:val="0"/>
        <w:keepLines w:val="0"/>
        <w:pageBreakBefore w:val="0"/>
        <w:kinsoku/>
        <w:wordWrap w:val="0"/>
        <w:overflowPunct/>
        <w:bidi w:val="0"/>
        <w:snapToGrid w:val="0"/>
        <w:spacing w:line="360" w:lineRule="auto"/>
        <w:ind w:firstLine="482" w:firstLineChars="200"/>
        <w:outlineLvl w:val="1"/>
        <w:rPr>
          <w:rFonts w:hint="eastAsia" w:ascii="仿宋" w:hAnsi="仿宋" w:eastAsia="仿宋" w:cs="仿宋"/>
          <w:b/>
          <w:bCs/>
          <w:color w:val="auto"/>
          <w:sz w:val="24"/>
          <w:szCs w:val="24"/>
          <w:highlight w:val="none"/>
          <w:lang w:val="en-US" w:eastAsia="zh-CN"/>
        </w:rPr>
      </w:pPr>
      <w:bookmarkStart w:id="55" w:name="_Toc11505"/>
      <w:r>
        <w:rPr>
          <w:rFonts w:hint="eastAsia" w:ascii="仿宋" w:hAnsi="仿宋" w:eastAsia="仿宋" w:cs="仿宋"/>
          <w:b/>
          <w:bCs/>
          <w:color w:val="auto"/>
          <w:sz w:val="24"/>
          <w:szCs w:val="24"/>
          <w:highlight w:val="none"/>
          <w:lang w:val="en-US" w:eastAsia="zh-CN"/>
        </w:rPr>
        <w:t>八、开启</w:t>
      </w:r>
      <w:bookmarkEnd w:id="55"/>
    </w:p>
    <w:p>
      <w:pPr>
        <w:keepNext w:val="0"/>
        <w:keepLines w:val="0"/>
        <w:pageBreakBefore w:val="0"/>
        <w:kinsoku/>
        <w:wordWrap w:val="0"/>
        <w:overflowPunct/>
        <w:bidi w:val="0"/>
        <w:snapToGrid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开启形式：线下见面开启。应价人可派代表到开启现场参加开启会，代表应携带本人有效证件准时参加。非法定代表人参加的，同时提供法定代表人授权委托书原件。询价人可拒绝无关人员进入开启现场。因故应价人未派代表参加开启或代表未携带身份证明或未提供委托书的视为未参加开启会议，事后不得要求补办相关现场确认手续，也不得要求相关工作人员还原或重复履行相关工作义务。</w:t>
      </w:r>
    </w:p>
    <w:p>
      <w:pPr>
        <w:keepNext w:val="0"/>
        <w:keepLines w:val="0"/>
        <w:pageBreakBefore w:val="0"/>
        <w:kinsoku/>
        <w:wordWrap w:val="0"/>
        <w:overflowPunct/>
        <w:bidi w:val="0"/>
        <w:snapToGrid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应价文件密封情况检查：询价人监督人员</w:t>
      </w:r>
    </w:p>
    <w:p>
      <w:pPr>
        <w:keepNext w:val="0"/>
        <w:keepLines w:val="0"/>
        <w:pageBreakBefore w:val="0"/>
        <w:kinsoku/>
        <w:wordWrap w:val="0"/>
        <w:overflowPunct/>
        <w:bidi w:val="0"/>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应价文件拆封唱</w:t>
      </w:r>
      <w:r>
        <w:rPr>
          <w:rFonts w:hint="eastAsia" w:ascii="仿宋" w:hAnsi="仿宋" w:eastAsia="仿宋" w:cs="仿宋"/>
          <w:color w:val="auto"/>
          <w:sz w:val="24"/>
          <w:szCs w:val="24"/>
          <w:highlight w:val="none"/>
          <w:lang w:val="en-US" w:eastAsia="zh-CN"/>
        </w:rPr>
        <w:t>价</w:t>
      </w:r>
      <w:r>
        <w:rPr>
          <w:rFonts w:hint="eastAsia" w:ascii="仿宋" w:hAnsi="仿宋" w:eastAsia="仿宋" w:cs="仿宋"/>
          <w:color w:val="auto"/>
          <w:sz w:val="24"/>
          <w:szCs w:val="24"/>
          <w:highlight w:val="none"/>
          <w:lang w:eastAsia="zh-CN"/>
        </w:rPr>
        <w:t>顺序：不分先后。</w:t>
      </w:r>
    </w:p>
    <w:p>
      <w:pPr>
        <w:wordWrap w:val="0"/>
        <w:adjustRightInd/>
        <w:spacing w:line="360" w:lineRule="auto"/>
        <w:ind w:firstLine="472" w:firstLineChars="196"/>
        <w:outlineLvl w:val="1"/>
        <w:rPr>
          <w:rFonts w:hint="eastAsia" w:ascii="仿宋" w:hAnsi="仿宋" w:eastAsia="仿宋" w:cs="仿宋"/>
          <w:b/>
          <w:bCs w:val="0"/>
          <w:color w:val="auto"/>
          <w:kern w:val="0"/>
          <w:sz w:val="24"/>
          <w:highlight w:val="none"/>
          <w:lang w:val="en-US" w:eastAsia="zh-CN"/>
        </w:rPr>
      </w:pPr>
      <w:bookmarkStart w:id="56" w:name="_Toc21482"/>
      <w:r>
        <w:rPr>
          <w:rFonts w:hint="eastAsia" w:ascii="仿宋" w:hAnsi="仿宋" w:eastAsia="仿宋" w:cs="仿宋"/>
          <w:b/>
          <w:bCs w:val="0"/>
          <w:color w:val="auto"/>
          <w:kern w:val="0"/>
          <w:sz w:val="24"/>
          <w:highlight w:val="none"/>
          <w:lang w:val="en-US" w:eastAsia="zh-CN"/>
        </w:rPr>
        <w:t>十、评审方法</w:t>
      </w:r>
      <w:bookmarkEnd w:id="54"/>
      <w:bookmarkEnd w:id="56"/>
    </w:p>
    <w:p>
      <w:pPr>
        <w:wordWrap w:val="0"/>
        <w:adjustRightInd/>
        <w:spacing w:line="360" w:lineRule="auto"/>
        <w:ind w:firstLine="472" w:firstLineChars="196"/>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本项目采用</w:t>
      </w:r>
      <w:r>
        <w:rPr>
          <w:rFonts w:hint="eastAsia" w:ascii="仿宋" w:hAnsi="仿宋" w:eastAsia="仿宋" w:cs="仿宋"/>
          <w:b/>
          <w:color w:val="auto"/>
          <w:kern w:val="0"/>
          <w:sz w:val="24"/>
          <w:highlight w:val="none"/>
          <w:lang w:val="en-US" w:eastAsia="zh-CN"/>
        </w:rPr>
        <w:t>经评审最低价</w:t>
      </w:r>
      <w:r>
        <w:rPr>
          <w:rFonts w:hint="eastAsia" w:ascii="仿宋" w:hAnsi="仿宋" w:eastAsia="仿宋" w:cs="仿宋"/>
          <w:b/>
          <w:color w:val="auto"/>
          <w:kern w:val="0"/>
          <w:sz w:val="24"/>
          <w:highlight w:val="none"/>
        </w:rPr>
        <w:t>法。</w:t>
      </w:r>
      <w:r>
        <w:rPr>
          <w:rFonts w:hint="eastAsia" w:ascii="仿宋" w:hAnsi="仿宋" w:eastAsia="仿宋" w:cs="仿宋"/>
          <w:b/>
          <w:bCs/>
          <w:color w:val="auto"/>
          <w:kern w:val="0"/>
          <w:sz w:val="24"/>
          <w:highlight w:val="none"/>
          <w:u w:val="single"/>
          <w:lang w:val="en-US" w:eastAsia="zh-CN"/>
        </w:rPr>
        <w:t>经评审最低价</w:t>
      </w:r>
      <w:r>
        <w:rPr>
          <w:rFonts w:hint="eastAsia" w:ascii="仿宋" w:hAnsi="仿宋" w:eastAsia="仿宋" w:cs="仿宋"/>
          <w:b/>
          <w:bCs/>
          <w:color w:val="auto"/>
          <w:kern w:val="0"/>
          <w:sz w:val="24"/>
          <w:highlight w:val="none"/>
          <w:u w:val="single"/>
        </w:rPr>
        <w:t>法</w:t>
      </w:r>
      <w:r>
        <w:rPr>
          <w:rFonts w:hint="eastAsia" w:ascii="仿宋" w:hAnsi="仿宋" w:eastAsia="仿宋" w:cs="仿宋"/>
          <w:color w:val="auto"/>
          <w:kern w:val="0"/>
          <w:sz w:val="24"/>
          <w:highlight w:val="none"/>
        </w:rPr>
        <w:t>，是指</w:t>
      </w:r>
      <w:r>
        <w:rPr>
          <w:rFonts w:hint="eastAsia" w:ascii="仿宋" w:hAnsi="仿宋" w:eastAsia="仿宋" w:cs="仿宋"/>
          <w:color w:val="auto"/>
          <w:kern w:val="0"/>
          <w:sz w:val="24"/>
          <w:highlight w:val="none"/>
          <w:lang w:val="en-US" w:eastAsia="zh-CN"/>
        </w:rPr>
        <w:t>应价文件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val="en-US" w:eastAsia="zh-CN"/>
        </w:rPr>
        <w:t>询价</w:t>
      </w:r>
      <w:r>
        <w:rPr>
          <w:rFonts w:hint="eastAsia" w:ascii="仿宋" w:hAnsi="仿宋" w:eastAsia="仿宋" w:cs="仿宋"/>
          <w:color w:val="auto"/>
          <w:kern w:val="0"/>
          <w:sz w:val="24"/>
          <w:highlight w:val="none"/>
        </w:rPr>
        <w:t>文件全部</w:t>
      </w:r>
      <w:r>
        <w:rPr>
          <w:rFonts w:hint="eastAsia" w:ascii="仿宋" w:hAnsi="仿宋" w:eastAsia="仿宋" w:cs="仿宋"/>
          <w:color w:val="auto"/>
          <w:kern w:val="0"/>
          <w:sz w:val="24"/>
          <w:highlight w:val="none"/>
          <w:lang w:val="en-US" w:eastAsia="zh-CN"/>
        </w:rPr>
        <w:t>实质性</w:t>
      </w:r>
      <w:r>
        <w:rPr>
          <w:rFonts w:hint="eastAsia" w:ascii="仿宋" w:hAnsi="仿宋" w:eastAsia="仿宋" w:cs="仿宋"/>
          <w:color w:val="auto"/>
          <w:kern w:val="0"/>
          <w:sz w:val="24"/>
          <w:highlight w:val="none"/>
        </w:rPr>
        <w:t>要求，</w:t>
      </w:r>
      <w:r>
        <w:rPr>
          <w:rFonts w:hint="eastAsia" w:ascii="仿宋" w:hAnsi="仿宋" w:eastAsia="仿宋" w:cs="仿宋"/>
          <w:color w:val="auto"/>
          <w:kern w:val="0"/>
          <w:sz w:val="24"/>
          <w:highlight w:val="none"/>
          <w:lang w:val="en-US" w:eastAsia="zh-CN"/>
        </w:rPr>
        <w:t>响应报价最低</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候选人的评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方法。</w:t>
      </w:r>
    </w:p>
    <w:p>
      <w:pPr>
        <w:wordWrap w:val="0"/>
        <w:spacing w:line="360" w:lineRule="auto"/>
        <w:ind w:firstLine="472" w:firstLineChars="196"/>
        <w:outlineLvl w:val="9"/>
        <w:rPr>
          <w:rFonts w:hint="eastAsia" w:ascii="仿宋" w:hAnsi="仿宋" w:eastAsia="仿宋" w:cs="仿宋"/>
          <w:b/>
          <w:color w:val="auto"/>
          <w:kern w:val="0"/>
          <w:sz w:val="24"/>
          <w:szCs w:val="24"/>
          <w:highlight w:val="none"/>
        </w:rPr>
      </w:pPr>
      <w:bookmarkStart w:id="57" w:name="_Toc124257994"/>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评</w:t>
      </w:r>
      <w:r>
        <w:rPr>
          <w:rFonts w:hint="eastAsia" w:ascii="仿宋" w:hAnsi="仿宋" w:eastAsia="仿宋" w:cs="仿宋"/>
          <w:b/>
          <w:color w:val="auto"/>
          <w:kern w:val="0"/>
          <w:sz w:val="24"/>
          <w:szCs w:val="24"/>
          <w:highlight w:val="none"/>
          <w:lang w:val="en-US" w:eastAsia="zh-CN"/>
        </w:rPr>
        <w:t>审</w:t>
      </w:r>
      <w:r>
        <w:rPr>
          <w:rFonts w:hint="eastAsia" w:ascii="仿宋" w:hAnsi="仿宋" w:eastAsia="仿宋" w:cs="仿宋"/>
          <w:b/>
          <w:color w:val="auto"/>
          <w:kern w:val="0"/>
          <w:sz w:val="24"/>
          <w:szCs w:val="24"/>
          <w:highlight w:val="none"/>
        </w:rPr>
        <w:t>程序</w:t>
      </w:r>
      <w:bookmarkEnd w:id="57"/>
    </w:p>
    <w:p>
      <w:pPr>
        <w:wordWrap w:val="0"/>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2.1确定最低报价。对应价人的响应报价从低到高进行排序（报价相同时抽签确定）。</w:t>
      </w:r>
    </w:p>
    <w:p>
      <w:pPr>
        <w:wordWrap w:val="0"/>
        <w:adjustRightInd/>
        <w:spacing w:line="360" w:lineRule="auto"/>
        <w:ind w:firstLine="470" w:firstLineChars="196"/>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2.2符合性审查。</w:t>
      </w:r>
    </w:p>
    <w:p>
      <w:pPr>
        <w:wordWrap w:val="0"/>
        <w:adjustRightInd/>
        <w:spacing w:line="360" w:lineRule="auto"/>
        <w:ind w:firstLine="470" w:firstLineChars="196"/>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lang w:val="en-US" w:eastAsia="zh-CN"/>
        </w:rPr>
        <w:t>对报价最低的前三名应价人进行符合性审查，审查不通过的依次递补，审查通过的单位中的报价最低的应价人推荐为成交候选人。</w:t>
      </w:r>
      <w:r>
        <w:rPr>
          <w:rFonts w:hint="eastAsia" w:ascii="仿宋" w:hAnsi="仿宋" w:eastAsia="仿宋" w:cs="仿宋"/>
          <w:color w:val="auto"/>
          <w:kern w:val="0"/>
          <w:sz w:val="24"/>
          <w:highlight w:val="none"/>
          <w:u w:val="single"/>
          <w:lang w:val="en-US" w:eastAsia="zh-CN"/>
        </w:rPr>
        <w:t>经评审有效应价人不足三家的，本次询价失败。</w:t>
      </w:r>
    </w:p>
    <w:p>
      <w:pPr>
        <w:wordWrap w:val="0"/>
        <w:adjustRightInd/>
        <w:spacing w:line="360" w:lineRule="auto"/>
        <w:ind w:firstLine="470" w:firstLineChars="196"/>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2.3响应人存在以下情形之一的，符合性审查不予通过，否决其响应：</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中规定的资格要求）；</w:t>
      </w:r>
    </w:p>
    <w:p>
      <w:pPr>
        <w:pageBreakBefore w:val="0"/>
        <w:kinsoku/>
        <w:wordWrap w:val="0"/>
        <w:overflowPunct/>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要求签署、盖章的；</w:t>
      </w:r>
      <w:r>
        <w:rPr>
          <w:rFonts w:hint="eastAsia" w:ascii="仿宋" w:hAnsi="仿宋" w:eastAsia="仿宋" w:cs="仿宋"/>
          <w:color w:val="auto"/>
          <w:kern w:val="0"/>
          <w:sz w:val="24"/>
          <w:highlight w:val="none"/>
          <w:lang w:eastAsia="zh-CN"/>
        </w:rPr>
        <w:t>应价文件全部</w:t>
      </w:r>
      <w:r>
        <w:rPr>
          <w:rFonts w:hint="eastAsia" w:ascii="仿宋" w:hAnsi="仿宋" w:eastAsia="仿宋" w:cs="仿宋"/>
          <w:color w:val="auto"/>
          <w:kern w:val="0"/>
          <w:sz w:val="24"/>
          <w:highlight w:val="none"/>
          <w:lang w:val="en-US" w:eastAsia="zh-CN"/>
        </w:rPr>
        <w:t>为复印件的</w:t>
      </w:r>
      <w:r>
        <w:rPr>
          <w:rFonts w:hint="eastAsia" w:ascii="仿宋" w:hAnsi="仿宋" w:eastAsia="仿宋" w:cs="仿宋"/>
          <w:color w:val="auto"/>
          <w:kern w:val="0"/>
          <w:sz w:val="24"/>
          <w:highlight w:val="none"/>
        </w:rPr>
        <w:t>；</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含有</w:t>
      </w:r>
      <w:r>
        <w:rPr>
          <w:rFonts w:hint="eastAsia" w:ascii="仿宋" w:hAnsi="仿宋" w:eastAsia="仿宋" w:cs="仿宋"/>
          <w:color w:val="auto"/>
          <w:kern w:val="0"/>
          <w:sz w:val="24"/>
          <w:highlight w:val="none"/>
          <w:lang w:eastAsia="zh-CN"/>
        </w:rPr>
        <w:t>询价人</w:t>
      </w:r>
      <w:r>
        <w:rPr>
          <w:rFonts w:hint="eastAsia" w:ascii="仿宋" w:hAnsi="仿宋" w:eastAsia="仿宋" w:cs="仿宋"/>
          <w:color w:val="auto"/>
          <w:kern w:val="0"/>
          <w:sz w:val="24"/>
          <w:highlight w:val="none"/>
        </w:rPr>
        <w:t>不能接受的附加条件的；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应价</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val="en-US" w:eastAsia="zh-CN"/>
        </w:rPr>
        <w:t>应价</w:t>
      </w:r>
      <w:r>
        <w:rPr>
          <w:rFonts w:hint="eastAsia" w:ascii="仿宋" w:hAnsi="仿宋" w:eastAsia="仿宋" w:cs="仿宋"/>
          <w:color w:val="auto"/>
          <w:kern w:val="0"/>
          <w:sz w:val="24"/>
          <w:highlight w:val="none"/>
        </w:rPr>
        <w:t>有效期的；</w:t>
      </w:r>
    </w:p>
    <w:p>
      <w:pPr>
        <w:wordWrap w:val="0"/>
        <w:snapToGrid/>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出现不是唯一的、有选择性报价的;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中规定的最高限价的;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报价明显低于其他通过符合性审查</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对根据修正原则修正后的报价不确认的；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应价</w:t>
      </w:r>
      <w:r>
        <w:rPr>
          <w:rFonts w:hint="eastAsia" w:ascii="仿宋" w:hAnsi="仿宋" w:eastAsia="仿宋" w:cs="仿宋"/>
          <w:color w:val="auto"/>
          <w:kern w:val="0"/>
          <w:sz w:val="24"/>
          <w:highlight w:val="none"/>
        </w:rPr>
        <w:t>的；</w:t>
      </w:r>
    </w:p>
    <w:p>
      <w:pPr>
        <w:wordWrap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的竞争行为、损害</w:t>
      </w:r>
      <w:r>
        <w:rPr>
          <w:rFonts w:hint="eastAsia" w:ascii="仿宋" w:hAnsi="仿宋" w:eastAsia="仿宋" w:cs="仿宋"/>
          <w:color w:val="auto"/>
          <w:kern w:val="0"/>
          <w:sz w:val="24"/>
          <w:highlight w:val="none"/>
          <w:lang w:eastAsia="zh-CN"/>
        </w:rPr>
        <w:t>询价人</w:t>
      </w:r>
      <w:r>
        <w:rPr>
          <w:rFonts w:hint="eastAsia" w:ascii="仿宋" w:hAnsi="仿宋" w:eastAsia="仿宋" w:cs="仿宋"/>
          <w:color w:val="auto"/>
          <w:kern w:val="0"/>
          <w:sz w:val="24"/>
          <w:highlight w:val="none"/>
        </w:rPr>
        <w:t>或者其他</w:t>
      </w:r>
      <w:r>
        <w:rPr>
          <w:rFonts w:hint="eastAsia" w:ascii="仿宋" w:hAnsi="仿宋" w:eastAsia="仿宋" w:cs="仿宋"/>
          <w:color w:val="auto"/>
          <w:kern w:val="0"/>
          <w:sz w:val="24"/>
          <w:highlight w:val="none"/>
          <w:lang w:eastAsia="zh-CN"/>
        </w:rPr>
        <w:t>应价人</w:t>
      </w:r>
      <w:r>
        <w:rPr>
          <w:rFonts w:hint="eastAsia" w:ascii="仿宋" w:hAnsi="仿宋" w:eastAsia="仿宋" w:cs="仿宋"/>
          <w:color w:val="auto"/>
          <w:kern w:val="0"/>
          <w:sz w:val="24"/>
          <w:highlight w:val="none"/>
        </w:rPr>
        <w:t>的合法权益情形的；</w:t>
      </w:r>
    </w:p>
    <w:p>
      <w:pPr>
        <w:wordWrap w:val="0"/>
        <w:spacing w:line="360" w:lineRule="auto"/>
        <w:ind w:firstLine="480" w:firstLineChars="200"/>
        <w:rPr>
          <w:rFonts w:hint="eastAsia" w:ascii="仿宋" w:hAnsi="仿宋" w:eastAsia="仿宋" w:cs="仿宋"/>
          <w:color w:val="auto"/>
          <w:kern w:val="0"/>
          <w:sz w:val="24"/>
          <w:highlight w:val="none"/>
          <w:lang w:val="en-US" w:eastAsia="zh-CN"/>
        </w:rPr>
      </w:pPr>
      <w:bookmarkStart w:id="58" w:name="_Toc124257995"/>
      <w:bookmarkStart w:id="59" w:name="_Toc14294"/>
      <w:r>
        <w:rPr>
          <w:rFonts w:hint="eastAsia" w:ascii="仿宋" w:hAnsi="仿宋" w:eastAsia="仿宋" w:cs="仿宋"/>
          <w:color w:val="auto"/>
          <w:kern w:val="0"/>
          <w:sz w:val="24"/>
          <w:highlight w:val="none"/>
          <w:lang w:val="en-US" w:eastAsia="zh-CN"/>
        </w:rPr>
        <w:t>（11）应价文件不满足询价文件实质性要求的；</w:t>
      </w:r>
      <w:bookmarkEnd w:id="58"/>
      <w:bookmarkEnd w:id="59"/>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法律、法规、规章规定的其他无效情形。</w:t>
      </w:r>
    </w:p>
    <w:p>
      <w:pPr>
        <w:wordWrap w:val="0"/>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color w:val="auto"/>
          <w:kern w:val="0"/>
          <w:sz w:val="24"/>
          <w:highlight w:val="none"/>
          <w:lang w:val="en-US" w:eastAsia="zh-CN"/>
        </w:rPr>
        <w:t>2.4</w:t>
      </w:r>
      <w:r>
        <w:rPr>
          <w:rFonts w:hint="eastAsia" w:ascii="仿宋" w:hAnsi="仿宋" w:eastAsia="仿宋" w:cs="仿宋"/>
          <w:b w:val="0"/>
          <w:bCs/>
          <w:color w:val="auto"/>
          <w:kern w:val="0"/>
          <w:sz w:val="24"/>
          <w:highlight w:val="none"/>
        </w:rPr>
        <w:t>推荐</w:t>
      </w:r>
      <w:r>
        <w:rPr>
          <w:rFonts w:hint="eastAsia" w:ascii="仿宋" w:hAnsi="仿宋" w:eastAsia="仿宋" w:cs="仿宋"/>
          <w:b w:val="0"/>
          <w:bCs/>
          <w:color w:val="auto"/>
          <w:kern w:val="0"/>
          <w:sz w:val="24"/>
          <w:highlight w:val="none"/>
          <w:lang w:eastAsia="zh-CN"/>
        </w:rPr>
        <w:t>成交候选人</w:t>
      </w:r>
      <w:r>
        <w:rPr>
          <w:rFonts w:hint="eastAsia" w:ascii="仿宋" w:hAnsi="仿宋" w:eastAsia="仿宋" w:cs="仿宋"/>
          <w:b w:val="0"/>
          <w:bCs/>
          <w:color w:val="auto"/>
          <w:kern w:val="0"/>
          <w:sz w:val="24"/>
          <w:highlight w:val="none"/>
        </w:rPr>
        <w:t>。</w:t>
      </w:r>
    </w:p>
    <w:p>
      <w:pPr>
        <w:wordWrap w:val="0"/>
        <w:spacing w:line="360" w:lineRule="auto"/>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b w:val="0"/>
          <w:bCs/>
          <w:color w:val="auto"/>
          <w:kern w:val="0"/>
          <w:sz w:val="24"/>
          <w:highlight w:val="none"/>
        </w:rPr>
        <w:t>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结果按评审后</w:t>
      </w:r>
      <w:r>
        <w:rPr>
          <w:rFonts w:hint="eastAsia" w:ascii="仿宋" w:hAnsi="仿宋" w:eastAsia="仿宋" w:cs="仿宋"/>
          <w:color w:val="auto"/>
          <w:kern w:val="0"/>
          <w:sz w:val="24"/>
          <w:highlight w:val="none"/>
          <w:lang w:val="en-US" w:eastAsia="zh-CN"/>
        </w:rPr>
        <w:t>报价</w:t>
      </w:r>
      <w:r>
        <w:rPr>
          <w:rFonts w:hint="eastAsia" w:ascii="仿宋" w:hAnsi="仿宋" w:eastAsia="仿宋" w:cs="仿宋"/>
          <w:color w:val="auto"/>
          <w:kern w:val="0"/>
          <w:sz w:val="24"/>
          <w:highlight w:val="none"/>
        </w:rPr>
        <w:t>由</w:t>
      </w:r>
      <w:r>
        <w:rPr>
          <w:rFonts w:hint="eastAsia" w:ascii="仿宋" w:hAnsi="仿宋" w:eastAsia="仿宋" w:cs="仿宋"/>
          <w:color w:val="auto"/>
          <w:kern w:val="0"/>
          <w:sz w:val="24"/>
          <w:highlight w:val="none"/>
          <w:lang w:val="en-US" w:eastAsia="zh-CN"/>
        </w:rPr>
        <w:t>低</w:t>
      </w:r>
      <w:r>
        <w:rPr>
          <w:rFonts w:hint="eastAsia" w:ascii="仿宋" w:hAnsi="仿宋" w:eastAsia="仿宋" w:cs="仿宋"/>
          <w:color w:val="auto"/>
          <w:kern w:val="0"/>
          <w:sz w:val="24"/>
          <w:highlight w:val="none"/>
        </w:rPr>
        <w:t>到</w:t>
      </w:r>
      <w:r>
        <w:rPr>
          <w:rFonts w:hint="eastAsia" w:ascii="仿宋" w:hAnsi="仿宋" w:eastAsia="仿宋" w:cs="仿宋"/>
          <w:color w:val="auto"/>
          <w:kern w:val="0"/>
          <w:sz w:val="24"/>
          <w:highlight w:val="none"/>
          <w:lang w:val="en-US" w:eastAsia="zh-CN"/>
        </w:rPr>
        <w:t>高</w:t>
      </w:r>
      <w:r>
        <w:rPr>
          <w:rFonts w:hint="eastAsia" w:ascii="仿宋" w:hAnsi="仿宋" w:eastAsia="仿宋" w:cs="仿宋"/>
          <w:color w:val="auto"/>
          <w:kern w:val="0"/>
          <w:sz w:val="24"/>
          <w:highlight w:val="none"/>
        </w:rPr>
        <w:t>顺序排列。</w:t>
      </w:r>
      <w:r>
        <w:rPr>
          <w:rFonts w:hint="eastAsia" w:ascii="仿宋" w:hAnsi="仿宋" w:eastAsia="仿宋" w:cs="仿宋"/>
          <w:color w:val="auto"/>
          <w:kern w:val="0"/>
          <w:sz w:val="24"/>
          <w:highlight w:val="none"/>
          <w:lang w:eastAsia="zh-CN"/>
        </w:rPr>
        <w:t>应价文件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询价文件</w:t>
      </w:r>
      <w:r>
        <w:rPr>
          <w:rFonts w:hint="eastAsia" w:ascii="仿宋" w:hAnsi="仿宋" w:eastAsia="仿宋" w:cs="仿宋"/>
          <w:color w:val="auto"/>
          <w:kern w:val="0"/>
          <w:sz w:val="24"/>
          <w:highlight w:val="none"/>
        </w:rPr>
        <w:t>全部实质性要求，且</w:t>
      </w:r>
      <w:r>
        <w:rPr>
          <w:rFonts w:hint="eastAsia" w:ascii="仿宋" w:hAnsi="仿宋" w:eastAsia="仿宋" w:cs="仿宋"/>
          <w:color w:val="auto"/>
          <w:kern w:val="0"/>
          <w:sz w:val="24"/>
          <w:highlight w:val="none"/>
          <w:lang w:val="en-US" w:eastAsia="zh-CN"/>
        </w:rPr>
        <w:t>报价最低</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应价人</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r>
        <w:rPr>
          <w:rFonts w:hint="eastAsia" w:ascii="仿宋" w:hAnsi="仿宋" w:eastAsia="仿宋" w:cs="仿宋"/>
          <w:b/>
          <w:bCs/>
          <w:color w:val="auto"/>
          <w:kern w:val="0"/>
          <w:sz w:val="24"/>
          <w:highlight w:val="none"/>
          <w:u w:val="single"/>
        </w:rPr>
        <w:t>本项目推荐</w:t>
      </w:r>
      <w:r>
        <w:rPr>
          <w:rFonts w:hint="eastAsia" w:ascii="仿宋" w:hAnsi="仿宋" w:eastAsia="仿宋" w:cs="仿宋"/>
          <w:b/>
          <w:bCs/>
          <w:color w:val="auto"/>
          <w:kern w:val="0"/>
          <w:sz w:val="24"/>
          <w:highlight w:val="none"/>
          <w:u w:val="single"/>
          <w:lang w:val="en-US" w:eastAsia="zh-CN"/>
        </w:rPr>
        <w:t>成交</w:t>
      </w:r>
      <w:r>
        <w:rPr>
          <w:rFonts w:hint="eastAsia" w:ascii="仿宋" w:hAnsi="仿宋" w:eastAsia="仿宋" w:cs="仿宋"/>
          <w:b/>
          <w:bCs/>
          <w:color w:val="auto"/>
          <w:kern w:val="0"/>
          <w:sz w:val="24"/>
          <w:highlight w:val="none"/>
          <w:u w:val="single"/>
        </w:rPr>
        <w:t>候选人</w:t>
      </w:r>
      <w:r>
        <w:rPr>
          <w:rFonts w:hint="eastAsia" w:ascii="仿宋" w:hAnsi="仿宋" w:eastAsia="仿宋" w:cs="仿宋"/>
          <w:b/>
          <w:bCs/>
          <w:color w:val="auto"/>
          <w:kern w:val="0"/>
          <w:sz w:val="24"/>
          <w:highlight w:val="none"/>
          <w:u w:val="single"/>
          <w:lang w:val="en-US" w:eastAsia="zh-CN"/>
        </w:rPr>
        <w:t>1</w:t>
      </w:r>
      <w:r>
        <w:rPr>
          <w:rFonts w:hint="eastAsia" w:ascii="仿宋" w:hAnsi="仿宋" w:eastAsia="仿宋" w:cs="仿宋"/>
          <w:b/>
          <w:bCs/>
          <w:color w:val="auto"/>
          <w:kern w:val="0"/>
          <w:sz w:val="24"/>
          <w:highlight w:val="none"/>
          <w:u w:val="single"/>
        </w:rPr>
        <w:t>名。</w:t>
      </w:r>
    </w:p>
    <w:p>
      <w:pPr>
        <w:wordWrap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val="0"/>
          <w:bCs/>
          <w:color w:val="auto"/>
          <w:kern w:val="0"/>
          <w:sz w:val="24"/>
          <w:highlight w:val="none"/>
          <w:lang w:val="en-US" w:eastAsia="zh-CN"/>
        </w:rPr>
        <w:t>2</w:t>
      </w:r>
      <w:r>
        <w:rPr>
          <w:rFonts w:hint="eastAsia" w:ascii="仿宋" w:hAnsi="仿宋" w:eastAsia="仿宋" w:cs="仿宋"/>
          <w:b w:val="0"/>
          <w:bCs/>
          <w:color w:val="auto"/>
          <w:kern w:val="0"/>
          <w:sz w:val="24"/>
          <w:highlight w:val="none"/>
        </w:rPr>
        <w:t>.</w:t>
      </w:r>
      <w:r>
        <w:rPr>
          <w:rFonts w:hint="eastAsia" w:ascii="仿宋" w:hAnsi="仿宋" w:eastAsia="仿宋" w:cs="仿宋"/>
          <w:b w:val="0"/>
          <w:bCs/>
          <w:color w:val="auto"/>
          <w:kern w:val="0"/>
          <w:sz w:val="24"/>
          <w:highlight w:val="none"/>
          <w:lang w:val="en-US" w:eastAsia="zh-CN"/>
        </w:rPr>
        <w:t>5</w:t>
      </w:r>
      <w:r>
        <w:rPr>
          <w:rFonts w:hint="eastAsia" w:ascii="仿宋" w:hAnsi="仿宋" w:eastAsia="仿宋" w:cs="仿宋"/>
          <w:b w:val="0"/>
          <w:bCs/>
          <w:color w:val="auto"/>
          <w:kern w:val="0"/>
          <w:sz w:val="24"/>
          <w:highlight w:val="none"/>
        </w:rPr>
        <w:t>编写评</w:t>
      </w:r>
      <w:r>
        <w:rPr>
          <w:rFonts w:hint="eastAsia" w:ascii="仿宋" w:hAnsi="仿宋" w:eastAsia="仿宋" w:cs="仿宋"/>
          <w:b w:val="0"/>
          <w:bCs/>
          <w:color w:val="auto"/>
          <w:kern w:val="0"/>
          <w:sz w:val="24"/>
          <w:highlight w:val="none"/>
          <w:lang w:val="en-US" w:eastAsia="zh-CN"/>
        </w:rPr>
        <w:t>审</w:t>
      </w:r>
      <w:r>
        <w:rPr>
          <w:rFonts w:hint="eastAsia" w:ascii="仿宋" w:hAnsi="仿宋" w:eastAsia="仿宋" w:cs="仿宋"/>
          <w:b w:val="0"/>
          <w:bCs/>
          <w:color w:val="auto"/>
          <w:kern w:val="0"/>
          <w:sz w:val="24"/>
          <w:highlight w:val="none"/>
        </w:rPr>
        <w:t>报告。</w:t>
      </w:r>
      <w:r>
        <w:rPr>
          <w:rFonts w:hint="eastAsia" w:ascii="仿宋" w:hAnsi="仿宋" w:eastAsia="仿宋" w:cs="仿宋"/>
          <w:b w:val="0"/>
          <w:bCs/>
          <w:color w:val="auto"/>
          <w:kern w:val="0"/>
          <w:sz w:val="24"/>
          <w:highlight w:val="none"/>
          <w:lang w:eastAsia="zh-CN"/>
        </w:rPr>
        <w:t>评审</w:t>
      </w:r>
      <w:r>
        <w:rPr>
          <w:rFonts w:hint="eastAsia" w:ascii="仿宋" w:hAnsi="仿宋" w:eastAsia="仿宋" w:cs="仿宋"/>
          <w:color w:val="auto"/>
          <w:kern w:val="0"/>
          <w:sz w:val="24"/>
          <w:highlight w:val="none"/>
          <w:lang w:eastAsia="zh-CN"/>
        </w:rPr>
        <w:t>小组</w:t>
      </w:r>
      <w:r>
        <w:rPr>
          <w:rFonts w:hint="eastAsia" w:ascii="仿宋" w:hAnsi="仿宋" w:eastAsia="仿宋" w:cs="仿宋"/>
          <w:color w:val="auto"/>
          <w:kern w:val="0"/>
          <w:sz w:val="24"/>
          <w:highlight w:val="none"/>
        </w:rPr>
        <w:t>根据全体评</w:t>
      </w:r>
      <w:r>
        <w:rPr>
          <w:rFonts w:hint="eastAsia" w:ascii="仿宋" w:hAnsi="仿宋" w:eastAsia="仿宋" w:cs="仿宋"/>
          <w:color w:val="auto"/>
          <w:kern w:val="0"/>
          <w:sz w:val="24"/>
          <w:highlight w:val="none"/>
          <w:lang w:val="en-US" w:eastAsia="zh-CN"/>
        </w:rPr>
        <w:t>审</w:t>
      </w:r>
      <w:r>
        <w:rPr>
          <w:rFonts w:hint="eastAsia" w:ascii="仿宋" w:hAnsi="仿宋" w:eastAsia="仿宋" w:cs="仿宋"/>
          <w:color w:val="auto"/>
          <w:kern w:val="0"/>
          <w:sz w:val="24"/>
          <w:highlight w:val="none"/>
        </w:rPr>
        <w:t>成员签字的原始</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记录和</w:t>
      </w:r>
      <w:r>
        <w:rPr>
          <w:rFonts w:hint="eastAsia" w:ascii="仿宋" w:hAnsi="仿宋" w:eastAsia="仿宋" w:cs="仿宋"/>
          <w:color w:val="auto"/>
          <w:kern w:val="0"/>
          <w:sz w:val="24"/>
          <w:highlight w:val="none"/>
          <w:lang w:eastAsia="zh-CN"/>
        </w:rPr>
        <w:t>评审</w:t>
      </w:r>
      <w:r>
        <w:rPr>
          <w:rFonts w:hint="eastAsia" w:ascii="仿宋" w:hAnsi="仿宋" w:eastAsia="仿宋" w:cs="仿宋"/>
          <w:color w:val="auto"/>
          <w:kern w:val="0"/>
          <w:sz w:val="24"/>
          <w:highlight w:val="none"/>
        </w:rPr>
        <w:t>结果编写</w:t>
      </w:r>
      <w:r>
        <w:rPr>
          <w:rFonts w:hint="eastAsia" w:ascii="仿宋" w:hAnsi="仿宋" w:eastAsia="仿宋" w:cs="仿宋"/>
          <w:color w:val="auto"/>
          <w:kern w:val="0"/>
          <w:sz w:val="24"/>
          <w:highlight w:val="none"/>
          <w:lang w:eastAsia="zh-CN"/>
        </w:rPr>
        <w:t>评审报告</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成员对需要共同认定的事项存在争议的，应当按照少数服从多数的原则作出结论。持不同意见的</w:t>
      </w:r>
      <w:r>
        <w:rPr>
          <w:rFonts w:hint="eastAsia" w:ascii="仿宋" w:hAnsi="仿宋" w:eastAsia="仿宋" w:cs="仿宋"/>
          <w:color w:val="auto"/>
          <w:kern w:val="0"/>
          <w:sz w:val="24"/>
          <w:highlight w:val="none"/>
          <w:lang w:eastAsia="zh-CN"/>
        </w:rPr>
        <w:t>评审小组</w:t>
      </w:r>
      <w:r>
        <w:rPr>
          <w:rFonts w:hint="eastAsia" w:ascii="仿宋" w:hAnsi="仿宋" w:eastAsia="仿宋" w:cs="仿宋"/>
          <w:color w:val="auto"/>
          <w:kern w:val="0"/>
          <w:sz w:val="24"/>
          <w:highlight w:val="none"/>
        </w:rPr>
        <w:t>成员应当在</w:t>
      </w:r>
      <w:r>
        <w:rPr>
          <w:rFonts w:hint="eastAsia" w:ascii="仿宋" w:hAnsi="仿宋" w:eastAsia="仿宋" w:cs="仿宋"/>
          <w:color w:val="auto"/>
          <w:kern w:val="0"/>
          <w:sz w:val="24"/>
          <w:highlight w:val="none"/>
          <w:lang w:eastAsia="zh-CN"/>
        </w:rPr>
        <w:t>评审报告</w:t>
      </w:r>
      <w:r>
        <w:rPr>
          <w:rFonts w:hint="eastAsia" w:ascii="仿宋" w:hAnsi="仿宋" w:eastAsia="仿宋" w:cs="仿宋"/>
          <w:color w:val="auto"/>
          <w:kern w:val="0"/>
          <w:sz w:val="24"/>
          <w:highlight w:val="none"/>
        </w:rPr>
        <w:t>上签署不同意见及理由，否则视为同意</w:t>
      </w:r>
      <w:r>
        <w:rPr>
          <w:rFonts w:hint="eastAsia" w:ascii="仿宋" w:hAnsi="仿宋" w:eastAsia="仿宋" w:cs="仿宋"/>
          <w:color w:val="auto"/>
          <w:kern w:val="0"/>
          <w:sz w:val="24"/>
          <w:highlight w:val="none"/>
          <w:lang w:eastAsia="zh-CN"/>
        </w:rPr>
        <w:t>评审报告</w:t>
      </w:r>
      <w:r>
        <w:rPr>
          <w:rFonts w:hint="eastAsia" w:ascii="仿宋" w:hAnsi="仿宋" w:eastAsia="仿宋" w:cs="仿宋"/>
          <w:color w:val="auto"/>
          <w:kern w:val="0"/>
          <w:sz w:val="24"/>
          <w:highlight w:val="none"/>
        </w:rPr>
        <w:t>。</w:t>
      </w:r>
    </w:p>
    <w:p>
      <w:pPr>
        <w:widowControl/>
        <w:shd w:val="clear" w:color="auto" w:fill="FFFFFF"/>
        <w:wordWrap w:val="0"/>
        <w:adjustRightInd/>
        <w:spacing w:after="0"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评审</w:t>
      </w:r>
      <w:r>
        <w:rPr>
          <w:rFonts w:hint="eastAsia" w:ascii="仿宋" w:hAnsi="仿宋" w:eastAsia="仿宋" w:cs="仿宋"/>
          <w:b/>
          <w:color w:val="auto"/>
          <w:sz w:val="24"/>
          <w:highlight w:val="none"/>
        </w:rPr>
        <w:t>中的其他事项</w:t>
      </w:r>
    </w:p>
    <w:p>
      <w:pPr>
        <w:pStyle w:val="45"/>
        <w:wordWrap w:val="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lang w:val="en-US" w:eastAsia="zh-CN"/>
        </w:rPr>
        <w:t>3</w:t>
      </w:r>
      <w:r>
        <w:rPr>
          <w:rFonts w:hint="eastAsia" w:ascii="仿宋" w:hAnsi="仿宋" w:eastAsia="仿宋" w:cs="仿宋"/>
          <w:b/>
          <w:color w:val="auto"/>
          <w:kern w:val="0"/>
          <w:szCs w:val="24"/>
          <w:highlight w:val="none"/>
        </w:rPr>
        <w:t>.1</w:t>
      </w:r>
      <w:r>
        <w:rPr>
          <w:rFonts w:hint="eastAsia" w:ascii="仿宋" w:hAnsi="仿宋" w:eastAsia="仿宋" w:cs="仿宋"/>
          <w:b/>
          <w:color w:val="auto"/>
          <w:kern w:val="0"/>
          <w:szCs w:val="24"/>
          <w:highlight w:val="none"/>
          <w:lang w:eastAsia="zh-CN"/>
        </w:rPr>
        <w:t>应价人</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作出必要的澄清、说明或者补正的，</w:t>
      </w:r>
      <w:r>
        <w:rPr>
          <w:rFonts w:hint="eastAsia" w:ascii="仿宋" w:hAnsi="仿宋" w:eastAsia="仿宋" w:cs="仿宋"/>
          <w:color w:val="auto"/>
          <w:kern w:val="0"/>
          <w:szCs w:val="24"/>
          <w:highlight w:val="none"/>
          <w:lang w:eastAsia="zh-CN"/>
        </w:rPr>
        <w:t>评审小组</w:t>
      </w:r>
      <w:r>
        <w:rPr>
          <w:rFonts w:hint="eastAsia" w:ascii="仿宋" w:hAnsi="仿宋" w:eastAsia="仿宋" w:cs="仿宋"/>
          <w:color w:val="auto"/>
          <w:kern w:val="0"/>
          <w:szCs w:val="24"/>
          <w:highlight w:val="none"/>
        </w:rPr>
        <w:t>和</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通过电子</w:t>
      </w:r>
      <w:r>
        <w:rPr>
          <w:rFonts w:hint="eastAsia" w:ascii="仿宋" w:hAnsi="仿宋" w:eastAsia="仿宋" w:cs="仿宋"/>
          <w:color w:val="auto"/>
          <w:kern w:val="0"/>
          <w:szCs w:val="24"/>
          <w:highlight w:val="none"/>
          <w:lang w:val="en-US" w:eastAsia="zh-CN"/>
        </w:rPr>
        <w:t>邮件形式质询、澄清、说明或补正</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提交通过</w:t>
      </w:r>
      <w:r>
        <w:rPr>
          <w:rFonts w:hint="eastAsia" w:ascii="仿宋" w:hAnsi="仿宋" w:eastAsia="仿宋" w:cs="仿宋"/>
          <w:color w:val="auto"/>
          <w:kern w:val="0"/>
          <w:szCs w:val="24"/>
          <w:highlight w:val="none"/>
          <w:lang w:val="en-US" w:eastAsia="zh-CN"/>
        </w:rPr>
        <w:t>电子邮件发送</w:t>
      </w:r>
      <w:r>
        <w:rPr>
          <w:rFonts w:hint="eastAsia" w:ascii="仿宋" w:hAnsi="仿宋" w:eastAsia="仿宋" w:cs="仿宋"/>
          <w:color w:val="auto"/>
          <w:kern w:val="0"/>
          <w:szCs w:val="24"/>
          <w:highlight w:val="none"/>
        </w:rPr>
        <w:t>加盖</w:t>
      </w:r>
      <w:r>
        <w:rPr>
          <w:rFonts w:hint="eastAsia" w:ascii="仿宋" w:hAnsi="仿宋" w:eastAsia="仿宋" w:cs="仿宋"/>
          <w:color w:val="auto"/>
          <w:kern w:val="0"/>
          <w:szCs w:val="24"/>
          <w:highlight w:val="none"/>
          <w:lang w:val="en-US" w:eastAsia="zh-CN"/>
        </w:rPr>
        <w:t>单位物理</w:t>
      </w:r>
      <w:r>
        <w:rPr>
          <w:rFonts w:hint="eastAsia" w:ascii="仿宋" w:hAnsi="仿宋" w:eastAsia="仿宋" w:cs="仿宋"/>
          <w:color w:val="auto"/>
          <w:kern w:val="0"/>
          <w:szCs w:val="24"/>
          <w:highlight w:val="none"/>
        </w:rPr>
        <w:t>公章的扫描件。给予</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应价人</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的实质性内容。</w:t>
      </w:r>
    </w:p>
    <w:p>
      <w:pPr>
        <w:wordWrap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szCs w:val="24"/>
          <w:highlight w:val="none"/>
          <w:lang w:val="en-US" w:eastAsia="zh-CN" w:bidi="ar-SA"/>
        </w:rPr>
        <w:t>3.2报价评</w:t>
      </w:r>
      <w:r>
        <w:rPr>
          <w:rFonts w:hint="eastAsia" w:ascii="仿宋" w:hAnsi="仿宋" w:eastAsia="仿宋" w:cs="仿宋"/>
          <w:b/>
          <w:color w:val="auto"/>
          <w:kern w:val="0"/>
          <w:sz w:val="24"/>
          <w:highlight w:val="none"/>
        </w:rPr>
        <w:t>审。</w:t>
      </w:r>
    </w:p>
    <w:p>
      <w:pPr>
        <w:pStyle w:val="45"/>
        <w:wordWrap w:val="0"/>
        <w:spacing w:before="0"/>
        <w:ind w:firstLine="508" w:firstLineChars="21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报价出现前后不一致的，按照下列规定修正：</w:t>
      </w:r>
    </w:p>
    <w:p>
      <w:pPr>
        <w:pStyle w:val="45"/>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val="en-US" w:eastAsia="zh-CN"/>
        </w:rPr>
        <w:t>报价函</w:t>
      </w:r>
      <w:r>
        <w:rPr>
          <w:rFonts w:hint="eastAsia" w:ascii="仿宋" w:hAnsi="仿宋" w:eastAsia="仿宋" w:cs="仿宋"/>
          <w:color w:val="auto"/>
          <w:kern w:val="0"/>
          <w:szCs w:val="24"/>
          <w:highlight w:val="none"/>
        </w:rPr>
        <w:t>内容与</w:t>
      </w:r>
      <w:r>
        <w:rPr>
          <w:rFonts w:hint="eastAsia" w:ascii="仿宋" w:hAnsi="仿宋" w:eastAsia="仿宋" w:cs="仿宋"/>
          <w:color w:val="auto"/>
          <w:kern w:val="0"/>
          <w:szCs w:val="24"/>
          <w:highlight w:val="none"/>
          <w:lang w:eastAsia="zh-CN"/>
        </w:rPr>
        <w:t>应价文件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val="en-US" w:eastAsia="zh-CN"/>
        </w:rPr>
        <w:t>报价函</w:t>
      </w:r>
      <w:r>
        <w:rPr>
          <w:rFonts w:hint="eastAsia" w:ascii="仿宋" w:hAnsi="仿宋" w:eastAsia="仿宋" w:cs="仿宋"/>
          <w:color w:val="auto"/>
          <w:kern w:val="0"/>
          <w:szCs w:val="24"/>
          <w:highlight w:val="none"/>
        </w:rPr>
        <w:t>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u w:val="single"/>
        </w:rPr>
        <w:t>但</w:t>
      </w:r>
      <w:r>
        <w:rPr>
          <w:rFonts w:hint="eastAsia" w:ascii="仿宋" w:hAnsi="仿宋" w:eastAsia="仿宋" w:cs="仿宋"/>
          <w:color w:val="auto"/>
          <w:kern w:val="0"/>
          <w:szCs w:val="24"/>
          <w:highlight w:val="none"/>
          <w:u w:val="single"/>
          <w:lang w:val="en-US" w:eastAsia="zh-CN"/>
        </w:rPr>
        <w:t>报价函</w:t>
      </w:r>
      <w:r>
        <w:rPr>
          <w:rFonts w:hint="eastAsia" w:ascii="仿宋" w:hAnsi="仿宋" w:eastAsia="仿宋" w:cs="仿宋"/>
          <w:color w:val="auto"/>
          <w:kern w:val="0"/>
          <w:szCs w:val="24"/>
          <w:highlight w:val="none"/>
          <w:u w:val="single"/>
        </w:rPr>
        <w:t>存在明显单位、文字错误的，则澄清、说明、补正；</w:t>
      </w:r>
    </w:p>
    <w:p>
      <w:pPr>
        <w:pStyle w:val="45"/>
        <w:wordWrap w:val="0"/>
        <w:spacing w:before="0"/>
        <w:ind w:firstLine="480"/>
        <w:rPr>
          <w:rFonts w:hint="eastAsia" w:ascii="仿宋" w:hAnsi="仿宋" w:eastAsia="仿宋" w:cs="仿宋"/>
          <w:color w:val="auto"/>
          <w:kern w:val="0"/>
          <w:szCs w:val="24"/>
          <w:highlight w:val="none"/>
          <w:u w:val="single"/>
          <w:lang w:eastAsia="zh-CN"/>
        </w:rPr>
      </w:pP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大写金额和小写金额不一致的，以大写金额为准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u w:val="single"/>
        </w:rPr>
        <w:t>但大写有明显单位、文字错误外的除外</w:t>
      </w:r>
      <w:r>
        <w:rPr>
          <w:rFonts w:hint="eastAsia" w:ascii="仿宋" w:hAnsi="仿宋" w:eastAsia="仿宋" w:cs="仿宋"/>
          <w:color w:val="auto"/>
          <w:kern w:val="0"/>
          <w:szCs w:val="24"/>
          <w:highlight w:val="none"/>
          <w:u w:val="single"/>
          <w:lang w:eastAsia="zh-CN"/>
        </w:rPr>
        <w:t>；</w:t>
      </w:r>
    </w:p>
    <w:p>
      <w:pPr>
        <w:pStyle w:val="45"/>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单价金额小数点或者百分比有明显错位的，以开标一览表的总价为准，并修改单价;</w:t>
      </w:r>
    </w:p>
    <w:p>
      <w:pPr>
        <w:pStyle w:val="45"/>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总价金额与按单价汇总金额不一致的，以单价金额计算结果为准。</w:t>
      </w:r>
    </w:p>
    <w:p>
      <w:pPr>
        <w:pStyle w:val="45"/>
        <w:wordWrap w:val="0"/>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lang w:val="en-US" w:eastAsia="zh-CN"/>
        </w:rPr>
        <w:t>以上</w:t>
      </w:r>
      <w:r>
        <w:rPr>
          <w:rFonts w:hint="eastAsia" w:ascii="仿宋" w:hAnsi="仿宋" w:eastAsia="仿宋" w:cs="仿宋"/>
          <w:color w:val="auto"/>
          <w:kern w:val="0"/>
          <w:szCs w:val="24"/>
          <w:highlight w:val="none"/>
        </w:rPr>
        <w:t>规定的顺序修正。修正后的报价经</w:t>
      </w:r>
      <w:r>
        <w:rPr>
          <w:rFonts w:hint="eastAsia" w:ascii="仿宋" w:hAnsi="仿宋" w:eastAsia="仿宋" w:cs="仿宋"/>
          <w:color w:val="auto"/>
          <w:kern w:val="0"/>
          <w:szCs w:val="24"/>
          <w:highlight w:val="none"/>
          <w:lang w:val="en-US" w:eastAsia="zh-CN"/>
        </w:rPr>
        <w:t>应价人</w:t>
      </w:r>
      <w:r>
        <w:rPr>
          <w:rFonts w:hint="eastAsia" w:ascii="仿宋" w:hAnsi="仿宋" w:eastAsia="仿宋" w:cs="仿宋"/>
          <w:color w:val="auto"/>
          <w:kern w:val="0"/>
          <w:szCs w:val="24"/>
          <w:highlight w:val="none"/>
        </w:rPr>
        <w:t>确认后产生约束力。</w:t>
      </w:r>
      <w:r>
        <w:rPr>
          <w:rFonts w:hint="eastAsia" w:ascii="仿宋" w:hAnsi="仿宋" w:eastAsia="仿宋" w:cs="仿宋"/>
          <w:color w:val="auto"/>
          <w:kern w:val="0"/>
          <w:szCs w:val="24"/>
          <w:highlight w:val="none"/>
          <w:lang w:val="en-US" w:eastAsia="zh-CN"/>
        </w:rPr>
        <w:t>应价人不予确认的，其响应无效。</w:t>
      </w:r>
    </w:p>
    <w:p>
      <w:pPr>
        <w:pStyle w:val="10"/>
        <w:wordWrap w:val="0"/>
        <w:snapToGrid w:val="0"/>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color w:val="auto"/>
          <w:szCs w:val="24"/>
          <w:highlight w:val="none"/>
          <w:lang w:val="en-US" w:eastAsia="zh-CN"/>
        </w:rPr>
        <w:t>3.3</w:t>
      </w:r>
      <w:r>
        <w:rPr>
          <w:rFonts w:hint="eastAsia" w:ascii="仿宋" w:hAnsi="仿宋" w:eastAsia="仿宋" w:cs="仿宋"/>
          <w:b/>
          <w:color w:val="auto"/>
          <w:szCs w:val="24"/>
          <w:highlight w:val="none"/>
        </w:rPr>
        <w:t>修改</w:t>
      </w:r>
      <w:r>
        <w:rPr>
          <w:rFonts w:hint="eastAsia" w:ascii="仿宋" w:hAnsi="仿宋" w:eastAsia="仿宋" w:cs="仿宋"/>
          <w:b/>
          <w:color w:val="auto"/>
          <w:szCs w:val="24"/>
          <w:highlight w:val="none"/>
          <w:lang w:eastAsia="zh-CN"/>
        </w:rPr>
        <w:t>询价文件</w:t>
      </w:r>
      <w:r>
        <w:rPr>
          <w:rFonts w:hint="eastAsia" w:ascii="仿宋" w:hAnsi="仿宋" w:eastAsia="仿宋" w:cs="仿宋"/>
          <w:b/>
          <w:color w:val="auto"/>
          <w:szCs w:val="24"/>
          <w:highlight w:val="none"/>
        </w:rPr>
        <w:t>，重新组织采购活动。</w:t>
      </w:r>
      <w:r>
        <w:rPr>
          <w:rFonts w:hint="eastAsia" w:ascii="仿宋" w:hAnsi="仿宋" w:eastAsia="仿宋" w:cs="仿宋"/>
          <w:color w:val="auto"/>
          <w:szCs w:val="24"/>
          <w:highlight w:val="none"/>
          <w:lang w:eastAsia="zh-CN"/>
        </w:rPr>
        <w:t>评审小组</w:t>
      </w:r>
      <w:r>
        <w:rPr>
          <w:rFonts w:hint="eastAsia" w:ascii="仿宋" w:hAnsi="仿宋" w:eastAsia="仿宋" w:cs="仿宋"/>
          <w:color w:val="auto"/>
          <w:szCs w:val="24"/>
          <w:highlight w:val="none"/>
        </w:rPr>
        <w:t>发现</w:t>
      </w:r>
      <w:r>
        <w:rPr>
          <w:rFonts w:hint="eastAsia" w:ascii="仿宋" w:hAnsi="仿宋" w:eastAsia="仿宋" w:cs="仿宋"/>
          <w:color w:val="auto"/>
          <w:szCs w:val="24"/>
          <w:highlight w:val="none"/>
          <w:lang w:eastAsia="zh-CN"/>
        </w:rPr>
        <w:t>询价文件</w:t>
      </w:r>
      <w:r>
        <w:rPr>
          <w:rFonts w:hint="eastAsia" w:ascii="仿宋" w:hAnsi="仿宋" w:eastAsia="仿宋" w:cs="仿宋"/>
          <w:color w:val="auto"/>
          <w:szCs w:val="24"/>
          <w:highlight w:val="none"/>
        </w:rPr>
        <w:t>存在歧义、重大缺陷导致</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工作无法进行，或者</w:t>
      </w:r>
      <w:r>
        <w:rPr>
          <w:rFonts w:hint="eastAsia" w:ascii="仿宋" w:hAnsi="仿宋" w:eastAsia="仿宋" w:cs="仿宋"/>
          <w:color w:val="auto"/>
          <w:szCs w:val="24"/>
          <w:highlight w:val="none"/>
          <w:lang w:eastAsia="zh-CN"/>
        </w:rPr>
        <w:t>询价文件</w:t>
      </w:r>
      <w:r>
        <w:rPr>
          <w:rFonts w:hint="eastAsia" w:ascii="仿宋" w:hAnsi="仿宋" w:eastAsia="仿宋" w:cs="仿宋"/>
          <w:color w:val="auto"/>
          <w:szCs w:val="24"/>
          <w:highlight w:val="none"/>
        </w:rPr>
        <w:t>内容违反国家有关强制性规定的，将停止</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工作，并与</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沟通并作书面记录。</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确认后，将修改</w:t>
      </w:r>
      <w:r>
        <w:rPr>
          <w:rFonts w:hint="eastAsia" w:ascii="仿宋" w:hAnsi="仿宋" w:eastAsia="仿宋" w:cs="仿宋"/>
          <w:color w:val="auto"/>
          <w:szCs w:val="24"/>
          <w:highlight w:val="none"/>
          <w:lang w:eastAsia="zh-CN"/>
        </w:rPr>
        <w:t>询价文件</w:t>
      </w:r>
      <w:r>
        <w:rPr>
          <w:rFonts w:hint="eastAsia" w:ascii="仿宋" w:hAnsi="仿宋" w:eastAsia="仿宋" w:cs="仿宋"/>
          <w:color w:val="auto"/>
          <w:szCs w:val="24"/>
          <w:highlight w:val="none"/>
        </w:rPr>
        <w:t>，重新组织采购活动。</w:t>
      </w:r>
    </w:p>
    <w:p>
      <w:pPr>
        <w:pStyle w:val="10"/>
        <w:wordWrap w:val="0"/>
        <w:snapToGrid w:val="0"/>
        <w:spacing w:line="360" w:lineRule="auto"/>
        <w:outlineLvl w:val="1"/>
        <w:rPr>
          <w:rFonts w:hint="eastAsia" w:ascii="仿宋" w:hAnsi="仿宋" w:eastAsia="仿宋" w:cs="仿宋"/>
          <w:b/>
          <w:bCs/>
          <w:color w:val="auto"/>
          <w:sz w:val="24"/>
          <w:szCs w:val="24"/>
          <w:highlight w:val="none"/>
          <w:lang w:val="en-US" w:eastAsia="zh-CN"/>
        </w:rPr>
      </w:pPr>
      <w:bookmarkStart w:id="60" w:name="_Toc708"/>
      <w:bookmarkStart w:id="61" w:name="_Toc28179"/>
      <w:r>
        <w:rPr>
          <w:rFonts w:hint="eastAsia" w:ascii="仿宋" w:hAnsi="仿宋" w:eastAsia="仿宋" w:cs="仿宋"/>
          <w:b/>
          <w:bCs/>
          <w:color w:val="auto"/>
          <w:sz w:val="24"/>
          <w:szCs w:val="24"/>
          <w:highlight w:val="none"/>
          <w:lang w:val="en-US" w:eastAsia="zh-CN"/>
        </w:rPr>
        <w:t>十一、定价</w:t>
      </w:r>
      <w:bookmarkEnd w:id="60"/>
      <w:bookmarkEnd w:id="61"/>
    </w:p>
    <w:p>
      <w:pPr>
        <w:pStyle w:val="10"/>
        <w:wordWrap w:val="0"/>
        <w:snapToGrid w:val="0"/>
        <w:spacing w:line="360" w:lineRule="auto"/>
        <w:ind w:left="0" w:leftChars="0" w:firstLine="480" w:firstLineChars="200"/>
        <w:rPr>
          <w:rFonts w:hint="eastAsia" w:ascii="仿宋" w:hAnsi="仿宋" w:eastAsia="仿宋" w:cs="仿宋"/>
          <w:b w:val="0"/>
          <w:color w:val="auto"/>
          <w:szCs w:val="24"/>
          <w:highlight w:val="none"/>
          <w:lang w:val="en-US" w:eastAsia="zh-CN"/>
        </w:rPr>
      </w:pPr>
      <w:r>
        <w:rPr>
          <w:rFonts w:hint="eastAsia" w:ascii="仿宋" w:hAnsi="仿宋" w:eastAsia="仿宋" w:cs="仿宋"/>
          <w:b w:val="0"/>
          <w:color w:val="auto"/>
          <w:szCs w:val="24"/>
          <w:highlight w:val="none"/>
          <w:lang w:val="en-US" w:eastAsia="zh-CN"/>
        </w:rPr>
        <w:t>1、成交结果公告</w:t>
      </w:r>
    </w:p>
    <w:p>
      <w:pPr>
        <w:pStyle w:val="10"/>
        <w:wordWrap w:val="0"/>
        <w:snapToGrid w:val="0"/>
        <w:spacing w:line="360" w:lineRule="auto"/>
        <w:ind w:left="0" w:leftChars="0" w:firstLine="480" w:firstLineChars="200"/>
        <w:rPr>
          <w:rFonts w:hint="eastAsia" w:ascii="仿宋" w:hAnsi="仿宋" w:eastAsia="仿宋" w:cs="仿宋"/>
          <w:b w:val="0"/>
          <w:color w:val="auto"/>
          <w:szCs w:val="24"/>
          <w:highlight w:val="none"/>
          <w:lang w:val="en-US" w:eastAsia="zh-CN"/>
        </w:rPr>
      </w:pPr>
      <w:r>
        <w:rPr>
          <w:rFonts w:hint="eastAsia" w:ascii="仿宋" w:hAnsi="仿宋" w:eastAsia="仿宋" w:cs="仿宋"/>
          <w:b w:val="0"/>
          <w:color w:val="auto"/>
          <w:szCs w:val="24"/>
          <w:highlight w:val="none"/>
          <w:lang w:val="en-US" w:eastAsia="zh-CN"/>
        </w:rPr>
        <w:t>成交人确定之日起2日内，将在网站发布成交结果公告，公告期限为1个工作日。各参加采购活动的供应商认为该成交结果和采购过程等使自己的权益受到损害的，可以在公告期内，以书面形式向招标代理机构提出质疑。</w:t>
      </w:r>
    </w:p>
    <w:p>
      <w:pPr>
        <w:pStyle w:val="10"/>
        <w:wordWrap w:val="0"/>
        <w:snapToGrid w:val="0"/>
        <w:spacing w:line="360" w:lineRule="auto"/>
        <w:ind w:left="0" w:leftChars="0" w:firstLine="480" w:firstLineChars="200"/>
        <w:rPr>
          <w:rFonts w:hint="eastAsia" w:ascii="仿宋" w:hAnsi="仿宋" w:eastAsia="仿宋" w:cs="仿宋"/>
          <w:b w:val="0"/>
          <w:color w:val="auto"/>
          <w:szCs w:val="24"/>
          <w:highlight w:val="none"/>
          <w:lang w:val="en-US" w:eastAsia="zh-CN"/>
        </w:rPr>
      </w:pPr>
      <w:r>
        <w:rPr>
          <w:rFonts w:hint="eastAsia" w:ascii="仿宋" w:hAnsi="仿宋" w:eastAsia="仿宋" w:cs="仿宋"/>
          <w:b w:val="0"/>
          <w:color w:val="auto"/>
          <w:szCs w:val="24"/>
          <w:highlight w:val="none"/>
          <w:lang w:val="en-US" w:eastAsia="zh-CN"/>
        </w:rPr>
        <w:t>2、成交结果公告与成交通知书</w:t>
      </w:r>
    </w:p>
    <w:p>
      <w:pPr>
        <w:pStyle w:val="10"/>
        <w:wordWrap w:val="0"/>
        <w:snapToGrid w:val="0"/>
        <w:spacing w:line="360" w:lineRule="auto"/>
        <w:ind w:left="0" w:leftChars="0" w:firstLine="480" w:firstLineChars="200"/>
        <w:rPr>
          <w:rFonts w:hint="eastAsia" w:ascii="仿宋" w:hAnsi="仿宋" w:eastAsia="仿宋" w:cs="仿宋"/>
          <w:b w:val="0"/>
          <w:color w:val="auto"/>
          <w:szCs w:val="24"/>
          <w:highlight w:val="none"/>
          <w:lang w:val="en-US" w:eastAsia="zh-CN"/>
        </w:rPr>
      </w:pPr>
      <w:r>
        <w:rPr>
          <w:rFonts w:hint="eastAsia" w:ascii="仿宋" w:hAnsi="仿宋" w:eastAsia="仿宋" w:cs="仿宋"/>
          <w:b w:val="0"/>
          <w:color w:val="auto"/>
          <w:szCs w:val="24"/>
          <w:highlight w:val="none"/>
          <w:lang w:val="en-US" w:eastAsia="zh-CN"/>
        </w:rPr>
        <w:t>2.1成交人确定后，询价人将以书面形式发出《中标通知书》。《中标通知书》一经发出即发生法律效力。</w:t>
      </w:r>
    </w:p>
    <w:p>
      <w:pPr>
        <w:pStyle w:val="10"/>
        <w:widowControl/>
        <w:shd w:val="clear" w:color="auto" w:fill="FFFFFF"/>
        <w:wordWrap w:val="0"/>
        <w:snapToGrid w:val="0"/>
        <w:spacing w:line="360" w:lineRule="auto"/>
        <w:ind w:left="0" w:leftChars="0" w:firstLine="480" w:firstLineChars="20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Cs w:val="24"/>
          <w:highlight w:val="none"/>
          <w:lang w:val="en-US" w:eastAsia="zh-CN"/>
        </w:rPr>
        <w:t>2.2《中标通知书》将作为签订合同的依据。</w:t>
      </w:r>
    </w:p>
    <w:p>
      <w:pPr>
        <w:wordWrap w:val="0"/>
        <w:snapToGrid w:val="0"/>
        <w:spacing w:line="360" w:lineRule="auto"/>
        <w:ind w:left="120" w:leftChars="57" w:firstLine="361" w:firstLineChars="150"/>
        <w:jc w:val="both"/>
        <w:outlineLvl w:val="1"/>
        <w:rPr>
          <w:rFonts w:hint="eastAsia" w:ascii="仿宋" w:hAnsi="仿宋" w:eastAsia="仿宋" w:cs="仿宋"/>
          <w:b/>
          <w:color w:val="auto"/>
          <w:sz w:val="24"/>
          <w:highlight w:val="none"/>
        </w:rPr>
      </w:pPr>
      <w:bookmarkStart w:id="62" w:name="_Toc30296"/>
      <w:bookmarkStart w:id="63" w:name="_Toc8173"/>
      <w:r>
        <w:rPr>
          <w:rFonts w:hint="eastAsia" w:ascii="仿宋" w:hAnsi="仿宋" w:eastAsia="仿宋" w:cs="仿宋"/>
          <w:b/>
          <w:color w:val="auto"/>
          <w:sz w:val="24"/>
          <w:highlight w:val="none"/>
          <w:lang w:val="en-US" w:eastAsia="zh-CN"/>
        </w:rPr>
        <w:t>十二、</w:t>
      </w:r>
      <w:r>
        <w:rPr>
          <w:rFonts w:hint="eastAsia" w:ascii="仿宋" w:hAnsi="仿宋" w:eastAsia="仿宋" w:cs="仿宋"/>
          <w:b/>
          <w:color w:val="auto"/>
          <w:sz w:val="24"/>
          <w:highlight w:val="none"/>
        </w:rPr>
        <w:t>合同授予</w:t>
      </w:r>
      <w:bookmarkEnd w:id="62"/>
      <w:bookmarkEnd w:id="63"/>
    </w:p>
    <w:p>
      <w:pPr>
        <w:pStyle w:val="10"/>
        <w:wordWrap w:val="0"/>
        <w:spacing w:line="360" w:lineRule="auto"/>
        <w:ind w:left="439" w:leftChars="209" w:firstLine="0" w:firstLineChars="0"/>
        <w:rPr>
          <w:rFonts w:hint="eastAsia" w:ascii="仿宋" w:hAnsi="仿宋" w:eastAsia="仿宋" w:cs="仿宋"/>
          <w:b/>
          <w:color w:val="auto"/>
          <w:szCs w:val="24"/>
          <w:highlight w:val="none"/>
        </w:rPr>
      </w:pPr>
      <w:r>
        <w:rPr>
          <w:rFonts w:hint="eastAsia" w:ascii="仿宋" w:hAnsi="仿宋" w:eastAsia="仿宋" w:cs="仿宋"/>
          <w:b w:val="0"/>
          <w:bCs/>
          <w:color w:val="auto"/>
          <w:szCs w:val="24"/>
          <w:highlight w:val="none"/>
          <w:lang w:val="en-US" w:eastAsia="zh-CN"/>
        </w:rPr>
        <w:t>1、</w:t>
      </w:r>
      <w:r>
        <w:rPr>
          <w:rFonts w:hint="eastAsia" w:ascii="仿宋" w:hAnsi="仿宋" w:eastAsia="仿宋" w:cs="仿宋"/>
          <w:color w:val="auto"/>
          <w:szCs w:val="24"/>
          <w:highlight w:val="none"/>
        </w:rPr>
        <w:t>合同条款详见</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拟签订的合同文本</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pPr>
        <w:pStyle w:val="10"/>
        <w:wordWrap w:val="0"/>
        <w:spacing w:line="360" w:lineRule="auto"/>
        <w:ind w:left="439" w:leftChars="209" w:firstLine="0" w:firstLineChars="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w:t>
      </w:r>
      <w:r>
        <w:rPr>
          <w:rFonts w:hint="eastAsia" w:ascii="仿宋" w:hAnsi="仿宋" w:eastAsia="仿宋" w:cs="仿宋"/>
          <w:b w:val="0"/>
          <w:bCs/>
          <w:color w:val="auto"/>
          <w:szCs w:val="24"/>
          <w:highlight w:val="none"/>
        </w:rPr>
        <w:t>合同的签订</w:t>
      </w:r>
    </w:p>
    <w:p>
      <w:pPr>
        <w:widowControl/>
        <w:shd w:val="clear" w:color="auto" w:fill="FFFFFF"/>
        <w:wordWrap w:val="0"/>
        <w:spacing w:line="360" w:lineRule="auto"/>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询价</w:t>
      </w:r>
      <w:r>
        <w:rPr>
          <w:rFonts w:hint="eastAsia" w:ascii="仿宋" w:hAnsi="仿宋" w:eastAsia="仿宋" w:cs="仿宋"/>
          <w:color w:val="auto"/>
          <w:kern w:val="0"/>
          <w:sz w:val="24"/>
          <w:highlight w:val="none"/>
        </w:rPr>
        <w:t>人与</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人应当在</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通知书发出之日起十日内，按照</w:t>
      </w:r>
      <w:r>
        <w:rPr>
          <w:rFonts w:hint="eastAsia" w:ascii="仿宋" w:hAnsi="仿宋" w:eastAsia="仿宋" w:cs="仿宋"/>
          <w:color w:val="auto"/>
          <w:kern w:val="0"/>
          <w:sz w:val="24"/>
          <w:highlight w:val="none"/>
          <w:lang w:val="en-US" w:eastAsia="zh-CN"/>
        </w:rPr>
        <w:t>询价</w:t>
      </w:r>
      <w:r>
        <w:rPr>
          <w:rFonts w:hint="eastAsia" w:ascii="仿宋" w:hAnsi="仿宋" w:eastAsia="仿宋" w:cs="仿宋"/>
          <w:color w:val="auto"/>
          <w:kern w:val="0"/>
          <w:sz w:val="24"/>
          <w:highlight w:val="none"/>
        </w:rPr>
        <w:t>文件确定的事项签订采购合同</w:t>
      </w:r>
      <w:r>
        <w:rPr>
          <w:rFonts w:hint="eastAsia" w:ascii="仿宋" w:hAnsi="仿宋" w:eastAsia="仿宋" w:cs="仿宋"/>
          <w:color w:val="auto"/>
          <w:kern w:val="0"/>
          <w:sz w:val="24"/>
          <w:highlight w:val="none"/>
          <w:lang w:eastAsia="zh-CN"/>
        </w:rPr>
        <w:t>。</w:t>
      </w:r>
    </w:p>
    <w:p>
      <w:pPr>
        <w:pStyle w:val="45"/>
        <w:wordWrap w:val="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2.2成交人按规定的日期、时间、地点，由法定代表人或其授权代表与询价人代表签订合同。如成交人为联合体的，由联合体成员各方法定代表人或其授权代表与询价人代表签订合同。</w:t>
      </w:r>
    </w:p>
    <w:p>
      <w:pPr>
        <w:pStyle w:val="45"/>
        <w:wordWrap w:val="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2.3如签订合同并生效后，供应商无故拒绝或延期，除按照合同条款处理外，列入</w:t>
      </w:r>
      <w:r>
        <w:rPr>
          <w:rFonts w:hint="eastAsia" w:ascii="仿宋" w:hAnsi="仿宋" w:eastAsia="仿宋" w:cs="仿宋"/>
          <w:color w:val="auto"/>
          <w:szCs w:val="24"/>
          <w:highlight w:val="none"/>
          <w:lang w:val="en-US" w:eastAsia="zh-CN"/>
        </w:rPr>
        <w:t>询价人的</w:t>
      </w:r>
      <w:r>
        <w:rPr>
          <w:rFonts w:hint="eastAsia" w:ascii="仿宋" w:hAnsi="仿宋" w:eastAsia="仿宋" w:cs="仿宋"/>
          <w:color w:val="auto"/>
          <w:szCs w:val="24"/>
          <w:highlight w:val="none"/>
        </w:rPr>
        <w:t>不良行为记录一次。</w:t>
      </w:r>
    </w:p>
    <w:p>
      <w:pPr>
        <w:pStyle w:val="45"/>
        <w:wordWrap w:val="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2.4</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供应商拒绝与</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签订合同的，</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可以按照评审报告推荐的</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或者成交候选人名单排序，确定下一候选人为</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供应商，也可以重新开展采购活动。</w:t>
      </w:r>
    </w:p>
    <w:p>
      <w:pPr>
        <w:pStyle w:val="45"/>
        <w:wordWrap w:val="0"/>
        <w:snapToGrid w:val="0"/>
        <w:spacing w:before="0" w:after="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2.5采购合同由</w:t>
      </w:r>
      <w:r>
        <w:rPr>
          <w:rFonts w:hint="eastAsia" w:ascii="仿宋" w:hAnsi="仿宋" w:eastAsia="仿宋" w:cs="仿宋"/>
          <w:color w:val="auto"/>
          <w:szCs w:val="24"/>
          <w:highlight w:val="none"/>
          <w:lang w:eastAsia="zh-CN"/>
        </w:rPr>
        <w:t>询价人</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lang w:val="en-US" w:eastAsia="zh-CN"/>
        </w:rPr>
        <w:t>人</w:t>
      </w:r>
      <w:r>
        <w:rPr>
          <w:rFonts w:hint="eastAsia" w:ascii="仿宋" w:hAnsi="仿宋" w:eastAsia="仿宋" w:cs="仿宋"/>
          <w:color w:val="auto"/>
          <w:szCs w:val="24"/>
          <w:highlight w:val="none"/>
        </w:rPr>
        <w:t>根据</w:t>
      </w:r>
      <w:r>
        <w:rPr>
          <w:rFonts w:hint="eastAsia" w:ascii="仿宋" w:hAnsi="仿宋" w:eastAsia="仿宋" w:cs="仿宋"/>
          <w:color w:val="auto"/>
          <w:szCs w:val="24"/>
          <w:highlight w:val="none"/>
          <w:lang w:val="en-US" w:eastAsia="zh-CN"/>
        </w:rPr>
        <w:t>询价</w:t>
      </w:r>
      <w:r>
        <w:rPr>
          <w:rFonts w:hint="eastAsia" w:ascii="仿宋" w:hAnsi="仿宋" w:eastAsia="仿宋" w:cs="仿宋"/>
          <w:color w:val="auto"/>
          <w:szCs w:val="24"/>
          <w:highlight w:val="none"/>
        </w:rPr>
        <w:t>文件、</w:t>
      </w:r>
      <w:r>
        <w:rPr>
          <w:rFonts w:hint="eastAsia" w:ascii="仿宋" w:hAnsi="仿宋" w:eastAsia="仿宋" w:cs="仿宋"/>
          <w:color w:val="auto"/>
          <w:szCs w:val="24"/>
          <w:highlight w:val="none"/>
          <w:lang w:val="en-US" w:eastAsia="zh-CN"/>
        </w:rPr>
        <w:t>应价</w:t>
      </w:r>
      <w:r>
        <w:rPr>
          <w:rFonts w:hint="eastAsia" w:ascii="仿宋" w:hAnsi="仿宋" w:eastAsia="仿宋" w:cs="仿宋"/>
          <w:color w:val="auto"/>
          <w:szCs w:val="24"/>
          <w:highlight w:val="none"/>
        </w:rPr>
        <w:t>文件等内容签订。</w:t>
      </w:r>
    </w:p>
    <w:p>
      <w:pPr>
        <w:pStyle w:val="10"/>
        <w:wordWrap w:val="0"/>
        <w:spacing w:line="360" w:lineRule="auto"/>
        <w:ind w:left="439" w:leftChars="209"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十三、</w:t>
      </w:r>
      <w:r>
        <w:rPr>
          <w:rFonts w:hint="eastAsia" w:ascii="仿宋" w:hAnsi="仿宋" w:eastAsia="仿宋" w:cs="仿宋"/>
          <w:b/>
          <w:color w:val="auto"/>
          <w:szCs w:val="24"/>
          <w:highlight w:val="none"/>
        </w:rPr>
        <w:t>履约保证金</w:t>
      </w:r>
    </w:p>
    <w:p>
      <w:pPr>
        <w:keepNext w:val="0"/>
        <w:keepLines w:val="0"/>
        <w:pageBreakBefore w:val="0"/>
        <w:widowControl w:val="0"/>
        <w:tabs>
          <w:tab w:val="left" w:pos="0"/>
        </w:tabs>
        <w:kinsoku/>
        <w:wordWrap w:val="0"/>
        <w:overflowPunct/>
        <w:topLinePunct w:val="0"/>
        <w:autoSpaceDE/>
        <w:autoSpaceDN/>
        <w:bidi w:val="0"/>
        <w:adjustRightInd/>
        <w:spacing w:line="360" w:lineRule="auto"/>
        <w:ind w:firstLine="482"/>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拟签订的合同要求</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提交履约保证金的，供应商应当以</w:t>
      </w:r>
      <w:r>
        <w:rPr>
          <w:rFonts w:hint="eastAsia" w:ascii="仿宋" w:hAnsi="仿宋" w:eastAsia="仿宋" w:cs="仿宋"/>
          <w:color w:val="auto"/>
          <w:kern w:val="0"/>
          <w:sz w:val="24"/>
          <w:highlight w:val="none"/>
          <w:lang w:val="en-US" w:eastAsia="zh-CN"/>
        </w:rPr>
        <w:t>转账、</w:t>
      </w:r>
      <w:r>
        <w:rPr>
          <w:rFonts w:hint="eastAsia" w:ascii="仿宋" w:hAnsi="仿宋" w:eastAsia="仿宋" w:cs="仿宋"/>
          <w:color w:val="auto"/>
          <w:kern w:val="0"/>
          <w:sz w:val="24"/>
          <w:highlight w:val="none"/>
        </w:rPr>
        <w:t>支票、汇票、本票或者金融机构出具的保函等形式提交</w:t>
      </w:r>
      <w:r>
        <w:rPr>
          <w:rFonts w:hint="eastAsia" w:ascii="仿宋" w:hAnsi="仿宋" w:eastAsia="仿宋" w:cs="仿宋"/>
          <w:color w:val="auto"/>
          <w:sz w:val="24"/>
          <w:highlight w:val="none"/>
        </w:rPr>
        <w:t>。履约保证金的数额</w:t>
      </w:r>
      <w:r>
        <w:rPr>
          <w:rFonts w:hint="eastAsia" w:ascii="仿宋" w:hAnsi="仿宋" w:eastAsia="仿宋" w:cs="仿宋"/>
          <w:color w:val="auto"/>
          <w:sz w:val="24"/>
          <w:highlight w:val="none"/>
          <w:lang w:val="en-US" w:eastAsia="zh-CN"/>
        </w:rPr>
        <w:t>为</w:t>
      </w:r>
      <w:r>
        <w:rPr>
          <w:rFonts w:hint="eastAsia" w:ascii="仿宋" w:hAnsi="仿宋" w:eastAsia="仿宋" w:cs="仿宋"/>
          <w:color w:val="auto"/>
          <w:sz w:val="24"/>
          <w:highlight w:val="none"/>
        </w:rPr>
        <w:t>合同金额的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bookmarkEnd w:id="50"/>
    <w:p>
      <w:pPr>
        <w:keepNext w:val="0"/>
        <w:keepLines w:val="0"/>
        <w:pageBreakBefore w:val="0"/>
        <w:widowControl w:val="0"/>
        <w:tabs>
          <w:tab w:val="left" w:pos="0"/>
        </w:tabs>
        <w:kinsoku/>
        <w:wordWrap w:val="0"/>
        <w:overflowPunct/>
        <w:topLinePunct w:val="0"/>
        <w:autoSpaceDE/>
        <w:autoSpaceDN/>
        <w:bidi w:val="0"/>
        <w:adjustRightInd/>
        <w:spacing w:line="360" w:lineRule="auto"/>
        <w:ind w:firstLine="482"/>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1"/>
          <w:szCs w:val="21"/>
          <w:highlight w:val="none"/>
          <w:lang w:val="en-US" w:eastAsia="zh-CN"/>
        </w:rPr>
        <w:t xml:space="preserve">  </w:t>
      </w:r>
      <w:bookmarkStart w:id="64" w:name="_Toc18273"/>
    </w:p>
    <w:p>
      <w:pP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br w:type="page"/>
      </w:r>
    </w:p>
    <w:p>
      <w:pPr>
        <w:spacing w:line="450" w:lineRule="exact"/>
        <w:jc w:val="center"/>
        <w:outlineLvl w:val="0"/>
        <w:rPr>
          <w:rFonts w:hint="eastAsia" w:ascii="仿宋" w:hAnsi="仿宋" w:eastAsia="仿宋" w:cs="仿宋"/>
          <w:b/>
          <w:bCs/>
          <w:color w:val="auto"/>
          <w:kern w:val="2"/>
          <w:sz w:val="32"/>
          <w:szCs w:val="32"/>
          <w:highlight w:val="none"/>
          <w:lang w:val="en-US" w:eastAsia="zh-CN" w:bidi="ar-SA"/>
        </w:rPr>
      </w:pPr>
      <w:bookmarkStart w:id="65" w:name="_Toc6369"/>
      <w:r>
        <w:rPr>
          <w:rFonts w:hint="eastAsia" w:ascii="仿宋" w:hAnsi="仿宋" w:eastAsia="仿宋" w:cs="仿宋"/>
          <w:b/>
          <w:bCs/>
          <w:color w:val="auto"/>
          <w:kern w:val="2"/>
          <w:sz w:val="32"/>
          <w:szCs w:val="32"/>
          <w:highlight w:val="none"/>
          <w:lang w:val="en-US" w:eastAsia="zh-CN" w:bidi="ar-SA"/>
        </w:rPr>
        <w:t>第三部分、</w:t>
      </w:r>
      <w:bookmarkEnd w:id="64"/>
      <w:r>
        <w:rPr>
          <w:rFonts w:hint="eastAsia" w:ascii="仿宋" w:hAnsi="仿宋" w:eastAsia="仿宋" w:cs="仿宋"/>
          <w:b/>
          <w:bCs/>
          <w:color w:val="auto"/>
          <w:kern w:val="2"/>
          <w:sz w:val="32"/>
          <w:szCs w:val="32"/>
          <w:highlight w:val="none"/>
          <w:lang w:val="en-US" w:eastAsia="zh-CN" w:bidi="ar-SA"/>
        </w:rPr>
        <w:t>服务内容及要求</w:t>
      </w:r>
      <w:bookmarkEnd w:id="65"/>
    </w:p>
    <w:p>
      <w:pPr>
        <w:pStyle w:val="11"/>
        <w:outlineLvl w:val="9"/>
        <w:rPr>
          <w:rFonts w:hint="eastAsia" w:ascii="仿宋" w:hAnsi="仿宋" w:eastAsia="仿宋" w:cs="仿宋"/>
          <w:b/>
          <w:bCs/>
          <w:color w:val="auto"/>
          <w:kern w:val="2"/>
          <w:sz w:val="24"/>
          <w:szCs w:val="24"/>
          <w:highlight w:val="none"/>
          <w:lang w:val="en-US" w:eastAsia="zh-CN" w:bidi="ar-SA"/>
        </w:rPr>
      </w:pPr>
      <w:bookmarkStart w:id="66" w:name="_Toc20190"/>
    </w:p>
    <w:bookmarkEnd w:id="66"/>
    <w:p>
      <w:pPr>
        <w:pStyle w:val="11"/>
        <w:keepNext w:val="0"/>
        <w:keepLines w:val="0"/>
        <w:pageBreakBefore w:val="0"/>
        <w:numPr>
          <w:ilvl w:val="0"/>
          <w:numId w:val="2"/>
        </w:numPr>
        <w:kinsoku/>
        <w:overflowPunct/>
        <w:topLinePunct w:val="0"/>
        <w:bidi w:val="0"/>
        <w:snapToGrid/>
        <w:spacing w:line="360" w:lineRule="auto"/>
        <w:ind w:firstLine="482" w:firstLineChars="200"/>
        <w:textAlignment w:val="auto"/>
        <w:outlineLvl w:val="1"/>
        <w:rPr>
          <w:rFonts w:hint="eastAsia" w:ascii="仿宋" w:hAnsi="仿宋" w:eastAsia="仿宋" w:cs="仿宋"/>
          <w:b/>
          <w:bCs/>
          <w:color w:val="auto"/>
          <w:kern w:val="2"/>
          <w:sz w:val="24"/>
          <w:szCs w:val="24"/>
          <w:highlight w:val="none"/>
          <w:lang w:val="en-US" w:eastAsia="zh-CN" w:bidi="ar-SA"/>
        </w:rPr>
      </w:pPr>
      <w:bookmarkStart w:id="67" w:name="_Toc105"/>
      <w:r>
        <w:rPr>
          <w:rFonts w:hint="eastAsia" w:ascii="仿宋" w:hAnsi="仿宋" w:eastAsia="仿宋" w:cs="仿宋"/>
          <w:b/>
          <w:bCs/>
          <w:color w:val="auto"/>
          <w:kern w:val="2"/>
          <w:sz w:val="24"/>
          <w:szCs w:val="24"/>
          <w:highlight w:val="none"/>
          <w:lang w:val="en-US" w:eastAsia="zh-CN" w:bidi="ar-SA"/>
        </w:rPr>
        <w:t>项目概况</w:t>
      </w:r>
      <w:bookmarkEnd w:id="67"/>
    </w:p>
    <w:p>
      <w:pPr>
        <w:keepNext w:val="0"/>
        <w:keepLines w:val="0"/>
        <w:pageBreakBefore w:val="0"/>
        <w:kinsoku/>
        <w:overflowPunct/>
        <w:topLinePunct w:val="0"/>
        <w:bidi w:val="0"/>
        <w:snapToGrid/>
        <w:spacing w:line="360" w:lineRule="auto"/>
        <w:ind w:firstLine="480" w:firstLineChars="200"/>
        <w:textAlignment w:val="auto"/>
        <w:outlineLvl w:val="1"/>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color w:val="auto"/>
          <w:sz w:val="24"/>
          <w:szCs w:val="24"/>
          <w:highlight w:val="none"/>
          <w:shd w:val="clear" w:color="auto" w:fill="FFFFFF"/>
          <w:lang w:val="en-US" w:eastAsia="zh-CN"/>
        </w:rPr>
        <w:t>杭州临平</w:t>
      </w:r>
      <w:r>
        <w:rPr>
          <w:rFonts w:hint="eastAsia" w:ascii="仿宋" w:hAnsi="仿宋" w:eastAsia="仿宋" w:cs="仿宋"/>
          <w:b w:val="0"/>
          <w:color w:val="auto"/>
          <w:sz w:val="24"/>
          <w:szCs w:val="24"/>
          <w:highlight w:val="none"/>
          <w:shd w:val="clear" w:color="auto" w:fill="FFFFFF"/>
        </w:rPr>
        <w:t>钱江停车管理有限公司</w:t>
      </w:r>
      <w:r>
        <w:rPr>
          <w:rFonts w:hint="eastAsia" w:ascii="仿宋" w:hAnsi="仿宋" w:eastAsia="仿宋" w:cs="仿宋"/>
          <w:b w:val="0"/>
          <w:color w:val="auto"/>
          <w:sz w:val="24"/>
          <w:szCs w:val="24"/>
          <w:highlight w:val="none"/>
          <w:shd w:val="clear" w:color="auto" w:fill="FFFFFF"/>
          <w:lang w:val="en-US" w:eastAsia="zh-CN"/>
        </w:rPr>
        <w:t>拟对</w:t>
      </w:r>
      <w:r>
        <w:rPr>
          <w:rStyle w:val="24"/>
          <w:rFonts w:hint="eastAsia" w:ascii="仿宋" w:hAnsi="仿宋" w:eastAsia="仿宋" w:cs="仿宋"/>
          <w:color w:val="auto"/>
          <w:sz w:val="24"/>
          <w:szCs w:val="24"/>
          <w:highlight w:val="none"/>
          <w:shd w:val="clear" w:color="auto" w:fill="FFFFFF"/>
          <w:lang w:val="en-US" w:eastAsia="zh-CN"/>
        </w:rPr>
        <w:t>2025年度道路停车PDA专用热敏纸</w:t>
      </w:r>
      <w:r>
        <w:rPr>
          <w:rFonts w:hint="eastAsia" w:ascii="仿宋" w:hAnsi="仿宋" w:eastAsia="仿宋" w:cs="仿宋"/>
          <w:color w:val="auto"/>
          <w:sz w:val="24"/>
          <w:szCs w:val="24"/>
          <w:highlight w:val="none"/>
          <w:shd w:val="clear" w:color="auto" w:fill="FFFFFF"/>
          <w:lang w:val="en-US" w:eastAsia="zh-CN"/>
        </w:rPr>
        <w:t>进行</w:t>
      </w:r>
      <w:r>
        <w:rPr>
          <w:rStyle w:val="24"/>
          <w:rFonts w:hint="eastAsia" w:ascii="仿宋" w:hAnsi="仿宋" w:eastAsia="仿宋" w:cs="仿宋"/>
          <w:color w:val="auto"/>
          <w:sz w:val="24"/>
          <w:szCs w:val="24"/>
          <w:highlight w:val="none"/>
          <w:shd w:val="clear" w:color="auto" w:fill="FFFFFF"/>
          <w:lang w:val="en-US" w:eastAsia="zh-CN"/>
        </w:rPr>
        <w:t>采购</w:t>
      </w:r>
      <w:r>
        <w:rPr>
          <w:rFonts w:hint="eastAsia" w:ascii="仿宋" w:hAnsi="仿宋" w:eastAsia="仿宋" w:cs="仿宋"/>
          <w:color w:val="auto"/>
          <w:sz w:val="24"/>
          <w:szCs w:val="24"/>
          <w:highlight w:val="none"/>
          <w:shd w:val="clear" w:color="auto" w:fill="FFFFFF"/>
          <w:lang w:val="en-US" w:eastAsia="zh-CN"/>
        </w:rPr>
        <w:t>，</w:t>
      </w:r>
      <w:r>
        <w:rPr>
          <w:rStyle w:val="24"/>
          <w:rFonts w:hint="eastAsia" w:ascii="仿宋" w:hAnsi="仿宋" w:eastAsia="仿宋" w:cs="仿宋"/>
          <w:b w:val="0"/>
          <w:bCs w:val="0"/>
          <w:color w:val="auto"/>
          <w:kern w:val="2"/>
          <w:sz w:val="24"/>
          <w:szCs w:val="24"/>
          <w:highlight w:val="none"/>
          <w:u w:val="none"/>
          <w:lang w:val="en-US" w:eastAsia="zh-CN" w:bidi="ar-SA"/>
        </w:rPr>
        <w:t>合同最高限价</w:t>
      </w:r>
      <w:r>
        <w:rPr>
          <w:rStyle w:val="24"/>
          <w:rFonts w:hint="eastAsia" w:ascii="仿宋" w:hAnsi="仿宋" w:eastAsia="仿宋" w:cs="仿宋"/>
          <w:b w:val="0"/>
          <w:bCs w:val="0"/>
          <w:color w:val="auto"/>
          <w:kern w:val="2"/>
          <w:sz w:val="24"/>
          <w:szCs w:val="24"/>
          <w:highlight w:val="none"/>
          <w:u w:val="single"/>
          <w:lang w:val="en-US" w:eastAsia="zh-CN" w:bidi="ar-SA"/>
        </w:rPr>
        <w:t xml:space="preserve"> </w:t>
      </w:r>
      <w:r>
        <w:rPr>
          <w:rStyle w:val="25"/>
          <w:rFonts w:hint="eastAsia" w:ascii="仿宋" w:hAnsi="仿宋" w:eastAsia="仿宋" w:cs="仿宋"/>
          <w:b w:val="0"/>
          <w:bCs w:val="0"/>
          <w:color w:val="auto"/>
          <w:kern w:val="0"/>
          <w:sz w:val="24"/>
          <w:szCs w:val="24"/>
          <w:highlight w:val="none"/>
          <w:u w:val="single"/>
          <w:lang w:val="en-US" w:eastAsia="zh-CN" w:bidi="ar-SA"/>
        </w:rPr>
        <w:t>18.018</w:t>
      </w:r>
      <w:r>
        <w:rPr>
          <w:rStyle w:val="24"/>
          <w:rFonts w:hint="eastAsia" w:ascii="仿宋" w:hAnsi="仿宋" w:eastAsia="仿宋" w:cs="仿宋"/>
          <w:b w:val="0"/>
          <w:bCs w:val="0"/>
          <w:color w:val="auto"/>
          <w:kern w:val="2"/>
          <w:sz w:val="24"/>
          <w:szCs w:val="24"/>
          <w:highlight w:val="none"/>
          <w:u w:val="single"/>
          <w:lang w:val="en-US" w:eastAsia="zh-CN" w:bidi="ar-SA"/>
        </w:rPr>
        <w:t xml:space="preserve"> </w:t>
      </w:r>
      <w:r>
        <w:rPr>
          <w:rStyle w:val="24"/>
          <w:rFonts w:hint="eastAsia" w:ascii="仿宋" w:hAnsi="仿宋" w:eastAsia="仿宋" w:cs="仿宋"/>
          <w:b w:val="0"/>
          <w:bCs w:val="0"/>
          <w:color w:val="auto"/>
          <w:kern w:val="2"/>
          <w:sz w:val="24"/>
          <w:szCs w:val="24"/>
          <w:highlight w:val="none"/>
          <w:u w:val="none"/>
          <w:lang w:val="en-US" w:eastAsia="zh-CN" w:bidi="ar-SA"/>
        </w:rPr>
        <w:t>万元，每卷最高限价为</w:t>
      </w:r>
      <w:r>
        <w:rPr>
          <w:rStyle w:val="24"/>
          <w:rFonts w:hint="eastAsia" w:ascii="仿宋" w:hAnsi="仿宋" w:eastAsia="仿宋" w:cs="仿宋"/>
          <w:b w:val="0"/>
          <w:bCs w:val="0"/>
          <w:color w:val="auto"/>
          <w:kern w:val="2"/>
          <w:sz w:val="24"/>
          <w:szCs w:val="24"/>
          <w:highlight w:val="none"/>
          <w:u w:val="single"/>
          <w:lang w:val="en-US" w:eastAsia="zh-CN" w:bidi="ar-SA"/>
        </w:rPr>
        <w:t>0.75</w:t>
      </w:r>
      <w:r>
        <w:rPr>
          <w:rStyle w:val="24"/>
          <w:rFonts w:hint="eastAsia" w:ascii="仿宋" w:hAnsi="仿宋" w:eastAsia="仿宋" w:cs="仿宋"/>
          <w:b w:val="0"/>
          <w:bCs w:val="0"/>
          <w:color w:val="auto"/>
          <w:kern w:val="2"/>
          <w:sz w:val="24"/>
          <w:szCs w:val="24"/>
          <w:highlight w:val="none"/>
          <w:u w:val="none"/>
          <w:lang w:val="en-US" w:eastAsia="zh-CN" w:bidi="ar-SA"/>
        </w:rPr>
        <w:t>元，</w:t>
      </w:r>
      <w:r>
        <w:rPr>
          <w:rFonts w:hint="eastAsia" w:ascii="仿宋" w:hAnsi="仿宋" w:eastAsia="仿宋" w:cs="仿宋"/>
          <w:color w:val="auto"/>
          <w:sz w:val="24"/>
          <w:szCs w:val="24"/>
          <w:highlight w:val="none"/>
          <w:shd w:val="clear" w:color="auto" w:fill="FFFFFF"/>
          <w:lang w:val="en-US" w:eastAsia="zh-CN"/>
        </w:rPr>
        <w:t>具体要求如下：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3"/>
        <w:gridCol w:w="2499"/>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203" w:type="dxa"/>
            <w:tcBorders>
              <w:tl2br w:val="nil"/>
              <w:tr2bl w:val="nil"/>
            </w:tcBorders>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Style w:val="25"/>
                <w:rFonts w:hint="eastAsia" w:ascii="仿宋" w:hAnsi="仿宋" w:eastAsia="仿宋" w:cs="仿宋"/>
                <w:color w:val="auto"/>
                <w:kern w:val="0"/>
                <w:sz w:val="24"/>
                <w:szCs w:val="24"/>
                <w:highlight w:val="none"/>
                <w:vertAlign w:val="baseline"/>
                <w:lang w:val="en-US" w:eastAsia="zh-CN"/>
              </w:rPr>
            </w:pPr>
            <w:bookmarkStart w:id="68" w:name="_Toc18334"/>
            <w:bookmarkStart w:id="69" w:name="_Toc3650"/>
            <w:bookmarkStart w:id="70" w:name="_Toc27953"/>
            <w:r>
              <w:rPr>
                <w:rStyle w:val="25"/>
                <w:rFonts w:hint="eastAsia" w:ascii="仿宋" w:hAnsi="仿宋" w:eastAsia="仿宋" w:cs="仿宋"/>
                <w:color w:val="auto"/>
                <w:kern w:val="0"/>
                <w:sz w:val="24"/>
                <w:szCs w:val="24"/>
                <w:highlight w:val="none"/>
                <w:vertAlign w:val="baseline"/>
                <w:lang w:val="en-US" w:eastAsia="zh-CN"/>
              </w:rPr>
              <w:t>项目名称</w:t>
            </w:r>
            <w:bookmarkEnd w:id="68"/>
          </w:p>
        </w:tc>
        <w:tc>
          <w:tcPr>
            <w:tcW w:w="2499" w:type="dxa"/>
            <w:tcBorders>
              <w:tl2br w:val="nil"/>
              <w:tr2bl w:val="nil"/>
            </w:tcBorders>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Style w:val="25"/>
                <w:rFonts w:hint="eastAsia" w:ascii="仿宋" w:hAnsi="仿宋" w:eastAsia="仿宋" w:cs="仿宋"/>
                <w:b w:val="0"/>
                <w:bCs/>
                <w:color w:val="auto"/>
                <w:kern w:val="0"/>
                <w:sz w:val="24"/>
                <w:szCs w:val="24"/>
                <w:highlight w:val="none"/>
                <w:vertAlign w:val="baseline"/>
                <w:lang w:val="en-US" w:eastAsia="zh-CN"/>
              </w:rPr>
            </w:pPr>
            <w:bookmarkStart w:id="71" w:name="_Toc30472"/>
            <w:r>
              <w:rPr>
                <w:rStyle w:val="25"/>
                <w:rFonts w:hint="eastAsia" w:ascii="仿宋" w:hAnsi="仿宋" w:eastAsia="仿宋" w:cs="仿宋"/>
                <w:b w:val="0"/>
                <w:bCs/>
                <w:color w:val="auto"/>
                <w:kern w:val="0"/>
                <w:sz w:val="24"/>
                <w:szCs w:val="24"/>
                <w:highlight w:val="none"/>
                <w:vertAlign w:val="baseline"/>
                <w:lang w:val="en-US" w:eastAsia="zh-CN"/>
              </w:rPr>
              <w:t>能耗费用（暂估）</w:t>
            </w:r>
          </w:p>
          <w:bookmarkEnd w:id="71"/>
        </w:tc>
        <w:tc>
          <w:tcPr>
            <w:tcW w:w="2547" w:type="dxa"/>
            <w:tcBorders>
              <w:tl2br w:val="nil"/>
              <w:tr2bl w:val="nil"/>
            </w:tcBorders>
          </w:tcPr>
          <w:p>
            <w:pPr>
              <w:keepNext w:val="0"/>
              <w:keepLines w:val="0"/>
              <w:pageBreakBefore w:val="0"/>
              <w:kinsoku/>
              <w:wordWrap/>
              <w:overflowPunct/>
              <w:topLinePunct w:val="0"/>
              <w:autoSpaceDE/>
              <w:autoSpaceDN/>
              <w:bidi w:val="0"/>
              <w:adjustRightInd/>
              <w:snapToGrid w:val="0"/>
              <w:spacing w:line="420" w:lineRule="exact"/>
              <w:jc w:val="center"/>
              <w:textAlignment w:val="auto"/>
              <w:outlineLvl w:val="1"/>
              <w:rPr>
                <w:rStyle w:val="25"/>
                <w:rFonts w:hint="eastAsia" w:ascii="仿宋" w:hAnsi="仿宋" w:eastAsia="仿宋" w:cs="仿宋"/>
                <w:color w:val="auto"/>
                <w:kern w:val="0"/>
                <w:sz w:val="24"/>
                <w:szCs w:val="24"/>
                <w:highlight w:val="none"/>
                <w:vertAlign w:val="baseline"/>
                <w:lang w:val="en-US" w:eastAsia="zh-CN"/>
              </w:rPr>
            </w:pPr>
            <w:bookmarkStart w:id="72" w:name="_Toc7772"/>
            <w:r>
              <w:rPr>
                <w:rStyle w:val="25"/>
                <w:rFonts w:hint="eastAsia" w:ascii="仿宋" w:hAnsi="仿宋" w:eastAsia="仿宋" w:cs="仿宋"/>
                <w:color w:val="auto"/>
                <w:kern w:val="0"/>
                <w:sz w:val="24"/>
                <w:szCs w:val="24"/>
                <w:highlight w:val="none"/>
                <w:vertAlign w:val="baseline"/>
                <w:lang w:val="en-US" w:eastAsia="zh-CN"/>
              </w:rPr>
              <w:t>备注</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203" w:type="dxa"/>
            <w:tcBorders>
              <w:tl2br w:val="nil"/>
              <w:tr2bl w:val="nil"/>
            </w:tcBorders>
          </w:tcPr>
          <w:p>
            <w:pPr>
              <w:keepNext w:val="0"/>
              <w:keepLines w:val="0"/>
              <w:pageBreakBefore w:val="0"/>
              <w:kinsoku/>
              <w:wordWrap/>
              <w:overflowPunct/>
              <w:topLinePunct w:val="0"/>
              <w:autoSpaceDE/>
              <w:autoSpaceDN/>
              <w:bidi w:val="0"/>
              <w:adjustRightInd/>
              <w:snapToGrid w:val="0"/>
              <w:spacing w:line="420" w:lineRule="exact"/>
              <w:textAlignment w:val="auto"/>
              <w:outlineLvl w:val="1"/>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240240卷规格</w:t>
            </w:r>
            <w:r>
              <w:rPr>
                <w:rStyle w:val="24"/>
                <w:rFonts w:hint="eastAsia" w:ascii="仿宋" w:hAnsi="仿宋" w:eastAsia="仿宋" w:cs="仿宋"/>
                <w:color w:val="auto"/>
                <w:sz w:val="24"/>
                <w:szCs w:val="24"/>
                <w:highlight w:val="none"/>
                <w:shd w:val="clear" w:color="auto" w:fill="FFFFFF"/>
                <w:lang w:val="en-US" w:eastAsia="zh-CN" w:bidi="ar"/>
              </w:rPr>
              <w:t>57*31-11米</w:t>
            </w:r>
            <w:r>
              <w:rPr>
                <w:rFonts w:hint="eastAsia" w:ascii="仿宋" w:hAnsi="仿宋" w:eastAsia="仿宋" w:cs="仿宋"/>
                <w:color w:val="auto"/>
                <w:sz w:val="24"/>
                <w:highlight w:val="none"/>
                <w:shd w:val="clear" w:color="auto" w:fill="FFFFFF"/>
                <w:lang w:val="en-US" w:eastAsia="zh-CN"/>
              </w:rPr>
              <w:t>热敏纸</w:t>
            </w:r>
          </w:p>
        </w:tc>
        <w:tc>
          <w:tcPr>
            <w:tcW w:w="2499" w:type="dxa"/>
            <w:tcBorders>
              <w:tl2br w:val="nil"/>
              <w:tr2bl w:val="nil"/>
            </w:tcBorders>
          </w:tcPr>
          <w:p>
            <w:pPr>
              <w:keepNext w:val="0"/>
              <w:keepLines w:val="0"/>
              <w:pageBreakBefore w:val="0"/>
              <w:numPr>
                <w:ilvl w:val="0"/>
                <w:numId w:val="0"/>
              </w:numPr>
              <w:kinsoku/>
              <w:wordWrap/>
              <w:overflowPunct/>
              <w:topLinePunct w:val="0"/>
              <w:autoSpaceDE/>
              <w:autoSpaceDN/>
              <w:bidi w:val="0"/>
              <w:adjustRightInd/>
              <w:snapToGrid w:val="0"/>
              <w:spacing w:line="420" w:lineRule="exact"/>
              <w:ind w:leftChars="0"/>
              <w:jc w:val="center"/>
              <w:textAlignment w:val="auto"/>
              <w:outlineLvl w:val="1"/>
              <w:rPr>
                <w:rStyle w:val="25"/>
                <w:rFonts w:hint="default" w:ascii="仿宋" w:hAnsi="仿宋" w:eastAsia="仿宋" w:cs="仿宋"/>
                <w:b w:val="0"/>
                <w:bCs/>
                <w:color w:val="auto"/>
                <w:kern w:val="0"/>
                <w:sz w:val="24"/>
                <w:szCs w:val="24"/>
                <w:highlight w:val="none"/>
                <w:vertAlign w:val="baseline"/>
                <w:lang w:val="en-US" w:eastAsia="zh-CN"/>
              </w:rPr>
            </w:pPr>
            <w:bookmarkStart w:id="73" w:name="_Toc24190"/>
            <w:r>
              <w:rPr>
                <w:rStyle w:val="24"/>
                <w:rFonts w:hint="eastAsia" w:ascii="仿宋" w:hAnsi="仿宋" w:eastAsia="仿宋" w:cs="仿宋"/>
                <w:b w:val="0"/>
                <w:bCs w:val="0"/>
                <w:color w:val="auto"/>
                <w:kern w:val="2"/>
                <w:sz w:val="24"/>
                <w:szCs w:val="24"/>
                <w:highlight w:val="none"/>
                <w:u w:val="none"/>
                <w:lang w:val="en-US" w:eastAsia="zh-CN" w:bidi="ar-SA"/>
              </w:rPr>
              <w:t>合同最高限价</w:t>
            </w:r>
            <w:r>
              <w:rPr>
                <w:rStyle w:val="25"/>
                <w:rFonts w:hint="eastAsia" w:ascii="仿宋" w:hAnsi="仿宋" w:eastAsia="仿宋" w:cs="仿宋"/>
                <w:b w:val="0"/>
                <w:bCs/>
                <w:color w:val="auto"/>
                <w:kern w:val="0"/>
                <w:sz w:val="24"/>
                <w:szCs w:val="24"/>
                <w:highlight w:val="none"/>
                <w:vertAlign w:val="baseline"/>
                <w:lang w:val="en-US" w:eastAsia="zh-CN"/>
              </w:rPr>
              <w:t>180180元，</w:t>
            </w:r>
            <w:r>
              <w:rPr>
                <w:rStyle w:val="24"/>
                <w:rFonts w:hint="eastAsia" w:ascii="仿宋" w:hAnsi="仿宋" w:eastAsia="仿宋" w:cs="仿宋"/>
                <w:b w:val="0"/>
                <w:bCs w:val="0"/>
                <w:color w:val="auto"/>
                <w:kern w:val="2"/>
                <w:sz w:val="24"/>
                <w:szCs w:val="24"/>
                <w:highlight w:val="none"/>
                <w:u w:val="none"/>
                <w:lang w:val="en-US" w:eastAsia="zh-CN" w:bidi="ar-SA"/>
              </w:rPr>
              <w:t>每卷最高限价为0.75元</w:t>
            </w:r>
          </w:p>
          <w:bookmarkEnd w:id="73"/>
        </w:tc>
        <w:tc>
          <w:tcPr>
            <w:tcW w:w="2547" w:type="dxa"/>
            <w:tcBorders>
              <w:tl2br w:val="nil"/>
              <w:tr2bl w:val="nil"/>
            </w:tcBorders>
          </w:tcPr>
          <w:p>
            <w:pPr>
              <w:keepNext w:val="0"/>
              <w:keepLines w:val="0"/>
              <w:pageBreakBefore w:val="0"/>
              <w:kinsoku/>
              <w:wordWrap/>
              <w:overflowPunct/>
              <w:topLinePunct w:val="0"/>
              <w:autoSpaceDE/>
              <w:autoSpaceDN/>
              <w:bidi w:val="0"/>
              <w:adjustRightInd/>
              <w:snapToGrid w:val="0"/>
              <w:spacing w:line="420" w:lineRule="exact"/>
              <w:textAlignment w:val="auto"/>
              <w:outlineLvl w:val="1"/>
              <w:rPr>
                <w:rStyle w:val="25"/>
                <w:rFonts w:hint="default" w:ascii="仿宋" w:hAnsi="仿宋" w:eastAsia="仿宋" w:cs="仿宋"/>
                <w:b w:val="0"/>
                <w:bCs/>
                <w:color w:val="auto"/>
                <w:kern w:val="0"/>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无管芯，</w:t>
            </w:r>
            <w:r>
              <w:rPr>
                <w:rStyle w:val="25"/>
                <w:rFonts w:hint="eastAsia" w:ascii="仿宋" w:hAnsi="仿宋" w:eastAsia="仿宋" w:cs="仿宋"/>
                <w:b w:val="0"/>
                <w:bCs w:val="0"/>
                <w:color w:val="auto"/>
                <w:kern w:val="0"/>
                <w:sz w:val="24"/>
                <w:szCs w:val="24"/>
                <w:highlight w:val="none"/>
                <w:lang w:val="en-US" w:eastAsia="zh-CN"/>
              </w:rPr>
              <w:t>克重范围55-58克</w:t>
            </w:r>
          </w:p>
        </w:tc>
      </w:tr>
    </w:tbl>
    <w:p>
      <w:pPr>
        <w:keepNext w:val="0"/>
        <w:keepLines w:val="0"/>
        <w:pageBreakBefore w:val="0"/>
        <w:kinsoku/>
        <w:wordWrap w:val="0"/>
        <w:overflowPunct/>
        <w:topLinePunct w:val="0"/>
        <w:bidi w:val="0"/>
        <w:snapToGrid/>
        <w:spacing w:line="360" w:lineRule="auto"/>
        <w:ind w:firstLine="482" w:firstLineChars="200"/>
        <w:textAlignment w:val="auto"/>
        <w:outlineLvl w:val="1"/>
        <w:rPr>
          <w:rFonts w:hint="eastAsia" w:ascii="仿宋" w:hAnsi="仿宋" w:eastAsia="仿宋" w:cs="仿宋"/>
          <w:b/>
          <w:bCs w:val="0"/>
          <w:color w:val="auto"/>
          <w:sz w:val="24"/>
          <w:highlight w:val="none"/>
          <w:lang w:val="en-US" w:eastAsia="zh-CN"/>
        </w:rPr>
      </w:pPr>
      <w:bookmarkStart w:id="74" w:name="_Toc2018"/>
      <w:r>
        <w:rPr>
          <w:rFonts w:hint="eastAsia" w:ascii="仿宋" w:hAnsi="仿宋" w:eastAsia="仿宋" w:cs="仿宋"/>
          <w:b/>
          <w:bCs w:val="0"/>
          <w:color w:val="auto"/>
          <w:sz w:val="24"/>
          <w:highlight w:val="none"/>
          <w:lang w:val="en-US" w:eastAsia="zh-CN"/>
        </w:rPr>
        <w:t>二、服务内容及要求</w:t>
      </w:r>
      <w:bookmarkEnd w:id="74"/>
    </w:p>
    <w:bookmarkEnd w:id="69"/>
    <w:bookmarkEnd w:id="70"/>
    <w:p>
      <w:pPr>
        <w:spacing w:line="360" w:lineRule="auto"/>
        <w:ind w:firstLine="480"/>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1.验收标准：</w:t>
      </w:r>
      <w:r>
        <w:rPr>
          <w:rFonts w:hint="eastAsia" w:ascii="仿宋" w:hAnsi="仿宋" w:eastAsia="仿宋" w:cs="仿宋"/>
          <w:color w:val="auto"/>
          <w:sz w:val="24"/>
          <w:szCs w:val="24"/>
          <w:highlight w:val="none"/>
          <w:shd w:val="clear" w:color="auto" w:fill="FFFFFF"/>
          <w:lang w:val="en-US" w:eastAsia="zh-CN"/>
        </w:rPr>
        <w:t>按行业生产技术标准，保证品质，纸质按照合同约定样品标准，符合我司道路泊位运营使用，单卷克重范围55-58克</w:t>
      </w:r>
      <w:r>
        <w:rPr>
          <w:rFonts w:hint="eastAsia" w:ascii="仿宋" w:hAnsi="仿宋" w:eastAsia="仿宋" w:cs="仿宋"/>
          <w:color w:val="auto"/>
          <w:sz w:val="24"/>
          <w:highlight w:val="none"/>
          <w:shd w:val="clear" w:color="auto" w:fill="FFFFFF"/>
          <w:lang w:val="en-US" w:eastAsia="zh-CN"/>
        </w:rPr>
        <w:t>。</w:t>
      </w:r>
    </w:p>
    <w:p>
      <w:pPr>
        <w:spacing w:line="360" w:lineRule="auto"/>
        <w:ind w:firstLine="480"/>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2.服务要求：</w:t>
      </w:r>
    </w:p>
    <w:p>
      <w:pPr>
        <w:numPr>
          <w:ilvl w:val="0"/>
          <w:numId w:val="0"/>
        </w:numPr>
        <w:spacing w:line="360" w:lineRule="auto"/>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kern w:val="2"/>
          <w:sz w:val="24"/>
          <w:szCs w:val="24"/>
          <w:highlight w:val="none"/>
          <w:shd w:val="clear" w:fill="FFFFFF"/>
          <w:lang w:val="en-US" w:eastAsia="zh-CN" w:bidi="ar-SA"/>
        </w:rPr>
        <w:t>（1）</w:t>
      </w:r>
      <w:r>
        <w:rPr>
          <w:rFonts w:hint="eastAsia" w:ascii="仿宋" w:hAnsi="仿宋" w:eastAsia="仿宋" w:cs="仿宋"/>
          <w:color w:val="auto"/>
          <w:sz w:val="24"/>
          <w:highlight w:val="none"/>
          <w:shd w:val="clear" w:color="auto" w:fill="FFFFFF"/>
          <w:lang w:eastAsia="zh-CN"/>
        </w:rPr>
        <w:t>合同签订前投标方需提供符合甲方</w:t>
      </w:r>
      <w:r>
        <w:rPr>
          <w:rFonts w:hint="eastAsia" w:ascii="仿宋" w:hAnsi="仿宋" w:eastAsia="仿宋" w:cs="仿宋"/>
          <w:color w:val="auto"/>
          <w:sz w:val="24"/>
          <w:highlight w:val="none"/>
          <w:shd w:val="clear" w:color="auto" w:fill="FFFFFF"/>
          <w:lang w:val="en-US" w:eastAsia="zh-CN"/>
        </w:rPr>
        <w:t>验收</w:t>
      </w:r>
      <w:r>
        <w:rPr>
          <w:rFonts w:hint="eastAsia" w:ascii="仿宋" w:hAnsi="仿宋" w:eastAsia="仿宋" w:cs="仿宋"/>
          <w:color w:val="auto"/>
          <w:sz w:val="24"/>
          <w:highlight w:val="none"/>
          <w:shd w:val="clear" w:color="auto" w:fill="FFFFFF"/>
          <w:lang w:eastAsia="zh-CN"/>
        </w:rPr>
        <w:t>标准的合同样品，供甲方确认。</w:t>
      </w:r>
    </w:p>
    <w:p>
      <w:pPr>
        <w:spacing w:line="360" w:lineRule="auto"/>
        <w:ind w:firstLine="48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val="en-US" w:eastAsia="zh-CN"/>
        </w:rPr>
        <w:t>（2）合同签订后甲方提出货物需求，乙方送货上门，货物送至我司指定地点，包含搬运</w:t>
      </w:r>
      <w:r>
        <w:rPr>
          <w:rFonts w:hint="eastAsia" w:ascii="仿宋" w:hAnsi="仿宋" w:eastAsia="仿宋" w:cs="仿宋"/>
          <w:color w:val="auto"/>
          <w:sz w:val="24"/>
          <w:highlight w:val="none"/>
          <w:shd w:val="clear" w:color="auto" w:fill="FFFFFF"/>
          <w:lang w:eastAsia="zh-CN"/>
        </w:rPr>
        <w:t>。</w:t>
      </w:r>
    </w:p>
    <w:p>
      <w:pPr>
        <w:spacing w:line="360" w:lineRule="auto"/>
        <w:ind w:firstLine="480"/>
        <w:rPr>
          <w:rFonts w:hint="eastAsia"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（3）合同签订后每次如若出现不符合标准的货物，24小时内响应更换。</w:t>
      </w:r>
    </w:p>
    <w:p>
      <w:pPr>
        <w:pStyle w:val="21"/>
        <w:ind w:left="0" w:leftChars="0" w:firstLine="480" w:firstLineChars="200"/>
        <w:rPr>
          <w:rFonts w:hint="default" w:ascii="宋体" w:hAnsi="宋体" w:eastAsia="宋体" w:cs="Times New Roman"/>
          <w:color w:val="auto"/>
          <w:sz w:val="21"/>
          <w:szCs w:val="20"/>
          <w:highlight w:val="none"/>
        </w:rPr>
      </w:pPr>
      <w:r>
        <w:rPr>
          <w:rFonts w:hint="eastAsia" w:ascii="仿宋" w:hAnsi="仿宋" w:eastAsia="仿宋" w:cs="仿宋"/>
          <w:color w:val="auto"/>
          <w:sz w:val="24"/>
          <w:highlight w:val="none"/>
          <w:shd w:val="clear" w:color="auto" w:fill="FFFFFF"/>
          <w:lang w:val="en-US" w:eastAsia="zh-CN"/>
        </w:rPr>
        <w:t>（4）按需供应。</w:t>
      </w:r>
    </w:p>
    <w:p>
      <w:pPr>
        <w:keepNext w:val="0"/>
        <w:keepLines w:val="0"/>
        <w:pageBreakBefore w:val="0"/>
        <w:kinsoku/>
        <w:wordWrap w:val="0"/>
        <w:overflowPunct/>
        <w:topLinePunct w:val="0"/>
        <w:bidi w:val="0"/>
        <w:snapToGrid/>
        <w:spacing w:line="360" w:lineRule="auto"/>
        <w:ind w:firstLine="482" w:firstLineChars="200"/>
        <w:textAlignment w:val="auto"/>
        <w:outlineLvl w:val="1"/>
        <w:rPr>
          <w:rFonts w:hint="eastAsia" w:ascii="仿宋" w:hAnsi="仿宋" w:eastAsia="仿宋" w:cs="仿宋"/>
          <w:b/>
          <w:bCs w:val="0"/>
          <w:color w:val="auto"/>
          <w:sz w:val="24"/>
          <w:highlight w:val="none"/>
        </w:rPr>
      </w:pPr>
      <w:bookmarkStart w:id="75" w:name="_Toc19830"/>
      <w:r>
        <w:rPr>
          <w:rFonts w:hint="eastAsia" w:ascii="仿宋" w:hAnsi="仿宋" w:eastAsia="仿宋" w:cs="仿宋"/>
          <w:b/>
          <w:bCs w:val="0"/>
          <w:color w:val="auto"/>
          <w:sz w:val="24"/>
          <w:highlight w:val="none"/>
          <w:lang w:val="en-US" w:eastAsia="zh-CN"/>
        </w:rPr>
        <w:t>三、</w:t>
      </w:r>
      <w:r>
        <w:rPr>
          <w:rFonts w:hint="eastAsia" w:ascii="仿宋" w:hAnsi="仿宋" w:eastAsia="仿宋" w:cs="仿宋"/>
          <w:b/>
          <w:bCs w:val="0"/>
          <w:color w:val="auto"/>
          <w:sz w:val="24"/>
          <w:highlight w:val="none"/>
        </w:rPr>
        <w:t>服务人员最低要求</w:t>
      </w:r>
      <w:bookmarkEnd w:id="75"/>
    </w:p>
    <w:p>
      <w:pPr>
        <w:pStyle w:val="11"/>
        <w:spacing w:line="440" w:lineRule="exact"/>
        <w:ind w:firstLine="480" w:firstLineChars="200"/>
        <w:rPr>
          <w:rFonts w:hint="eastAsia" w:ascii="仿宋" w:hAnsi="仿宋" w:eastAsia="仿宋" w:cs="仿宋"/>
          <w:color w:val="auto"/>
          <w:kern w:val="24"/>
          <w:sz w:val="24"/>
          <w:szCs w:val="24"/>
          <w:highlight w:val="none"/>
          <w:lang w:val="en-US" w:eastAsia="zh-CN"/>
        </w:rPr>
      </w:pPr>
      <w:r>
        <w:rPr>
          <w:rFonts w:hint="eastAsia" w:ascii="仿宋" w:hAnsi="仿宋" w:eastAsia="仿宋" w:cs="仿宋"/>
          <w:color w:val="auto"/>
          <w:kern w:val="24"/>
          <w:sz w:val="24"/>
          <w:szCs w:val="24"/>
          <w:highlight w:val="none"/>
          <w:lang w:val="en-US" w:eastAsia="zh-CN"/>
        </w:rPr>
        <w:t>1.</w:t>
      </w:r>
      <w:r>
        <w:rPr>
          <w:rFonts w:hint="eastAsia" w:ascii="仿宋" w:hAnsi="仿宋" w:eastAsia="仿宋" w:cs="仿宋"/>
          <w:color w:val="auto"/>
          <w:kern w:val="24"/>
          <w:sz w:val="24"/>
          <w:szCs w:val="24"/>
          <w:highlight w:val="none"/>
        </w:rPr>
        <w:t>项目负责人：</w:t>
      </w:r>
      <w:r>
        <w:rPr>
          <w:rFonts w:hint="eastAsia" w:ascii="仿宋" w:hAnsi="仿宋" w:eastAsia="仿宋" w:cs="仿宋"/>
          <w:color w:val="auto"/>
          <w:kern w:val="24"/>
          <w:sz w:val="24"/>
          <w:szCs w:val="24"/>
          <w:highlight w:val="none"/>
          <w:u w:val="single"/>
          <w:lang w:val="en-US" w:eastAsia="zh-CN"/>
        </w:rPr>
        <w:t xml:space="preserve"> 1 </w:t>
      </w:r>
      <w:r>
        <w:rPr>
          <w:rFonts w:hint="eastAsia" w:ascii="仿宋" w:hAnsi="仿宋" w:eastAsia="仿宋" w:cs="仿宋"/>
          <w:color w:val="auto"/>
          <w:kern w:val="24"/>
          <w:sz w:val="24"/>
          <w:szCs w:val="24"/>
          <w:highlight w:val="none"/>
          <w:lang w:val="en-US" w:eastAsia="zh-CN"/>
        </w:rPr>
        <w:t>名，具有类似项目经验。</w:t>
      </w:r>
    </w:p>
    <w:p>
      <w:pPr>
        <w:pStyle w:val="11"/>
        <w:spacing w:beforeLines="0" w:afterLines="0" w:line="440" w:lineRule="exact"/>
        <w:ind w:firstLine="480" w:firstLineChars="200"/>
        <w:rPr>
          <w:rFonts w:hint="eastAsia" w:ascii="仿宋" w:hAnsi="仿宋" w:eastAsia="仿宋" w:cs="仿宋"/>
          <w:color w:val="auto"/>
          <w:kern w:val="24"/>
          <w:sz w:val="24"/>
          <w:szCs w:val="24"/>
          <w:highlight w:val="none"/>
          <w:lang w:val="en-US" w:eastAsia="zh-CN"/>
        </w:rPr>
      </w:pPr>
      <w:r>
        <w:rPr>
          <w:rFonts w:hint="eastAsia" w:ascii="仿宋" w:hAnsi="仿宋" w:eastAsia="仿宋" w:cs="仿宋"/>
          <w:color w:val="auto"/>
          <w:kern w:val="24"/>
          <w:sz w:val="24"/>
          <w:szCs w:val="24"/>
          <w:highlight w:val="none"/>
          <w:lang w:val="en-US" w:eastAsia="zh-CN"/>
        </w:rPr>
        <w:t>2.</w:t>
      </w:r>
      <w:r>
        <w:rPr>
          <w:rFonts w:hint="eastAsia" w:ascii="仿宋" w:hAnsi="仿宋" w:eastAsia="仿宋" w:cs="仿宋"/>
          <w:color w:val="auto"/>
          <w:kern w:val="24"/>
          <w:sz w:val="24"/>
          <w:szCs w:val="24"/>
          <w:highlight w:val="none"/>
        </w:rPr>
        <w:t>其他人员：</w:t>
      </w:r>
      <w:r>
        <w:rPr>
          <w:rFonts w:hint="eastAsia" w:ascii="仿宋" w:hAnsi="仿宋" w:eastAsia="仿宋" w:cs="仿宋"/>
          <w:color w:val="auto"/>
          <w:kern w:val="24"/>
          <w:sz w:val="24"/>
          <w:szCs w:val="24"/>
          <w:highlight w:val="none"/>
          <w:lang w:val="en-US" w:eastAsia="zh-CN"/>
        </w:rPr>
        <w:t>有类似项目经验的</w:t>
      </w:r>
      <w:r>
        <w:rPr>
          <w:rFonts w:hint="eastAsia" w:ascii="仿宋" w:hAnsi="仿宋" w:eastAsia="仿宋" w:cs="宋体"/>
          <w:color w:val="auto"/>
          <w:sz w:val="24"/>
          <w:szCs w:val="22"/>
          <w:highlight w:val="none"/>
        </w:rPr>
        <w:t>项目组技术人员</w:t>
      </w:r>
      <w:r>
        <w:rPr>
          <w:rFonts w:hint="eastAsia" w:ascii="仿宋" w:hAnsi="仿宋" w:eastAsia="仿宋" w:cs="仿宋"/>
          <w:color w:val="auto"/>
          <w:kern w:val="24"/>
          <w:sz w:val="24"/>
          <w:szCs w:val="24"/>
          <w:highlight w:val="none"/>
          <w:lang w:val="en-US" w:eastAsia="zh-CN"/>
        </w:rPr>
        <w:t>不少于</w:t>
      </w:r>
      <w:r>
        <w:rPr>
          <w:rFonts w:hint="eastAsia" w:ascii="仿宋" w:hAnsi="仿宋" w:eastAsia="仿宋" w:cs="仿宋"/>
          <w:color w:val="auto"/>
          <w:kern w:val="24"/>
          <w:sz w:val="24"/>
          <w:szCs w:val="24"/>
          <w:highlight w:val="none"/>
          <w:u w:val="single"/>
          <w:lang w:val="en-US" w:eastAsia="zh-CN"/>
        </w:rPr>
        <w:t xml:space="preserve"> 1 </w:t>
      </w:r>
      <w:r>
        <w:rPr>
          <w:rFonts w:hint="eastAsia" w:ascii="仿宋" w:hAnsi="仿宋" w:eastAsia="仿宋" w:cs="仿宋"/>
          <w:color w:val="auto"/>
          <w:kern w:val="24"/>
          <w:sz w:val="24"/>
          <w:szCs w:val="24"/>
          <w:highlight w:val="none"/>
          <w:lang w:val="en-US" w:eastAsia="zh-CN"/>
        </w:rPr>
        <w:t>名</w:t>
      </w:r>
      <w:r>
        <w:rPr>
          <w:rFonts w:hint="eastAsia" w:ascii="仿宋" w:hAnsi="仿宋" w:eastAsia="仿宋" w:cs="仿宋"/>
          <w:color w:val="auto"/>
          <w:sz w:val="24"/>
          <w:szCs w:val="24"/>
          <w:highlight w:val="none"/>
          <w:lang w:eastAsia="zh-CN"/>
        </w:rPr>
        <w:t>。</w:t>
      </w:r>
    </w:p>
    <w:p>
      <w:pPr>
        <w:pStyle w:val="11"/>
        <w:spacing w:line="440" w:lineRule="exact"/>
        <w:ind w:firstLine="468" w:firstLineChars="195"/>
        <w:rPr>
          <w:rFonts w:hint="eastAsia"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lang w:val="en-US" w:eastAsia="zh-CN"/>
        </w:rPr>
        <w:t>3.</w:t>
      </w:r>
      <w:r>
        <w:rPr>
          <w:rFonts w:hint="eastAsia" w:ascii="仿宋" w:hAnsi="仿宋" w:eastAsia="仿宋" w:cs="仿宋"/>
          <w:color w:val="auto"/>
          <w:kern w:val="24"/>
          <w:sz w:val="24"/>
          <w:szCs w:val="24"/>
          <w:highlight w:val="none"/>
        </w:rPr>
        <w:t>项目班子人员未经</w:t>
      </w:r>
      <w:r>
        <w:rPr>
          <w:rFonts w:hint="eastAsia" w:ascii="仿宋" w:hAnsi="仿宋" w:eastAsia="仿宋" w:cs="仿宋"/>
          <w:color w:val="auto"/>
          <w:kern w:val="24"/>
          <w:sz w:val="24"/>
          <w:szCs w:val="24"/>
          <w:highlight w:val="none"/>
          <w:lang w:val="en-US" w:eastAsia="zh-CN"/>
        </w:rPr>
        <w:t>询价人</w:t>
      </w:r>
      <w:r>
        <w:rPr>
          <w:rFonts w:hint="eastAsia" w:ascii="仿宋" w:hAnsi="仿宋" w:eastAsia="仿宋" w:cs="仿宋"/>
          <w:color w:val="auto"/>
          <w:kern w:val="24"/>
          <w:sz w:val="24"/>
          <w:szCs w:val="24"/>
          <w:highlight w:val="none"/>
        </w:rPr>
        <w:t>许可，项目负责人及主要</w:t>
      </w:r>
      <w:r>
        <w:rPr>
          <w:rFonts w:hint="eastAsia" w:ascii="仿宋" w:hAnsi="仿宋" w:eastAsia="仿宋" w:cs="仿宋"/>
          <w:color w:val="auto"/>
          <w:kern w:val="24"/>
          <w:sz w:val="24"/>
          <w:szCs w:val="24"/>
          <w:highlight w:val="none"/>
          <w:lang w:val="en-US" w:eastAsia="zh-CN"/>
        </w:rPr>
        <w:t>人员</w:t>
      </w:r>
      <w:r>
        <w:rPr>
          <w:rFonts w:hint="eastAsia" w:ascii="仿宋" w:hAnsi="仿宋" w:eastAsia="仿宋" w:cs="仿宋"/>
          <w:color w:val="auto"/>
          <w:kern w:val="24"/>
          <w:sz w:val="24"/>
          <w:szCs w:val="24"/>
          <w:highlight w:val="none"/>
        </w:rPr>
        <w:t>不能更换。变更替换人员应为</w:t>
      </w:r>
      <w:r>
        <w:rPr>
          <w:rFonts w:hint="eastAsia" w:ascii="仿宋" w:hAnsi="仿宋" w:eastAsia="仿宋" w:cs="仿宋"/>
          <w:color w:val="auto"/>
          <w:kern w:val="24"/>
          <w:sz w:val="24"/>
          <w:szCs w:val="24"/>
          <w:highlight w:val="none"/>
          <w:lang w:eastAsia="zh-CN"/>
        </w:rPr>
        <w:t>中标单位</w:t>
      </w:r>
      <w:r>
        <w:rPr>
          <w:rFonts w:hint="eastAsia" w:ascii="仿宋" w:hAnsi="仿宋" w:eastAsia="仿宋" w:cs="仿宋"/>
          <w:color w:val="auto"/>
          <w:kern w:val="24"/>
          <w:sz w:val="24"/>
          <w:szCs w:val="24"/>
          <w:highlight w:val="none"/>
        </w:rPr>
        <w:t>在职人员（社保缴纳3个月及以上）且不低于被替换人员的技术职称、执业资格要求。</w:t>
      </w:r>
    </w:p>
    <w:p>
      <w:pPr>
        <w:pStyle w:val="11"/>
        <w:spacing w:line="440" w:lineRule="exact"/>
        <w:ind w:firstLine="468" w:firstLineChars="195"/>
        <w:rPr>
          <w:rFonts w:hint="eastAsia" w:ascii="仿宋" w:hAnsi="仿宋" w:eastAsia="仿宋" w:cs="仿宋"/>
          <w:color w:val="auto"/>
          <w:kern w:val="24"/>
          <w:sz w:val="24"/>
          <w:szCs w:val="24"/>
          <w:highlight w:val="none"/>
        </w:rPr>
      </w:pPr>
      <w:r>
        <w:rPr>
          <w:rFonts w:hint="eastAsia" w:ascii="仿宋" w:hAnsi="仿宋" w:eastAsia="仿宋" w:cs="仿宋"/>
          <w:color w:val="auto"/>
          <w:kern w:val="24"/>
          <w:sz w:val="24"/>
          <w:szCs w:val="24"/>
          <w:highlight w:val="none"/>
          <w:lang w:val="en-US" w:eastAsia="zh-CN"/>
        </w:rPr>
        <w:t>4.询价</w:t>
      </w:r>
      <w:r>
        <w:rPr>
          <w:rFonts w:hint="eastAsia" w:ascii="仿宋" w:hAnsi="仿宋" w:eastAsia="仿宋" w:cs="仿宋"/>
          <w:color w:val="auto"/>
          <w:kern w:val="24"/>
          <w:sz w:val="24"/>
          <w:szCs w:val="24"/>
          <w:highlight w:val="none"/>
          <w:lang w:eastAsia="zh-CN"/>
        </w:rPr>
        <w:t>人</w:t>
      </w:r>
      <w:r>
        <w:rPr>
          <w:rFonts w:hint="eastAsia" w:ascii="仿宋" w:hAnsi="仿宋" w:eastAsia="仿宋" w:cs="仿宋"/>
          <w:color w:val="auto"/>
          <w:kern w:val="24"/>
          <w:sz w:val="24"/>
          <w:szCs w:val="24"/>
          <w:highlight w:val="none"/>
        </w:rPr>
        <w:t>认为履职不到位、工作存在严重失误，根据考核结果不符合要求的项目班子成员，</w:t>
      </w:r>
      <w:r>
        <w:rPr>
          <w:rFonts w:hint="eastAsia" w:ascii="仿宋" w:hAnsi="仿宋" w:eastAsia="仿宋" w:cs="仿宋"/>
          <w:color w:val="auto"/>
          <w:kern w:val="24"/>
          <w:sz w:val="24"/>
          <w:szCs w:val="24"/>
          <w:highlight w:val="none"/>
          <w:lang w:val="en-US" w:eastAsia="zh-CN"/>
        </w:rPr>
        <w:t>成交</w:t>
      </w:r>
      <w:r>
        <w:rPr>
          <w:rFonts w:hint="eastAsia" w:ascii="仿宋" w:hAnsi="仿宋" w:eastAsia="仿宋" w:cs="仿宋"/>
          <w:color w:val="auto"/>
          <w:kern w:val="24"/>
          <w:sz w:val="24"/>
          <w:szCs w:val="24"/>
          <w:highlight w:val="none"/>
          <w:lang w:eastAsia="zh-CN"/>
        </w:rPr>
        <w:t>人</w:t>
      </w:r>
      <w:r>
        <w:rPr>
          <w:rFonts w:hint="eastAsia" w:ascii="仿宋" w:hAnsi="仿宋" w:eastAsia="仿宋" w:cs="仿宋"/>
          <w:color w:val="auto"/>
          <w:kern w:val="24"/>
          <w:sz w:val="24"/>
          <w:szCs w:val="24"/>
          <w:highlight w:val="none"/>
        </w:rPr>
        <w:t>应按</w:t>
      </w:r>
      <w:r>
        <w:rPr>
          <w:rFonts w:hint="eastAsia" w:ascii="仿宋" w:hAnsi="仿宋" w:eastAsia="仿宋" w:cs="仿宋"/>
          <w:color w:val="auto"/>
          <w:kern w:val="24"/>
          <w:sz w:val="24"/>
          <w:szCs w:val="24"/>
          <w:highlight w:val="none"/>
          <w:lang w:eastAsia="zh-CN"/>
        </w:rPr>
        <w:t>询价人</w:t>
      </w:r>
      <w:r>
        <w:rPr>
          <w:rFonts w:hint="eastAsia" w:ascii="仿宋" w:hAnsi="仿宋" w:eastAsia="仿宋" w:cs="仿宋"/>
          <w:color w:val="auto"/>
          <w:kern w:val="24"/>
          <w:sz w:val="24"/>
          <w:szCs w:val="24"/>
          <w:highlight w:val="none"/>
        </w:rPr>
        <w:t>要求进行项目组成员变更。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val="0"/>
          <w:color w:val="auto"/>
          <w:sz w:val="24"/>
          <w:szCs w:val="24"/>
          <w:highlight w:val="none"/>
          <w:lang w:val="en-US" w:eastAsia="zh-CN"/>
        </w:rPr>
      </w:pPr>
      <w:bookmarkStart w:id="76" w:name="_Toc8215"/>
      <w:r>
        <w:rPr>
          <w:rFonts w:hint="eastAsia" w:ascii="仿宋" w:hAnsi="仿宋" w:eastAsia="仿宋" w:cs="仿宋"/>
          <w:b/>
          <w:bCs w:val="0"/>
          <w:color w:val="auto"/>
          <w:sz w:val="24"/>
          <w:szCs w:val="24"/>
          <w:highlight w:val="none"/>
          <w:lang w:val="en-US" w:eastAsia="zh-CN"/>
        </w:rPr>
        <w:t>四、服务期</w:t>
      </w:r>
      <w:bookmarkEnd w:id="76"/>
    </w:p>
    <w:p>
      <w:pPr>
        <w:snapToGrid w:val="0"/>
        <w:spacing w:beforeLines="0" w:afterLines="0" w:line="360" w:lineRule="auto"/>
        <w:ind w:firstLine="480" w:firstLineChars="200"/>
        <w:jc w:val="left"/>
        <w:rPr>
          <w:rFonts w:hint="eastAsia" w:ascii="仿宋" w:hAnsi="仿宋" w:eastAsia="仿宋" w:cs="仿宋"/>
          <w:bCs w:val="0"/>
          <w:snapToGrid/>
          <w:color w:val="auto"/>
          <w:sz w:val="24"/>
          <w:szCs w:val="24"/>
          <w:highlight w:val="none"/>
          <w:lang w:eastAsia="zh-CN"/>
        </w:rPr>
      </w:pPr>
      <w:r>
        <w:rPr>
          <w:rFonts w:hint="eastAsia" w:ascii="仿宋" w:hAnsi="仿宋" w:eastAsia="仿宋" w:cs="仿宋"/>
          <w:bCs w:val="0"/>
          <w:snapToGrid/>
          <w:color w:val="auto"/>
          <w:sz w:val="24"/>
          <w:szCs w:val="24"/>
          <w:highlight w:val="none"/>
          <w:lang w:eastAsia="zh-CN"/>
        </w:rPr>
        <w:t>（</w:t>
      </w:r>
      <w:r>
        <w:rPr>
          <w:rFonts w:hint="eastAsia" w:ascii="仿宋" w:hAnsi="仿宋" w:eastAsia="仿宋" w:cs="仿宋"/>
          <w:bCs w:val="0"/>
          <w:snapToGrid/>
          <w:color w:val="auto"/>
          <w:sz w:val="24"/>
          <w:szCs w:val="24"/>
          <w:highlight w:val="none"/>
          <w:lang w:val="en-US" w:eastAsia="zh-CN"/>
        </w:rPr>
        <w:t>1</w:t>
      </w:r>
      <w:r>
        <w:rPr>
          <w:rFonts w:hint="eastAsia" w:ascii="仿宋" w:hAnsi="仿宋" w:eastAsia="仿宋" w:cs="仿宋"/>
          <w:bCs w:val="0"/>
          <w:snapToGrid/>
          <w:color w:val="auto"/>
          <w:sz w:val="24"/>
          <w:szCs w:val="24"/>
          <w:highlight w:val="none"/>
          <w:lang w:eastAsia="zh-CN"/>
        </w:rPr>
        <w:t>）</w:t>
      </w:r>
      <w:r>
        <w:rPr>
          <w:rFonts w:hint="eastAsia" w:ascii="仿宋" w:hAnsi="仿宋" w:eastAsia="仿宋" w:cs="仿宋"/>
          <w:bCs w:val="0"/>
          <w:snapToGrid/>
          <w:color w:val="auto"/>
          <w:sz w:val="24"/>
          <w:szCs w:val="24"/>
          <w:highlight w:val="none"/>
          <w:lang w:val="en-US" w:eastAsia="zh-CN"/>
        </w:rPr>
        <w:t>自合同签订之日起一年</w:t>
      </w:r>
      <w:r>
        <w:rPr>
          <w:rFonts w:hint="eastAsia" w:ascii="仿宋" w:hAnsi="仿宋" w:eastAsia="仿宋" w:cs="仿宋"/>
          <w:bCs w:val="0"/>
          <w:snapToGrid/>
          <w:color w:val="auto"/>
          <w:sz w:val="24"/>
          <w:szCs w:val="24"/>
          <w:highlight w:val="none"/>
          <w:lang w:eastAsia="zh-CN"/>
        </w:rPr>
        <w:t>。</w:t>
      </w:r>
    </w:p>
    <w:p>
      <w:pPr>
        <w:spacing w:line="360" w:lineRule="auto"/>
        <w:ind w:firstLine="482" w:firstLineChars="200"/>
        <w:outlineLvl w:val="1"/>
        <w:rPr>
          <w:rFonts w:hint="eastAsia" w:ascii="仿宋" w:hAnsi="仿宋" w:eastAsia="仿宋" w:cs="仿宋"/>
          <w:b/>
          <w:bCs/>
          <w:color w:val="auto"/>
          <w:kern w:val="2"/>
          <w:sz w:val="24"/>
          <w:szCs w:val="24"/>
          <w:highlight w:val="none"/>
          <w:lang w:val="en-US" w:eastAsia="zh-CN" w:bidi="ar-SA"/>
        </w:rPr>
      </w:pPr>
      <w:bookmarkStart w:id="77" w:name="_Toc8662"/>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付款</w:t>
      </w:r>
      <w:bookmarkEnd w:id="77"/>
      <w:r>
        <w:rPr>
          <w:rFonts w:hint="eastAsia" w:ascii="仿宋" w:hAnsi="仿宋" w:eastAsia="仿宋" w:cs="仿宋"/>
          <w:b/>
          <w:bCs/>
          <w:color w:val="auto"/>
          <w:sz w:val="24"/>
          <w:szCs w:val="24"/>
          <w:highlight w:val="none"/>
          <w:lang w:val="en-US" w:eastAsia="zh-CN"/>
        </w:rPr>
        <w:t>方式</w:t>
      </w:r>
    </w:p>
    <w:p>
      <w:pPr>
        <w:snapToGrid w:val="0"/>
        <w:spacing w:beforeLines="0" w:afterLines="0" w:line="360" w:lineRule="auto"/>
        <w:ind w:firstLine="480" w:firstLineChars="200"/>
        <w:jc w:val="left"/>
        <w:rPr>
          <w:rFonts w:hint="eastAsia" w:ascii="仿宋" w:hAnsi="仿宋" w:eastAsia="仿宋" w:cs="仿宋"/>
          <w:bCs w:val="0"/>
          <w:snapToGrid/>
          <w:color w:val="auto"/>
          <w:sz w:val="24"/>
          <w:szCs w:val="24"/>
          <w:highlight w:val="none"/>
          <w:lang w:eastAsia="zh-CN"/>
        </w:rPr>
      </w:pPr>
      <w:r>
        <w:rPr>
          <w:rFonts w:hint="eastAsia" w:ascii="仿宋" w:hAnsi="仿宋" w:eastAsia="仿宋" w:cs="仿宋"/>
          <w:bCs w:val="0"/>
          <w:snapToGrid/>
          <w:color w:val="auto"/>
          <w:sz w:val="24"/>
          <w:szCs w:val="24"/>
          <w:highlight w:val="none"/>
          <w:lang w:eastAsia="zh-CN"/>
        </w:rPr>
        <w:t>（</w:t>
      </w:r>
      <w:r>
        <w:rPr>
          <w:rFonts w:hint="eastAsia" w:ascii="仿宋" w:hAnsi="仿宋" w:eastAsia="仿宋" w:cs="仿宋"/>
          <w:bCs w:val="0"/>
          <w:snapToGrid/>
          <w:color w:val="auto"/>
          <w:sz w:val="24"/>
          <w:szCs w:val="24"/>
          <w:highlight w:val="none"/>
          <w:lang w:val="en-US" w:eastAsia="zh-CN"/>
        </w:rPr>
        <w:t>1</w:t>
      </w:r>
      <w:r>
        <w:rPr>
          <w:rFonts w:hint="eastAsia" w:ascii="仿宋" w:hAnsi="仿宋" w:eastAsia="仿宋" w:cs="仿宋"/>
          <w:bCs w:val="0"/>
          <w:snapToGrid/>
          <w:color w:val="auto"/>
          <w:sz w:val="24"/>
          <w:szCs w:val="24"/>
          <w:highlight w:val="none"/>
          <w:lang w:eastAsia="zh-CN"/>
        </w:rPr>
        <w:t>）</w:t>
      </w:r>
      <w:r>
        <w:rPr>
          <w:rFonts w:hint="eastAsia" w:ascii="仿宋" w:hAnsi="仿宋" w:eastAsia="仿宋" w:cs="仿宋"/>
          <w:bCs w:val="0"/>
          <w:snapToGrid/>
          <w:color w:val="auto"/>
          <w:sz w:val="24"/>
          <w:szCs w:val="24"/>
          <w:highlight w:val="none"/>
          <w:lang w:val="en-US" w:eastAsia="zh-CN"/>
        </w:rPr>
        <w:t>货到付款，按实结算</w:t>
      </w:r>
      <w:r>
        <w:rPr>
          <w:rFonts w:hint="eastAsia" w:ascii="仿宋" w:hAnsi="仿宋" w:eastAsia="仿宋" w:cs="仿宋"/>
          <w:bCs w:val="0"/>
          <w:snapToGrid/>
          <w:color w:val="auto"/>
          <w:sz w:val="24"/>
          <w:szCs w:val="24"/>
          <w:highlight w:val="none"/>
          <w:lang w:eastAsia="zh-CN"/>
        </w:rPr>
        <w:t>。</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center"/>
        <w:outlineLvl w:val="0"/>
        <w:rPr>
          <w:rFonts w:hint="eastAsia" w:ascii="仿宋" w:hAnsi="仿宋" w:eastAsia="仿宋" w:cs="仿宋"/>
          <w:b/>
          <w:bCs/>
          <w:color w:val="auto"/>
          <w:sz w:val="32"/>
          <w:szCs w:val="32"/>
          <w:highlight w:val="none"/>
        </w:rPr>
      </w:pPr>
      <w:bookmarkStart w:id="78" w:name="_Toc4733"/>
      <w:bookmarkStart w:id="79" w:name="_Toc20920"/>
      <w:bookmarkStart w:id="80" w:name="_Toc10216"/>
      <w:r>
        <w:rPr>
          <w:rFonts w:hint="eastAsia" w:ascii="仿宋" w:hAnsi="仿宋" w:eastAsia="仿宋" w:cs="仿宋"/>
          <w:b/>
          <w:bCs/>
          <w:color w:val="auto"/>
          <w:sz w:val="32"/>
          <w:szCs w:val="32"/>
          <w:highlight w:val="none"/>
          <w:lang w:val="en-US" w:eastAsia="zh-CN"/>
        </w:rPr>
        <w:t>第四部分、</w:t>
      </w:r>
      <w:r>
        <w:rPr>
          <w:rFonts w:hint="eastAsia" w:ascii="仿宋" w:hAnsi="仿宋" w:eastAsia="仿宋" w:cs="仿宋"/>
          <w:b/>
          <w:bCs/>
          <w:color w:val="auto"/>
          <w:sz w:val="32"/>
          <w:szCs w:val="32"/>
          <w:highlight w:val="none"/>
          <w:lang w:eastAsia="zh-CN"/>
        </w:rPr>
        <w:t>应价文件</w:t>
      </w:r>
      <w:r>
        <w:rPr>
          <w:rFonts w:hint="eastAsia" w:ascii="仿宋" w:hAnsi="仿宋" w:eastAsia="仿宋" w:cs="仿宋"/>
          <w:b/>
          <w:bCs/>
          <w:color w:val="auto"/>
          <w:sz w:val="32"/>
          <w:szCs w:val="32"/>
          <w:highlight w:val="none"/>
        </w:rPr>
        <w:t>格式</w:t>
      </w:r>
      <w:bookmarkEnd w:id="78"/>
      <w:bookmarkEnd w:id="79"/>
      <w:bookmarkEnd w:id="80"/>
    </w:p>
    <w:p>
      <w:pPr>
        <w:adjustRightInd w:val="0"/>
        <w:snapToGrid w:val="0"/>
        <w:spacing w:line="360" w:lineRule="auto"/>
        <w:outlineLvl w:val="9"/>
        <w:rPr>
          <w:rFonts w:hint="eastAsia" w:ascii="仿宋" w:hAnsi="仿宋" w:eastAsia="仿宋" w:cs="仿宋"/>
          <w:color w:val="auto"/>
          <w:sz w:val="24"/>
          <w:szCs w:val="24"/>
          <w:highlight w:val="none"/>
          <w:u w:val="none"/>
          <w:lang w:val="en-US" w:eastAsia="zh-CN"/>
        </w:rPr>
      </w:pPr>
      <w:bookmarkStart w:id="81" w:name="_Toc14491"/>
    </w:p>
    <w:p>
      <w:pPr>
        <w:adjustRightInd w:val="0"/>
        <w:snapToGrid w:val="0"/>
        <w:spacing w:line="360" w:lineRule="auto"/>
        <w:outlineLvl w:val="1"/>
        <w:rPr>
          <w:rFonts w:hint="eastAsia" w:ascii="仿宋" w:hAnsi="仿宋" w:eastAsia="仿宋" w:cs="仿宋"/>
          <w:color w:val="auto"/>
          <w:sz w:val="24"/>
          <w:szCs w:val="24"/>
          <w:highlight w:val="none"/>
          <w:u w:val="none"/>
          <w:lang w:val="en-US" w:eastAsia="zh-CN"/>
        </w:rPr>
      </w:pPr>
      <w:bookmarkStart w:id="82" w:name="_Toc28864"/>
      <w:bookmarkStart w:id="83" w:name="_Toc19252"/>
      <w:r>
        <w:rPr>
          <w:rFonts w:hint="eastAsia" w:ascii="仿宋" w:hAnsi="仿宋" w:eastAsia="仿宋" w:cs="仿宋"/>
          <w:color w:val="auto"/>
          <w:sz w:val="24"/>
          <w:szCs w:val="24"/>
          <w:highlight w:val="none"/>
          <w:u w:val="none"/>
          <w:lang w:val="en-US" w:eastAsia="zh-CN"/>
        </w:rPr>
        <w:t>附1-封面</w:t>
      </w:r>
      <w:bookmarkEnd w:id="81"/>
      <w:bookmarkEnd w:id="82"/>
      <w:bookmarkEnd w:id="83"/>
    </w:p>
    <w:p>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u w:val="single"/>
        </w:rPr>
      </w:pPr>
    </w:p>
    <w:p>
      <w:pPr>
        <w:autoSpaceDE w:val="0"/>
        <w:autoSpaceDN w:val="0"/>
        <w:adjustRightInd w:val="0"/>
        <w:snapToGrid w:val="0"/>
        <w:spacing w:line="360" w:lineRule="auto"/>
        <w:jc w:val="center"/>
        <w:rPr>
          <w:rFonts w:hint="default" w:ascii="仿宋" w:hAnsi="仿宋" w:eastAsia="仿宋" w:cs="仿宋"/>
          <w:b/>
          <w:color w:val="auto"/>
          <w:spacing w:val="20"/>
          <w:kern w:val="0"/>
          <w:sz w:val="24"/>
          <w:szCs w:val="24"/>
          <w:highlight w:val="none"/>
          <w:lang w:val="en-US"/>
        </w:rPr>
      </w:pPr>
      <w:r>
        <w:rPr>
          <w:rFonts w:hint="eastAsia" w:ascii="仿宋" w:hAnsi="仿宋" w:eastAsia="仿宋" w:cs="仿宋"/>
          <w:b/>
          <w:color w:val="auto"/>
          <w:spacing w:val="0"/>
          <w:kern w:val="0"/>
          <w:sz w:val="24"/>
          <w:szCs w:val="24"/>
          <w:highlight w:val="none"/>
          <w:u w:val="single"/>
          <w:lang w:val="en-US" w:eastAsia="zh-CN"/>
        </w:rPr>
        <w:t xml:space="preserve">                                  </w:t>
      </w:r>
      <w:r>
        <w:rPr>
          <w:rFonts w:hint="eastAsia" w:ascii="仿宋" w:hAnsi="仿宋" w:eastAsia="仿宋" w:cs="仿宋"/>
          <w:b/>
          <w:color w:val="auto"/>
          <w:spacing w:val="0"/>
          <w:kern w:val="0"/>
          <w:sz w:val="24"/>
          <w:szCs w:val="24"/>
          <w:highlight w:val="none"/>
          <w:u w:val="none"/>
          <w:lang w:val="en-US" w:eastAsia="zh-CN"/>
        </w:rPr>
        <w:t>项目</w:t>
      </w:r>
    </w:p>
    <w:p>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HLQT-2024-002</w:t>
      </w: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 xml:space="preserve"> 应 </w:t>
      </w:r>
      <w:r>
        <w:rPr>
          <w:rFonts w:hint="eastAsia" w:ascii="仿宋" w:hAnsi="仿宋" w:eastAsia="仿宋" w:cs="仿宋"/>
          <w:b/>
          <w:bCs w:val="0"/>
          <w:color w:val="auto"/>
          <w:sz w:val="44"/>
          <w:szCs w:val="44"/>
          <w:highlight w:val="none"/>
          <w:lang w:val="en-US" w:eastAsia="zh-CN"/>
        </w:rPr>
        <w:t xml:space="preserve">价 </w:t>
      </w:r>
      <w:r>
        <w:rPr>
          <w:rFonts w:hint="eastAsia" w:ascii="仿宋" w:hAnsi="仿宋" w:eastAsia="仿宋" w:cs="仿宋"/>
          <w:b/>
          <w:bCs w:val="0"/>
          <w:color w:val="auto"/>
          <w:sz w:val="44"/>
          <w:szCs w:val="44"/>
          <w:highlight w:val="none"/>
        </w:rPr>
        <w:t>文 件</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pPr>
        <w:adjustRightInd w:val="0"/>
        <w:snapToGrid w:val="0"/>
        <w:spacing w:line="360" w:lineRule="auto"/>
        <w:ind w:firstLine="1200" w:firstLineChars="500"/>
        <w:rPr>
          <w:rFonts w:hint="eastAsia" w:ascii="仿宋" w:hAnsi="仿宋" w:eastAsia="仿宋" w:cs="仿宋"/>
          <w:snapToGrid w:val="0"/>
          <w:color w:val="auto"/>
          <w:kern w:val="0"/>
          <w:sz w:val="24"/>
          <w:szCs w:val="24"/>
          <w:highlight w:val="none"/>
          <w:u w:val="single"/>
        </w:rPr>
      </w:pPr>
      <w:r>
        <w:rPr>
          <w:rFonts w:hint="eastAsia" w:ascii="仿宋" w:hAnsi="仿宋" w:eastAsia="仿宋" w:cs="仿宋"/>
          <w:snapToGrid w:val="0"/>
          <w:color w:val="auto"/>
          <w:kern w:val="0"/>
          <w:sz w:val="24"/>
          <w:szCs w:val="24"/>
          <w:highlight w:val="none"/>
          <w:lang w:val="en-US" w:eastAsia="zh-CN"/>
        </w:rPr>
        <w:t>应价人</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（盖单位公章）</w:t>
      </w:r>
    </w:p>
    <w:p>
      <w:pPr>
        <w:adjustRightInd w:val="0"/>
        <w:snapToGrid w:val="0"/>
        <w:spacing w:line="360" w:lineRule="auto"/>
        <w:ind w:firstLine="1200" w:firstLineChars="5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w:t>
      </w:r>
      <w:bookmarkStart w:id="84" w:name="_Hlk73276977"/>
      <w:r>
        <w:rPr>
          <w:rFonts w:hint="eastAsia" w:ascii="仿宋" w:hAnsi="仿宋" w:eastAsia="仿宋" w:cs="仿宋"/>
          <w:snapToGrid w:val="0"/>
          <w:color w:val="auto"/>
          <w:kern w:val="0"/>
          <w:sz w:val="24"/>
          <w:szCs w:val="24"/>
          <w:highlight w:val="none"/>
        </w:rPr>
        <w:t>或其委托代理人</w:t>
      </w:r>
      <w:bookmarkEnd w:id="84"/>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u w:val="single"/>
        </w:rPr>
        <w:t>（签字或盖</w:t>
      </w:r>
      <w:r>
        <w:rPr>
          <w:rFonts w:hint="eastAsia" w:ascii="仿宋" w:hAnsi="仿宋" w:eastAsia="仿宋" w:cs="仿宋"/>
          <w:snapToGrid w:val="0"/>
          <w:color w:val="auto"/>
          <w:kern w:val="0"/>
          <w:sz w:val="24"/>
          <w:szCs w:val="24"/>
          <w:highlight w:val="none"/>
          <w:u w:val="single"/>
          <w:lang w:val="en-US" w:eastAsia="zh-CN"/>
        </w:rPr>
        <w:t>印</w:t>
      </w:r>
      <w:r>
        <w:rPr>
          <w:rFonts w:hint="eastAsia" w:ascii="仿宋" w:hAnsi="仿宋" w:eastAsia="仿宋" w:cs="仿宋"/>
          <w:snapToGrid w:val="0"/>
          <w:color w:val="auto"/>
          <w:kern w:val="0"/>
          <w:sz w:val="24"/>
          <w:szCs w:val="24"/>
          <w:highlight w:val="none"/>
          <w:u w:val="single"/>
        </w:rPr>
        <w:t>章）</w:t>
      </w:r>
    </w:p>
    <w:p>
      <w:pPr>
        <w:adjustRightInd w:val="0"/>
        <w:snapToGrid w:val="0"/>
        <w:spacing w:line="360" w:lineRule="auto"/>
        <w:ind w:firstLine="1200" w:firstLineChars="5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  期：</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日</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br w:type="page"/>
      </w:r>
    </w:p>
    <w:p>
      <w:pPr>
        <w:adjustRightInd w:val="0"/>
        <w:snapToGrid w:val="0"/>
        <w:spacing w:line="360" w:lineRule="auto"/>
        <w:jc w:val="left"/>
        <w:outlineLvl w:val="1"/>
        <w:rPr>
          <w:rFonts w:hint="eastAsia" w:ascii="仿宋" w:hAnsi="仿宋" w:eastAsia="仿宋" w:cs="仿宋"/>
          <w:b w:val="0"/>
          <w:color w:val="auto"/>
          <w:sz w:val="24"/>
          <w:szCs w:val="24"/>
          <w:highlight w:val="none"/>
          <w:u w:val="none"/>
          <w:lang w:val="en-US" w:eastAsia="zh-CN"/>
        </w:rPr>
      </w:pPr>
      <w:bookmarkStart w:id="85" w:name="_Toc21804"/>
      <w:bookmarkStart w:id="86" w:name="_Toc19712"/>
      <w:bookmarkStart w:id="87" w:name="_Toc31352"/>
      <w:r>
        <w:rPr>
          <w:rFonts w:hint="eastAsia" w:ascii="仿宋" w:hAnsi="仿宋" w:eastAsia="仿宋" w:cs="仿宋"/>
          <w:b w:val="0"/>
          <w:color w:val="auto"/>
          <w:sz w:val="24"/>
          <w:szCs w:val="24"/>
          <w:highlight w:val="none"/>
          <w:u w:val="none"/>
          <w:lang w:val="en-US" w:eastAsia="zh-CN"/>
        </w:rPr>
        <w:t>附2-报价函</w:t>
      </w:r>
      <w:bookmarkEnd w:id="85"/>
      <w:r>
        <w:rPr>
          <w:rFonts w:hint="eastAsia" w:ascii="仿宋" w:hAnsi="仿宋" w:eastAsia="仿宋" w:cs="仿宋"/>
          <w:b w:val="0"/>
          <w:color w:val="auto"/>
          <w:sz w:val="24"/>
          <w:szCs w:val="24"/>
          <w:highlight w:val="none"/>
          <w:u w:val="none"/>
          <w:lang w:val="en-US" w:eastAsia="zh-CN"/>
        </w:rPr>
        <w:t>及附表</w:t>
      </w:r>
      <w:bookmarkEnd w:id="86"/>
      <w:bookmarkEnd w:id="87"/>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 价 函</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color w:val="auto"/>
          <w:sz w:val="24"/>
          <w:szCs w:val="24"/>
          <w:highlight w:val="none"/>
        </w:rPr>
      </w:pPr>
      <w:r>
        <w:rPr>
          <w:rStyle w:val="27"/>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项目</w:t>
      </w:r>
      <w:r>
        <w:rPr>
          <w:rFonts w:hint="eastAsia" w:ascii="仿宋" w:hAnsi="仿宋" w:eastAsia="仿宋" w:cs="仿宋"/>
          <w:color w:val="auto"/>
          <w:sz w:val="24"/>
          <w:szCs w:val="24"/>
          <w:highlight w:val="none"/>
        </w:rPr>
        <w:t>报价如</w:t>
      </w:r>
      <w:r>
        <w:rPr>
          <w:rFonts w:hint="eastAsia" w:ascii="仿宋" w:hAnsi="仿宋" w:eastAsia="仿宋" w:cs="仿宋"/>
          <w:color w:val="auto"/>
          <w:sz w:val="24"/>
          <w:szCs w:val="24"/>
          <w:highlight w:val="none"/>
          <w:lang w:val="en-US" w:eastAsia="zh-CN"/>
        </w:rPr>
        <w:t>下</w:t>
      </w:r>
      <w:r>
        <w:rPr>
          <w:rFonts w:hint="eastAsia" w:ascii="仿宋" w:hAnsi="仿宋" w:eastAsia="仿宋" w:cs="仿宋"/>
          <w:color w:val="auto"/>
          <w:sz w:val="24"/>
          <w:szCs w:val="24"/>
          <w:highlight w:val="none"/>
        </w:rPr>
        <w:t>：</w:t>
      </w:r>
    </w:p>
    <w:tbl>
      <w:tblPr>
        <w:tblStyle w:val="23"/>
        <w:tblpPr w:leftFromText="180" w:rightFromText="180" w:vertAnchor="text" w:horzAnchor="page" w:tblpX="1786" w:tblpY="464"/>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688"/>
        <w:gridCol w:w="874"/>
        <w:gridCol w:w="1019"/>
        <w:gridCol w:w="170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688"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名称</w:t>
            </w:r>
          </w:p>
        </w:tc>
        <w:tc>
          <w:tcPr>
            <w:tcW w:w="1688" w:type="dxa"/>
            <w:vAlign w:val="center"/>
          </w:tcPr>
          <w:p>
            <w:pPr>
              <w:spacing w:line="360" w:lineRule="auto"/>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规格</w:t>
            </w:r>
          </w:p>
        </w:tc>
        <w:tc>
          <w:tcPr>
            <w:tcW w:w="874"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数量</w:t>
            </w:r>
          </w:p>
        </w:tc>
        <w:tc>
          <w:tcPr>
            <w:tcW w:w="1019"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单价（元）</w:t>
            </w:r>
          </w:p>
        </w:tc>
        <w:tc>
          <w:tcPr>
            <w:tcW w:w="1707"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highlight w:val="none"/>
                <w:u w:val="none"/>
                <w:lang w:val="en-US" w:eastAsia="zh-CN"/>
              </w:rPr>
              <w:t>合价（元）</w:t>
            </w:r>
          </w:p>
        </w:tc>
        <w:tc>
          <w:tcPr>
            <w:tcW w:w="1300" w:type="dxa"/>
            <w:vAlign w:val="center"/>
          </w:tcPr>
          <w:p>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688" w:type="dxa"/>
            <w:vMerge w:val="continue"/>
            <w:vAlign w:val="top"/>
          </w:tcPr>
          <w:p>
            <w:pPr>
              <w:keepNext w:val="0"/>
              <w:keepLines w:val="0"/>
              <w:pageBreakBefore w:val="0"/>
              <w:kinsoku/>
              <w:wordWrap/>
              <w:overflowPunct/>
              <w:topLinePunct w:val="0"/>
              <w:autoSpaceDE/>
              <w:autoSpaceDN/>
              <w:bidi w:val="0"/>
              <w:adjustRightInd/>
              <w:snapToGrid w:val="0"/>
              <w:spacing w:line="360" w:lineRule="auto"/>
              <w:jc w:val="center"/>
              <w:textAlignment w:val="auto"/>
              <w:rPr>
                <w:color w:val="auto"/>
                <w:highlight w:val="none"/>
              </w:rPr>
            </w:pPr>
          </w:p>
        </w:tc>
        <w:tc>
          <w:tcPr>
            <w:tcW w:w="1688" w:type="dxa"/>
            <w:vAlign w:val="top"/>
          </w:tcPr>
          <w:p>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color w:val="auto"/>
                <w:sz w:val="24"/>
                <w:szCs w:val="24"/>
                <w:highlight w:val="none"/>
                <w:lang w:val="en-US" w:eastAsia="zh-CN"/>
              </w:rPr>
            </w:pPr>
          </w:p>
        </w:tc>
        <w:tc>
          <w:tcPr>
            <w:tcW w:w="874"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101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1707" w:type="dxa"/>
            <w:vMerge w:val="continue"/>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c>
          <w:tcPr>
            <w:tcW w:w="1300" w:type="dxa"/>
            <w:vMerge w:val="continue"/>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269" w:type="dxa"/>
            <w:gridSpan w:val="4"/>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Style w:val="27"/>
                <w:rFonts w:hint="eastAsia" w:ascii="仿宋" w:hAnsi="仿宋" w:eastAsia="仿宋" w:cs="仿宋"/>
                <w:color w:val="auto"/>
                <w:sz w:val="24"/>
                <w:szCs w:val="24"/>
                <w:highlight w:val="none"/>
                <w:u w:val="none"/>
                <w:lang w:val="en-US" w:eastAsia="zh-CN"/>
              </w:rPr>
            </w:pPr>
            <w:r>
              <w:rPr>
                <w:rStyle w:val="27"/>
                <w:rFonts w:hint="eastAsia" w:ascii="仿宋" w:hAnsi="仿宋" w:eastAsia="仿宋" w:cs="仿宋"/>
                <w:color w:val="auto"/>
                <w:sz w:val="24"/>
                <w:szCs w:val="24"/>
                <w:highlight w:val="none"/>
                <w:u w:val="none"/>
                <w:lang w:val="en-US" w:eastAsia="zh-CN"/>
              </w:rPr>
              <w:t>合计=响应报价</w:t>
            </w:r>
          </w:p>
        </w:tc>
        <w:tc>
          <w:tcPr>
            <w:tcW w:w="1707" w:type="dxa"/>
            <w:vAlign w:val="center"/>
          </w:tcPr>
          <w:p>
            <w:pPr>
              <w:widowControl/>
              <w:spacing w:line="360" w:lineRule="auto"/>
              <w:jc w:val="center"/>
              <w:textAlignment w:val="center"/>
              <w:rPr>
                <w:rStyle w:val="27"/>
                <w:rFonts w:hint="eastAsia" w:ascii="仿宋" w:hAnsi="仿宋" w:eastAsia="仿宋" w:cs="仿宋"/>
                <w:color w:val="auto"/>
                <w:sz w:val="24"/>
                <w:szCs w:val="24"/>
                <w:highlight w:val="none"/>
                <w:u w:val="none"/>
                <w:lang w:eastAsia="zh-CN"/>
              </w:rPr>
            </w:pPr>
            <w:r>
              <w:rPr>
                <w:rStyle w:val="27"/>
                <w:rFonts w:hint="eastAsia" w:ascii="仿宋" w:hAnsi="仿宋" w:eastAsia="仿宋" w:cs="仿宋"/>
                <w:color w:val="auto"/>
                <w:sz w:val="24"/>
                <w:szCs w:val="24"/>
                <w:highlight w:val="none"/>
                <w:u w:val="none"/>
                <w:lang w:eastAsia="zh-CN"/>
              </w:rPr>
              <w:t>大写：</w:t>
            </w:r>
          </w:p>
          <w:p>
            <w:pPr>
              <w:widowControl/>
              <w:spacing w:line="360" w:lineRule="auto"/>
              <w:jc w:val="center"/>
              <w:textAlignment w:val="center"/>
              <w:rPr>
                <w:rFonts w:hint="eastAsia" w:ascii="仿宋" w:hAnsi="仿宋" w:eastAsia="仿宋" w:cs="仿宋"/>
                <w:color w:val="auto"/>
                <w:kern w:val="2"/>
                <w:sz w:val="24"/>
                <w:szCs w:val="24"/>
                <w:highlight w:val="none"/>
                <w:vertAlign w:val="baseline"/>
                <w:lang w:val="en-US" w:eastAsia="zh-CN" w:bidi="ar-SA"/>
              </w:rPr>
            </w:pPr>
            <w:r>
              <w:rPr>
                <w:rStyle w:val="27"/>
                <w:rFonts w:hint="eastAsia" w:ascii="仿宋" w:hAnsi="仿宋" w:eastAsia="仿宋" w:cs="仿宋"/>
                <w:color w:val="auto"/>
                <w:sz w:val="24"/>
                <w:szCs w:val="24"/>
                <w:highlight w:val="none"/>
                <w:u w:val="none"/>
                <w:lang w:eastAsia="zh-CN"/>
              </w:rPr>
              <w:t>小写：</w:t>
            </w:r>
          </w:p>
        </w:tc>
        <w:tc>
          <w:tcPr>
            <w:tcW w:w="1300" w:type="dxa"/>
            <w:vAlign w:val="center"/>
          </w:tcPr>
          <w:p>
            <w:pPr>
              <w:widowControl/>
              <w:spacing w:line="360" w:lineRule="auto"/>
              <w:jc w:val="center"/>
              <w:textAlignment w:val="center"/>
              <w:rPr>
                <w:rFonts w:hint="eastAsia" w:ascii="仿宋" w:hAnsi="仿宋" w:eastAsia="仿宋" w:cs="仿宋"/>
                <w:color w:val="auto"/>
                <w:kern w:val="2"/>
                <w:sz w:val="24"/>
                <w:szCs w:val="24"/>
                <w:highlight w:val="none"/>
                <w:vertAlign w:val="baseline"/>
                <w:lang w:val="en-US" w:eastAsia="zh-CN" w:bidi="ar-SA"/>
              </w:rPr>
            </w:pPr>
            <w:r>
              <w:rPr>
                <w:rStyle w:val="27"/>
                <w:rFonts w:hint="eastAsia" w:ascii="仿宋" w:hAnsi="仿宋" w:eastAsia="仿宋" w:cs="仿宋"/>
                <w:color w:val="auto"/>
                <w:sz w:val="24"/>
                <w:szCs w:val="24"/>
                <w:highlight w:val="none"/>
                <w:u w:val="none"/>
                <w:lang w:val="en-US" w:eastAsia="zh-CN"/>
              </w:rPr>
              <w:t>税率   %</w:t>
            </w:r>
          </w:p>
        </w:tc>
      </w:tr>
    </w:tbl>
    <w:p>
      <w:pPr>
        <w:keepNext w:val="0"/>
        <w:keepLines w:val="0"/>
        <w:pageBreakBefore w:val="0"/>
        <w:kinsoku/>
        <w:wordWrap w:val="0"/>
        <w:overflowPunct/>
        <w:topLinePunct w:val="0"/>
        <w:bidi w:val="0"/>
        <w:snapToGrid w:val="0"/>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rPr>
        <w:t>报价包括人工费、差旅费、交通费、打印费、企业管理费、</w:t>
      </w:r>
      <w:r>
        <w:rPr>
          <w:rFonts w:hint="eastAsia" w:ascii="仿宋" w:hAnsi="仿宋" w:eastAsia="仿宋" w:cs="仿宋"/>
          <w:color w:val="auto"/>
          <w:sz w:val="24"/>
          <w:szCs w:val="24"/>
          <w:highlight w:val="none"/>
          <w:lang w:eastAsia="zh-CN"/>
        </w:rPr>
        <w:t>利润</w:t>
      </w:r>
      <w:r>
        <w:rPr>
          <w:rFonts w:hint="eastAsia" w:ascii="仿宋" w:hAnsi="仿宋" w:eastAsia="仿宋" w:cs="仿宋"/>
          <w:color w:val="auto"/>
          <w:sz w:val="24"/>
          <w:szCs w:val="24"/>
          <w:highlight w:val="none"/>
        </w:rPr>
        <w:t>、税金等一切费用，应价人须按报价函中的格式要求填写。</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pPr>
        <w:spacing w:line="360" w:lineRule="auto"/>
        <w:rPr>
          <w:rFonts w:hint="eastAsia" w:ascii="仿宋" w:hAnsi="仿宋" w:eastAsia="仿宋" w:cs="仿宋"/>
          <w:color w:val="auto"/>
          <w:sz w:val="24"/>
          <w:szCs w:val="24"/>
          <w:highlight w:val="none"/>
          <w:lang w:val="en-US" w:eastAsia="zh-CN"/>
        </w:rPr>
      </w:pPr>
    </w:p>
    <w:p>
      <w:pPr>
        <w:spacing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pPr>
        <w:spacing w:line="360" w:lineRule="auto"/>
        <w:ind w:firstLine="3120" w:firstLineChars="1300"/>
        <w:rPr>
          <w:rFonts w:hint="eastAsia" w:ascii="仿宋" w:hAnsi="仿宋" w:eastAsia="仿宋" w:cs="仿宋"/>
          <w:b/>
          <w:color w:val="auto"/>
          <w:sz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b/>
          <w:color w:val="auto"/>
          <w:sz w:val="32"/>
          <w:highlight w:val="none"/>
        </w:rPr>
        <w:br w:type="page"/>
      </w:r>
    </w:p>
    <w:p>
      <w:pPr>
        <w:spacing w:line="360" w:lineRule="auto"/>
        <w:jc w:val="left"/>
        <w:outlineLvl w:val="1"/>
        <w:rPr>
          <w:rFonts w:hint="eastAsia" w:ascii="仿宋" w:hAnsi="仿宋" w:eastAsia="仿宋" w:cs="仿宋"/>
          <w:color w:val="auto"/>
          <w:sz w:val="24"/>
          <w:szCs w:val="24"/>
          <w:highlight w:val="none"/>
        </w:rPr>
      </w:pPr>
      <w:bookmarkStart w:id="88" w:name="_Toc15398"/>
      <w:bookmarkStart w:id="89" w:name="_Toc10284"/>
      <w:bookmarkStart w:id="90" w:name="_Toc17578"/>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法定代表人授权委托书</w:t>
      </w:r>
      <w:bookmarkEnd w:id="88"/>
      <w:bookmarkEnd w:id="89"/>
      <w:bookmarkEnd w:id="90"/>
    </w:p>
    <w:p>
      <w:pPr>
        <w:spacing w:line="360" w:lineRule="auto"/>
        <w:jc w:val="center"/>
        <w:rPr>
          <w:rFonts w:hint="eastAsia" w:ascii="仿宋" w:hAnsi="仿宋" w:eastAsia="仿宋" w:cs="仿宋"/>
          <w:b/>
          <w:color w:val="auto"/>
          <w:sz w:val="24"/>
          <w:szCs w:val="24"/>
          <w:highlight w:val="none"/>
        </w:rPr>
      </w:pP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法定代表人身份证明</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经营期限：</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的法定代表人。</w:t>
      </w:r>
    </w:p>
    <w:p>
      <w:pPr>
        <w:snapToGrid w:val="0"/>
        <w:spacing w:line="360" w:lineRule="auto"/>
        <w:ind w:firstLine="560"/>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Style w:val="11"/>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附：法定代表人身份证复印件</w:t>
      </w:r>
    </w:p>
    <w:p>
      <w:pPr>
        <w:snapToGrid w:val="0"/>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：（盖单位公章） </w:t>
      </w:r>
    </w:p>
    <w:p>
      <w:pPr>
        <w:snapToGrid w:val="0"/>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法定代表人身份证复印件粘贴处（正、反面）</w:t>
            </w:r>
          </w:p>
        </w:tc>
      </w:tr>
    </w:tbl>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lang w:val="en-US" w:eastAsia="zh-CN"/>
        </w:rPr>
        <w:t>法定代表人</w:t>
      </w:r>
      <w:r>
        <w:rPr>
          <w:rFonts w:hint="eastAsia" w:ascii="仿宋" w:hAnsi="仿宋" w:eastAsia="仿宋" w:cs="仿宋"/>
          <w:b/>
          <w:color w:val="auto"/>
          <w:sz w:val="24"/>
          <w:szCs w:val="24"/>
          <w:highlight w:val="none"/>
        </w:rPr>
        <w:t>授权委托书</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的法定代表人，现委托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（姓名）为我方代理人（联系电话：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）。代理人根据授权，以我方名义签署、澄清、说明、补正、递交、撤回、修改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w:t>
      </w:r>
      <w:r>
        <w:rPr>
          <w:rFonts w:hint="eastAsia" w:ascii="仿宋" w:hAnsi="仿宋" w:eastAsia="仿宋" w:cs="仿宋"/>
          <w:color w:val="auto"/>
          <w:sz w:val="24"/>
          <w:szCs w:val="24"/>
          <w:highlight w:val="none"/>
          <w:lang w:eastAsia="zh-CN"/>
        </w:rPr>
        <w:t>应价文件</w:t>
      </w:r>
      <w:r>
        <w:rPr>
          <w:rFonts w:hint="eastAsia" w:ascii="仿宋" w:hAnsi="仿宋" w:eastAsia="仿宋" w:cs="仿宋"/>
          <w:color w:val="auto"/>
          <w:sz w:val="24"/>
          <w:szCs w:val="24"/>
          <w:highlight w:val="none"/>
        </w:rPr>
        <w:t>、签订合同和处理有关事宜，其法律后果由我方承担。</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附：委托代理人身份证复印件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在应价单位的社保缴纳证明。</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：（盖单位公章）</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委托的代理人：（签字或盖章）</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委托代理人身份证复印件粘贴处（正、反面）</w:t>
            </w:r>
          </w:p>
        </w:tc>
      </w:tr>
    </w:tbl>
    <w:p>
      <w:pPr>
        <w:snapToGrid w:val="0"/>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注：如</w:t>
      </w:r>
      <w:r>
        <w:rPr>
          <w:rFonts w:hint="eastAsia" w:ascii="仿宋" w:hAnsi="仿宋" w:eastAsia="仿宋" w:cs="仿宋"/>
          <w:b/>
          <w:color w:val="auto"/>
          <w:sz w:val="24"/>
          <w:szCs w:val="24"/>
          <w:highlight w:val="none"/>
          <w:lang w:eastAsia="zh-CN"/>
        </w:rPr>
        <w:t>应价文件</w:t>
      </w:r>
      <w:r>
        <w:rPr>
          <w:rFonts w:hint="eastAsia" w:ascii="仿宋" w:hAnsi="仿宋" w:eastAsia="仿宋" w:cs="仿宋"/>
          <w:b/>
          <w:color w:val="auto"/>
          <w:sz w:val="24"/>
          <w:szCs w:val="24"/>
          <w:highlight w:val="none"/>
        </w:rPr>
        <w:t>由委托代理人签字或盖章的，</w:t>
      </w:r>
      <w:r>
        <w:rPr>
          <w:rFonts w:hint="eastAsia" w:ascii="仿宋" w:hAnsi="仿宋" w:eastAsia="仿宋" w:cs="仿宋"/>
          <w:b/>
          <w:color w:val="auto"/>
          <w:sz w:val="24"/>
          <w:szCs w:val="24"/>
          <w:highlight w:val="none"/>
          <w:lang w:eastAsia="zh-CN"/>
        </w:rPr>
        <w:t>应价文件</w:t>
      </w:r>
      <w:r>
        <w:rPr>
          <w:rFonts w:hint="eastAsia" w:ascii="仿宋" w:hAnsi="仿宋" w:eastAsia="仿宋" w:cs="仿宋"/>
          <w:b/>
          <w:color w:val="auto"/>
          <w:sz w:val="24"/>
          <w:szCs w:val="24"/>
          <w:highlight w:val="none"/>
        </w:rPr>
        <w:t>必须附此授权委托书和法定代表人身份证明。</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br w:type="page"/>
      </w:r>
    </w:p>
    <w:p>
      <w:pPr>
        <w:spacing w:line="360" w:lineRule="auto"/>
        <w:jc w:val="left"/>
        <w:outlineLvl w:val="1"/>
        <w:rPr>
          <w:rFonts w:hint="eastAsia" w:ascii="仿宋" w:hAnsi="仿宋" w:eastAsia="仿宋" w:cs="仿宋"/>
          <w:color w:val="auto"/>
          <w:sz w:val="24"/>
          <w:szCs w:val="24"/>
          <w:highlight w:val="none"/>
          <w:lang w:val="en-US" w:eastAsia="zh-CN"/>
        </w:rPr>
      </w:pPr>
      <w:bookmarkStart w:id="91" w:name="_Toc15588"/>
      <w:bookmarkStart w:id="92" w:name="_Toc5844"/>
      <w:bookmarkStart w:id="93" w:name="_Toc21729"/>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lang w:val="en-US" w:eastAsia="zh-CN"/>
        </w:rPr>
        <w:t>企业营业执照副本副本复印件</w:t>
      </w:r>
      <w:bookmarkEnd w:id="91"/>
      <w:bookmarkEnd w:id="92"/>
    </w:p>
    <w:p>
      <w:pPr>
        <w:spacing w:line="360" w:lineRule="auto"/>
        <w:jc w:val="center"/>
        <w:outlineLvl w:val="9"/>
        <w:rPr>
          <w:rFonts w:hint="eastAsia" w:ascii="仿宋" w:hAnsi="仿宋" w:eastAsia="仿宋" w:cs="仿宋"/>
          <w:b/>
          <w:bCs/>
          <w:color w:val="auto"/>
          <w:sz w:val="24"/>
          <w:szCs w:val="24"/>
          <w:highlight w:val="none"/>
          <w:lang w:val="en-US" w:eastAsia="zh-CN"/>
        </w:rPr>
      </w:pPr>
      <w:bookmarkStart w:id="94" w:name="_Toc29234"/>
      <w:r>
        <w:rPr>
          <w:rFonts w:hint="eastAsia" w:ascii="仿宋" w:hAnsi="仿宋" w:eastAsia="仿宋" w:cs="仿宋"/>
          <w:b/>
          <w:bCs/>
          <w:color w:val="auto"/>
          <w:sz w:val="24"/>
          <w:highlight w:val="none"/>
          <w:lang w:val="en-US" w:eastAsia="zh-CN"/>
        </w:rPr>
        <w:t>企业营业执照副本副本复印件（加盖单位公章）</w:t>
      </w:r>
      <w:bookmarkEnd w:id="94"/>
    </w:p>
    <w:p>
      <w:pPr>
        <w:spacing w:line="24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spacing w:line="360" w:lineRule="auto"/>
        <w:jc w:val="left"/>
        <w:outlineLvl w:val="1"/>
        <w:rPr>
          <w:rFonts w:hint="eastAsia" w:ascii="仿宋" w:hAnsi="仿宋" w:eastAsia="仿宋" w:cs="仿宋"/>
          <w:color w:val="auto"/>
          <w:sz w:val="24"/>
          <w:szCs w:val="24"/>
          <w:highlight w:val="none"/>
          <w:lang w:val="en-US" w:eastAsia="zh-CN"/>
        </w:rPr>
      </w:pPr>
      <w:bookmarkStart w:id="95" w:name="_Toc13587"/>
      <w:bookmarkStart w:id="96" w:name="_Toc31186"/>
      <w:r>
        <w:rPr>
          <w:rFonts w:hint="eastAsia" w:ascii="仿宋" w:hAnsi="仿宋" w:eastAsia="仿宋" w:cs="仿宋"/>
          <w:color w:val="auto"/>
          <w:sz w:val="24"/>
          <w:szCs w:val="24"/>
          <w:highlight w:val="none"/>
          <w:lang w:val="en-US" w:eastAsia="zh-CN"/>
        </w:rPr>
        <w:t>附5-供应商资格条件要求提供的其他材料</w:t>
      </w:r>
      <w:bookmarkEnd w:id="95"/>
    </w:p>
    <w:p>
      <w:pPr>
        <w:spacing w:line="360" w:lineRule="auto"/>
        <w:jc w:val="left"/>
        <w:outlineLvl w:val="1"/>
        <w:rPr>
          <w:rFonts w:hint="eastAsia" w:ascii="仿宋" w:hAnsi="仿宋" w:eastAsia="仿宋" w:cs="仿宋"/>
          <w:color w:val="auto"/>
          <w:sz w:val="24"/>
          <w:szCs w:val="24"/>
          <w:highlight w:val="none"/>
          <w:lang w:val="en-US" w:eastAsia="zh-CN"/>
        </w:rPr>
      </w:pPr>
    </w:p>
    <w:p>
      <w:pPr>
        <w:spacing w:line="360" w:lineRule="auto"/>
        <w:jc w:val="center"/>
        <w:outlineLvl w:val="1"/>
        <w:rPr>
          <w:rFonts w:hint="eastAsia" w:ascii="仿宋" w:hAnsi="仿宋" w:eastAsia="仿宋" w:cs="仿宋"/>
          <w:color w:val="auto"/>
          <w:sz w:val="24"/>
          <w:szCs w:val="24"/>
          <w:highlight w:val="none"/>
          <w:lang w:val="en-US" w:eastAsia="zh-CN"/>
        </w:rPr>
      </w:pPr>
      <w:bookmarkStart w:id="97" w:name="_Toc25170"/>
      <w:r>
        <w:rPr>
          <w:rFonts w:hint="eastAsia" w:ascii="仿宋" w:hAnsi="仿宋" w:eastAsia="仿宋" w:cs="仿宋"/>
          <w:color w:val="auto"/>
          <w:sz w:val="24"/>
          <w:szCs w:val="24"/>
          <w:highlight w:val="none"/>
          <w:lang w:val="en-US" w:eastAsia="zh-CN"/>
        </w:rPr>
        <w:t>类似业绩证明材料（复印件加盖单位公章）</w:t>
      </w:r>
      <w:bookmarkEnd w:id="97"/>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spacing w:line="360" w:lineRule="auto"/>
        <w:jc w:val="left"/>
        <w:outlineLvl w:val="1"/>
        <w:rPr>
          <w:rFonts w:hint="eastAsia" w:ascii="仿宋" w:hAnsi="仿宋" w:eastAsia="仿宋" w:cs="仿宋"/>
          <w:color w:val="auto"/>
          <w:sz w:val="24"/>
          <w:szCs w:val="24"/>
          <w:highlight w:val="none"/>
          <w:lang w:val="en-US" w:eastAsia="zh-CN"/>
        </w:rPr>
      </w:pPr>
      <w:bookmarkStart w:id="98" w:name="_Toc12304"/>
      <w:r>
        <w:rPr>
          <w:rFonts w:hint="eastAsia" w:ascii="仿宋" w:hAnsi="仿宋" w:eastAsia="仿宋" w:cs="仿宋"/>
          <w:color w:val="auto"/>
          <w:sz w:val="24"/>
          <w:szCs w:val="24"/>
          <w:highlight w:val="none"/>
          <w:lang w:val="en-US" w:eastAsia="zh-CN"/>
        </w:rPr>
        <w:t>附6-声明函</w:t>
      </w:r>
      <w:bookmarkEnd w:id="96"/>
      <w:bookmarkEnd w:id="98"/>
    </w:p>
    <w:p>
      <w:pPr>
        <w:pStyle w:val="11"/>
        <w:topLinePunct/>
        <w:spacing w:line="360" w:lineRule="auto"/>
        <w:jc w:val="center"/>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声明函</w:t>
      </w:r>
    </w:p>
    <w:p>
      <w:pPr>
        <w:pStyle w:val="11"/>
        <w:topLinePunct/>
        <w:spacing w:line="360" w:lineRule="auto"/>
        <w:rPr>
          <w:rFonts w:hint="eastAsia" w:ascii="仿宋" w:hAnsi="仿宋" w:eastAsia="仿宋" w:cs="仿宋"/>
          <w:color w:val="auto"/>
          <w:sz w:val="24"/>
          <w:szCs w:val="24"/>
          <w:highlight w:val="none"/>
          <w:u w:val="single"/>
        </w:rPr>
      </w:pP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本单位自愿参加</w:t>
      </w:r>
      <w:r>
        <w:rPr>
          <w:rStyle w:val="27"/>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应价</w:t>
      </w:r>
      <w:r>
        <w:rPr>
          <w:rFonts w:hint="eastAsia" w:ascii="仿宋" w:hAnsi="仿宋" w:eastAsia="仿宋" w:cs="仿宋"/>
          <w:color w:val="auto"/>
          <w:sz w:val="24"/>
          <w:szCs w:val="24"/>
          <w:highlight w:val="none"/>
        </w:rPr>
        <w:t>，并保证</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文件中所列举的</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报价文件及相关资料和公司基本情况资料是真实的、合法的。为此，我方就本次</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有关事项郑重声明如下：</w:t>
      </w:r>
    </w:p>
    <w:p>
      <w:pPr>
        <w:numPr>
          <w:ilvl w:val="0"/>
          <w:numId w:val="3"/>
        </w:num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我单位具有独立承担民事责任的能力、具有良好的商业信誉和健全的财务会计制度、具有履行合同所必需的设备和专业技术能力、 有依法缴纳税收和社会保障资金的良好记录。</w:t>
      </w:r>
    </w:p>
    <w:p>
      <w:pPr>
        <w:numPr>
          <w:ilvl w:val="0"/>
          <w:numId w:val="3"/>
        </w:num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本次采购活动前三年内，在经营活动中没有重大违法记录（指供应商因违法经营受到刑事处罚或者责令停产停业、吊销许可证或者执照、较大数额罚款等行政处罚。“较大数额罚款”认定为200万元以上的罚款，法律、行政法规以及</w:t>
      </w:r>
      <w:bookmarkStart w:id="109" w:name="_GoBack"/>
      <w:bookmarkEnd w:id="109"/>
      <w:r>
        <w:rPr>
          <w:rFonts w:hint="eastAsia" w:ascii="仿宋" w:hAnsi="仿宋" w:eastAsia="仿宋" w:cs="仿宋"/>
          <w:color w:val="auto"/>
          <w:sz w:val="24"/>
          <w:szCs w:val="24"/>
          <w:highlight w:val="none"/>
        </w:rPr>
        <w:t>国务院有关部门明确规定相关领域“较大数额罚款”标准高于200万元的，从其规定）。</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三、不存在单位负责人为同一人或者存在直接控股、参股、管理关系的不同供应商参加同一合同项下的采购活动的。</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pPr>
        <w:topLinePunct/>
        <w:snapToGrid w:val="0"/>
        <w:spacing w:line="390" w:lineRule="exact"/>
        <w:ind w:firstLine="480" w:firstLineChars="200"/>
        <w:rPr>
          <w:rFonts w:hint="eastAsia" w:ascii="仿宋" w:hAnsi="仿宋" w:eastAsia="仿宋" w:cs="仿宋"/>
          <w:color w:val="auto"/>
          <w:sz w:val="24"/>
          <w:szCs w:val="24"/>
          <w:highlight w:val="none"/>
        </w:rPr>
      </w:pPr>
    </w:p>
    <w:p>
      <w:pPr>
        <w:spacing w:line="240" w:lineRule="auto"/>
        <w:jc w:val="left"/>
        <w:outlineLvl w:val="9"/>
        <w:rPr>
          <w:rFonts w:hint="eastAsia" w:ascii="仿宋" w:hAnsi="仿宋" w:eastAsia="仿宋" w:cs="仿宋"/>
          <w:color w:val="auto"/>
          <w:sz w:val="21"/>
          <w:szCs w:val="24"/>
          <w:highlight w:val="none"/>
          <w:lang w:val="en-US" w:eastAsia="zh-CN"/>
        </w:rPr>
      </w:pPr>
    </w:p>
    <w:p>
      <w:pPr>
        <w:spacing w:line="240"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spacing w:line="360" w:lineRule="auto"/>
        <w:jc w:val="left"/>
        <w:outlineLvl w:val="1"/>
        <w:rPr>
          <w:rFonts w:hint="eastAsia" w:ascii="仿宋" w:hAnsi="仿宋" w:eastAsia="仿宋" w:cs="仿宋"/>
          <w:color w:val="auto"/>
          <w:sz w:val="24"/>
          <w:szCs w:val="24"/>
          <w:highlight w:val="none"/>
        </w:rPr>
      </w:pPr>
      <w:bookmarkStart w:id="99" w:name="_Toc9865"/>
      <w:bookmarkStart w:id="100" w:name="_Toc15896"/>
      <w:r>
        <w:rPr>
          <w:rFonts w:hint="eastAsia" w:ascii="仿宋" w:hAnsi="仿宋" w:eastAsia="仿宋" w:cs="仿宋"/>
          <w:color w:val="auto"/>
          <w:sz w:val="24"/>
          <w:szCs w:val="24"/>
          <w:highlight w:val="none"/>
          <w:lang w:val="en-US" w:eastAsia="zh-CN"/>
        </w:rPr>
        <w:t>附7-商务、技术</w:t>
      </w:r>
      <w:r>
        <w:rPr>
          <w:rFonts w:hint="eastAsia" w:ascii="仿宋" w:hAnsi="仿宋" w:eastAsia="仿宋" w:cs="仿宋"/>
          <w:color w:val="auto"/>
          <w:sz w:val="24"/>
          <w:szCs w:val="24"/>
          <w:highlight w:val="none"/>
        </w:rPr>
        <w:t>偏离表</w:t>
      </w:r>
      <w:bookmarkEnd w:id="93"/>
      <w:bookmarkEnd w:id="99"/>
      <w:bookmarkEnd w:id="100"/>
    </w:p>
    <w:p>
      <w:pPr>
        <w:spacing w:line="360" w:lineRule="auto"/>
        <w:jc w:val="center"/>
        <w:outlineLvl w:val="1"/>
        <w:rPr>
          <w:rFonts w:hint="eastAsia" w:ascii="仿宋" w:hAnsi="仿宋" w:eastAsia="仿宋" w:cs="仿宋"/>
          <w:b/>
          <w:bCs/>
          <w:color w:val="auto"/>
          <w:sz w:val="24"/>
          <w:szCs w:val="24"/>
          <w:highlight w:val="none"/>
        </w:rPr>
      </w:pPr>
      <w:bookmarkStart w:id="101" w:name="_Toc26385"/>
      <w:bookmarkStart w:id="102" w:name="_Toc1833"/>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偏离表</w:t>
      </w:r>
      <w:bookmarkEnd w:id="101"/>
      <w:bookmarkEnd w:id="102"/>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207"/>
        <w:gridCol w:w="4565"/>
        <w:gridCol w:w="157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07" w:type="dxa"/>
            <w:vAlign w:val="center"/>
          </w:tcPr>
          <w:p>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w:t>
            </w:r>
          </w:p>
        </w:tc>
        <w:tc>
          <w:tcPr>
            <w:tcW w:w="4565" w:type="dxa"/>
            <w:vAlign w:val="center"/>
          </w:tcPr>
          <w:p>
            <w:pPr>
              <w:keepNext w:val="0"/>
              <w:keepLines w:val="0"/>
              <w:pageBreakBefore w:val="0"/>
              <w:kinsoku/>
              <w:overflowPunct/>
              <w:topLinePunct w:val="0"/>
              <w:bidi w:val="0"/>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采购要求</w:t>
            </w:r>
          </w:p>
        </w:tc>
        <w:tc>
          <w:tcPr>
            <w:tcW w:w="1575"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响应内容</w:t>
            </w:r>
          </w:p>
        </w:tc>
        <w:tc>
          <w:tcPr>
            <w:tcW w:w="70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pPr>
              <w:numPr>
                <w:ilvl w:val="0"/>
                <w:numId w:val="4"/>
              </w:numPr>
              <w:ind w:left="425" w:hanging="425"/>
              <w:jc w:val="center"/>
              <w:rPr>
                <w:rFonts w:hint="eastAsia" w:ascii="仿宋" w:hAnsi="仿宋" w:eastAsia="仿宋" w:cs="仿宋"/>
                <w:color w:val="auto"/>
                <w:sz w:val="24"/>
                <w:szCs w:val="24"/>
                <w:highlight w:val="none"/>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最高限价</w:t>
            </w:r>
          </w:p>
        </w:tc>
        <w:tc>
          <w:tcPr>
            <w:tcW w:w="4565" w:type="dxa"/>
            <w:vAlign w:val="center"/>
          </w:tcPr>
          <w:p>
            <w:pPr>
              <w:keepNext w:val="0"/>
              <w:keepLines w:val="0"/>
              <w:pageBreakBefore w:val="0"/>
              <w:widowControl/>
              <w:kinsoku/>
              <w:wordWrap w:val="0"/>
              <w:overflowPunct/>
              <w:topLinePunct w:val="0"/>
              <w:bidi w:val="0"/>
              <w:adjustRightInd/>
              <w:spacing w:line="240" w:lineRule="auto"/>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见公告</w:t>
            </w:r>
          </w:p>
        </w:tc>
        <w:tc>
          <w:tcPr>
            <w:tcW w:w="1575" w:type="dxa"/>
            <w:vAlign w:val="center"/>
          </w:tcPr>
          <w:p>
            <w:pPr>
              <w:jc w:val="center"/>
              <w:rPr>
                <w:rFonts w:hint="eastAsia" w:ascii="仿宋" w:hAnsi="仿宋" w:eastAsia="仿宋" w:cs="仿宋"/>
                <w:color w:val="auto"/>
                <w:sz w:val="24"/>
                <w:szCs w:val="24"/>
                <w:highlight w:val="none"/>
              </w:rPr>
            </w:pPr>
          </w:p>
        </w:tc>
        <w:tc>
          <w:tcPr>
            <w:tcW w:w="708"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pPr>
              <w:numPr>
                <w:ilvl w:val="0"/>
                <w:numId w:val="4"/>
              </w:numPr>
              <w:ind w:left="425" w:hanging="425"/>
              <w:jc w:val="center"/>
              <w:rPr>
                <w:rFonts w:hint="eastAsia" w:ascii="仿宋" w:hAnsi="仿宋" w:eastAsia="仿宋" w:cs="仿宋"/>
                <w:color w:val="auto"/>
                <w:sz w:val="24"/>
                <w:szCs w:val="24"/>
                <w:highlight w:val="none"/>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应价保证金</w:t>
            </w:r>
          </w:p>
        </w:tc>
        <w:tc>
          <w:tcPr>
            <w:tcW w:w="456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highlight w:val="none"/>
              </w:rPr>
              <w:t>金额：</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元</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形式：银行汇票、电汇、网银</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有效期：递交</w:t>
            </w:r>
            <w:r>
              <w:rPr>
                <w:rFonts w:hint="eastAsia" w:ascii="仿宋" w:hAnsi="仿宋" w:eastAsia="仿宋" w:cs="仿宋"/>
                <w:b w:val="0"/>
                <w:bCs w:val="0"/>
                <w:color w:val="auto"/>
                <w:sz w:val="24"/>
                <w:highlight w:val="none"/>
                <w:lang w:eastAsia="zh-CN"/>
              </w:rPr>
              <w:t>应价</w:t>
            </w:r>
            <w:r>
              <w:rPr>
                <w:rFonts w:hint="eastAsia" w:ascii="仿宋" w:hAnsi="仿宋" w:eastAsia="仿宋" w:cs="仿宋"/>
                <w:b w:val="0"/>
                <w:bCs w:val="0"/>
                <w:color w:val="auto"/>
                <w:sz w:val="24"/>
                <w:highlight w:val="none"/>
              </w:rPr>
              <w:t>文件截止时间起 90个日历日。</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递交截止时间：同</w:t>
            </w:r>
            <w:r>
              <w:rPr>
                <w:rFonts w:hint="eastAsia" w:ascii="仿宋" w:hAnsi="仿宋" w:eastAsia="仿宋" w:cs="仿宋"/>
                <w:b w:val="0"/>
                <w:bCs w:val="0"/>
                <w:color w:val="auto"/>
                <w:sz w:val="24"/>
                <w:highlight w:val="none"/>
                <w:lang w:val="en-US" w:eastAsia="zh-CN"/>
              </w:rPr>
              <w:t>应价</w:t>
            </w:r>
            <w:r>
              <w:rPr>
                <w:rFonts w:hint="eastAsia" w:ascii="仿宋" w:hAnsi="仿宋" w:eastAsia="仿宋" w:cs="仿宋"/>
                <w:b w:val="0"/>
                <w:bCs w:val="0"/>
                <w:color w:val="auto"/>
                <w:sz w:val="24"/>
                <w:highlight w:val="none"/>
              </w:rPr>
              <w:t>截止时间。</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递交账户：</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（1）收款人（全称）：</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（2）开户银行：</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highlight w:val="none"/>
              </w:rPr>
              <w:t>（3）帐号：</w:t>
            </w:r>
          </w:p>
        </w:tc>
        <w:tc>
          <w:tcPr>
            <w:tcW w:w="1575" w:type="dxa"/>
            <w:vAlign w:val="center"/>
          </w:tcPr>
          <w:p>
            <w:pPr>
              <w:jc w:val="center"/>
              <w:rPr>
                <w:rFonts w:hint="eastAsia" w:ascii="仿宋" w:hAnsi="仿宋" w:eastAsia="仿宋" w:cs="仿宋"/>
                <w:color w:val="auto"/>
                <w:sz w:val="24"/>
                <w:szCs w:val="24"/>
                <w:highlight w:val="none"/>
              </w:rPr>
            </w:pPr>
          </w:p>
        </w:tc>
        <w:tc>
          <w:tcPr>
            <w:tcW w:w="708"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7" w:type="dxa"/>
            <w:vAlign w:val="center"/>
          </w:tcPr>
          <w:p>
            <w:pPr>
              <w:numPr>
                <w:ilvl w:val="0"/>
                <w:numId w:val="4"/>
              </w:numPr>
              <w:ind w:left="425" w:hanging="425"/>
              <w:jc w:val="center"/>
              <w:rPr>
                <w:rFonts w:hint="eastAsia" w:ascii="仿宋" w:hAnsi="仿宋" w:eastAsia="仿宋" w:cs="仿宋"/>
                <w:color w:val="auto"/>
                <w:sz w:val="24"/>
                <w:szCs w:val="24"/>
                <w:highlight w:val="none"/>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应价有效期</w:t>
            </w:r>
          </w:p>
        </w:tc>
        <w:tc>
          <w:tcPr>
            <w:tcW w:w="4565" w:type="dxa"/>
            <w:vAlign w:val="center"/>
          </w:tcPr>
          <w:p>
            <w:pPr>
              <w:keepNext w:val="0"/>
              <w:keepLines w:val="0"/>
              <w:pageBreakBefore w:val="0"/>
              <w:kinsoku/>
              <w:wordWrap w:val="0"/>
              <w:overflowPunct/>
              <w:topLinePunct w:val="0"/>
              <w:bidi w:val="0"/>
              <w:adjustRightInd/>
              <w:snapToGrid w:val="0"/>
              <w:spacing w:line="240" w:lineRule="auto"/>
              <w:outlineLvl w:val="1"/>
              <w:rPr>
                <w:rFonts w:hint="eastAsia" w:ascii="仿宋" w:hAnsi="仿宋" w:eastAsia="仿宋" w:cs="仿宋"/>
                <w:b w:val="0"/>
                <w:bCs w:val="0"/>
                <w:color w:val="auto"/>
                <w:kern w:val="0"/>
                <w:sz w:val="24"/>
                <w:szCs w:val="24"/>
                <w:highlight w:val="none"/>
              </w:rPr>
            </w:pPr>
            <w:bookmarkStart w:id="103" w:name="_Toc1956"/>
            <w:r>
              <w:rPr>
                <w:rFonts w:hint="eastAsia" w:ascii="仿宋" w:hAnsi="仿宋" w:eastAsia="仿宋" w:cs="仿宋"/>
                <w:b w:val="0"/>
                <w:bCs w:val="0"/>
                <w:color w:val="auto"/>
                <w:sz w:val="24"/>
                <w:szCs w:val="24"/>
                <w:highlight w:val="none"/>
                <w:lang w:val="en-US" w:eastAsia="zh-CN"/>
              </w:rPr>
              <w:t>开启之日起不少于90天。</w:t>
            </w:r>
            <w:bookmarkEnd w:id="103"/>
          </w:p>
        </w:tc>
        <w:tc>
          <w:tcPr>
            <w:tcW w:w="1575" w:type="dxa"/>
            <w:vAlign w:val="center"/>
          </w:tcPr>
          <w:p>
            <w:pPr>
              <w:jc w:val="center"/>
              <w:rPr>
                <w:rFonts w:hint="eastAsia" w:ascii="仿宋" w:hAnsi="仿宋" w:eastAsia="仿宋" w:cs="仿宋"/>
                <w:color w:val="auto"/>
                <w:sz w:val="24"/>
                <w:szCs w:val="24"/>
                <w:highlight w:val="none"/>
              </w:rPr>
            </w:pPr>
          </w:p>
        </w:tc>
        <w:tc>
          <w:tcPr>
            <w:tcW w:w="708"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pPr>
              <w:numPr>
                <w:ilvl w:val="0"/>
                <w:numId w:val="4"/>
              </w:numPr>
              <w:ind w:left="425" w:hanging="425"/>
              <w:jc w:val="center"/>
              <w:rPr>
                <w:rFonts w:hint="eastAsia" w:ascii="仿宋" w:hAnsi="仿宋" w:eastAsia="仿宋" w:cs="仿宋"/>
                <w:color w:val="auto"/>
                <w:sz w:val="24"/>
                <w:szCs w:val="24"/>
                <w:highlight w:val="none"/>
                <w:lang w:eastAsia="zh-CN"/>
              </w:rPr>
            </w:pPr>
          </w:p>
        </w:tc>
        <w:tc>
          <w:tcPr>
            <w:tcW w:w="1207" w:type="dxa"/>
            <w:vAlign w:val="center"/>
          </w:tcPr>
          <w:p>
            <w:pPr>
              <w:pStyle w:val="10"/>
              <w:wordWrap w:val="0"/>
              <w:spacing w:line="360" w:lineRule="auto"/>
              <w:ind w:left="0" w:leftChars="0"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履约</w:t>
            </w:r>
          </w:p>
          <w:p>
            <w:pPr>
              <w:pStyle w:val="10"/>
              <w:wordWrap w:val="0"/>
              <w:spacing w:line="360" w:lineRule="auto"/>
              <w:ind w:left="0" w:leftChars="0"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保证金</w:t>
            </w:r>
          </w:p>
        </w:tc>
        <w:tc>
          <w:tcPr>
            <w:tcW w:w="4565" w:type="dxa"/>
            <w:vAlign w:val="center"/>
          </w:tcPr>
          <w:p>
            <w:pPr>
              <w:keepNext w:val="0"/>
              <w:keepLines w:val="0"/>
              <w:pageBreakBefore w:val="0"/>
              <w:widowControl w:val="0"/>
              <w:tabs>
                <w:tab w:val="left" w:pos="0"/>
              </w:tabs>
              <w:kinsoku/>
              <w:wordWrap w:val="0"/>
              <w:overflowPunct/>
              <w:topLinePunct w:val="0"/>
              <w:autoSpaceDE/>
              <w:autoSpaceDN/>
              <w:bidi w:val="0"/>
              <w:adjustRightInd/>
              <w:spacing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拟签订的合同要求</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提交履约保证金的，供应商应当以</w:t>
            </w:r>
            <w:r>
              <w:rPr>
                <w:rFonts w:hint="eastAsia" w:ascii="仿宋" w:hAnsi="仿宋" w:eastAsia="仿宋" w:cs="仿宋"/>
                <w:color w:val="auto"/>
                <w:kern w:val="0"/>
                <w:sz w:val="24"/>
                <w:highlight w:val="none"/>
                <w:lang w:val="en-US" w:eastAsia="zh-CN"/>
              </w:rPr>
              <w:t>转账、</w:t>
            </w:r>
            <w:r>
              <w:rPr>
                <w:rFonts w:hint="eastAsia" w:ascii="仿宋" w:hAnsi="仿宋" w:eastAsia="仿宋" w:cs="仿宋"/>
                <w:color w:val="auto"/>
                <w:kern w:val="0"/>
                <w:sz w:val="24"/>
                <w:highlight w:val="none"/>
              </w:rPr>
              <w:t>支票、汇票、本票或者金融机构出具的保函等形式提交</w:t>
            </w:r>
            <w:r>
              <w:rPr>
                <w:rFonts w:hint="eastAsia" w:ascii="仿宋" w:hAnsi="仿宋" w:eastAsia="仿宋" w:cs="仿宋"/>
                <w:color w:val="auto"/>
                <w:sz w:val="24"/>
                <w:highlight w:val="none"/>
              </w:rPr>
              <w:t>。履约保证金的数额</w:t>
            </w:r>
            <w:r>
              <w:rPr>
                <w:rFonts w:hint="eastAsia" w:ascii="仿宋" w:hAnsi="仿宋" w:eastAsia="仿宋" w:cs="仿宋"/>
                <w:color w:val="auto"/>
                <w:sz w:val="24"/>
                <w:highlight w:val="none"/>
                <w:lang w:val="en-US" w:eastAsia="zh-CN"/>
              </w:rPr>
              <w:t>为</w:t>
            </w:r>
            <w:r>
              <w:rPr>
                <w:rFonts w:hint="eastAsia" w:ascii="仿宋" w:hAnsi="仿宋" w:eastAsia="仿宋" w:cs="仿宋"/>
                <w:color w:val="auto"/>
                <w:sz w:val="24"/>
                <w:highlight w:val="none"/>
              </w:rPr>
              <w:t>合同金额的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c>
          <w:tcPr>
            <w:tcW w:w="1575" w:type="dxa"/>
            <w:vAlign w:val="center"/>
          </w:tcPr>
          <w:p>
            <w:pPr>
              <w:jc w:val="center"/>
              <w:rPr>
                <w:rFonts w:hint="eastAsia" w:ascii="仿宋" w:hAnsi="仿宋" w:eastAsia="仿宋" w:cs="仿宋"/>
                <w:color w:val="auto"/>
                <w:sz w:val="24"/>
                <w:szCs w:val="24"/>
                <w:highlight w:val="none"/>
              </w:rPr>
            </w:pPr>
          </w:p>
        </w:tc>
        <w:tc>
          <w:tcPr>
            <w:tcW w:w="708" w:type="dxa"/>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
              </w:numPr>
              <w:ind w:left="425" w:hanging="425"/>
              <w:jc w:val="center"/>
              <w:rPr>
                <w:rFonts w:hint="eastAsia" w:ascii="仿宋" w:hAnsi="仿宋" w:eastAsia="仿宋" w:cs="仿宋"/>
                <w:color w:val="auto"/>
                <w:sz w:val="24"/>
                <w:szCs w:val="24"/>
                <w:highlight w:val="none"/>
                <w:lang w:eastAsia="zh-CN"/>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付款方式</w:t>
            </w:r>
          </w:p>
        </w:tc>
        <w:tc>
          <w:tcPr>
            <w:tcW w:w="4565" w:type="dxa"/>
            <w:vAlign w:val="center"/>
          </w:tcPr>
          <w:p>
            <w:pPr>
              <w:keepNext w:val="0"/>
              <w:keepLines w:val="0"/>
              <w:pageBreakBefore w:val="0"/>
              <w:widowControl w:val="0"/>
              <w:tabs>
                <w:tab w:val="left" w:pos="0"/>
              </w:tabs>
              <w:kinsoku/>
              <w:wordWrap w:val="0"/>
              <w:overflowPunct/>
              <w:topLinePunct w:val="0"/>
              <w:autoSpaceDE/>
              <w:autoSpaceDN/>
              <w:bidi w:val="0"/>
              <w:adjustRightInd/>
              <w:snapToGrid/>
              <w:spacing w:beforeLines="-2147483648" w:afterLines="-2147483648"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p>
            <w:pPr>
              <w:keepNext w:val="0"/>
              <w:keepLines w:val="0"/>
              <w:pageBreakBefore w:val="0"/>
              <w:widowControl w:val="0"/>
              <w:tabs>
                <w:tab w:val="left" w:pos="0"/>
              </w:tabs>
              <w:kinsoku/>
              <w:wordWrap w:val="0"/>
              <w:overflowPunct/>
              <w:topLinePunct w:val="0"/>
              <w:autoSpaceDE/>
              <w:autoSpaceDN/>
              <w:bidi w:val="0"/>
              <w:adjustRightInd/>
              <w:snapToGrid/>
              <w:spacing w:beforeLines="-2147483648" w:afterLines="-2147483648" w:line="240" w:lineRule="auto"/>
              <w:ind w:firstLine="0" w:firstLineChars="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p>
        </w:tc>
        <w:tc>
          <w:tcPr>
            <w:tcW w:w="1575" w:type="dxa"/>
          </w:tcPr>
          <w:p>
            <w:pPr>
              <w:jc w:val="center"/>
              <w:rPr>
                <w:rFonts w:hint="eastAsia" w:ascii="仿宋" w:hAnsi="仿宋" w:eastAsia="仿宋" w:cs="仿宋"/>
                <w:color w:val="auto"/>
                <w:sz w:val="24"/>
                <w:szCs w:val="24"/>
                <w:highlight w:val="none"/>
              </w:rPr>
            </w:pPr>
          </w:p>
        </w:tc>
        <w:tc>
          <w:tcPr>
            <w:tcW w:w="708" w:type="dxa"/>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
              </w:numPr>
              <w:ind w:left="425" w:hanging="425"/>
              <w:jc w:val="center"/>
              <w:rPr>
                <w:rFonts w:hint="eastAsia" w:ascii="仿宋" w:hAnsi="仿宋" w:eastAsia="仿宋" w:cs="仿宋"/>
                <w:color w:val="auto"/>
                <w:sz w:val="24"/>
                <w:szCs w:val="24"/>
                <w:highlight w:val="none"/>
                <w:lang w:eastAsia="zh-CN"/>
              </w:rPr>
            </w:pPr>
          </w:p>
        </w:tc>
        <w:tc>
          <w:tcPr>
            <w:tcW w:w="1207" w:type="dxa"/>
            <w:vAlign w:val="center"/>
          </w:tcPr>
          <w:p>
            <w:pPr>
              <w:widowControl/>
              <w:wordWrap w:val="0"/>
              <w:spacing w:line="400" w:lineRule="exact"/>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w:t>
            </w:r>
          </w:p>
        </w:tc>
        <w:tc>
          <w:tcPr>
            <w:tcW w:w="4565" w:type="dxa"/>
            <w:vAlign w:val="center"/>
          </w:tcPr>
          <w:p>
            <w:pPr>
              <w:keepNext w:val="0"/>
              <w:keepLines w:val="0"/>
              <w:pageBreakBefore w:val="0"/>
              <w:widowControl w:val="0"/>
              <w:kinsoku/>
              <w:wordWrap w:val="0"/>
              <w:overflowPunct/>
              <w:topLinePunct w:val="0"/>
              <w:autoSpaceDE w:val="0"/>
              <w:autoSpaceDN w:val="0"/>
              <w:bidi w:val="0"/>
              <w:adjustRightInd/>
              <w:spacing w:line="240" w:lineRule="auto"/>
              <w:jc w:val="both"/>
              <w:textAlignment w:val="bottom"/>
              <w:outlineLvl w:val="1"/>
              <w:rPr>
                <w:rFonts w:hint="eastAsia" w:ascii="仿宋" w:hAnsi="仿宋" w:eastAsia="仿宋" w:cs="仿宋"/>
                <w:color w:val="auto"/>
                <w:kern w:val="2"/>
                <w:sz w:val="24"/>
                <w:szCs w:val="24"/>
                <w:highlight w:val="none"/>
                <w:lang w:val="en-US" w:eastAsia="zh-CN"/>
              </w:rPr>
            </w:pPr>
          </w:p>
        </w:tc>
        <w:tc>
          <w:tcPr>
            <w:tcW w:w="1575" w:type="dxa"/>
          </w:tcPr>
          <w:p>
            <w:pPr>
              <w:jc w:val="center"/>
              <w:rPr>
                <w:rFonts w:hint="eastAsia" w:ascii="仿宋" w:hAnsi="仿宋" w:eastAsia="仿宋" w:cs="仿宋"/>
                <w:color w:val="auto"/>
                <w:sz w:val="24"/>
                <w:szCs w:val="24"/>
                <w:highlight w:val="none"/>
              </w:rPr>
            </w:pPr>
          </w:p>
        </w:tc>
        <w:tc>
          <w:tcPr>
            <w:tcW w:w="708" w:type="dxa"/>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numPr>
                <w:ilvl w:val="0"/>
                <w:numId w:val="4"/>
              </w:numPr>
              <w:ind w:left="425" w:hanging="425"/>
              <w:jc w:val="center"/>
              <w:rPr>
                <w:rFonts w:hint="eastAsia" w:ascii="仿宋" w:hAnsi="仿宋" w:eastAsia="仿宋" w:cs="仿宋"/>
                <w:color w:val="auto"/>
                <w:sz w:val="24"/>
                <w:szCs w:val="24"/>
                <w:highlight w:val="none"/>
                <w:lang w:eastAsia="zh-CN"/>
              </w:rPr>
            </w:pPr>
          </w:p>
        </w:tc>
        <w:tc>
          <w:tcPr>
            <w:tcW w:w="1207" w:type="dxa"/>
            <w:vAlign w:val="center"/>
          </w:tcPr>
          <w:p>
            <w:pPr>
              <w:widowControl/>
              <w:wordWrap w:val="0"/>
              <w:spacing w:line="400" w:lineRule="exact"/>
              <w:jc w:val="left"/>
              <w:rPr>
                <w:rFonts w:hint="eastAsia" w:ascii="仿宋" w:hAnsi="仿宋" w:eastAsia="仿宋" w:cs="仿宋"/>
                <w:b w:val="0"/>
                <w:bCs w:val="0"/>
                <w:color w:val="auto"/>
                <w:kern w:val="0"/>
                <w:sz w:val="24"/>
                <w:szCs w:val="24"/>
                <w:highlight w:val="none"/>
                <w:lang w:val="en-US" w:eastAsia="zh-CN" w:bidi="ar-SA"/>
              </w:rPr>
            </w:pPr>
          </w:p>
        </w:tc>
        <w:tc>
          <w:tcPr>
            <w:tcW w:w="4565" w:type="dxa"/>
            <w:vAlign w:val="center"/>
          </w:tcPr>
          <w:p>
            <w:pPr>
              <w:keepNext w:val="0"/>
              <w:keepLines w:val="0"/>
              <w:pageBreakBefore w:val="0"/>
              <w:widowControl/>
              <w:kinsoku/>
              <w:wordWrap w:val="0"/>
              <w:overflowPunct/>
              <w:topLinePunct w:val="0"/>
              <w:bidi w:val="0"/>
              <w:adjustRightInd/>
              <w:spacing w:line="240" w:lineRule="auto"/>
              <w:jc w:val="center"/>
              <w:rPr>
                <w:rFonts w:hint="eastAsia" w:ascii="仿宋" w:hAnsi="仿宋" w:eastAsia="仿宋" w:cs="仿宋"/>
                <w:color w:val="auto"/>
                <w:kern w:val="0"/>
                <w:sz w:val="24"/>
                <w:szCs w:val="24"/>
                <w:highlight w:val="none"/>
                <w:lang w:val="en-US" w:eastAsia="zh-CN" w:bidi="ar-SA"/>
              </w:rPr>
            </w:pPr>
          </w:p>
        </w:tc>
        <w:tc>
          <w:tcPr>
            <w:tcW w:w="1575" w:type="dxa"/>
          </w:tcPr>
          <w:p>
            <w:pPr>
              <w:jc w:val="center"/>
              <w:rPr>
                <w:rFonts w:hint="eastAsia" w:ascii="仿宋" w:hAnsi="仿宋" w:eastAsia="仿宋" w:cs="仿宋"/>
                <w:color w:val="auto"/>
                <w:sz w:val="24"/>
                <w:szCs w:val="24"/>
                <w:highlight w:val="none"/>
              </w:rPr>
            </w:pPr>
          </w:p>
        </w:tc>
        <w:tc>
          <w:tcPr>
            <w:tcW w:w="708" w:type="dxa"/>
          </w:tcPr>
          <w:p>
            <w:pPr>
              <w:jc w:val="center"/>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应根据询价函要求一一对应如实填写偏离表，在“偏离情况”栏注明“正偏离”、“负偏离”或“无偏离”。未按要求填写的，有可能作</w:t>
      </w:r>
      <w:r>
        <w:rPr>
          <w:rFonts w:hint="eastAsia" w:ascii="仿宋" w:hAnsi="仿宋" w:eastAsia="仿宋" w:cs="仿宋"/>
          <w:color w:val="auto"/>
          <w:sz w:val="24"/>
          <w:szCs w:val="24"/>
          <w:highlight w:val="none"/>
          <w:lang w:val="en-US" w:eastAsia="zh-CN"/>
        </w:rPr>
        <w:t>无效</w:t>
      </w:r>
      <w:r>
        <w:rPr>
          <w:rFonts w:hint="eastAsia" w:ascii="仿宋" w:hAnsi="仿宋" w:eastAsia="仿宋" w:cs="仿宋"/>
          <w:color w:val="auto"/>
          <w:sz w:val="24"/>
          <w:szCs w:val="24"/>
          <w:highlight w:val="none"/>
        </w:rPr>
        <w:t>处理。</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  月  日</w:t>
      </w:r>
    </w:p>
    <w:p>
      <w:pPr>
        <w:spacing w:line="240" w:lineRule="auto"/>
        <w:jc w:val="left"/>
        <w:rPr>
          <w:rFonts w:hint="eastAsia" w:ascii="仿宋" w:hAnsi="仿宋" w:eastAsia="仿宋" w:cs="仿宋"/>
          <w:b/>
          <w:bCs/>
          <w:color w:val="auto"/>
          <w:sz w:val="24"/>
          <w:szCs w:val="24"/>
          <w:highlight w:val="none"/>
        </w:rPr>
      </w:pP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pStyle w:val="3"/>
        <w:jc w:val="center"/>
        <w:rPr>
          <w:rFonts w:hint="eastAsia" w:ascii="仿宋" w:hAnsi="仿宋" w:eastAsia="仿宋" w:cs="仿宋"/>
          <w:color w:val="auto"/>
          <w:highlight w:val="none"/>
        </w:rPr>
      </w:pPr>
      <w:bookmarkStart w:id="104" w:name="_Toc5020"/>
      <w:bookmarkStart w:id="105" w:name="_Toc23835"/>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rPr>
        <w:t>偏离表</w:t>
      </w:r>
      <w:bookmarkEnd w:id="104"/>
      <w:bookmarkEnd w:id="105"/>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437"/>
        <w:gridCol w:w="4164"/>
        <w:gridCol w:w="132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37" w:type="dxa"/>
            <w:vAlign w:val="center"/>
          </w:tcPr>
          <w:p>
            <w:pPr>
              <w:keepNext w:val="0"/>
              <w:keepLines w:val="0"/>
              <w:pageBreakBefore w:val="0"/>
              <w:kinsoku/>
              <w:wordWrap w:val="0"/>
              <w:overflowPunct/>
              <w:topLinePunct w:val="0"/>
              <w:bidi w:val="0"/>
              <w:spacing w:line="24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内容</w:t>
            </w:r>
          </w:p>
        </w:tc>
        <w:tc>
          <w:tcPr>
            <w:tcW w:w="4164" w:type="dxa"/>
            <w:vAlign w:val="center"/>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采购要求</w:t>
            </w:r>
          </w:p>
        </w:tc>
        <w:tc>
          <w:tcPr>
            <w:tcW w:w="1322" w:type="dxa"/>
            <w:vAlign w:val="center"/>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响应内容</w:t>
            </w:r>
          </w:p>
        </w:tc>
        <w:tc>
          <w:tcPr>
            <w:tcW w:w="1457" w:type="dxa"/>
            <w:vAlign w:val="center"/>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服务内容及要求</w:t>
            </w:r>
          </w:p>
        </w:tc>
        <w:tc>
          <w:tcPr>
            <w:tcW w:w="416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4"/>
                <w:szCs w:val="24"/>
                <w:highlight w:val="none"/>
                <w:lang w:val="en-US"/>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numPr>
                <w:ilvl w:val="0"/>
                <w:numId w:val="0"/>
              </w:numPr>
              <w:kinsoku/>
              <w:wordWrap w:val="0"/>
              <w:overflowPunct/>
              <w:topLinePunct w:val="0"/>
              <w:bidi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服务人员要求</w:t>
            </w:r>
          </w:p>
        </w:tc>
        <w:tc>
          <w:tcPr>
            <w:tcW w:w="4164" w:type="dxa"/>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0"/>
                <w:sz w:val="24"/>
                <w:szCs w:val="24"/>
                <w:highlight w:val="none"/>
                <w:lang w:val="en-US" w:eastAsia="zh-CN" w:bidi="ar-SA"/>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numPr>
                <w:ilvl w:val="0"/>
                <w:numId w:val="0"/>
              </w:numPr>
              <w:kinsoku/>
              <w:wordWrap w:val="0"/>
              <w:overflowPunct/>
              <w:topLinePunct w:val="0"/>
              <w:bidi w:val="0"/>
              <w:spacing w:line="240"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服务期</w:t>
            </w:r>
          </w:p>
        </w:tc>
        <w:tc>
          <w:tcPr>
            <w:tcW w:w="4164" w:type="dxa"/>
            <w:vAlign w:val="center"/>
          </w:tcPr>
          <w:p>
            <w:pPr>
              <w:keepNext w:val="0"/>
              <w:keepLines w:val="0"/>
              <w:pageBreakBefore w:val="0"/>
              <w:widowControl w:val="0"/>
              <w:numPr>
                <w:ilvl w:val="0"/>
                <w:numId w:val="0"/>
              </w:numPr>
              <w:kinsoku/>
              <w:wordWrap w:val="0"/>
              <w:overflowPunct/>
              <w:topLinePunct w:val="0"/>
              <w:bidi w:val="0"/>
              <w:spacing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kinsoku/>
              <w:wordWrap w:val="0"/>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rPr>
            </w:pPr>
          </w:p>
        </w:tc>
        <w:tc>
          <w:tcPr>
            <w:tcW w:w="4164" w:type="dxa"/>
            <w:vAlign w:val="center"/>
          </w:tcPr>
          <w:p>
            <w:pPr>
              <w:keepNext w:val="0"/>
              <w:keepLines w:val="0"/>
              <w:pageBreakBefore w:val="0"/>
              <w:widowControl/>
              <w:tabs>
                <w:tab w:val="left" w:pos="3360"/>
              </w:tabs>
              <w:kinsoku/>
              <w:wordWrap w:val="0"/>
              <w:overflowPunct/>
              <w:topLinePunct w:val="0"/>
              <w:bidi w:val="0"/>
              <w:spacing w:line="240" w:lineRule="auto"/>
              <w:ind w:firstLine="480" w:firstLineChars="200"/>
              <w:jc w:val="left"/>
              <w:textAlignment w:val="auto"/>
              <w:rPr>
                <w:rFonts w:hint="eastAsia" w:ascii="仿宋" w:hAnsi="仿宋" w:eastAsia="仿宋" w:cs="仿宋"/>
                <w:color w:val="auto"/>
                <w:kern w:val="0"/>
                <w:sz w:val="24"/>
                <w:szCs w:val="24"/>
                <w:highlight w:val="none"/>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numPr>
                <w:ilvl w:val="0"/>
                <w:numId w:val="5"/>
              </w:numPr>
              <w:kinsoku/>
              <w:wordWrap w:val="0"/>
              <w:overflowPunct/>
              <w:topLinePunct w:val="0"/>
              <w:bidi w:val="0"/>
              <w:spacing w:line="240" w:lineRule="auto"/>
              <w:ind w:left="425" w:hanging="425"/>
              <w:jc w:val="center"/>
              <w:textAlignment w:val="auto"/>
              <w:rPr>
                <w:rFonts w:hint="eastAsia" w:ascii="仿宋" w:hAnsi="仿宋" w:eastAsia="仿宋" w:cs="仿宋"/>
                <w:color w:val="auto"/>
                <w:sz w:val="24"/>
                <w:szCs w:val="24"/>
                <w:highlight w:val="none"/>
                <w:lang w:eastAsia="zh-CN"/>
              </w:rPr>
            </w:pPr>
          </w:p>
        </w:tc>
        <w:tc>
          <w:tcPr>
            <w:tcW w:w="1437" w:type="dxa"/>
            <w:vAlign w:val="center"/>
          </w:tcPr>
          <w:p>
            <w:pPr>
              <w:keepNext w:val="0"/>
              <w:keepLines w:val="0"/>
              <w:pageBreakBefore w:val="0"/>
              <w:widowControl/>
              <w:kinsoku/>
              <w:wordWrap w:val="0"/>
              <w:overflowPunct/>
              <w:topLinePunct w:val="0"/>
              <w:bidi w:val="0"/>
              <w:spacing w:line="240" w:lineRule="auto"/>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w:t>
            </w:r>
          </w:p>
        </w:tc>
        <w:tc>
          <w:tcPr>
            <w:tcW w:w="4164" w:type="dxa"/>
            <w:vAlign w:val="center"/>
          </w:tcPr>
          <w:p>
            <w:pPr>
              <w:pStyle w:val="20"/>
              <w:keepNext w:val="0"/>
              <w:keepLines w:val="0"/>
              <w:pageBreakBefore w:val="0"/>
              <w:numPr>
                <w:ilvl w:val="0"/>
                <w:numId w:val="0"/>
              </w:numPr>
              <w:kinsoku/>
              <w:wordWrap w:val="0"/>
              <w:overflowPunct/>
              <w:topLinePunct w:val="0"/>
              <w:bidi w:val="0"/>
              <w:snapToGrid w:val="0"/>
              <w:spacing w:line="240" w:lineRule="auto"/>
              <w:textAlignment w:val="auto"/>
              <w:rPr>
                <w:rFonts w:hint="eastAsia" w:ascii="仿宋" w:hAnsi="仿宋" w:eastAsia="仿宋" w:cs="仿宋"/>
                <w:color w:val="auto"/>
                <w:kern w:val="0"/>
                <w:sz w:val="24"/>
                <w:szCs w:val="24"/>
                <w:highlight w:val="none"/>
                <w:lang w:val="en-US" w:eastAsia="zh-CN"/>
              </w:rPr>
            </w:pPr>
          </w:p>
        </w:tc>
        <w:tc>
          <w:tcPr>
            <w:tcW w:w="1322"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c>
          <w:tcPr>
            <w:tcW w:w="1457" w:type="dxa"/>
          </w:tcPr>
          <w:p>
            <w:pPr>
              <w:keepNext w:val="0"/>
              <w:keepLines w:val="0"/>
              <w:pageBreakBefore w:val="0"/>
              <w:kinsoku/>
              <w:wordWrap w:val="0"/>
              <w:overflowPunct/>
              <w:topLinePunct w:val="0"/>
              <w:bidi w:val="0"/>
              <w:spacing w:line="240" w:lineRule="auto"/>
              <w:jc w:val="center"/>
              <w:textAlignment w:val="auto"/>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1.应价人</w:t>
      </w:r>
      <w:r>
        <w:rPr>
          <w:rFonts w:hint="eastAsia" w:ascii="仿宋" w:hAnsi="仿宋" w:eastAsia="仿宋" w:cs="仿宋"/>
          <w:color w:val="auto"/>
          <w:sz w:val="24"/>
          <w:szCs w:val="24"/>
          <w:highlight w:val="none"/>
        </w:rPr>
        <w:t>应根据询价函要求一一对应如实填写偏离表，在“偏离情况”栏注明“正偏离”、“负偏离”或“无偏离”。未按要求填写的，有可能作</w:t>
      </w:r>
      <w:r>
        <w:rPr>
          <w:rFonts w:hint="eastAsia" w:ascii="仿宋" w:hAnsi="仿宋" w:eastAsia="仿宋" w:cs="仿宋"/>
          <w:color w:val="auto"/>
          <w:sz w:val="24"/>
          <w:szCs w:val="24"/>
          <w:highlight w:val="none"/>
          <w:lang w:val="en-US" w:eastAsia="zh-CN"/>
        </w:rPr>
        <w:t>无效</w:t>
      </w:r>
      <w:r>
        <w:rPr>
          <w:rFonts w:hint="eastAsia" w:ascii="仿宋" w:hAnsi="仿宋" w:eastAsia="仿宋" w:cs="仿宋"/>
          <w:color w:val="auto"/>
          <w:sz w:val="24"/>
          <w:szCs w:val="24"/>
          <w:highlight w:val="none"/>
        </w:rPr>
        <w:t>处理。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Cs/>
          <w:color w:val="auto"/>
          <w:sz w:val="24"/>
          <w:highlight w:val="none"/>
        </w:rPr>
        <w:t>第三部分、</w:t>
      </w:r>
      <w:r>
        <w:rPr>
          <w:rFonts w:hint="eastAsia" w:ascii="仿宋" w:hAnsi="仿宋" w:eastAsia="仿宋" w:cs="仿宋"/>
          <w:bCs/>
          <w:color w:val="auto"/>
          <w:sz w:val="24"/>
          <w:highlight w:val="none"/>
          <w:lang w:val="en-US" w:eastAsia="zh-CN"/>
        </w:rPr>
        <w:t>服务内容及</w:t>
      </w:r>
      <w:r>
        <w:rPr>
          <w:rFonts w:hint="eastAsia" w:ascii="仿宋" w:hAnsi="仿宋" w:eastAsia="仿宋" w:cs="仿宋"/>
          <w:bCs/>
          <w:color w:val="auto"/>
          <w:sz w:val="24"/>
          <w:highlight w:val="none"/>
        </w:rPr>
        <w:t>要求</w:t>
      </w:r>
      <w:r>
        <w:rPr>
          <w:rFonts w:hint="eastAsia" w:ascii="仿宋" w:hAnsi="仿宋" w:eastAsia="仿宋" w:cs="仿宋"/>
          <w:color w:val="auto"/>
          <w:sz w:val="24"/>
          <w:szCs w:val="24"/>
          <w:highlight w:val="none"/>
          <w:lang w:val="en-US" w:eastAsia="zh-CN"/>
        </w:rPr>
        <w:t>”要求提供证明材料而未提供的，视为负偏离；未要求提供证明材料的以技术偏离表响应为准。</w:t>
      </w:r>
    </w:p>
    <w:p>
      <w:pPr>
        <w:keepNext w:val="0"/>
        <w:keepLines w:val="0"/>
        <w:pageBreakBefore w:val="0"/>
        <w:widowControl w:val="0"/>
        <w:kinsoku/>
        <w:wordWrap/>
        <w:overflowPunct/>
        <w:topLinePunct w:val="0"/>
        <w:autoSpaceDE/>
        <w:autoSpaceDN/>
        <w:bidi w:val="0"/>
        <w:adjustRightInd/>
        <w:snapToGrid w:val="0"/>
        <w:spacing w:line="480" w:lineRule="exact"/>
        <w:ind w:firstLine="4320" w:firstLine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应价人</w:t>
      </w:r>
      <w:r>
        <w:rPr>
          <w:rFonts w:hint="eastAsia" w:ascii="仿宋" w:hAnsi="仿宋" w:eastAsia="仿宋" w:cs="仿宋"/>
          <w:color w:val="auto"/>
          <w:sz w:val="24"/>
          <w:szCs w:val="24"/>
          <w:highlight w:val="none"/>
        </w:rPr>
        <w:t xml:space="preserve">（盖单位公章）： </w:t>
      </w:r>
    </w:p>
    <w:p>
      <w:pPr>
        <w:keepNext w:val="0"/>
        <w:keepLines w:val="0"/>
        <w:pageBreakBefore w:val="0"/>
        <w:kinsoku/>
        <w:wordWrap w:val="0"/>
        <w:overflowPunct/>
        <w:topLinePunct w:val="0"/>
        <w:bidi w:val="0"/>
        <w:snapToGrid w:val="0"/>
        <w:spacing w:line="360"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  月  日</w:t>
      </w:r>
    </w:p>
    <w:p>
      <w:pPr>
        <w:spacing w:line="240" w:lineRule="auto"/>
        <w:jc w:val="left"/>
        <w:rPr>
          <w:rFonts w:hint="eastAsia" w:ascii="仿宋" w:hAnsi="仿宋" w:eastAsia="仿宋" w:cs="仿宋"/>
          <w:color w:val="auto"/>
          <w:sz w:val="24"/>
          <w:szCs w:val="24"/>
          <w:highlight w:val="none"/>
        </w:rPr>
      </w:pPr>
    </w:p>
    <w:p>
      <w:pPr>
        <w:spacing w:line="240" w:lineRule="auto"/>
        <w:jc w:val="left"/>
        <w:outlineLvl w:val="9"/>
        <w:rPr>
          <w:rFonts w:hint="eastAsia" w:ascii="仿宋" w:hAnsi="仿宋" w:eastAsia="仿宋" w:cs="仿宋"/>
          <w:b/>
          <w:bCs/>
          <w:color w:val="auto"/>
          <w:sz w:val="32"/>
          <w:szCs w:val="32"/>
          <w:highlight w:val="none"/>
          <w:lang w:val="en-US" w:eastAsia="zh-CN"/>
        </w:rPr>
      </w:pPr>
      <w:bookmarkStart w:id="106" w:name="_Toc22184"/>
      <w:bookmarkStart w:id="107" w:name="_Toc15452"/>
      <w:r>
        <w:rPr>
          <w:rFonts w:hint="eastAsia" w:ascii="仿宋" w:hAnsi="仿宋" w:eastAsia="仿宋" w:cs="仿宋"/>
          <w:b/>
          <w:bCs/>
          <w:color w:val="auto"/>
          <w:sz w:val="32"/>
          <w:szCs w:val="32"/>
          <w:highlight w:val="none"/>
          <w:lang w:val="en-US" w:eastAsia="zh-CN"/>
        </w:rPr>
        <w:br w:type="page"/>
      </w:r>
    </w:p>
    <w:p>
      <w:pPr>
        <w:spacing w:line="360" w:lineRule="auto"/>
        <w:jc w:val="center"/>
        <w:outlineLvl w:val="0"/>
        <w:rPr>
          <w:rFonts w:hint="eastAsia" w:ascii="仿宋" w:hAnsi="仿宋" w:eastAsia="仿宋" w:cs="仿宋"/>
          <w:b/>
          <w:bCs/>
          <w:color w:val="auto"/>
          <w:sz w:val="32"/>
          <w:szCs w:val="32"/>
          <w:highlight w:val="none"/>
          <w:lang w:val="en-US" w:eastAsia="zh-CN"/>
        </w:rPr>
      </w:pPr>
      <w:bookmarkStart w:id="108" w:name="_Toc9771"/>
      <w:r>
        <w:rPr>
          <w:rFonts w:hint="eastAsia" w:ascii="仿宋" w:hAnsi="仿宋" w:eastAsia="仿宋" w:cs="仿宋"/>
          <w:b/>
          <w:bCs/>
          <w:color w:val="auto"/>
          <w:sz w:val="32"/>
          <w:szCs w:val="32"/>
          <w:highlight w:val="none"/>
          <w:lang w:val="en-US" w:eastAsia="zh-CN"/>
        </w:rPr>
        <w:t>第五部分、拟签订的合同</w:t>
      </w:r>
      <w:bookmarkEnd w:id="106"/>
      <w:r>
        <w:rPr>
          <w:rFonts w:hint="eastAsia" w:ascii="仿宋" w:hAnsi="仿宋" w:eastAsia="仿宋" w:cs="仿宋"/>
          <w:b/>
          <w:bCs/>
          <w:color w:val="auto"/>
          <w:sz w:val="32"/>
          <w:szCs w:val="32"/>
          <w:highlight w:val="none"/>
          <w:lang w:val="en-US" w:eastAsia="zh-CN"/>
        </w:rPr>
        <w:t>文本</w:t>
      </w:r>
      <w:bookmarkEnd w:id="107"/>
      <w:bookmarkEnd w:id="108"/>
    </w:p>
    <w:p>
      <w:pPr>
        <w:snapToGrid w:val="0"/>
        <w:spacing w:beforeLines="0" w:afterLines="0" w:line="360" w:lineRule="auto"/>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2025年度道路停车PDA专用热敏纸采购合同</w:t>
      </w:r>
    </w:p>
    <w:p>
      <w:pPr>
        <w:topLinePunct/>
        <w:snapToGrid w:val="0"/>
        <w:spacing w:line="390" w:lineRule="exact"/>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甲方：杭州</w:t>
      </w:r>
      <w:r>
        <w:rPr>
          <w:rFonts w:hint="eastAsia" w:ascii="仿宋" w:hAnsi="仿宋" w:eastAsia="仿宋" w:cs="仿宋"/>
          <w:color w:val="auto"/>
          <w:sz w:val="24"/>
          <w:szCs w:val="24"/>
          <w:highlight w:val="none"/>
          <w:u w:val="none"/>
          <w:lang w:val="en-US" w:eastAsia="zh-CN"/>
        </w:rPr>
        <w:t>临平</w:t>
      </w:r>
      <w:r>
        <w:rPr>
          <w:rFonts w:hint="eastAsia" w:ascii="仿宋" w:hAnsi="仿宋" w:eastAsia="仿宋" w:cs="仿宋"/>
          <w:color w:val="auto"/>
          <w:sz w:val="24"/>
          <w:szCs w:val="24"/>
          <w:highlight w:val="none"/>
          <w:u w:val="none"/>
        </w:rPr>
        <w:t xml:space="preserve">钱江停车管理有限公司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val="en-US" w:eastAsia="zh-CN"/>
        </w:rPr>
        <w:t xml:space="preserve">  </w:t>
      </w:r>
    </w:p>
    <w:p>
      <w:pPr>
        <w:topLinePunct/>
        <w:snapToGrid w:val="0"/>
        <w:spacing w:line="39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 xml:space="preserve">乙方：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甲乙双方经友好协商，同意签订本合同，并信守执行。</w:t>
      </w:r>
    </w:p>
    <w:p>
      <w:pPr>
        <w:topLinePunct/>
        <w:snapToGrid w:val="0"/>
        <w:spacing w:line="39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一、产品价格明细</w:t>
      </w:r>
      <w:r>
        <w:rPr>
          <w:rFonts w:hint="eastAsia" w:ascii="仿宋" w:hAnsi="仿宋" w:eastAsia="仿宋" w:cs="仿宋"/>
          <w:b w:val="0"/>
          <w:bCs w:val="0"/>
          <w:color w:val="auto"/>
          <w:sz w:val="24"/>
          <w:szCs w:val="24"/>
          <w:highlight w:val="none"/>
          <w:u w:val="none"/>
        </w:rPr>
        <w:t>如下表: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794"/>
        <w:gridCol w:w="986"/>
        <w:gridCol w:w="2476"/>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827" w:type="pct"/>
            <w:noWrap w:val="0"/>
            <w:vAlign w:val="center"/>
          </w:tcPr>
          <w:p>
            <w:pPr>
              <w:topLinePunct/>
              <w:snapToGrid w:val="0"/>
              <w:spacing w:line="39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1014" w:type="pct"/>
            <w:noWrap w:val="0"/>
            <w:vAlign w:val="center"/>
          </w:tcPr>
          <w:p>
            <w:pPr>
              <w:topLinePunct/>
              <w:snapToGrid w:val="0"/>
              <w:spacing w:line="39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型号规格</w:t>
            </w:r>
          </w:p>
        </w:tc>
        <w:tc>
          <w:tcPr>
            <w:tcW w:w="557" w:type="pct"/>
            <w:noWrap w:val="0"/>
            <w:vAlign w:val="center"/>
          </w:tcPr>
          <w:p>
            <w:pPr>
              <w:topLinePunct/>
              <w:snapToGrid w:val="0"/>
              <w:spacing w:line="39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399" w:type="pct"/>
            <w:noWrap w:val="0"/>
            <w:vAlign w:val="center"/>
          </w:tcPr>
          <w:p>
            <w:pPr>
              <w:topLinePunct/>
              <w:snapToGrid w:val="0"/>
              <w:spacing w:line="390" w:lineRule="exact"/>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含税单价（元/卷）</w:t>
            </w:r>
          </w:p>
        </w:tc>
        <w:tc>
          <w:tcPr>
            <w:tcW w:w="1201" w:type="pct"/>
            <w:noWrap w:val="0"/>
            <w:vAlign w:val="center"/>
          </w:tcPr>
          <w:p>
            <w:pPr>
              <w:topLinePunct/>
              <w:snapToGrid w:val="0"/>
              <w:spacing w:line="39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827" w:type="pct"/>
            <w:noWrap w:val="0"/>
            <w:vAlign w:val="center"/>
          </w:tcPr>
          <w:p>
            <w:pPr>
              <w:topLinePunct/>
              <w:snapToGrid w:val="0"/>
              <w:spacing w:line="39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热敏收银纸</w:t>
            </w:r>
          </w:p>
        </w:tc>
        <w:tc>
          <w:tcPr>
            <w:tcW w:w="1014" w:type="pct"/>
            <w:noWrap w:val="0"/>
            <w:vAlign w:val="center"/>
          </w:tcPr>
          <w:p>
            <w:pPr>
              <w:topLinePunct/>
              <w:snapToGrid w:val="0"/>
              <w:spacing w:line="390" w:lineRule="exact"/>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57*</w:t>
            </w:r>
            <w:r>
              <w:rPr>
                <w:rFonts w:hint="eastAsia" w:ascii="仿宋" w:hAnsi="仿宋" w:eastAsia="仿宋" w:cs="仿宋"/>
                <w:color w:val="auto"/>
                <w:sz w:val="24"/>
                <w:szCs w:val="24"/>
                <w:highlight w:val="none"/>
                <w:lang w:val="en-US" w:eastAsia="zh-CN"/>
              </w:rPr>
              <w:t>31-11米</w:t>
            </w:r>
          </w:p>
        </w:tc>
        <w:tc>
          <w:tcPr>
            <w:tcW w:w="557" w:type="pct"/>
            <w:noWrap w:val="0"/>
            <w:vAlign w:val="center"/>
          </w:tcPr>
          <w:p>
            <w:pPr>
              <w:topLinePunct/>
              <w:snapToGrid w:val="0"/>
              <w:spacing w:line="39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卷</w:t>
            </w:r>
          </w:p>
        </w:tc>
        <w:tc>
          <w:tcPr>
            <w:tcW w:w="1399" w:type="pct"/>
            <w:noWrap w:val="0"/>
            <w:vAlign w:val="center"/>
          </w:tcPr>
          <w:p>
            <w:pPr>
              <w:topLinePunct/>
              <w:snapToGrid w:val="0"/>
              <w:spacing w:line="390" w:lineRule="exact"/>
              <w:ind w:firstLine="480" w:firstLineChars="200"/>
              <w:jc w:val="left"/>
              <w:rPr>
                <w:rFonts w:hint="eastAsia" w:ascii="仿宋" w:hAnsi="仿宋" w:eastAsia="仿宋" w:cs="仿宋"/>
                <w:color w:val="auto"/>
                <w:sz w:val="24"/>
                <w:szCs w:val="24"/>
                <w:highlight w:val="none"/>
              </w:rPr>
            </w:pPr>
          </w:p>
        </w:tc>
        <w:tc>
          <w:tcPr>
            <w:tcW w:w="1201" w:type="pct"/>
            <w:noWrap w:val="0"/>
            <w:vAlign w:val="center"/>
          </w:tcPr>
          <w:p>
            <w:pPr>
              <w:topLinePunct/>
              <w:snapToGrid w:val="0"/>
              <w:spacing w:line="39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无管芯，克重范围55-58克</w:t>
            </w:r>
          </w:p>
        </w:tc>
      </w:tr>
    </w:tbl>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二、具体产品数量、交期等以甲方盖章的订单为准。</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三、质量要求：</w:t>
      </w:r>
      <w:r>
        <w:rPr>
          <w:rFonts w:hint="eastAsia" w:ascii="仿宋" w:hAnsi="仿宋" w:eastAsia="仿宋" w:cs="仿宋"/>
          <w:color w:val="auto"/>
          <w:sz w:val="24"/>
          <w:szCs w:val="24"/>
          <w:highlight w:val="none"/>
          <w:u w:val="none"/>
          <w:lang w:val="en-US" w:eastAsia="zh-CN"/>
        </w:rPr>
        <w:t>满足甲方使用需求，符合国家及行业质量标准</w:t>
      </w:r>
      <w:r>
        <w:rPr>
          <w:rFonts w:hint="eastAsia" w:ascii="仿宋" w:hAnsi="仿宋" w:eastAsia="仿宋" w:cs="仿宋"/>
          <w:color w:val="auto"/>
          <w:sz w:val="24"/>
          <w:szCs w:val="24"/>
          <w:highlight w:val="none"/>
        </w:rPr>
        <w:t>。</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四、货物运输：</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临平区各项目处所在地</w:t>
      </w:r>
      <w:r>
        <w:rPr>
          <w:rFonts w:hint="eastAsia" w:ascii="仿宋" w:hAnsi="仿宋" w:eastAsia="仿宋" w:cs="仿宋"/>
          <w:color w:val="auto"/>
          <w:sz w:val="24"/>
          <w:szCs w:val="24"/>
          <w:highlight w:val="none"/>
        </w:rPr>
        <w:t>；</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运输方式 </w:t>
      </w:r>
      <w:r>
        <w:rPr>
          <w:rFonts w:hint="eastAsia" w:ascii="仿宋" w:hAnsi="仿宋" w:eastAsia="仿宋" w:cs="仿宋"/>
          <w:color w:val="auto"/>
          <w:sz w:val="24"/>
          <w:szCs w:val="24"/>
          <w:highlight w:val="none"/>
          <w:u w:val="none"/>
        </w:rPr>
        <w:t>：汽运送货上门</w:t>
      </w:r>
      <w:r>
        <w:rPr>
          <w:rFonts w:hint="eastAsia" w:ascii="仿宋" w:hAnsi="仿宋" w:eastAsia="仿宋" w:cs="仿宋"/>
          <w:color w:val="auto"/>
          <w:sz w:val="24"/>
          <w:szCs w:val="24"/>
          <w:highlight w:val="none"/>
        </w:rPr>
        <w:t xml:space="preserve">； </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运输费由</w:t>
      </w:r>
      <w:r>
        <w:rPr>
          <w:rFonts w:hint="eastAsia" w:ascii="仿宋" w:hAnsi="仿宋" w:eastAsia="仿宋" w:cs="仿宋"/>
          <w:color w:val="auto"/>
          <w:sz w:val="24"/>
          <w:szCs w:val="24"/>
          <w:highlight w:val="none"/>
          <w:u w:val="none"/>
        </w:rPr>
        <w:t>乙方</w:t>
      </w:r>
      <w:r>
        <w:rPr>
          <w:rFonts w:hint="eastAsia" w:ascii="仿宋" w:hAnsi="仿宋" w:eastAsia="仿宋" w:cs="仿宋"/>
          <w:color w:val="auto"/>
          <w:sz w:val="24"/>
          <w:szCs w:val="24"/>
          <w:highlight w:val="none"/>
        </w:rPr>
        <w:t>承担。</w:t>
      </w:r>
    </w:p>
    <w:p>
      <w:pPr>
        <w:topLinePunct/>
        <w:snapToGrid w:val="0"/>
        <w:spacing w:line="39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五、货物包装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rPr>
        <w:t xml:space="preserve">按厂家出厂包装 </w:t>
      </w:r>
      <w:r>
        <w:rPr>
          <w:rFonts w:hint="eastAsia" w:ascii="仿宋" w:hAnsi="仿宋" w:eastAsia="仿宋" w:cs="仿宋"/>
          <w:color w:val="auto"/>
          <w:sz w:val="24"/>
          <w:szCs w:val="24"/>
          <w:highlight w:val="none"/>
        </w:rPr>
        <w:t>。</w:t>
      </w:r>
    </w:p>
    <w:p>
      <w:pPr>
        <w:topLinePunct/>
        <w:snapToGrid w:val="0"/>
        <w:spacing w:line="39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六、货物验收：乙方保证提供的产品符合国家及行业质量标准，如有违反，乙方应对质量不符的产品予以免费退换货，并赔偿甲方因此造成的一切损失。</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七、结算方式及期限：</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货到付款：甲方以转帐方式付款。甲方确认收货完成后，乙方开具</w:t>
      </w:r>
      <w:r>
        <w:rPr>
          <w:rFonts w:hint="eastAsia" w:ascii="仿宋" w:hAnsi="仿宋" w:eastAsia="仿宋" w:cs="仿宋"/>
          <w:color w:val="auto"/>
          <w:sz w:val="24"/>
          <w:szCs w:val="24"/>
          <w:highlight w:val="none"/>
          <w:lang w:val="en-US" w:eastAsia="zh-CN"/>
        </w:rPr>
        <w:t>合规增值税专用</w:t>
      </w:r>
      <w:r>
        <w:rPr>
          <w:rFonts w:hint="eastAsia" w:ascii="仿宋" w:hAnsi="仿宋" w:eastAsia="仿宋" w:cs="仿宋"/>
          <w:color w:val="auto"/>
          <w:sz w:val="24"/>
          <w:szCs w:val="24"/>
          <w:highlight w:val="none"/>
        </w:rPr>
        <w:t>发票给甲方，甲方在收到发票后30个工作日内付清货款。</w:t>
      </w:r>
    </w:p>
    <w:p>
      <w:pPr>
        <w:topLinePunct/>
        <w:adjustRightInd/>
        <w:snapToGrid w:val="0"/>
        <w:spacing w:line="390" w:lineRule="exact"/>
        <w:ind w:firstLine="480" w:firstLineChars="200"/>
        <w:rPr>
          <w:rFonts w:hint="eastAsia" w:ascii="仿宋" w:hAnsi="仿宋" w:eastAsia="仿宋" w:cs="仿宋"/>
          <w:b w:val="0"/>
          <w:bCs w:val="0"/>
          <w:color w:val="auto"/>
          <w:spacing w:val="0"/>
          <w:sz w:val="24"/>
          <w:szCs w:val="24"/>
          <w:highlight w:val="none"/>
          <w:lang w:val="en-US"/>
        </w:rPr>
      </w:pPr>
      <w:r>
        <w:rPr>
          <w:rFonts w:hint="eastAsia" w:ascii="仿宋" w:hAnsi="仿宋" w:eastAsia="仿宋" w:cs="仿宋"/>
          <w:bCs w:val="0"/>
          <w:color w:val="auto"/>
          <w:spacing w:val="0"/>
          <w:sz w:val="24"/>
          <w:szCs w:val="24"/>
          <w:highlight w:val="none"/>
        </w:rPr>
        <w:t>2</w:t>
      </w:r>
      <w:r>
        <w:rPr>
          <w:rFonts w:hint="eastAsia" w:ascii="仿宋" w:hAnsi="仿宋" w:eastAsia="仿宋" w:cs="仿宋"/>
          <w:bCs w:val="0"/>
          <w:color w:val="auto"/>
          <w:spacing w:val="0"/>
          <w:sz w:val="24"/>
          <w:szCs w:val="24"/>
          <w:highlight w:val="none"/>
          <w:lang w:val="en-US" w:eastAsia="zh-CN"/>
        </w:rPr>
        <w:t>.</w:t>
      </w:r>
      <w:r>
        <w:rPr>
          <w:rFonts w:hint="eastAsia" w:ascii="仿宋" w:hAnsi="仿宋" w:eastAsia="仿宋" w:cs="仿宋"/>
          <w:bCs w:val="0"/>
          <w:color w:val="auto"/>
          <w:spacing w:val="0"/>
          <w:sz w:val="24"/>
          <w:szCs w:val="24"/>
          <w:highlight w:val="none"/>
        </w:rPr>
        <w:t>与</w:t>
      </w:r>
      <w:r>
        <w:rPr>
          <w:rFonts w:hint="eastAsia" w:ascii="仿宋" w:hAnsi="仿宋" w:eastAsia="仿宋" w:cs="仿宋"/>
          <w:color w:val="auto"/>
          <w:spacing w:val="0"/>
          <w:sz w:val="24"/>
          <w:szCs w:val="24"/>
          <w:highlight w:val="none"/>
        </w:rPr>
        <w:t>本合同有关的任何款项，甲方应按双方书面约定的方式付至乙方指定帐户</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lang w:eastAsia="zh-CN"/>
        </w:rPr>
        <w:t>）。</w:t>
      </w:r>
    </w:p>
    <w:p>
      <w:pPr>
        <w:topLinePunct/>
        <w:snapToGrid w:val="0"/>
        <w:spacing w:line="39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b w:val="0"/>
          <w:bCs w:val="0"/>
          <w:color w:val="auto"/>
          <w:spacing w:val="0"/>
          <w:sz w:val="24"/>
          <w:szCs w:val="24"/>
          <w:highlight w:val="none"/>
        </w:rPr>
        <w:t>合同有效期自</w:t>
      </w:r>
      <w:r>
        <w:rPr>
          <w:rFonts w:hint="eastAsia" w:ascii="仿宋" w:hAnsi="仿宋" w:eastAsia="仿宋" w:cs="仿宋"/>
          <w:b w:val="0"/>
          <w:bCs w:val="0"/>
          <w:color w:val="auto"/>
          <w:spacing w:val="0"/>
          <w:sz w:val="24"/>
          <w:szCs w:val="24"/>
          <w:highlight w:val="none"/>
          <w:lang w:val="en-US" w:eastAsia="zh-CN"/>
        </w:rPr>
        <w:t>签订</w:t>
      </w:r>
      <w:r>
        <w:rPr>
          <w:rFonts w:hint="eastAsia" w:ascii="仿宋" w:hAnsi="仿宋" w:eastAsia="仿宋" w:cs="仿宋"/>
          <w:b w:val="0"/>
          <w:bCs w:val="0"/>
          <w:color w:val="auto"/>
          <w:spacing w:val="0"/>
          <w:sz w:val="24"/>
          <w:szCs w:val="24"/>
          <w:highlight w:val="none"/>
        </w:rPr>
        <w:t>之日起</w:t>
      </w:r>
      <w:r>
        <w:rPr>
          <w:rFonts w:hint="eastAsia" w:ascii="仿宋" w:hAnsi="仿宋" w:eastAsia="仿宋" w:cs="仿宋"/>
          <w:b w:val="0"/>
          <w:bCs w:val="0"/>
          <w:color w:val="auto"/>
          <w:spacing w:val="0"/>
          <w:sz w:val="24"/>
          <w:szCs w:val="24"/>
          <w:highlight w:val="none"/>
          <w:lang w:val="en-US" w:eastAsia="zh-CN"/>
        </w:rPr>
        <w:t>一</w:t>
      </w:r>
      <w:r>
        <w:rPr>
          <w:rFonts w:hint="eastAsia" w:ascii="仿宋" w:hAnsi="仿宋" w:eastAsia="仿宋" w:cs="仿宋"/>
          <w:b w:val="0"/>
          <w:bCs w:val="0"/>
          <w:color w:val="auto"/>
          <w:spacing w:val="0"/>
          <w:sz w:val="24"/>
          <w:szCs w:val="24"/>
          <w:highlight w:val="none"/>
          <w:u w:val="none"/>
          <w:lang w:val="en-US" w:eastAsia="zh-CN"/>
        </w:rPr>
        <w:t>年</w:t>
      </w:r>
      <w:r>
        <w:rPr>
          <w:rFonts w:hint="eastAsia" w:ascii="仿宋" w:hAnsi="仿宋" w:eastAsia="仿宋" w:cs="仿宋"/>
          <w:b w:val="0"/>
          <w:bCs w:val="0"/>
          <w:color w:val="auto"/>
          <w:spacing w:val="0"/>
          <w:sz w:val="24"/>
          <w:szCs w:val="24"/>
          <w:highlight w:val="none"/>
          <w:u w:val="none"/>
        </w:rPr>
        <w:t>止</w:t>
      </w:r>
      <w:r>
        <w:rPr>
          <w:rFonts w:hint="eastAsia" w:ascii="仿宋" w:hAnsi="仿宋" w:eastAsia="仿宋" w:cs="仿宋"/>
          <w:b w:val="0"/>
          <w:bCs w:val="0"/>
          <w:color w:val="auto"/>
          <w:spacing w:val="0"/>
          <w:sz w:val="24"/>
          <w:szCs w:val="24"/>
          <w:highlight w:val="none"/>
        </w:rPr>
        <w:t>。</w:t>
      </w:r>
      <w:r>
        <w:rPr>
          <w:rFonts w:hint="eastAsia" w:ascii="仿宋" w:hAnsi="仿宋" w:eastAsia="仿宋" w:cs="仿宋"/>
          <w:b w:val="0"/>
          <w:bCs w:val="0"/>
          <w:color w:val="auto"/>
          <w:spacing w:val="0"/>
          <w:sz w:val="24"/>
          <w:szCs w:val="24"/>
          <w:highlight w:val="none"/>
          <w:lang w:val="en-US" w:eastAsia="zh-CN"/>
        </w:rPr>
        <w:t>若</w:t>
      </w:r>
      <w:r>
        <w:rPr>
          <w:rFonts w:hint="eastAsia" w:ascii="仿宋" w:hAnsi="仿宋" w:eastAsia="仿宋" w:cs="仿宋"/>
          <w:b w:val="0"/>
          <w:bCs w:val="0"/>
          <w:color w:val="auto"/>
          <w:spacing w:val="0"/>
          <w:sz w:val="24"/>
          <w:szCs w:val="24"/>
          <w:highlight w:val="none"/>
          <w:lang w:val="en-US" w:eastAsia="zh-Hans"/>
        </w:rPr>
        <w:t>合同有效期内</w:t>
      </w:r>
      <w:r>
        <w:rPr>
          <w:rFonts w:hint="eastAsia" w:ascii="仿宋" w:hAnsi="仿宋" w:eastAsia="仿宋" w:cs="仿宋"/>
          <w:b w:val="0"/>
          <w:bCs w:val="0"/>
          <w:color w:val="auto"/>
          <w:spacing w:val="0"/>
          <w:sz w:val="24"/>
          <w:szCs w:val="24"/>
          <w:highlight w:val="none"/>
          <w:lang w:eastAsia="zh-Hans"/>
        </w:rPr>
        <w:t>，</w:t>
      </w:r>
      <w:r>
        <w:rPr>
          <w:rFonts w:hint="eastAsia" w:ascii="仿宋" w:hAnsi="仿宋" w:eastAsia="仿宋" w:cs="仿宋"/>
          <w:b w:val="0"/>
          <w:bCs w:val="0"/>
          <w:color w:val="auto"/>
          <w:spacing w:val="0"/>
          <w:sz w:val="24"/>
          <w:szCs w:val="24"/>
          <w:highlight w:val="none"/>
          <w:lang w:val="en-US" w:eastAsia="zh-CN"/>
        </w:rPr>
        <w:t>供应货物结算</w:t>
      </w:r>
      <w:r>
        <w:rPr>
          <w:rFonts w:hint="eastAsia" w:ascii="仿宋" w:hAnsi="仿宋" w:eastAsia="仿宋" w:cs="仿宋"/>
          <w:b w:val="0"/>
          <w:bCs w:val="0"/>
          <w:color w:val="auto"/>
          <w:spacing w:val="0"/>
          <w:sz w:val="24"/>
          <w:szCs w:val="24"/>
          <w:highlight w:val="none"/>
          <w:lang w:val="en-US" w:eastAsia="zh-Hans"/>
        </w:rPr>
        <w:t>总</w:t>
      </w:r>
      <w:r>
        <w:rPr>
          <w:rFonts w:hint="eastAsia" w:ascii="仿宋" w:hAnsi="仿宋" w:eastAsia="仿宋" w:cs="仿宋"/>
          <w:b w:val="0"/>
          <w:bCs w:val="0"/>
          <w:color w:val="auto"/>
          <w:spacing w:val="0"/>
          <w:sz w:val="24"/>
          <w:szCs w:val="24"/>
          <w:highlight w:val="none"/>
          <w:lang w:val="en-US" w:eastAsia="zh-CN"/>
        </w:rPr>
        <w:t>金额超过18.018万元</w:t>
      </w:r>
      <w:r>
        <w:rPr>
          <w:rFonts w:hint="eastAsia" w:ascii="仿宋" w:hAnsi="仿宋" w:eastAsia="仿宋" w:cs="仿宋"/>
          <w:b w:val="0"/>
          <w:bCs w:val="0"/>
          <w:color w:val="auto"/>
          <w:spacing w:val="0"/>
          <w:sz w:val="24"/>
          <w:szCs w:val="24"/>
          <w:highlight w:val="none"/>
          <w:lang w:val="en-US" w:eastAsia="zh-Hans"/>
        </w:rPr>
        <w:t>的</w:t>
      </w:r>
      <w:r>
        <w:rPr>
          <w:rFonts w:hint="eastAsia" w:ascii="仿宋" w:hAnsi="仿宋" w:eastAsia="仿宋" w:cs="仿宋"/>
          <w:b w:val="0"/>
          <w:bCs w:val="0"/>
          <w:color w:val="auto"/>
          <w:spacing w:val="0"/>
          <w:sz w:val="24"/>
          <w:szCs w:val="24"/>
          <w:highlight w:val="none"/>
          <w:lang w:eastAsia="zh-Hans"/>
        </w:rPr>
        <w:t>，</w:t>
      </w:r>
      <w:r>
        <w:rPr>
          <w:rFonts w:hint="eastAsia" w:ascii="仿宋" w:hAnsi="仿宋" w:eastAsia="仿宋" w:cs="仿宋"/>
          <w:b w:val="0"/>
          <w:bCs w:val="0"/>
          <w:color w:val="auto"/>
          <w:spacing w:val="0"/>
          <w:sz w:val="24"/>
          <w:szCs w:val="24"/>
          <w:highlight w:val="none"/>
          <w:lang w:val="en-US" w:eastAsia="zh-CN"/>
        </w:rPr>
        <w:t>则</w:t>
      </w:r>
      <w:r>
        <w:rPr>
          <w:rFonts w:hint="eastAsia" w:ascii="仿宋" w:hAnsi="仿宋" w:eastAsia="仿宋" w:cs="仿宋"/>
          <w:b w:val="0"/>
          <w:bCs w:val="0"/>
          <w:color w:val="auto"/>
          <w:spacing w:val="0"/>
          <w:sz w:val="24"/>
          <w:szCs w:val="24"/>
          <w:highlight w:val="none"/>
          <w:lang w:val="en-US" w:eastAsia="zh-Hans"/>
        </w:rPr>
        <w:t>本合同</w:t>
      </w:r>
      <w:r>
        <w:rPr>
          <w:rFonts w:hint="eastAsia" w:ascii="仿宋" w:hAnsi="仿宋" w:eastAsia="仿宋" w:cs="仿宋"/>
          <w:b w:val="0"/>
          <w:bCs w:val="0"/>
          <w:color w:val="auto"/>
          <w:spacing w:val="0"/>
          <w:sz w:val="24"/>
          <w:szCs w:val="24"/>
          <w:highlight w:val="none"/>
          <w:lang w:val="en-US" w:eastAsia="zh-CN"/>
        </w:rPr>
        <w:t>提前终止。</w:t>
      </w:r>
    </w:p>
    <w:p>
      <w:pPr>
        <w:topLinePunct/>
        <w:snapToGrid w:val="0"/>
        <w:spacing w:line="39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val="en-US" w:eastAsia="zh-Hans"/>
        </w:rPr>
        <w:t>违约责任</w:t>
      </w:r>
      <w:r>
        <w:rPr>
          <w:rFonts w:hint="eastAsia" w:ascii="仿宋" w:hAnsi="仿宋" w:eastAsia="仿宋" w:cs="仿宋"/>
          <w:color w:val="auto"/>
          <w:sz w:val="24"/>
          <w:szCs w:val="24"/>
          <w:highlight w:val="none"/>
          <w:lang w:eastAsia="zh-Hans"/>
        </w:rPr>
        <w:t>：</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逾期交货的，应自逾期之日起每天按该货款金额的1‰向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支付违约金。逾期合计达10日的，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有权解除本合同，</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Hans"/>
        </w:rPr>
        <w:t>除应当返还甲方已付全部款项之外</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还</w:t>
      </w:r>
      <w:r>
        <w:rPr>
          <w:rFonts w:hint="eastAsia" w:ascii="仿宋" w:hAnsi="仿宋" w:eastAsia="仿宋" w:cs="仿宋"/>
          <w:color w:val="auto"/>
          <w:sz w:val="24"/>
          <w:szCs w:val="24"/>
          <w:highlight w:val="none"/>
        </w:rPr>
        <w:t>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一次性</w:t>
      </w:r>
      <w:r>
        <w:rPr>
          <w:rFonts w:hint="eastAsia" w:ascii="仿宋" w:hAnsi="仿宋" w:eastAsia="仿宋" w:cs="仿宋"/>
          <w:color w:val="auto"/>
          <w:sz w:val="24"/>
          <w:szCs w:val="24"/>
          <w:highlight w:val="none"/>
          <w:lang w:eastAsia="zh-CN"/>
        </w:rPr>
        <w:t>支付</w:t>
      </w:r>
      <w:r>
        <w:rPr>
          <w:rFonts w:hint="eastAsia" w:ascii="仿宋" w:hAnsi="仿宋" w:eastAsia="仿宋" w:cs="仿宋"/>
          <w:color w:val="auto"/>
          <w:sz w:val="24"/>
          <w:szCs w:val="24"/>
          <w:highlight w:val="none"/>
        </w:rPr>
        <w:t>不能交货部分货款</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%的违约金。</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交付货物不符合验收标准的，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可以拒收或退货，</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应退还</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已付的货款并支付本合同货款的20%的违约金；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也可要求</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在限定期限内更换，如果</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确定的换货时间内仍未能更换货物，按前述逾期交货处理。</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3.因货物包装不符合约定，须返修或重新包装的，</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应负责返修或重新包装，并承担因此支出的费用。如</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同意接收该不合格包装物，则</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应赔偿该不合格包装物低于合格物的差价损失。因包装不当造成货物损坏或灭失的，</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应负责赔偿。</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提前交付、多交付的货物或者交付的货物品种、型号、规格、质量不符合约定的，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在代保管期间实际支付的保管、保养等费用以及非因</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保管不善而发生的损失，均应由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自行承担。</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货物错发到货地点或接货人的，</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除应负责送至合同规定的到货地点或接货人外，还应赔偿</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因此造成的损失和逾期交货的违约金。</w:t>
      </w:r>
    </w:p>
    <w:p>
      <w:pPr>
        <w:topLinePunct/>
        <w:snapToGrid w:val="0"/>
        <w:spacing w:line="39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6.因甲方自身原因逾期付款的，应以应付未付款项按同期贷款市场报价利率（LPR）计算逾期利息。</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双方在执行本合同过程中，任何一方违反本合同之约定，均为违约。违约方</w:t>
      </w:r>
      <w:r>
        <w:rPr>
          <w:rFonts w:hint="eastAsia" w:ascii="仿宋" w:hAnsi="仿宋" w:eastAsia="仿宋" w:cs="仿宋"/>
          <w:color w:val="auto"/>
          <w:sz w:val="24"/>
          <w:szCs w:val="24"/>
          <w:highlight w:val="none"/>
          <w:lang w:val="en-US" w:eastAsia="zh-CN"/>
        </w:rPr>
        <w:t>按照合同约定支付违约金外，</w:t>
      </w:r>
      <w:r>
        <w:rPr>
          <w:rFonts w:hint="eastAsia" w:ascii="仿宋" w:hAnsi="仿宋" w:eastAsia="仿宋" w:cs="仿宋"/>
          <w:color w:val="auto"/>
          <w:sz w:val="24"/>
          <w:szCs w:val="24"/>
          <w:highlight w:val="none"/>
        </w:rPr>
        <w:t>还须承担另一方为取得此等赔偿而支出的所有费用，包括但不限于仲裁费、诉讼费、律师费、差旅费等</w:t>
      </w:r>
      <w:r>
        <w:rPr>
          <w:rFonts w:hint="eastAsia" w:ascii="仿宋" w:hAnsi="仿宋" w:eastAsia="仿宋" w:cs="仿宋"/>
          <w:color w:val="auto"/>
          <w:sz w:val="24"/>
          <w:szCs w:val="24"/>
          <w:highlight w:val="none"/>
          <w:lang w:eastAsia="zh-CN"/>
        </w:rPr>
        <w:t>。</w:t>
      </w:r>
    </w:p>
    <w:p>
      <w:pPr>
        <w:topLinePunct/>
        <w:snapToGrid w:val="0"/>
        <w:spacing w:line="39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十</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保密：未经对方事先书面同意,任何一方任何时候不得向任何第三方泄露本合同内容或在本合同履行中所获得的对方的任何商业资料，如有违背视为严重违约， 应承担相应法律责任。</w:t>
      </w:r>
    </w:p>
    <w:p>
      <w:pPr>
        <w:topLinePunct/>
        <w:snapToGrid w:val="0"/>
        <w:spacing w:line="39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Hans"/>
        </w:rPr>
        <w:t>一</w:t>
      </w:r>
      <w:r>
        <w:rPr>
          <w:rFonts w:hint="eastAsia" w:ascii="仿宋" w:hAnsi="仿宋" w:eastAsia="仿宋" w:cs="仿宋"/>
          <w:color w:val="auto"/>
          <w:sz w:val="24"/>
          <w:szCs w:val="24"/>
          <w:highlight w:val="none"/>
        </w:rPr>
        <w:t>、合同纠纷解决方式：若本合同在执行中发生纠纷，经双方协商仍无法解决，需向人民法院提起诉讼的，由</w:t>
      </w:r>
      <w:r>
        <w:rPr>
          <w:rFonts w:hint="eastAsia" w:ascii="仿宋" w:hAnsi="仿宋" w:eastAsia="仿宋" w:cs="仿宋"/>
          <w:color w:val="auto"/>
          <w:sz w:val="24"/>
          <w:szCs w:val="24"/>
          <w:highlight w:val="none"/>
          <w:u w:val="none"/>
        </w:rPr>
        <w:t>甲方所</w:t>
      </w:r>
      <w:r>
        <w:rPr>
          <w:rFonts w:hint="eastAsia" w:ascii="仿宋" w:hAnsi="仿宋" w:eastAsia="仿宋" w:cs="仿宋"/>
          <w:color w:val="auto"/>
          <w:sz w:val="24"/>
          <w:szCs w:val="24"/>
          <w:highlight w:val="none"/>
        </w:rPr>
        <w:t>在地人民法院审理。</w:t>
      </w:r>
    </w:p>
    <w:p>
      <w:pPr>
        <w:topLinePunct/>
        <w:snapToGrid w:val="0"/>
        <w:spacing w:line="39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、其它约定事项：</w:t>
      </w:r>
    </w:p>
    <w:p>
      <w:pPr>
        <w:topLinePunct/>
        <w:snapToGrid w:val="0"/>
        <w:spacing w:line="39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货物所有权及风险自交付后转移给甲方；</w:t>
      </w:r>
    </w:p>
    <w:p>
      <w:pPr>
        <w:topLinePunct/>
        <w:snapToGrid w:val="0"/>
        <w:spacing w:line="39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none"/>
        </w:rPr>
        <w:t>具体到货数量允许在甲方当次订单数±5%的范围内偏差。</w:t>
      </w:r>
    </w:p>
    <w:p>
      <w:pPr>
        <w:topLinePunct/>
        <w:snapToGrid w:val="0"/>
        <w:spacing w:line="39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合同经双方盖章后即生效，本合同一式</w:t>
      </w:r>
      <w:r>
        <w:rPr>
          <w:rFonts w:hint="eastAsia" w:ascii="仿宋" w:hAnsi="仿宋" w:eastAsia="仿宋" w:cs="仿宋"/>
          <w:color w:val="auto"/>
          <w:sz w:val="24"/>
          <w:szCs w:val="24"/>
          <w:highlight w:val="none"/>
          <w:lang w:val="en-US" w:eastAsia="zh-CN"/>
        </w:rPr>
        <w:t>伍</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lang w:val="en-US" w:eastAsia="zh-CN"/>
        </w:rPr>
        <w:t>肆</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具有同等法律效力。</w:t>
      </w:r>
    </w:p>
    <w:p>
      <w:pPr>
        <w:topLinePunct/>
        <w:snapToGrid w:val="0"/>
        <w:spacing w:line="39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因履行本合同而发生的一方发给另一方的通知、信件、文书及其争议解决等均应是书面的，按本合同所示地址发送。通知或信件应由专人送交、通过</w:t>
      </w:r>
      <w:r>
        <w:rPr>
          <w:rFonts w:hint="eastAsia" w:ascii="仿宋" w:hAnsi="仿宋" w:eastAsia="仿宋" w:cs="仿宋"/>
          <w:color w:val="auto"/>
          <w:sz w:val="24"/>
          <w:szCs w:val="24"/>
          <w:highlight w:val="none"/>
          <w:lang w:val="en-US" w:eastAsia="zh-CN"/>
        </w:rPr>
        <w:t>合法成立的快递物流公司</w:t>
      </w:r>
      <w:r>
        <w:rPr>
          <w:rFonts w:hint="eastAsia" w:ascii="仿宋" w:hAnsi="仿宋" w:eastAsia="仿宋" w:cs="仿宋"/>
          <w:color w:val="auto"/>
          <w:sz w:val="24"/>
          <w:szCs w:val="24"/>
          <w:highlight w:val="none"/>
        </w:rPr>
        <w:t>传递或通过电子邮件传递。派人送交，签收时生效；如由</w:t>
      </w:r>
      <w:r>
        <w:rPr>
          <w:rFonts w:hint="eastAsia" w:ascii="仿宋" w:hAnsi="仿宋" w:eastAsia="仿宋" w:cs="仿宋"/>
          <w:color w:val="auto"/>
          <w:sz w:val="24"/>
          <w:szCs w:val="24"/>
          <w:highlight w:val="none"/>
          <w:lang w:val="en-US" w:eastAsia="zh-CN"/>
        </w:rPr>
        <w:t>快递</w:t>
      </w:r>
      <w:r>
        <w:rPr>
          <w:rFonts w:hint="eastAsia" w:ascii="仿宋" w:hAnsi="仿宋" w:eastAsia="仿宋" w:cs="仿宋"/>
          <w:color w:val="auto"/>
          <w:sz w:val="24"/>
          <w:szCs w:val="24"/>
          <w:highlight w:val="none"/>
        </w:rPr>
        <w:t>传送，则于送达时（包括拒收）视为正式送交；如通过电子邮件发送的，则自到达指定邮箱时视为送达。更改地址要在五天之内以书面通知对方，如因地址变更方未通知地址变更导致送达不能或约定地址无人接收通知或信件的，则在一方向约定地址寄送通知或信件之日起第5日视为送达，由此造成的责任由地址变更方承担。</w:t>
      </w:r>
    </w:p>
    <w:p>
      <w:pPr>
        <w:topLinePunct/>
        <w:adjustRightInd/>
        <w:snapToGrid w:val="0"/>
        <w:spacing w:line="390" w:lineRule="exact"/>
        <w:ind w:left="0" w:firstLine="480" w:firstLineChars="200"/>
        <w:rPr>
          <w:rFonts w:hint="eastAsia" w:ascii="仿宋" w:hAnsi="仿宋" w:eastAsia="仿宋" w:cs="仿宋"/>
          <w:color w:val="auto"/>
          <w:spacing w:val="0"/>
          <w:sz w:val="24"/>
          <w:szCs w:val="24"/>
          <w:highlight w:val="none"/>
        </w:rPr>
      </w:pPr>
    </w:p>
    <w:tbl>
      <w:tblPr>
        <w:tblStyle w:val="22"/>
        <w:tblpPr w:leftFromText="180" w:rightFromText="180" w:vertAnchor="text" w:horzAnchor="margin" w:tblpX="1" w:tblpY="10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4"/>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2568" w:type="pct"/>
            <w:noWrap w:val="0"/>
            <w:vAlign w:val="top"/>
          </w:tcPr>
          <w:p>
            <w:pPr>
              <w:topLinePunct/>
              <w:snapToGrid w:val="0"/>
              <w:spacing w:line="390" w:lineRule="exact"/>
              <w:ind w:firstLine="1680" w:firstLineChars="7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p>
            <w:pPr>
              <w:topLinePunct/>
              <w:snapToGrid w:val="0"/>
              <w:spacing w:line="390" w:lineRule="exact"/>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单位名称：杭州临平钱江停车管理有限公司</w:t>
            </w:r>
          </w:p>
          <w:p>
            <w:pPr>
              <w:topLinePunct/>
              <w:snapToGrid w:val="0"/>
              <w:spacing w:line="390" w:lineRule="exact"/>
              <w:ind w:left="0" w:firstLine="0" w:firstLineChars="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地址：</w:t>
            </w:r>
          </w:p>
          <w:p>
            <w:pPr>
              <w:topLinePunct/>
              <w:snapToGrid w:val="0"/>
              <w:spacing w:line="39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topLinePunct/>
              <w:snapToGrid w:val="0"/>
              <w:spacing w:line="39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委托代理人：</w:t>
            </w:r>
          </w:p>
          <w:p>
            <w:pPr>
              <w:topLinePunct/>
              <w:snapToGrid w:val="0"/>
              <w:spacing w:line="390" w:lineRule="exact"/>
              <w:ind w:firstLine="0" w:firstLineChars="0"/>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rPr>
              <w:t>电话：</w:t>
            </w:r>
          </w:p>
          <w:p>
            <w:pPr>
              <w:topLinePunct/>
              <w:snapToGrid w:val="0"/>
              <w:spacing w:line="39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p>
          <w:p>
            <w:pPr>
              <w:topLinePunct/>
              <w:snapToGrid w:val="0"/>
              <w:spacing w:line="390" w:lineRule="exact"/>
              <w:ind w:firstLine="0" w:firstLineChars="0"/>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rPr>
              <w:t>账号：</w:t>
            </w:r>
          </w:p>
        </w:tc>
        <w:tc>
          <w:tcPr>
            <w:tcW w:w="2431" w:type="pct"/>
            <w:noWrap w:val="0"/>
            <w:vAlign w:val="top"/>
          </w:tcPr>
          <w:p>
            <w:pPr>
              <w:topLinePunct/>
              <w:snapToGrid w:val="0"/>
              <w:spacing w:line="390" w:lineRule="exact"/>
              <w:ind w:firstLine="1680" w:firstLineChars="7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p>
            <w:pPr>
              <w:topLinePunct/>
              <w:snapToGrid w:val="0"/>
              <w:spacing w:line="39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topLinePunct/>
              <w:snapToGrid w:val="0"/>
              <w:spacing w:line="390" w:lineRule="exact"/>
              <w:ind w:left="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p>
          <w:p>
            <w:pPr>
              <w:topLinePunct/>
              <w:snapToGrid w:val="0"/>
              <w:spacing w:line="39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w:t>
            </w:r>
          </w:p>
          <w:p>
            <w:pPr>
              <w:topLinePunct/>
              <w:snapToGrid w:val="0"/>
              <w:spacing w:line="39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委托代理人：</w:t>
            </w:r>
          </w:p>
          <w:p>
            <w:pPr>
              <w:topLinePunct/>
              <w:snapToGrid w:val="0"/>
              <w:spacing w:line="390" w:lineRule="exact"/>
              <w:ind w:firstLine="0" w:firstLineChars="0"/>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rPr>
              <w:t>电话：</w:t>
            </w:r>
          </w:p>
          <w:p>
            <w:pPr>
              <w:topLinePunct/>
              <w:snapToGrid w:val="0"/>
              <w:spacing w:line="39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开户行： </w:t>
            </w:r>
          </w:p>
          <w:p>
            <w:pPr>
              <w:topLinePunct/>
              <w:snapToGrid w:val="0"/>
              <w:spacing w:line="39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账号：</w:t>
            </w:r>
          </w:p>
        </w:tc>
      </w:tr>
    </w:tbl>
    <w:p>
      <w:pPr>
        <w:topLinePunct/>
        <w:snapToGrid w:val="0"/>
        <w:spacing w:line="390" w:lineRule="exact"/>
        <w:ind w:firstLine="480" w:firstLineChars="200"/>
        <w:rPr>
          <w:rFonts w:hint="eastAsia" w:ascii="仿宋" w:hAnsi="仿宋" w:eastAsia="仿宋" w:cs="仿宋"/>
          <w:color w:val="auto"/>
          <w:sz w:val="24"/>
          <w:highlight w:val="none"/>
        </w:rPr>
      </w:pPr>
    </w:p>
    <w:p>
      <w:pPr>
        <w:keepNext w:val="0"/>
        <w:keepLines w:val="0"/>
        <w:pageBreakBefore w:val="0"/>
        <w:widowControl/>
        <w:kinsoku/>
        <w:overflowPunct/>
        <w:topLinePunct/>
        <w:autoSpaceDE/>
        <w:autoSpaceDN/>
        <w:bidi w:val="0"/>
        <w:adjustRightInd/>
        <w:snapToGrid w:val="0"/>
        <w:spacing w:before="0" w:after="0" w:line="390" w:lineRule="exact"/>
        <w:ind w:left="0" w:leftChars="0" w:right="0" w:firstLine="0" w:firstLineChars="0"/>
        <w:jc w:val="left"/>
        <w:textAlignment w:val="auto"/>
        <w:outlineLvl w:val="9"/>
        <w:rPr>
          <w:rFonts w:hint="eastAsia" w:ascii="仿宋" w:hAnsi="仿宋" w:eastAsia="仿宋" w:cs="仿宋"/>
          <w:color w:val="auto"/>
          <w:sz w:val="24"/>
          <w:szCs w:val="24"/>
          <w:highlight w:val="none"/>
          <w:lang w:val="en-US" w:eastAsia="zh-CN" w:bidi="ar"/>
        </w:rPr>
      </w:pPr>
    </w:p>
    <w:p>
      <w:pPr>
        <w:snapToGrid w:val="0"/>
        <w:spacing w:beforeLines="0" w:afterLines="0" w:line="360" w:lineRule="auto"/>
        <w:jc w:val="left"/>
        <w:rPr>
          <w:rFonts w:hint="eastAsia" w:ascii="仿宋" w:hAnsi="仿宋" w:eastAsia="仿宋" w:cs="仿宋"/>
          <w:bCs w:val="0"/>
          <w:color w:val="auto"/>
          <w:sz w:val="24"/>
          <w:szCs w:val="24"/>
          <w:highlight w:val="none"/>
          <w:lang w:bidi="ar"/>
        </w:rPr>
      </w:pPr>
      <w:r>
        <w:rPr>
          <w:rFonts w:hint="eastAsia" w:ascii="仿宋" w:hAnsi="仿宋" w:eastAsia="仿宋" w:cs="仿宋"/>
          <w:color w:val="auto"/>
          <w:sz w:val="24"/>
          <w:szCs w:val="24"/>
          <w:highlight w:val="none"/>
          <w:lang w:val="en-US" w:eastAsia="zh-CN" w:bidi="ar"/>
        </w:rPr>
        <w:t>附件1：</w:t>
      </w:r>
      <w:r>
        <w:rPr>
          <w:rFonts w:hint="eastAsia" w:ascii="仿宋" w:hAnsi="仿宋" w:eastAsia="仿宋" w:cs="仿宋"/>
          <w:bCs w:val="0"/>
          <w:color w:val="auto"/>
          <w:sz w:val="24"/>
          <w:szCs w:val="24"/>
          <w:highlight w:val="none"/>
          <w:lang w:bidi="ar"/>
        </w:rPr>
        <w:t>反不正当竞争与反商业贿赂约定书</w:t>
      </w:r>
    </w:p>
    <w:p>
      <w:pPr>
        <w:keepNext w:val="0"/>
        <w:keepLines w:val="0"/>
        <w:pageBreakBefore w:val="0"/>
        <w:widowControl/>
        <w:kinsoku/>
        <w:overflowPunct/>
        <w:topLinePunct/>
        <w:autoSpaceDE/>
        <w:autoSpaceDN/>
        <w:bidi w:val="0"/>
        <w:adjustRightInd/>
        <w:snapToGrid w:val="0"/>
        <w:spacing w:before="0" w:after="0" w:line="390" w:lineRule="exact"/>
        <w:ind w:left="0" w:leftChars="0" w:right="0" w:firstLine="0" w:firstLineChars="0"/>
        <w:jc w:val="left"/>
        <w:textAlignment w:val="auto"/>
        <w:outlineLvl w:val="9"/>
        <w:rPr>
          <w:rFonts w:hint="eastAsia" w:ascii="仿宋" w:hAnsi="仿宋" w:eastAsia="仿宋" w:cs="仿宋"/>
          <w:color w:val="auto"/>
          <w:sz w:val="24"/>
          <w:szCs w:val="24"/>
          <w:highlight w:val="none"/>
          <w:u w:val="none"/>
          <w:lang w:val="en-US" w:eastAsia="zh-CN" w:bidi="ar"/>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p>
    <w:p>
      <w:pPr>
        <w:snapToGrid w:val="0"/>
        <w:spacing w:beforeLines="0" w:afterLines="0" w:line="360" w:lineRule="auto"/>
        <w:jc w:val="center"/>
        <w:rPr>
          <w:rFonts w:hint="eastAsia" w:ascii="仿宋" w:hAnsi="仿宋" w:eastAsia="仿宋" w:cs="仿宋"/>
          <w:color w:val="auto"/>
          <w:sz w:val="24"/>
          <w:szCs w:val="24"/>
          <w:highlight w:val="none"/>
          <w:lang w:val="en-US" w:eastAsia="zh-CN" w:bidi="ar"/>
        </w:rPr>
      </w:pPr>
    </w:p>
    <w:p>
      <w:pPr>
        <w:snapToGrid w:val="0"/>
        <w:spacing w:beforeLines="0" w:afterLines="0" w:line="360" w:lineRule="auto"/>
        <w:jc w:val="left"/>
        <w:rPr>
          <w:rFonts w:hint="eastAsia" w:ascii="方正小标宋简体" w:hAnsi="方正小标宋简体" w:eastAsia="方正小标宋简体" w:cs="方正小标宋简体"/>
          <w:bCs w:val="0"/>
          <w:sz w:val="36"/>
          <w:szCs w:val="36"/>
        </w:rPr>
      </w:pPr>
      <w:r>
        <w:rPr>
          <w:rFonts w:hint="eastAsia" w:ascii="仿宋" w:hAnsi="仿宋" w:eastAsia="仿宋" w:cs="仿宋"/>
          <w:color w:val="auto"/>
          <w:sz w:val="24"/>
          <w:szCs w:val="24"/>
          <w:highlight w:val="none"/>
          <w:lang w:val="en-US" w:eastAsia="zh-CN" w:bidi="ar"/>
        </w:rPr>
        <w:t>附件1：</w:t>
      </w:r>
    </w:p>
    <w:p>
      <w:pPr>
        <w:snapToGrid w:val="0"/>
        <w:spacing w:beforeLines="0" w:afterLines="0" w:line="360" w:lineRule="auto"/>
        <w:jc w:val="center"/>
        <w:rPr>
          <w:rFonts w:hint="eastAsia" w:ascii="方正小标宋简体" w:hAnsi="方正小标宋简体" w:eastAsia="方正小标宋简体" w:cs="方正小标宋简体"/>
          <w:bCs w:val="0"/>
          <w:sz w:val="36"/>
          <w:szCs w:val="36"/>
        </w:rPr>
      </w:pPr>
      <w:r>
        <w:rPr>
          <w:rFonts w:hint="eastAsia" w:ascii="方正小标宋简体" w:hAnsi="方正小标宋简体" w:eastAsia="方正小标宋简体" w:cs="方正小标宋简体"/>
          <w:bCs w:val="0"/>
          <w:sz w:val="36"/>
          <w:szCs w:val="36"/>
        </w:rPr>
        <w:t>反不正当竞争与反商业贿赂约定书</w:t>
      </w:r>
    </w:p>
    <w:p>
      <w:pPr>
        <w:topLinePunct/>
        <w:adjustRightInd/>
        <w:snapToGrid w:val="0"/>
        <w:spacing w:beforeLines="-2147483648" w:afterLines="-2147483648"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：杭州临平钱江停车管理有限公司</w:t>
      </w:r>
    </w:p>
    <w:p>
      <w:pPr>
        <w:topLinePunct/>
        <w:snapToGrid w:val="0"/>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shd w:val="clear" w:color="auto" w:fill="FFFFFF"/>
        </w:rPr>
        <w:t>认真贯彻落实中央、省、市及</w:t>
      </w:r>
      <w:r>
        <w:rPr>
          <w:rFonts w:hint="eastAsia" w:ascii="仿宋" w:hAnsi="仿宋" w:eastAsia="仿宋" w:cs="仿宋"/>
          <w:color w:val="auto"/>
          <w:sz w:val="24"/>
          <w:szCs w:val="24"/>
          <w:highlight w:val="none"/>
          <w:shd w:val="clear" w:color="auto" w:fill="FFFFFF"/>
          <w:lang w:val="en-US" w:eastAsia="zh-CN"/>
        </w:rPr>
        <w:t>上级公司</w:t>
      </w:r>
      <w:r>
        <w:rPr>
          <w:rFonts w:hint="eastAsia" w:ascii="仿宋" w:hAnsi="仿宋" w:eastAsia="仿宋" w:cs="仿宋"/>
          <w:color w:val="auto"/>
          <w:sz w:val="24"/>
          <w:szCs w:val="24"/>
          <w:highlight w:val="none"/>
          <w:shd w:val="clear" w:color="auto" w:fill="FFFFFF"/>
        </w:rPr>
        <w:t>关于党风廉政责任制相关规定要求，保证公司各项运营活动公开、公平、公正</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shd w:val="clear" w:color="auto" w:fill="FFFFFF"/>
        </w:rPr>
        <w:t>推动打造企业与合作方真诚亲密，清白纯洁的“亲·清”关系，</w:t>
      </w:r>
      <w:r>
        <w:rPr>
          <w:rFonts w:hint="eastAsia" w:ascii="仿宋" w:hAnsi="仿宋" w:eastAsia="仿宋" w:cs="仿宋"/>
          <w:color w:val="auto"/>
          <w:sz w:val="24"/>
          <w:szCs w:val="24"/>
          <w:highlight w:val="none"/>
        </w:rPr>
        <w:t>保护国家、集体和当事人的合法权益，防止发生各种不正当竞争以及商业贿赂等违法违纪行为，特订立本约定书。</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第一条 双方责任</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1.1甲乙</w:t>
      </w:r>
      <w:r>
        <w:rPr>
          <w:rFonts w:hint="eastAsia" w:ascii="仿宋" w:hAnsi="仿宋" w:eastAsia="仿宋" w:cs="仿宋"/>
          <w:color w:val="auto"/>
          <w:sz w:val="24"/>
          <w:szCs w:val="24"/>
          <w:highlight w:val="none"/>
          <w:lang w:val="en-US" w:eastAsia="zh-CN"/>
        </w:rPr>
        <w:t>双方</w:t>
      </w:r>
      <w:r>
        <w:rPr>
          <w:rFonts w:hint="eastAsia" w:ascii="仿宋" w:hAnsi="仿宋" w:eastAsia="仿宋" w:cs="仿宋"/>
          <w:color w:val="auto"/>
          <w:sz w:val="24"/>
          <w:szCs w:val="24"/>
          <w:highlight w:val="none"/>
        </w:rPr>
        <w:t>应严格遵守国家关于市场准入、招标投标、招商招租、物业管理和市场经营活动等有关法律</w:t>
      </w:r>
      <w:r>
        <w:rPr>
          <w:rFonts w:hint="eastAsia" w:ascii="仿宋" w:hAnsi="仿宋" w:eastAsia="仿宋" w:cs="仿宋"/>
          <w:color w:val="auto"/>
          <w:sz w:val="24"/>
          <w:szCs w:val="24"/>
          <w:highlight w:val="none"/>
          <w:lang w:val="en-US" w:eastAsia="zh-CN"/>
        </w:rPr>
        <w:t>法规政策</w:t>
      </w:r>
      <w:r>
        <w:rPr>
          <w:rFonts w:hint="eastAsia" w:ascii="仿宋" w:hAnsi="仿宋" w:eastAsia="仿宋" w:cs="仿宋"/>
          <w:color w:val="auto"/>
          <w:sz w:val="24"/>
          <w:szCs w:val="24"/>
          <w:highlight w:val="none"/>
        </w:rPr>
        <w:t>，以及廉政建设的各项规定。</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1.2甲乙</w:t>
      </w:r>
      <w:r>
        <w:rPr>
          <w:rFonts w:hint="eastAsia" w:ascii="仿宋" w:hAnsi="仿宋" w:eastAsia="仿宋" w:cs="仿宋"/>
          <w:color w:val="auto"/>
          <w:sz w:val="24"/>
          <w:szCs w:val="24"/>
          <w:highlight w:val="none"/>
          <w:lang w:val="en-US" w:eastAsia="zh-CN"/>
        </w:rPr>
        <w:t>双方</w:t>
      </w:r>
      <w:r>
        <w:rPr>
          <w:rFonts w:hint="eastAsia" w:ascii="仿宋" w:hAnsi="仿宋" w:eastAsia="仿宋" w:cs="仿宋"/>
          <w:color w:val="auto"/>
          <w:sz w:val="24"/>
          <w:szCs w:val="24"/>
          <w:highlight w:val="none"/>
        </w:rPr>
        <w:t>应严格执行合同所约定的各项权利义务，自觉按合同办事。</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1.3甲乙</w:t>
      </w:r>
      <w:r>
        <w:rPr>
          <w:rFonts w:hint="eastAsia" w:ascii="仿宋" w:hAnsi="仿宋" w:eastAsia="仿宋" w:cs="仿宋"/>
          <w:color w:val="auto"/>
          <w:sz w:val="24"/>
          <w:szCs w:val="24"/>
          <w:highlight w:val="none"/>
          <w:lang w:val="en-US" w:eastAsia="zh-CN"/>
        </w:rPr>
        <w:t>双方</w:t>
      </w:r>
      <w:r>
        <w:rPr>
          <w:rFonts w:hint="eastAsia" w:ascii="仿宋" w:hAnsi="仿宋" w:eastAsia="仿宋" w:cs="仿宋"/>
          <w:color w:val="auto"/>
          <w:sz w:val="24"/>
          <w:szCs w:val="24"/>
          <w:highlight w:val="none"/>
        </w:rPr>
        <w:t>在商业活动中应始终坚持公开、公平、公正、诚信、透明的原则，不得为获取不正当的利益，违反规章制度，损害国家、集体、其他任意第三方和合同对方的利益。</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1.4甲乙</w:t>
      </w:r>
      <w:r>
        <w:rPr>
          <w:rFonts w:hint="eastAsia" w:ascii="仿宋" w:hAnsi="仿宋" w:eastAsia="仿宋" w:cs="仿宋"/>
          <w:color w:val="auto"/>
          <w:sz w:val="24"/>
          <w:szCs w:val="24"/>
          <w:highlight w:val="none"/>
          <w:lang w:val="en-US" w:eastAsia="zh-CN"/>
        </w:rPr>
        <w:t>双方</w:t>
      </w:r>
      <w:r>
        <w:rPr>
          <w:rFonts w:hint="eastAsia" w:ascii="仿宋" w:hAnsi="仿宋" w:eastAsia="仿宋" w:cs="仿宋"/>
          <w:color w:val="auto"/>
          <w:sz w:val="24"/>
          <w:szCs w:val="24"/>
          <w:highlight w:val="none"/>
        </w:rPr>
        <w:t>发现合同对方在业务活动中有违规、违纪、违法行为的，应及时提醒，情节严重的，应向其主管部门或公司纪检监察、司法等有关机关举报。</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第二条 甲方责任</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从事商业运营活动的工作人员，应始终遵守以下规定：</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2.1不向乙方和相关单位索要或接受任何回扣、礼金、有价证券、贵重物品和好处费、感谢费等账外财产。</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2.2不在乙方和相关单位报销任何应由甲方或个人支付的费用。</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2.3不要求、暗示和接受乙方和相关单位为其装修住房、婚丧嫁娶、近亲属的工作安排以及出国（境）、旅游等提供方便。</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2.4不参加有可能影响乙方和相关单位公正执行商业活动的宴请和健身、娱乐等活动。</w:t>
      </w:r>
    </w:p>
    <w:p>
      <w:pPr>
        <w:topLinePunct/>
        <w:snapToGrid w:val="0"/>
        <w:spacing w:beforeLines="-2147483648" w:afterLines="-2147483648" w:line="390" w:lineRule="exact"/>
        <w:ind w:firstLine="480" w:firstLineChars="200"/>
        <w:rPr>
          <w:rFonts w:hint="eastAsia" w:ascii="仿宋" w:hAnsi="仿宋" w:eastAsia="仿宋" w:cs="仿宋"/>
          <w:color w:val="auto"/>
          <w:spacing w:val="0"/>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kern w:val="2"/>
          <w:sz w:val="24"/>
          <w:szCs w:val="24"/>
          <w:highlight w:val="none"/>
        </w:rPr>
        <w:t>不准接受管理和服务对象违规转让、赠与的股份及其红利，或擅自投资入股；</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2.6不准在业务活动中设置障碍，敷衍推诿，态度粗鲁，刁难管理和服务对象；</w:t>
      </w:r>
    </w:p>
    <w:p>
      <w:pPr>
        <w:topLinePunct/>
        <w:snapToGrid w:val="0"/>
        <w:spacing w:beforeLines="-2147483648" w:afterLines="-2147483648" w:line="39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2.7不准安排亲属在管理和服务对象单位担任职务或接受报酬；</w:t>
      </w:r>
    </w:p>
    <w:p>
      <w:pPr>
        <w:topLinePunct/>
        <w:snapToGrid w:val="0"/>
        <w:spacing w:beforeLines="-2147483648" w:afterLines="-2147483648"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2.8不准利用职权便利为亲朋好友谋取非法利益或从事营利性经营活动提供便利条件；</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第三条 乙方责任</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3.1不以任何理由任何方式向甲方、相关单位及其工作人员提供、赠送或给予回扣、礼金、有价证券、贵重物品和好处费、感谢费等账外财产。</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3.2不以任何理由任何方式为甲方和相关单位报销应由对方或个人支付的费用。</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3.3不以任何理由任何方式为甲方或相关单位个人装修住房、婚丧嫁娶、近亲属的工作安排以及出国（境）、旅游等提供方便。</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3.4不以任何理由任何方式为甲方或相关单位组织有可能影响甲方公正执行商业活动的宴请、健身、娱乐等活动。</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3.5不得以任何不正当方式诋毁、排挤第三方，执行合同过程中不得以不正当手段获取不当利益，对知悉的甲方情况予以保密。</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第四条 违约责任</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甲方工作人员有违反本约定书第一、二条责任行为的，按照管理权限，依据有关法律法规和规定给予党纪、政纪处分或组织处理；涉嫌犯罪的，移交司法机关追究刑事责任；给乙方单位造成经济损失的，应予以赔偿。</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乙方工作人员有违反本约定书第一、三条责任行为的，按照管理权限，依据有关法律法规和规定给予党纪、政纪处分或组织处理；涉嫌犯罪的，移交司法机关追究刑事责任；给甲方单位造成经济损失的，应予以赔偿。</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第五条 其他</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5.1本约定书经双方签署后立即生效，有效期为双方签署之日起至租赁合同结束时止。</w:t>
      </w:r>
    </w:p>
    <w:p>
      <w:pPr>
        <w:topLinePunct/>
        <w:snapToGrid w:val="0"/>
        <w:spacing w:before="0" w:beforeLines="0" w:beforeAutospacing="0" w:after="0" w:afterLines="0" w:afterAutospacing="0" w:line="39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5.2本约定书一式</w:t>
      </w:r>
      <w:r>
        <w:rPr>
          <w:rFonts w:hint="eastAsia" w:ascii="仿宋" w:hAnsi="仿宋" w:eastAsia="仿宋" w:cs="仿宋"/>
          <w:color w:val="auto"/>
          <w:sz w:val="24"/>
          <w:szCs w:val="24"/>
          <w:highlight w:val="none"/>
          <w:lang w:val="en-US" w:eastAsia="zh-CN"/>
        </w:rPr>
        <w:t>伍</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lang w:val="en-US" w:eastAsia="zh-CN"/>
        </w:rPr>
        <w:t>肆</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p>
    <w:p>
      <w:pPr>
        <w:topLinePunct/>
        <w:snapToGrid w:val="0"/>
        <w:spacing w:before="0" w:beforeAutospacing="0" w:after="0" w:afterAutospacing="0" w:line="390" w:lineRule="exact"/>
        <w:ind w:firstLine="480" w:firstLineChars="200"/>
        <w:jc w:val="center"/>
        <w:rPr>
          <w:rFonts w:hint="eastAsia" w:ascii="仿宋" w:hAnsi="仿宋" w:eastAsia="仿宋" w:cs="仿宋"/>
          <w:color w:val="auto"/>
          <w:sz w:val="24"/>
          <w:szCs w:val="24"/>
          <w:highlight w:val="none"/>
          <w:lang w:val="en-US" w:eastAsia="zh-CN"/>
        </w:rPr>
      </w:pPr>
    </w:p>
    <w:p>
      <w:pPr>
        <w:topLinePunct/>
        <w:snapToGrid w:val="0"/>
        <w:spacing w:before="0" w:beforeAutospacing="0" w:after="0" w:afterAutospacing="0" w:line="390" w:lineRule="exact"/>
        <w:ind w:firstLine="480" w:firstLineChars="200"/>
        <w:jc w:val="center"/>
        <w:rPr>
          <w:rFonts w:hint="eastAsia" w:ascii="仿宋" w:hAnsi="仿宋" w:eastAsia="仿宋" w:cs="仿宋"/>
          <w:color w:val="auto"/>
          <w:sz w:val="24"/>
          <w:szCs w:val="24"/>
          <w:highlight w:val="none"/>
          <w:lang w:val="en-US" w:eastAsia="zh-CN"/>
        </w:rPr>
      </w:pPr>
    </w:p>
    <w:p>
      <w:pPr>
        <w:topLinePunct/>
        <w:snapToGrid w:val="0"/>
        <w:spacing w:before="0" w:beforeAutospacing="0" w:after="0" w:afterAutospacing="0" w:line="390" w:lineRule="exact"/>
        <w:ind w:firstLine="480" w:firstLineChars="200"/>
        <w:jc w:val="center"/>
        <w:rPr>
          <w:rFonts w:hint="eastAsia" w:ascii="仿宋" w:hAnsi="仿宋" w:eastAsia="仿宋" w:cs="仿宋"/>
          <w:color w:val="auto"/>
          <w:sz w:val="24"/>
          <w:szCs w:val="24"/>
          <w:highlight w:val="none"/>
          <w:lang w:val="en-US" w:eastAsia="zh-CN"/>
        </w:rPr>
      </w:pPr>
    </w:p>
    <w:p>
      <w:pPr>
        <w:topLinePunct/>
        <w:snapToGrid w:val="0"/>
        <w:spacing w:before="0" w:beforeAutospacing="0" w:after="0" w:afterAutospacing="0" w:line="390" w:lineRule="exact"/>
        <w:ind w:firstLine="480" w:firstLineChars="200"/>
        <w:jc w:val="center"/>
        <w:rPr>
          <w:rFonts w:hint="eastAsia" w:ascii="仿宋" w:hAnsi="仿宋" w:eastAsia="仿宋" w:cs="仿宋"/>
          <w:color w:val="auto"/>
          <w:sz w:val="24"/>
          <w:szCs w:val="24"/>
          <w:highlight w:val="none"/>
          <w:lang w:val="en-US" w:eastAsia="zh-CN"/>
        </w:rPr>
      </w:pPr>
    </w:p>
    <w:p>
      <w:pPr>
        <w:topLinePunct/>
        <w:snapToGrid w:val="0"/>
        <w:spacing w:before="0" w:beforeAutospacing="0" w:after="0" w:afterAutospacing="0" w:line="390" w:lineRule="exact"/>
        <w:ind w:firstLine="480" w:firstLineChars="200"/>
        <w:jc w:val="center"/>
        <w:rPr>
          <w:rFonts w:hint="eastAsia" w:ascii="仿宋" w:hAnsi="仿宋" w:eastAsia="仿宋" w:cs="仿宋"/>
          <w:color w:val="auto"/>
          <w:sz w:val="24"/>
          <w:szCs w:val="24"/>
          <w:highlight w:val="none"/>
          <w:lang w:val="en-US" w:eastAsia="zh-CN"/>
        </w:rPr>
      </w:pPr>
    </w:p>
    <w:p>
      <w:pPr>
        <w:topLinePunct/>
        <w:snapToGrid w:val="0"/>
        <w:spacing w:before="0" w:beforeAutospacing="0" w:after="0" w:afterAutospacing="0" w:line="390" w:lineRule="exact"/>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签署页</w:t>
      </w:r>
    </w:p>
    <w:p>
      <w:pPr>
        <w:topLinePunct/>
        <w:snapToGrid w:val="0"/>
        <w:spacing w:before="0" w:beforeAutospacing="0" w:after="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 xml:space="preserve">）：             </w:t>
      </w:r>
    </w:p>
    <w:p>
      <w:pPr>
        <w:topLinePunct/>
        <w:snapToGrid w:val="0"/>
        <w:spacing w:before="0" w:beforeAutospacing="0" w:after="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年  月   日           </w:t>
      </w:r>
    </w:p>
    <w:p>
      <w:pPr>
        <w:topLinePunct/>
        <w:snapToGrid w:val="0"/>
        <w:spacing w:line="390" w:lineRule="exact"/>
        <w:ind w:firstLine="480" w:firstLineChars="200"/>
        <w:rPr>
          <w:rFonts w:hint="eastAsia" w:ascii="仿宋" w:hAnsi="仿宋" w:eastAsia="仿宋" w:cs="仿宋"/>
          <w:color w:val="auto"/>
          <w:sz w:val="24"/>
          <w:szCs w:val="24"/>
          <w:highlight w:val="none"/>
        </w:rPr>
      </w:pPr>
    </w:p>
    <w:p>
      <w:pPr>
        <w:topLinePunct/>
        <w:snapToGrid w:val="0"/>
        <w:spacing w:line="390" w:lineRule="exact"/>
        <w:ind w:firstLine="480" w:firstLineChars="200"/>
        <w:rPr>
          <w:rFonts w:hint="eastAsia" w:ascii="仿宋" w:hAnsi="仿宋" w:eastAsia="仿宋" w:cs="仿宋"/>
          <w:color w:val="auto"/>
          <w:sz w:val="24"/>
          <w:szCs w:val="24"/>
          <w:highlight w:val="none"/>
        </w:rPr>
      </w:pPr>
    </w:p>
    <w:p>
      <w:pPr>
        <w:topLinePunct/>
        <w:snapToGrid w:val="0"/>
        <w:spacing w:before="0" w:beforeAutospacing="0" w:after="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p>
    <w:p>
      <w:pPr>
        <w:topLinePunct/>
        <w:snapToGrid w:val="0"/>
        <w:spacing w:before="0" w:beforeAutospacing="0" w:after="0" w:afterAutospacing="0"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年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pPr>
        <w:topLinePunct/>
        <w:snapToGrid w:val="0"/>
        <w:spacing w:line="390" w:lineRule="exact"/>
        <w:ind w:firstLine="480" w:firstLineChars="200"/>
        <w:rPr>
          <w:rFonts w:hint="eastAsia" w:ascii="仿宋" w:hAnsi="仿宋" w:eastAsia="仿宋" w:cs="仿宋"/>
          <w:color w:val="auto"/>
          <w:sz w:val="24"/>
          <w:highlight w:val="none"/>
        </w:rPr>
      </w:pPr>
    </w:p>
    <w:p>
      <w:pPr>
        <w:topLinePunct/>
        <w:snapToGrid w:val="0"/>
        <w:spacing w:line="390" w:lineRule="exact"/>
        <w:ind w:firstLine="480" w:firstLineChars="200"/>
        <w:rPr>
          <w:rFonts w:hint="eastAsia" w:ascii="仿宋" w:hAnsi="仿宋" w:eastAsia="仿宋" w:cs="仿宋"/>
          <w:color w:val="auto"/>
          <w:sz w:val="24"/>
          <w:szCs w:val="24"/>
          <w:highlight w:val="none"/>
        </w:rPr>
      </w:pPr>
    </w:p>
    <w:sectPr>
      <w:headerReference r:id="rId3" w:type="default"/>
      <w:footerReference r:id="rId4" w:type="default"/>
      <w:pgSz w:w="11906" w:h="16838"/>
      <w:pgMar w:top="1440" w:right="1474"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162706-B150-4660-BF11-6683127B8B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3BE417F8-F344-4072-949E-D8768174F0DA}"/>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3" w:fontKey="{9932605D-BC9E-4D4F-8FD2-65FA572D98D1}"/>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仿宋" w:hAnsi="仿宋" w:eastAsia="仿宋" w:cs="黑体"/>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7A6C7"/>
    <w:multiLevelType w:val="singleLevel"/>
    <w:tmpl w:val="BE87A6C7"/>
    <w:lvl w:ilvl="0" w:tentative="0">
      <w:start w:val="1"/>
      <w:numFmt w:val="decimal"/>
      <w:lvlText w:val="%1."/>
      <w:lvlJc w:val="left"/>
      <w:pPr>
        <w:ind w:left="425" w:hanging="425"/>
      </w:pPr>
      <w:rPr>
        <w:rFonts w:hint="default"/>
      </w:rPr>
    </w:lvl>
  </w:abstractNum>
  <w:abstractNum w:abstractNumId="1">
    <w:nsid w:val="ED8714CD"/>
    <w:multiLevelType w:val="singleLevel"/>
    <w:tmpl w:val="ED8714CD"/>
    <w:lvl w:ilvl="0" w:tentative="0">
      <w:start w:val="1"/>
      <w:numFmt w:val="decimal"/>
      <w:lvlText w:val="%1."/>
      <w:lvlJc w:val="left"/>
      <w:pPr>
        <w:ind w:left="425" w:hanging="425"/>
      </w:pPr>
      <w:rPr>
        <w:rFonts w:hint="default"/>
      </w:rPr>
    </w:lvl>
  </w:abstractNum>
  <w:abstractNum w:abstractNumId="2">
    <w:nsid w:val="00000009"/>
    <w:multiLevelType w:val="singleLevel"/>
    <w:tmpl w:val="00000009"/>
    <w:lvl w:ilvl="0" w:tentative="0">
      <w:start w:val="1"/>
      <w:numFmt w:val="chineseCounting"/>
      <w:suff w:val="nothing"/>
      <w:lvlText w:val="%1、"/>
      <w:lvlJc w:val="left"/>
      <w:rPr>
        <w:rFonts w:hint="eastAsia" w:cs="Times New Roman"/>
      </w:rPr>
    </w:lvl>
  </w:abstractNum>
  <w:abstractNum w:abstractNumId="3">
    <w:nsid w:val="50CE5C77"/>
    <w:multiLevelType w:val="singleLevel"/>
    <w:tmpl w:val="50CE5C77"/>
    <w:lvl w:ilvl="0" w:tentative="0">
      <w:start w:val="1"/>
      <w:numFmt w:val="chineseCounting"/>
      <w:suff w:val="nothing"/>
      <w:lvlText w:val="%1、"/>
      <w:lvlJc w:val="left"/>
      <w:rPr>
        <w:rFonts w:hint="eastAsia"/>
      </w:rPr>
    </w:lvl>
  </w:abstractNum>
  <w:abstractNum w:abstractNumId="4">
    <w:nsid w:val="73B2D766"/>
    <w:multiLevelType w:val="singleLevel"/>
    <w:tmpl w:val="73B2D766"/>
    <w:lvl w:ilvl="0" w:tentative="0">
      <w:start w:val="1"/>
      <w:numFmt w:val="decimal"/>
      <w:pStyle w:val="5"/>
      <w:lvlText w:val="%1."/>
      <w:lvlJc w:val="left"/>
      <w:pPr>
        <w:tabs>
          <w:tab w:val="left"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DdlYzU5MjdjNWUwMzdhMjAwODc2Zjk0ZjA3ZmYifQ=="/>
  </w:docVars>
  <w:rsids>
    <w:rsidRoot w:val="085C146E"/>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F358A3"/>
    <w:rsid w:val="00F75052"/>
    <w:rsid w:val="00FA6EED"/>
    <w:rsid w:val="011022A4"/>
    <w:rsid w:val="011A24F4"/>
    <w:rsid w:val="013A7B01"/>
    <w:rsid w:val="015772A4"/>
    <w:rsid w:val="015B6D94"/>
    <w:rsid w:val="01626374"/>
    <w:rsid w:val="01747E56"/>
    <w:rsid w:val="018067FB"/>
    <w:rsid w:val="01AB50E7"/>
    <w:rsid w:val="01AC3A93"/>
    <w:rsid w:val="01AD5116"/>
    <w:rsid w:val="01B3097E"/>
    <w:rsid w:val="01B6046E"/>
    <w:rsid w:val="01C83BFC"/>
    <w:rsid w:val="01C901A1"/>
    <w:rsid w:val="01C936B6"/>
    <w:rsid w:val="01CF7782"/>
    <w:rsid w:val="022E44A8"/>
    <w:rsid w:val="025C7268"/>
    <w:rsid w:val="029E3695"/>
    <w:rsid w:val="02B35C23"/>
    <w:rsid w:val="02BE582C"/>
    <w:rsid w:val="02C10E79"/>
    <w:rsid w:val="03084CFA"/>
    <w:rsid w:val="03100052"/>
    <w:rsid w:val="03115D87"/>
    <w:rsid w:val="032D1793"/>
    <w:rsid w:val="03411FB9"/>
    <w:rsid w:val="03836A76"/>
    <w:rsid w:val="03942A31"/>
    <w:rsid w:val="03B36119"/>
    <w:rsid w:val="03B54D5B"/>
    <w:rsid w:val="03C230FA"/>
    <w:rsid w:val="03E8316F"/>
    <w:rsid w:val="03FD2384"/>
    <w:rsid w:val="04966335"/>
    <w:rsid w:val="04B52C5F"/>
    <w:rsid w:val="05151950"/>
    <w:rsid w:val="058645FB"/>
    <w:rsid w:val="05973BE5"/>
    <w:rsid w:val="05BA6CC2"/>
    <w:rsid w:val="05E93B08"/>
    <w:rsid w:val="060077E8"/>
    <w:rsid w:val="06B17456"/>
    <w:rsid w:val="06DF3FC3"/>
    <w:rsid w:val="070C4022"/>
    <w:rsid w:val="07112D9A"/>
    <w:rsid w:val="075575D1"/>
    <w:rsid w:val="078A124A"/>
    <w:rsid w:val="07FD7F28"/>
    <w:rsid w:val="08030185"/>
    <w:rsid w:val="08443C22"/>
    <w:rsid w:val="085C146E"/>
    <w:rsid w:val="086C1887"/>
    <w:rsid w:val="08742A60"/>
    <w:rsid w:val="08A73E8E"/>
    <w:rsid w:val="08C056F2"/>
    <w:rsid w:val="08C6543B"/>
    <w:rsid w:val="08D51B22"/>
    <w:rsid w:val="08D538D0"/>
    <w:rsid w:val="08F5187C"/>
    <w:rsid w:val="09172F66"/>
    <w:rsid w:val="092263E9"/>
    <w:rsid w:val="09374C23"/>
    <w:rsid w:val="096C36E7"/>
    <w:rsid w:val="09770078"/>
    <w:rsid w:val="098D41AA"/>
    <w:rsid w:val="09AF5ECF"/>
    <w:rsid w:val="09C728D0"/>
    <w:rsid w:val="09CF47C3"/>
    <w:rsid w:val="0A0D52EB"/>
    <w:rsid w:val="0A4554C2"/>
    <w:rsid w:val="0A4D6DF4"/>
    <w:rsid w:val="0A816E64"/>
    <w:rsid w:val="0ABF2205"/>
    <w:rsid w:val="0AF55D55"/>
    <w:rsid w:val="0AF67B2D"/>
    <w:rsid w:val="0B18726F"/>
    <w:rsid w:val="0B6E4216"/>
    <w:rsid w:val="0BA21D04"/>
    <w:rsid w:val="0C5E1728"/>
    <w:rsid w:val="0C5E3BDC"/>
    <w:rsid w:val="0C9E0558"/>
    <w:rsid w:val="0CA75583"/>
    <w:rsid w:val="0CAC0DEC"/>
    <w:rsid w:val="0CFC169C"/>
    <w:rsid w:val="0D244E26"/>
    <w:rsid w:val="0D2E1801"/>
    <w:rsid w:val="0D4C1C87"/>
    <w:rsid w:val="0D535AD6"/>
    <w:rsid w:val="0D690A8B"/>
    <w:rsid w:val="0D7F02AE"/>
    <w:rsid w:val="0DBE4FF5"/>
    <w:rsid w:val="0DC857B1"/>
    <w:rsid w:val="0DD56120"/>
    <w:rsid w:val="0DF931A1"/>
    <w:rsid w:val="0E1E68C5"/>
    <w:rsid w:val="0E5F7CF3"/>
    <w:rsid w:val="0EB36461"/>
    <w:rsid w:val="0EC434F4"/>
    <w:rsid w:val="0EE02FCE"/>
    <w:rsid w:val="0F130CAE"/>
    <w:rsid w:val="0F5D63CD"/>
    <w:rsid w:val="0F670473"/>
    <w:rsid w:val="0F847DFE"/>
    <w:rsid w:val="0FBB68AA"/>
    <w:rsid w:val="0FD94711"/>
    <w:rsid w:val="0FF54858"/>
    <w:rsid w:val="100C1BA0"/>
    <w:rsid w:val="101E5B5C"/>
    <w:rsid w:val="102B7AF8"/>
    <w:rsid w:val="10573096"/>
    <w:rsid w:val="10765998"/>
    <w:rsid w:val="108C6F6A"/>
    <w:rsid w:val="108D0033"/>
    <w:rsid w:val="10A342B4"/>
    <w:rsid w:val="10A5002C"/>
    <w:rsid w:val="113F6A24"/>
    <w:rsid w:val="114E31DF"/>
    <w:rsid w:val="116A2864"/>
    <w:rsid w:val="11A71B81"/>
    <w:rsid w:val="11B81FE1"/>
    <w:rsid w:val="11D566EF"/>
    <w:rsid w:val="11E21BB5"/>
    <w:rsid w:val="11FE68E6"/>
    <w:rsid w:val="120A0624"/>
    <w:rsid w:val="12182DC6"/>
    <w:rsid w:val="12516230"/>
    <w:rsid w:val="12555A81"/>
    <w:rsid w:val="125F245C"/>
    <w:rsid w:val="12641821"/>
    <w:rsid w:val="129200A1"/>
    <w:rsid w:val="129B16E6"/>
    <w:rsid w:val="12DD1C00"/>
    <w:rsid w:val="12F26374"/>
    <w:rsid w:val="12F4102F"/>
    <w:rsid w:val="13394A5B"/>
    <w:rsid w:val="13456138"/>
    <w:rsid w:val="13497394"/>
    <w:rsid w:val="134E49AB"/>
    <w:rsid w:val="136C562E"/>
    <w:rsid w:val="13906D71"/>
    <w:rsid w:val="13A02D2C"/>
    <w:rsid w:val="14180B15"/>
    <w:rsid w:val="147C5547"/>
    <w:rsid w:val="14AA51D8"/>
    <w:rsid w:val="14BC5944"/>
    <w:rsid w:val="14F055ED"/>
    <w:rsid w:val="14F43330"/>
    <w:rsid w:val="14FC0436"/>
    <w:rsid w:val="1518061A"/>
    <w:rsid w:val="1546345F"/>
    <w:rsid w:val="15A44D56"/>
    <w:rsid w:val="15AA552C"/>
    <w:rsid w:val="15C40F54"/>
    <w:rsid w:val="15EC04AB"/>
    <w:rsid w:val="161C2B3E"/>
    <w:rsid w:val="163360DA"/>
    <w:rsid w:val="16677B31"/>
    <w:rsid w:val="167C35DD"/>
    <w:rsid w:val="16904303"/>
    <w:rsid w:val="169F376F"/>
    <w:rsid w:val="16A11295"/>
    <w:rsid w:val="16AA639C"/>
    <w:rsid w:val="16C7783C"/>
    <w:rsid w:val="16D8458B"/>
    <w:rsid w:val="17432C1D"/>
    <w:rsid w:val="17852965"/>
    <w:rsid w:val="17B04616"/>
    <w:rsid w:val="17E51656"/>
    <w:rsid w:val="17E97970"/>
    <w:rsid w:val="18153CE9"/>
    <w:rsid w:val="18BC23B6"/>
    <w:rsid w:val="18D019BE"/>
    <w:rsid w:val="18E21560"/>
    <w:rsid w:val="19017115"/>
    <w:rsid w:val="19120228"/>
    <w:rsid w:val="196F53C0"/>
    <w:rsid w:val="197902A7"/>
    <w:rsid w:val="19921369"/>
    <w:rsid w:val="19AF3CC9"/>
    <w:rsid w:val="19C57049"/>
    <w:rsid w:val="19E576EB"/>
    <w:rsid w:val="1A385A6D"/>
    <w:rsid w:val="1AB01AA7"/>
    <w:rsid w:val="1AB55804"/>
    <w:rsid w:val="1B1464DA"/>
    <w:rsid w:val="1B6F3710"/>
    <w:rsid w:val="1BD143CB"/>
    <w:rsid w:val="1BF85E52"/>
    <w:rsid w:val="1C16002F"/>
    <w:rsid w:val="1C8B457A"/>
    <w:rsid w:val="1C9553F8"/>
    <w:rsid w:val="1CAE2016"/>
    <w:rsid w:val="1CBD04AB"/>
    <w:rsid w:val="1CEB14BC"/>
    <w:rsid w:val="1D3D790D"/>
    <w:rsid w:val="1D3F5364"/>
    <w:rsid w:val="1D550F5D"/>
    <w:rsid w:val="1D7D3E6D"/>
    <w:rsid w:val="1DD6282E"/>
    <w:rsid w:val="1DF83E91"/>
    <w:rsid w:val="1E2E0628"/>
    <w:rsid w:val="1E6547A8"/>
    <w:rsid w:val="1E673F2E"/>
    <w:rsid w:val="1E7A1416"/>
    <w:rsid w:val="1E892D3B"/>
    <w:rsid w:val="1EE525E6"/>
    <w:rsid w:val="1EE61F3B"/>
    <w:rsid w:val="1F225E4B"/>
    <w:rsid w:val="1F240CB5"/>
    <w:rsid w:val="1F3B2998"/>
    <w:rsid w:val="1F5614C8"/>
    <w:rsid w:val="1F60157F"/>
    <w:rsid w:val="1F8F25D3"/>
    <w:rsid w:val="1F9B42EE"/>
    <w:rsid w:val="202551C4"/>
    <w:rsid w:val="20344F28"/>
    <w:rsid w:val="20692E24"/>
    <w:rsid w:val="2080016D"/>
    <w:rsid w:val="20B00A53"/>
    <w:rsid w:val="20CF69FF"/>
    <w:rsid w:val="20D4386A"/>
    <w:rsid w:val="20D7097E"/>
    <w:rsid w:val="20ED01C9"/>
    <w:rsid w:val="20F41855"/>
    <w:rsid w:val="211014F1"/>
    <w:rsid w:val="213276BA"/>
    <w:rsid w:val="21350F58"/>
    <w:rsid w:val="2144119B"/>
    <w:rsid w:val="21667363"/>
    <w:rsid w:val="219226BE"/>
    <w:rsid w:val="21A70742"/>
    <w:rsid w:val="21C23259"/>
    <w:rsid w:val="21EE4601"/>
    <w:rsid w:val="227445B1"/>
    <w:rsid w:val="22F61661"/>
    <w:rsid w:val="22F85AEA"/>
    <w:rsid w:val="23005595"/>
    <w:rsid w:val="2302130E"/>
    <w:rsid w:val="23181D34"/>
    <w:rsid w:val="23474F72"/>
    <w:rsid w:val="234A05F4"/>
    <w:rsid w:val="236E69A3"/>
    <w:rsid w:val="237D3DBF"/>
    <w:rsid w:val="23953F30"/>
    <w:rsid w:val="241412F8"/>
    <w:rsid w:val="24253506"/>
    <w:rsid w:val="247955FF"/>
    <w:rsid w:val="248F097F"/>
    <w:rsid w:val="249146F7"/>
    <w:rsid w:val="249B0138"/>
    <w:rsid w:val="24C0322E"/>
    <w:rsid w:val="24F929CB"/>
    <w:rsid w:val="253316A2"/>
    <w:rsid w:val="25445C0D"/>
    <w:rsid w:val="25490022"/>
    <w:rsid w:val="25754019"/>
    <w:rsid w:val="26282E39"/>
    <w:rsid w:val="26451C3D"/>
    <w:rsid w:val="265F25D3"/>
    <w:rsid w:val="26795443"/>
    <w:rsid w:val="26B40B71"/>
    <w:rsid w:val="26DD1E76"/>
    <w:rsid w:val="26F15921"/>
    <w:rsid w:val="270A14E8"/>
    <w:rsid w:val="271E248E"/>
    <w:rsid w:val="2729781E"/>
    <w:rsid w:val="27442029"/>
    <w:rsid w:val="275A1718"/>
    <w:rsid w:val="27B70919"/>
    <w:rsid w:val="27C546A9"/>
    <w:rsid w:val="27C844E7"/>
    <w:rsid w:val="27D17500"/>
    <w:rsid w:val="27D52B4D"/>
    <w:rsid w:val="289A6C6D"/>
    <w:rsid w:val="28C57065"/>
    <w:rsid w:val="28EE1732"/>
    <w:rsid w:val="291219CA"/>
    <w:rsid w:val="291E6775"/>
    <w:rsid w:val="293D14F6"/>
    <w:rsid w:val="29437F8A"/>
    <w:rsid w:val="29883BEF"/>
    <w:rsid w:val="29884FE5"/>
    <w:rsid w:val="29890093"/>
    <w:rsid w:val="299A22A0"/>
    <w:rsid w:val="2A1836DC"/>
    <w:rsid w:val="2A27294F"/>
    <w:rsid w:val="2A6401B8"/>
    <w:rsid w:val="2AA64697"/>
    <w:rsid w:val="2B275DB5"/>
    <w:rsid w:val="2B3636D9"/>
    <w:rsid w:val="2B3758CC"/>
    <w:rsid w:val="2B662B55"/>
    <w:rsid w:val="2B6A3EF4"/>
    <w:rsid w:val="2B7B3A0B"/>
    <w:rsid w:val="2B9262E4"/>
    <w:rsid w:val="2BB37649"/>
    <w:rsid w:val="2BB53D21"/>
    <w:rsid w:val="2BD80E5D"/>
    <w:rsid w:val="2C116B4A"/>
    <w:rsid w:val="2C1A76C8"/>
    <w:rsid w:val="2C3818FC"/>
    <w:rsid w:val="2C5D5807"/>
    <w:rsid w:val="2C885629"/>
    <w:rsid w:val="2CA44345"/>
    <w:rsid w:val="2CAB0320"/>
    <w:rsid w:val="2CD535EF"/>
    <w:rsid w:val="2D041BDC"/>
    <w:rsid w:val="2D382703"/>
    <w:rsid w:val="2D542766"/>
    <w:rsid w:val="2D7050C6"/>
    <w:rsid w:val="2D8A61D5"/>
    <w:rsid w:val="2D917516"/>
    <w:rsid w:val="2DA3549B"/>
    <w:rsid w:val="2DA418D4"/>
    <w:rsid w:val="2DC23B73"/>
    <w:rsid w:val="2DE02382"/>
    <w:rsid w:val="2E6331BE"/>
    <w:rsid w:val="2EBF6305"/>
    <w:rsid w:val="2EFF3E4D"/>
    <w:rsid w:val="2F034443"/>
    <w:rsid w:val="2F204FF5"/>
    <w:rsid w:val="2F2A5E74"/>
    <w:rsid w:val="2F330B36"/>
    <w:rsid w:val="2F566C69"/>
    <w:rsid w:val="2F7E7FF9"/>
    <w:rsid w:val="2F805A94"/>
    <w:rsid w:val="2FBE480E"/>
    <w:rsid w:val="2FDB716E"/>
    <w:rsid w:val="2FEA73B1"/>
    <w:rsid w:val="30004D47"/>
    <w:rsid w:val="3025488D"/>
    <w:rsid w:val="305903BE"/>
    <w:rsid w:val="308A7F6C"/>
    <w:rsid w:val="30D37E45"/>
    <w:rsid w:val="30E402A4"/>
    <w:rsid w:val="3135465C"/>
    <w:rsid w:val="316177A4"/>
    <w:rsid w:val="31AA329C"/>
    <w:rsid w:val="31CF4095"/>
    <w:rsid w:val="31E542D4"/>
    <w:rsid w:val="31F12C79"/>
    <w:rsid w:val="32473AFE"/>
    <w:rsid w:val="32803FFD"/>
    <w:rsid w:val="32C111DB"/>
    <w:rsid w:val="32D75060"/>
    <w:rsid w:val="32FD564D"/>
    <w:rsid w:val="33060740"/>
    <w:rsid w:val="3321758E"/>
    <w:rsid w:val="332E5807"/>
    <w:rsid w:val="3330332D"/>
    <w:rsid w:val="33641229"/>
    <w:rsid w:val="33A34045"/>
    <w:rsid w:val="34545741"/>
    <w:rsid w:val="349618B6"/>
    <w:rsid w:val="34B14942"/>
    <w:rsid w:val="352944D8"/>
    <w:rsid w:val="353E4427"/>
    <w:rsid w:val="35890036"/>
    <w:rsid w:val="35CE2CFC"/>
    <w:rsid w:val="35D501BC"/>
    <w:rsid w:val="35E6686D"/>
    <w:rsid w:val="360D4A52"/>
    <w:rsid w:val="368D0A96"/>
    <w:rsid w:val="36AE1D16"/>
    <w:rsid w:val="36C02C1A"/>
    <w:rsid w:val="36D6068F"/>
    <w:rsid w:val="36EE7787"/>
    <w:rsid w:val="37142128"/>
    <w:rsid w:val="37407B82"/>
    <w:rsid w:val="374756F1"/>
    <w:rsid w:val="376C6090"/>
    <w:rsid w:val="37CA01F4"/>
    <w:rsid w:val="37CB7AC8"/>
    <w:rsid w:val="37FF3AE3"/>
    <w:rsid w:val="381C47C8"/>
    <w:rsid w:val="38635F53"/>
    <w:rsid w:val="3885411B"/>
    <w:rsid w:val="3902576C"/>
    <w:rsid w:val="39137979"/>
    <w:rsid w:val="39426701"/>
    <w:rsid w:val="39893797"/>
    <w:rsid w:val="39D76BF8"/>
    <w:rsid w:val="39E66E3B"/>
    <w:rsid w:val="39E7174C"/>
    <w:rsid w:val="39EB26A4"/>
    <w:rsid w:val="3A035D97"/>
    <w:rsid w:val="3A3F75B3"/>
    <w:rsid w:val="3A916DA7"/>
    <w:rsid w:val="3A944AE9"/>
    <w:rsid w:val="3A9F5D6B"/>
    <w:rsid w:val="3AC34131"/>
    <w:rsid w:val="3AE159CF"/>
    <w:rsid w:val="3AEC66D3"/>
    <w:rsid w:val="3B325D63"/>
    <w:rsid w:val="3B4E2EEA"/>
    <w:rsid w:val="3BF9665A"/>
    <w:rsid w:val="3C025A83"/>
    <w:rsid w:val="3C263D51"/>
    <w:rsid w:val="3C35255E"/>
    <w:rsid w:val="3C616C4D"/>
    <w:rsid w:val="3CBF22F6"/>
    <w:rsid w:val="3CFC0724"/>
    <w:rsid w:val="3D404D73"/>
    <w:rsid w:val="3D583BAC"/>
    <w:rsid w:val="3D5A199D"/>
    <w:rsid w:val="3D5C1253"/>
    <w:rsid w:val="3D7B775B"/>
    <w:rsid w:val="3DA60DBB"/>
    <w:rsid w:val="3DCD1A36"/>
    <w:rsid w:val="3DE736EF"/>
    <w:rsid w:val="3DE9514C"/>
    <w:rsid w:val="3E691DE9"/>
    <w:rsid w:val="3E7C7D6E"/>
    <w:rsid w:val="3EC82A10"/>
    <w:rsid w:val="3ED951C1"/>
    <w:rsid w:val="3EFC7E13"/>
    <w:rsid w:val="3F087854"/>
    <w:rsid w:val="3F093F8C"/>
    <w:rsid w:val="3F1C6E5B"/>
    <w:rsid w:val="3F4553C3"/>
    <w:rsid w:val="3F4926B3"/>
    <w:rsid w:val="3F566811"/>
    <w:rsid w:val="3F60708E"/>
    <w:rsid w:val="3F6233AE"/>
    <w:rsid w:val="3FBE7F13"/>
    <w:rsid w:val="3FEC0F24"/>
    <w:rsid w:val="4004001B"/>
    <w:rsid w:val="40045B14"/>
    <w:rsid w:val="40272E37"/>
    <w:rsid w:val="40490124"/>
    <w:rsid w:val="407C22A8"/>
    <w:rsid w:val="40915748"/>
    <w:rsid w:val="40923879"/>
    <w:rsid w:val="40AD420F"/>
    <w:rsid w:val="40B21825"/>
    <w:rsid w:val="40B71549"/>
    <w:rsid w:val="41100EA9"/>
    <w:rsid w:val="411C3143"/>
    <w:rsid w:val="4126199D"/>
    <w:rsid w:val="41313092"/>
    <w:rsid w:val="416C231C"/>
    <w:rsid w:val="41786440"/>
    <w:rsid w:val="41945FEF"/>
    <w:rsid w:val="41962EF5"/>
    <w:rsid w:val="41D8350E"/>
    <w:rsid w:val="41FB544E"/>
    <w:rsid w:val="41FD11C6"/>
    <w:rsid w:val="421F113C"/>
    <w:rsid w:val="422449A5"/>
    <w:rsid w:val="42621029"/>
    <w:rsid w:val="427D40B5"/>
    <w:rsid w:val="428042FE"/>
    <w:rsid w:val="42831016"/>
    <w:rsid w:val="42925DB2"/>
    <w:rsid w:val="429622E7"/>
    <w:rsid w:val="42B15B0D"/>
    <w:rsid w:val="42DB075B"/>
    <w:rsid w:val="4339622E"/>
    <w:rsid w:val="433C7ACC"/>
    <w:rsid w:val="433E595A"/>
    <w:rsid w:val="43580E9D"/>
    <w:rsid w:val="438C0A54"/>
    <w:rsid w:val="439416B6"/>
    <w:rsid w:val="43B458B4"/>
    <w:rsid w:val="43E76A29"/>
    <w:rsid w:val="43F930D7"/>
    <w:rsid w:val="447B69B3"/>
    <w:rsid w:val="4484719B"/>
    <w:rsid w:val="44873F3D"/>
    <w:rsid w:val="4493196E"/>
    <w:rsid w:val="44B24FCB"/>
    <w:rsid w:val="44C46B14"/>
    <w:rsid w:val="45050ABD"/>
    <w:rsid w:val="4550785F"/>
    <w:rsid w:val="45A55DFD"/>
    <w:rsid w:val="45BB5620"/>
    <w:rsid w:val="45DD5596"/>
    <w:rsid w:val="45F823D0"/>
    <w:rsid w:val="46810624"/>
    <w:rsid w:val="46843C64"/>
    <w:rsid w:val="46875502"/>
    <w:rsid w:val="469A4F5E"/>
    <w:rsid w:val="46A2752F"/>
    <w:rsid w:val="46BF496E"/>
    <w:rsid w:val="470606AF"/>
    <w:rsid w:val="470D3C59"/>
    <w:rsid w:val="47460F19"/>
    <w:rsid w:val="476615BC"/>
    <w:rsid w:val="47B47A51"/>
    <w:rsid w:val="47E56984"/>
    <w:rsid w:val="48586BF4"/>
    <w:rsid w:val="48626132"/>
    <w:rsid w:val="48B00D40"/>
    <w:rsid w:val="49804BB7"/>
    <w:rsid w:val="49E8013D"/>
    <w:rsid w:val="49F96717"/>
    <w:rsid w:val="4A1D0657"/>
    <w:rsid w:val="4A1E05C8"/>
    <w:rsid w:val="4A1E617D"/>
    <w:rsid w:val="4A2F36BA"/>
    <w:rsid w:val="4A315EB1"/>
    <w:rsid w:val="4A8A3813"/>
    <w:rsid w:val="4A954692"/>
    <w:rsid w:val="4AB32D6A"/>
    <w:rsid w:val="4AD56F58"/>
    <w:rsid w:val="4B35377F"/>
    <w:rsid w:val="4B551C66"/>
    <w:rsid w:val="4B5F5812"/>
    <w:rsid w:val="4B5F7057"/>
    <w:rsid w:val="4BBD5522"/>
    <w:rsid w:val="4C043151"/>
    <w:rsid w:val="4C121D12"/>
    <w:rsid w:val="4C2E6805"/>
    <w:rsid w:val="4C4023DB"/>
    <w:rsid w:val="4C416153"/>
    <w:rsid w:val="4C8D2FF3"/>
    <w:rsid w:val="4C9375A0"/>
    <w:rsid w:val="4C974B11"/>
    <w:rsid w:val="4C983FC5"/>
    <w:rsid w:val="4D112F08"/>
    <w:rsid w:val="4D243AAB"/>
    <w:rsid w:val="4D275349"/>
    <w:rsid w:val="4D302F75"/>
    <w:rsid w:val="4D4A3374"/>
    <w:rsid w:val="4D5025EF"/>
    <w:rsid w:val="4D6172F1"/>
    <w:rsid w:val="4E231F36"/>
    <w:rsid w:val="4E7B2BAB"/>
    <w:rsid w:val="4E944C60"/>
    <w:rsid w:val="4EA01857"/>
    <w:rsid w:val="4EBE7F2F"/>
    <w:rsid w:val="4EEA4880"/>
    <w:rsid w:val="4EF15C0F"/>
    <w:rsid w:val="4F070159"/>
    <w:rsid w:val="4F111C6C"/>
    <w:rsid w:val="4F2A5A60"/>
    <w:rsid w:val="4F81111C"/>
    <w:rsid w:val="4FC0194D"/>
    <w:rsid w:val="4FD277EE"/>
    <w:rsid w:val="4FE87012"/>
    <w:rsid w:val="4FF04118"/>
    <w:rsid w:val="500A342C"/>
    <w:rsid w:val="501C315F"/>
    <w:rsid w:val="502F2E92"/>
    <w:rsid w:val="50371D47"/>
    <w:rsid w:val="5066262C"/>
    <w:rsid w:val="50680152"/>
    <w:rsid w:val="509727E6"/>
    <w:rsid w:val="50D37AE4"/>
    <w:rsid w:val="513B13C3"/>
    <w:rsid w:val="51475FBA"/>
    <w:rsid w:val="514B3CFC"/>
    <w:rsid w:val="514F2746"/>
    <w:rsid w:val="516F72BF"/>
    <w:rsid w:val="517D7C2E"/>
    <w:rsid w:val="518A5C68"/>
    <w:rsid w:val="51BC255B"/>
    <w:rsid w:val="51D4516C"/>
    <w:rsid w:val="51D830B6"/>
    <w:rsid w:val="51F7178E"/>
    <w:rsid w:val="5201085F"/>
    <w:rsid w:val="520E7E4A"/>
    <w:rsid w:val="522D3402"/>
    <w:rsid w:val="525E180D"/>
    <w:rsid w:val="526F57C8"/>
    <w:rsid w:val="52903990"/>
    <w:rsid w:val="52B73061"/>
    <w:rsid w:val="52EC506B"/>
    <w:rsid w:val="52F97788"/>
    <w:rsid w:val="53201476"/>
    <w:rsid w:val="5334256E"/>
    <w:rsid w:val="53605111"/>
    <w:rsid w:val="537F5EDF"/>
    <w:rsid w:val="53A409C9"/>
    <w:rsid w:val="53B042EA"/>
    <w:rsid w:val="53B51901"/>
    <w:rsid w:val="53C25DCC"/>
    <w:rsid w:val="53C92399"/>
    <w:rsid w:val="53CE651E"/>
    <w:rsid w:val="53D0531B"/>
    <w:rsid w:val="53EC1074"/>
    <w:rsid w:val="54280325"/>
    <w:rsid w:val="543E18F6"/>
    <w:rsid w:val="549A0AF6"/>
    <w:rsid w:val="54CC6A7F"/>
    <w:rsid w:val="54D538DD"/>
    <w:rsid w:val="54E7647B"/>
    <w:rsid w:val="555B2034"/>
    <w:rsid w:val="558275C0"/>
    <w:rsid w:val="5664316A"/>
    <w:rsid w:val="567B0641"/>
    <w:rsid w:val="56815ACA"/>
    <w:rsid w:val="56A143BE"/>
    <w:rsid w:val="56BA5480"/>
    <w:rsid w:val="56C1680E"/>
    <w:rsid w:val="56EA0FF3"/>
    <w:rsid w:val="573E7E5F"/>
    <w:rsid w:val="575E5E0B"/>
    <w:rsid w:val="57677F3F"/>
    <w:rsid w:val="57686C8A"/>
    <w:rsid w:val="578B08F8"/>
    <w:rsid w:val="57F549C2"/>
    <w:rsid w:val="58313520"/>
    <w:rsid w:val="58366D88"/>
    <w:rsid w:val="588154C4"/>
    <w:rsid w:val="588C0756"/>
    <w:rsid w:val="58C10312"/>
    <w:rsid w:val="58D140EF"/>
    <w:rsid w:val="58D97DFC"/>
    <w:rsid w:val="590F3861"/>
    <w:rsid w:val="591F15CA"/>
    <w:rsid w:val="5955323E"/>
    <w:rsid w:val="599E4BE5"/>
    <w:rsid w:val="59B12B6A"/>
    <w:rsid w:val="59BA0405"/>
    <w:rsid w:val="59D2488F"/>
    <w:rsid w:val="59F71A98"/>
    <w:rsid w:val="59FD7B5D"/>
    <w:rsid w:val="5A186745"/>
    <w:rsid w:val="5A533C21"/>
    <w:rsid w:val="5A9F6E67"/>
    <w:rsid w:val="5AA4622B"/>
    <w:rsid w:val="5AE47650"/>
    <w:rsid w:val="5B062A42"/>
    <w:rsid w:val="5B791466"/>
    <w:rsid w:val="5BAF2483"/>
    <w:rsid w:val="5BFD122A"/>
    <w:rsid w:val="5C1271C4"/>
    <w:rsid w:val="5C2515ED"/>
    <w:rsid w:val="5C4C1393"/>
    <w:rsid w:val="5CC0100E"/>
    <w:rsid w:val="5CD11D7D"/>
    <w:rsid w:val="5CEE378D"/>
    <w:rsid w:val="5D0B433F"/>
    <w:rsid w:val="5D301FF8"/>
    <w:rsid w:val="5DA86032"/>
    <w:rsid w:val="5E225DE5"/>
    <w:rsid w:val="5E4044BD"/>
    <w:rsid w:val="5E435D5B"/>
    <w:rsid w:val="5E7D301B"/>
    <w:rsid w:val="5E8B1BDC"/>
    <w:rsid w:val="5E8E5228"/>
    <w:rsid w:val="5EA031AD"/>
    <w:rsid w:val="5EA92062"/>
    <w:rsid w:val="5EDC2437"/>
    <w:rsid w:val="5EDD7F5D"/>
    <w:rsid w:val="5F047298"/>
    <w:rsid w:val="5F695B06"/>
    <w:rsid w:val="5F8623A3"/>
    <w:rsid w:val="5F8822AA"/>
    <w:rsid w:val="5F8B357A"/>
    <w:rsid w:val="5FC56A5A"/>
    <w:rsid w:val="5FC609F2"/>
    <w:rsid w:val="5FEB2206"/>
    <w:rsid w:val="60031C46"/>
    <w:rsid w:val="60082DB8"/>
    <w:rsid w:val="60255718"/>
    <w:rsid w:val="603A1875"/>
    <w:rsid w:val="60883EF9"/>
    <w:rsid w:val="60A54AAB"/>
    <w:rsid w:val="615F6CE1"/>
    <w:rsid w:val="61642270"/>
    <w:rsid w:val="617F6075"/>
    <w:rsid w:val="61DE64C6"/>
    <w:rsid w:val="61EE5FDE"/>
    <w:rsid w:val="61FC4B9F"/>
    <w:rsid w:val="620A72BB"/>
    <w:rsid w:val="622163B3"/>
    <w:rsid w:val="6227516D"/>
    <w:rsid w:val="622D4D58"/>
    <w:rsid w:val="62455EA3"/>
    <w:rsid w:val="628C1DEA"/>
    <w:rsid w:val="62967E64"/>
    <w:rsid w:val="62B334AF"/>
    <w:rsid w:val="62B9483E"/>
    <w:rsid w:val="63682201"/>
    <w:rsid w:val="636E6689"/>
    <w:rsid w:val="639A466F"/>
    <w:rsid w:val="63A003FE"/>
    <w:rsid w:val="63C90AB0"/>
    <w:rsid w:val="63D556A7"/>
    <w:rsid w:val="63F024E1"/>
    <w:rsid w:val="6417181C"/>
    <w:rsid w:val="6477139D"/>
    <w:rsid w:val="647F308A"/>
    <w:rsid w:val="649C27DD"/>
    <w:rsid w:val="64C80818"/>
    <w:rsid w:val="64F61D79"/>
    <w:rsid w:val="653B778C"/>
    <w:rsid w:val="654A5C21"/>
    <w:rsid w:val="654C1999"/>
    <w:rsid w:val="658E1C06"/>
    <w:rsid w:val="65A17F37"/>
    <w:rsid w:val="65CD2ADA"/>
    <w:rsid w:val="65DA197A"/>
    <w:rsid w:val="65E240AB"/>
    <w:rsid w:val="660404C6"/>
    <w:rsid w:val="663A7A43"/>
    <w:rsid w:val="66A27DC6"/>
    <w:rsid w:val="66BC3023"/>
    <w:rsid w:val="66C11F13"/>
    <w:rsid w:val="66F66060"/>
    <w:rsid w:val="66F978FF"/>
    <w:rsid w:val="670F2C7E"/>
    <w:rsid w:val="672506F4"/>
    <w:rsid w:val="6740552D"/>
    <w:rsid w:val="67820370"/>
    <w:rsid w:val="678E6299"/>
    <w:rsid w:val="67D227DF"/>
    <w:rsid w:val="67DD2D7C"/>
    <w:rsid w:val="681A5D7E"/>
    <w:rsid w:val="682D7860"/>
    <w:rsid w:val="683C7AA3"/>
    <w:rsid w:val="685D25C4"/>
    <w:rsid w:val="686B65DA"/>
    <w:rsid w:val="686F6420"/>
    <w:rsid w:val="68774F7F"/>
    <w:rsid w:val="688E4077"/>
    <w:rsid w:val="691B1DAE"/>
    <w:rsid w:val="6942733B"/>
    <w:rsid w:val="696230A8"/>
    <w:rsid w:val="697E40EB"/>
    <w:rsid w:val="69BD10B7"/>
    <w:rsid w:val="6A5A6906"/>
    <w:rsid w:val="6A5C61DA"/>
    <w:rsid w:val="6AA67604"/>
    <w:rsid w:val="6B166CD1"/>
    <w:rsid w:val="6B4355EC"/>
    <w:rsid w:val="6B5E63EC"/>
    <w:rsid w:val="6B721A2E"/>
    <w:rsid w:val="6B9E0C86"/>
    <w:rsid w:val="6BA20565"/>
    <w:rsid w:val="6BB477DB"/>
    <w:rsid w:val="6BE506F0"/>
    <w:rsid w:val="6C044D7B"/>
    <w:rsid w:val="6C0E79A8"/>
    <w:rsid w:val="6C0F54CE"/>
    <w:rsid w:val="6C327B3B"/>
    <w:rsid w:val="6C382C77"/>
    <w:rsid w:val="6C9A123C"/>
    <w:rsid w:val="6CF272CA"/>
    <w:rsid w:val="6D0668D1"/>
    <w:rsid w:val="6D18471A"/>
    <w:rsid w:val="6D2D6A16"/>
    <w:rsid w:val="6D3D2026"/>
    <w:rsid w:val="6D7818AC"/>
    <w:rsid w:val="6D8150B9"/>
    <w:rsid w:val="6DA73C10"/>
    <w:rsid w:val="6DDD7632"/>
    <w:rsid w:val="6DE259A9"/>
    <w:rsid w:val="6DEC4E60"/>
    <w:rsid w:val="6DF66946"/>
    <w:rsid w:val="6E7855AD"/>
    <w:rsid w:val="6E895A0C"/>
    <w:rsid w:val="6EA168B2"/>
    <w:rsid w:val="6EAB5982"/>
    <w:rsid w:val="6EAC5256"/>
    <w:rsid w:val="6EB0191F"/>
    <w:rsid w:val="6EE25597"/>
    <w:rsid w:val="6F601862"/>
    <w:rsid w:val="6F616041"/>
    <w:rsid w:val="6FB10D76"/>
    <w:rsid w:val="70671D7D"/>
    <w:rsid w:val="70B2124A"/>
    <w:rsid w:val="70D30E52"/>
    <w:rsid w:val="711D243B"/>
    <w:rsid w:val="712B2DAA"/>
    <w:rsid w:val="71C42E35"/>
    <w:rsid w:val="71DE16D4"/>
    <w:rsid w:val="721868FC"/>
    <w:rsid w:val="721F290F"/>
    <w:rsid w:val="72595CB6"/>
    <w:rsid w:val="72691DDC"/>
    <w:rsid w:val="726F7E98"/>
    <w:rsid w:val="729A5190"/>
    <w:rsid w:val="72C963D7"/>
    <w:rsid w:val="72D109E6"/>
    <w:rsid w:val="731E2BC7"/>
    <w:rsid w:val="73A40BF2"/>
    <w:rsid w:val="73E21E46"/>
    <w:rsid w:val="74BE7A92"/>
    <w:rsid w:val="74D6127F"/>
    <w:rsid w:val="75241FEA"/>
    <w:rsid w:val="753541F8"/>
    <w:rsid w:val="75660855"/>
    <w:rsid w:val="75C02056"/>
    <w:rsid w:val="75CE68BE"/>
    <w:rsid w:val="760A5684"/>
    <w:rsid w:val="763444AF"/>
    <w:rsid w:val="76544B51"/>
    <w:rsid w:val="768C08E4"/>
    <w:rsid w:val="76C05D43"/>
    <w:rsid w:val="76D417EE"/>
    <w:rsid w:val="76EE0B02"/>
    <w:rsid w:val="77521889"/>
    <w:rsid w:val="77594071"/>
    <w:rsid w:val="77690189"/>
    <w:rsid w:val="7782124A"/>
    <w:rsid w:val="77933457"/>
    <w:rsid w:val="77B37783"/>
    <w:rsid w:val="77C17FC5"/>
    <w:rsid w:val="77D575CC"/>
    <w:rsid w:val="78694678"/>
    <w:rsid w:val="7880542D"/>
    <w:rsid w:val="78B24E6F"/>
    <w:rsid w:val="78B83176"/>
    <w:rsid w:val="78DB3308"/>
    <w:rsid w:val="79004B1D"/>
    <w:rsid w:val="79065C5A"/>
    <w:rsid w:val="790E6985"/>
    <w:rsid w:val="794E5888"/>
    <w:rsid w:val="795135CA"/>
    <w:rsid w:val="7956298E"/>
    <w:rsid w:val="798B3047"/>
    <w:rsid w:val="79C475AD"/>
    <w:rsid w:val="79C50D9E"/>
    <w:rsid w:val="7A613399"/>
    <w:rsid w:val="7A946DA5"/>
    <w:rsid w:val="7AA53BCD"/>
    <w:rsid w:val="7AC5600F"/>
    <w:rsid w:val="7AEC7106"/>
    <w:rsid w:val="7B153183"/>
    <w:rsid w:val="7B2E5971"/>
    <w:rsid w:val="7B7A0BB6"/>
    <w:rsid w:val="7BBE3D26"/>
    <w:rsid w:val="7BBF0CBF"/>
    <w:rsid w:val="7BC77B74"/>
    <w:rsid w:val="7BED75DA"/>
    <w:rsid w:val="7BFF0E4A"/>
    <w:rsid w:val="7C091F3A"/>
    <w:rsid w:val="7C0B7A60"/>
    <w:rsid w:val="7C1A7CA3"/>
    <w:rsid w:val="7C417926"/>
    <w:rsid w:val="7C4D62CB"/>
    <w:rsid w:val="7C66738C"/>
    <w:rsid w:val="7C743857"/>
    <w:rsid w:val="7C831CEC"/>
    <w:rsid w:val="7CBC0D5A"/>
    <w:rsid w:val="7CBE2D25"/>
    <w:rsid w:val="7CC52305"/>
    <w:rsid w:val="7CE6522A"/>
    <w:rsid w:val="7CFB0231"/>
    <w:rsid w:val="7D613D04"/>
    <w:rsid w:val="7D9B3066"/>
    <w:rsid w:val="7D9D0B8C"/>
    <w:rsid w:val="7DD04693"/>
    <w:rsid w:val="7DE60785"/>
    <w:rsid w:val="7DFA4230"/>
    <w:rsid w:val="7EAA7A04"/>
    <w:rsid w:val="7EC16AFC"/>
    <w:rsid w:val="7F4514DB"/>
    <w:rsid w:val="7F7E49ED"/>
    <w:rsid w:val="7F98243F"/>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99"/>
    <w:pPr>
      <w:keepNext/>
      <w:keepLines/>
      <w:spacing w:before="280" w:after="290" w:line="376" w:lineRule="auto"/>
      <w:outlineLvl w:val="3"/>
    </w:pPr>
    <w:rPr>
      <w:rFonts w:ascii="等线 Light" w:hAnsi="等线 Light" w:eastAsia="等线 Light"/>
      <w:b/>
      <w:kern w:val="0"/>
      <w:sz w:val="2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semiHidden/>
    <w:unhideWhenUsed/>
    <w:qFormat/>
    <w:uiPriority w:val="0"/>
    <w:pPr>
      <w:numPr>
        <w:ilvl w:val="0"/>
        <w:numId w:val="1"/>
      </w:numPr>
    </w:pPr>
  </w:style>
  <w:style w:type="paragraph" w:styleId="6">
    <w:name w:val="Normal Indent"/>
    <w:basedOn w:val="1"/>
    <w:next w:val="1"/>
    <w:qFormat/>
    <w:uiPriority w:val="0"/>
    <w:pPr>
      <w:widowControl w:val="0"/>
      <w:ind w:firstLine="420"/>
      <w:jc w:val="both"/>
    </w:pPr>
    <w:rPr>
      <w:kern w:val="2"/>
      <w:sz w:val="21"/>
    </w:rPr>
  </w:style>
  <w:style w:type="paragraph" w:styleId="7">
    <w:name w:val="annotation text"/>
    <w:basedOn w:val="1"/>
    <w:semiHidden/>
    <w:unhideWhenUsed/>
    <w:qFormat/>
    <w:uiPriority w:val="0"/>
    <w:pPr>
      <w:jc w:val="left"/>
    </w:pPr>
  </w:style>
  <w:style w:type="paragraph" w:styleId="8">
    <w:name w:val="Body Text"/>
    <w:basedOn w:val="1"/>
    <w:next w:val="9"/>
    <w:qFormat/>
    <w:uiPriority w:val="0"/>
    <w:pPr>
      <w:autoSpaceDE w:val="0"/>
      <w:autoSpaceDN w:val="0"/>
      <w:adjustRightInd w:val="0"/>
      <w:spacing w:line="360" w:lineRule="auto"/>
    </w:pPr>
    <w:rPr>
      <w:rFonts w:ascii="宋体"/>
      <w:sz w:val="24"/>
      <w:lang w:val="zh-CN"/>
    </w:rPr>
  </w:style>
  <w:style w:type="paragraph" w:styleId="9">
    <w:name w:val="toc 4"/>
    <w:next w:val="1"/>
    <w:qFormat/>
    <w:uiPriority w:val="0"/>
    <w:pPr>
      <w:wordWrap w:val="0"/>
      <w:ind w:left="850"/>
      <w:jc w:val="both"/>
    </w:pPr>
    <w:rPr>
      <w:rFonts w:ascii="Calibri" w:hAnsi="Calibri" w:eastAsia="宋体" w:cs="Times New Roman"/>
      <w:sz w:val="21"/>
      <w:lang w:val="en-US" w:eastAsia="zh-CN" w:bidi="ar-SA"/>
    </w:rPr>
  </w:style>
  <w:style w:type="paragraph" w:styleId="10">
    <w:name w:val="Body Text Indent"/>
    <w:basedOn w:val="1"/>
    <w:qFormat/>
    <w:uiPriority w:val="99"/>
    <w:pPr>
      <w:adjustRightInd w:val="0"/>
      <w:spacing w:line="360" w:lineRule="auto"/>
      <w:ind w:firstLine="490"/>
      <w:jc w:val="left"/>
    </w:pPr>
    <w:rPr>
      <w:rFonts w:hint="eastAsia" w:ascii="宋体" w:hAnsi="宋体"/>
      <w:sz w:val="24"/>
      <w:szCs w:val="20"/>
    </w:rPr>
  </w:style>
  <w:style w:type="paragraph" w:styleId="11">
    <w:name w:val="Plain Text"/>
    <w:basedOn w:val="1"/>
    <w:qFormat/>
    <w:uiPriority w:val="0"/>
    <w:rPr>
      <w:rFonts w:hint="default" w:ascii="宋体" w:hAnsi="Courier New"/>
    </w:rPr>
  </w:style>
  <w:style w:type="paragraph" w:styleId="12">
    <w:name w:val="Date"/>
    <w:basedOn w:val="1"/>
    <w:next w:val="1"/>
    <w:qFormat/>
    <w:uiPriority w:val="0"/>
    <w:rPr>
      <w:spacing w:val="20"/>
      <w:sz w:val="28"/>
      <w:szCs w:val="20"/>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840"/>
        <w:tab w:val="right" w:leader="dot" w:pos="8296"/>
      </w:tabs>
    </w:pPr>
  </w:style>
  <w:style w:type="paragraph" w:styleId="16">
    <w:name w:val="toc 6"/>
    <w:basedOn w:val="1"/>
    <w:next w:val="1"/>
    <w:qFormat/>
    <w:uiPriority w:val="0"/>
    <w:pPr>
      <w:ind w:left="2100" w:leftChars="1000"/>
    </w:pPr>
    <w:rPr>
      <w:rFonts w:ascii="Calibri" w:hAnsi="Calibri" w:eastAsia="微软雅黑" w:cs="Times New Roman"/>
    </w:rPr>
  </w:style>
  <w:style w:type="paragraph" w:styleId="17">
    <w:name w:val="Body Text Indent 3"/>
    <w:basedOn w:val="1"/>
    <w:qFormat/>
    <w:uiPriority w:val="0"/>
    <w:pPr>
      <w:spacing w:line="380" w:lineRule="exact"/>
      <w:ind w:left="600" w:leftChars="57" w:hanging="480" w:hangingChars="200"/>
    </w:pPr>
    <w:rPr>
      <w:rFonts w:ascii="宋体" w:hAnsi="宋体"/>
      <w:sz w:val="24"/>
    </w:rPr>
  </w:style>
  <w:style w:type="paragraph" w:styleId="18">
    <w:name w:val="toc 2"/>
    <w:basedOn w:val="1"/>
    <w:next w:val="1"/>
    <w:semiHidden/>
    <w:unhideWhenUsed/>
    <w:qFormat/>
    <w:uiPriority w:val="0"/>
    <w:pPr>
      <w:ind w:left="420" w:leftChars="200"/>
    </w:p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Body Text First Indent"/>
    <w:basedOn w:val="8"/>
    <w:qFormat/>
    <w:uiPriority w:val="0"/>
    <w:pPr>
      <w:ind w:firstLine="420"/>
    </w:pPr>
  </w:style>
  <w:style w:type="paragraph" w:styleId="21">
    <w:name w:val="Body Text First Indent 2"/>
    <w:basedOn w:val="10"/>
    <w:qFormat/>
    <w:uiPriority w:val="0"/>
    <w:pPr>
      <w:adjustRightInd/>
      <w:spacing w:after="120" w:line="240" w:lineRule="auto"/>
      <w:ind w:left="420" w:leftChars="200" w:firstLine="210"/>
    </w:pPr>
    <w:rPr>
      <w:sz w:val="21"/>
    </w:rPr>
  </w:style>
  <w:style w:type="table" w:styleId="23">
    <w:name w:val="Table Grid"/>
    <w:basedOn w:val="2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semiHidden/>
    <w:unhideWhenUsed/>
    <w:qFormat/>
    <w:uiPriority w:val="0"/>
    <w:rPr>
      <w:color w:val="0000FF"/>
      <w:u w:val="single"/>
    </w:rPr>
  </w:style>
  <w:style w:type="character" w:styleId="27">
    <w:name w:val="HTML Sample"/>
    <w:basedOn w:val="24"/>
    <w:qFormat/>
    <w:uiPriority w:val="0"/>
    <w:rPr>
      <w:rFonts w:ascii="Courier New" w:hAnsi="Courier New"/>
    </w:rPr>
  </w:style>
  <w:style w:type="paragraph" w:customStyle="1" w:styleId="28">
    <w:name w:val="正文首行缩进 21"/>
    <w:basedOn w:val="29"/>
    <w:qFormat/>
    <w:uiPriority w:val="99"/>
    <w:pPr>
      <w:spacing w:line="200" w:lineRule="atLeast"/>
      <w:ind w:firstLine="420"/>
    </w:pPr>
    <w:rPr>
      <w:rFonts w:ascii="宋体" w:hAnsi="Courier New"/>
      <w:spacing w:val="-4"/>
      <w:sz w:val="18"/>
    </w:rPr>
  </w:style>
  <w:style w:type="paragraph" w:customStyle="1" w:styleId="29">
    <w:name w:val="正文缩进1"/>
    <w:basedOn w:val="1"/>
    <w:next w:val="28"/>
    <w:qFormat/>
    <w:uiPriority w:val="0"/>
    <w:pPr>
      <w:autoSpaceDE w:val="0"/>
      <w:autoSpaceDN w:val="0"/>
      <w:adjustRightInd w:val="0"/>
      <w:snapToGrid w:val="0"/>
      <w:spacing w:after="120" w:afterLines="0" w:line="360" w:lineRule="auto"/>
      <w:ind w:left="420" w:leftChars="200" w:firstLine="480" w:firstLineChars="200"/>
    </w:pPr>
    <w:rPr>
      <w:rFonts w:ascii="Times New Roman" w:hAnsi="Times New Roman"/>
      <w:sz w:val="24"/>
      <w:szCs w:val="21"/>
    </w:rPr>
  </w:style>
  <w:style w:type="paragraph" w:customStyle="1" w:styleId="30">
    <w:name w:val="_Style 2"/>
    <w:basedOn w:val="1"/>
    <w:qFormat/>
    <w:uiPriority w:val="0"/>
    <w:pPr>
      <w:ind w:firstLine="200" w:firstLineChars="200"/>
    </w:pPr>
    <w:rPr>
      <w:rFonts w:ascii="Calibri" w:hAnsi="Calibri"/>
      <w:sz w:val="28"/>
      <w:szCs w:val="22"/>
    </w:rPr>
  </w:style>
  <w:style w:type="paragraph" w:customStyle="1" w:styleId="31">
    <w:name w:val="表格文字"/>
    <w:basedOn w:val="32"/>
    <w:next w:val="8"/>
    <w:qFormat/>
    <w:uiPriority w:val="99"/>
    <w:pPr>
      <w:adjustRightInd w:val="0"/>
      <w:spacing w:line="420" w:lineRule="atLeast"/>
      <w:jc w:val="left"/>
      <w:textAlignment w:val="baseline"/>
    </w:pPr>
    <w:rPr>
      <w:rFonts w:ascii="Times New Roman" w:hAnsi="Times New Roman"/>
      <w:kern w:val="0"/>
    </w:rPr>
  </w:style>
  <w:style w:type="paragraph" w:customStyle="1" w:styleId="32">
    <w:name w:val="正文11"/>
    <w:basedOn w:val="33"/>
    <w:next w:val="31"/>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33">
    <w:name w:val="Normal_0"/>
    <w:basedOn w:val="34"/>
    <w:qFormat/>
    <w:uiPriority w:val="99"/>
    <w:rPr>
      <w:rFonts w:ascii="Times New Roman" w:hAnsi="Times New Roman" w:cs="Calibri"/>
      <w:szCs w:val="21"/>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页眉 字符"/>
    <w:basedOn w:val="24"/>
    <w:link w:val="14"/>
    <w:qFormat/>
    <w:uiPriority w:val="0"/>
    <w:rPr>
      <w:kern w:val="2"/>
      <w:sz w:val="18"/>
      <w:szCs w:val="18"/>
    </w:rPr>
  </w:style>
  <w:style w:type="character" w:customStyle="1" w:styleId="36">
    <w:name w:val="页脚 字符"/>
    <w:basedOn w:val="24"/>
    <w:link w:val="13"/>
    <w:qFormat/>
    <w:uiPriority w:val="0"/>
    <w:rPr>
      <w:kern w:val="2"/>
      <w:sz w:val="18"/>
      <w:szCs w:val="18"/>
    </w:rPr>
  </w:style>
  <w:style w:type="paragraph" w:customStyle="1" w:styleId="37">
    <w:name w:val="Plain Text"/>
    <w:basedOn w:val="1"/>
    <w:unhideWhenUsed/>
    <w:qFormat/>
    <w:uiPriority w:val="99"/>
    <w:rPr>
      <w:rFonts w:ascii="宋体" w:hAnsi="Courier New"/>
    </w:rPr>
  </w:style>
  <w:style w:type="paragraph" w:customStyle="1" w:styleId="38">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9">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40">
    <w:name w:val="列出段落1"/>
    <w:basedOn w:val="1"/>
    <w:qFormat/>
    <w:uiPriority w:val="0"/>
    <w:pPr>
      <w:ind w:firstLine="420" w:firstLineChars="200"/>
    </w:pPr>
    <w:rPr>
      <w:rFonts w:ascii="Calibri" w:hAnsi="Calibri" w:eastAsia="微软雅黑" w:cs="Times New Roman"/>
    </w:rPr>
  </w:style>
  <w:style w:type="paragraph" w:customStyle="1" w:styleId="41">
    <w:name w:val="列出段落2"/>
    <w:basedOn w:val="1"/>
    <w:qFormat/>
    <w:uiPriority w:val="99"/>
    <w:pPr>
      <w:ind w:firstLine="420" w:firstLineChars="200"/>
    </w:pPr>
  </w:style>
  <w:style w:type="paragraph" w:customStyle="1" w:styleId="42">
    <w:name w:val="表正文"/>
    <w:basedOn w:val="1"/>
    <w:next w:val="11"/>
    <w:qFormat/>
    <w:uiPriority w:val="0"/>
    <w:pPr>
      <w:widowControl w:val="0"/>
      <w:jc w:val="both"/>
    </w:pPr>
    <w:rPr>
      <w:rFonts w:ascii="宋体" w:hAnsi="Courier New"/>
      <w:kern w:val="2"/>
      <w:sz w:val="21"/>
      <w:szCs w:val="24"/>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正文2"/>
    <w:basedOn w:val="1"/>
    <w:qFormat/>
    <w:uiPriority w:val="0"/>
    <w:pPr>
      <w:spacing w:before="156" w:line="360" w:lineRule="auto"/>
      <w:ind w:firstLine="510" w:firstLineChars="200"/>
    </w:pPr>
    <w:rPr>
      <w:sz w:val="24"/>
      <w:szCs w:val="20"/>
    </w:rPr>
  </w:style>
  <w:style w:type="paragraph" w:customStyle="1" w:styleId="46">
    <w:name w:val="样式 标题 1 + 四号 加粗"/>
    <w:basedOn w:val="2"/>
    <w:qFormat/>
    <w:uiPriority w:val="0"/>
  </w:style>
  <w:style w:type="paragraph" w:customStyle="1" w:styleId="47">
    <w:name w:val="[Normal]"/>
    <w:qFormat/>
    <w:uiPriority w:val="0"/>
    <w:rPr>
      <w:rFonts w:ascii="宋体" w:hAnsi="宋体" w:eastAsia="宋体" w:cs="Times New Roman"/>
      <w:sz w:val="24"/>
      <w:szCs w:val="22"/>
      <w:lang w:val="zh-CN" w:eastAsia="zh-CN" w:bidi="ar-SA"/>
    </w:rPr>
  </w:style>
  <w:style w:type="character" w:customStyle="1" w:styleId="48">
    <w:name w:val="标题 2 Char"/>
    <w:link w:val="3"/>
    <w:qFormat/>
    <w:uiPriority w:val="0"/>
    <w:rPr>
      <w:rFonts w:ascii="仿宋_GB2312" w:hAnsi="仿宋" w:eastAsia="仿宋_GB2312"/>
      <w:b/>
      <w:bCs/>
      <w:sz w:val="32"/>
      <w:szCs w:val="32"/>
      <w:lang w:val="zh-CN"/>
    </w:rPr>
  </w:style>
  <w:style w:type="character" w:customStyle="1" w:styleId="49">
    <w:name w:val="font01"/>
    <w:basedOn w:val="24"/>
    <w:qFormat/>
    <w:uiPriority w:val="0"/>
    <w:rPr>
      <w:rFonts w:hint="eastAsia" w:ascii="宋体" w:hAnsi="宋体" w:eastAsia="宋体" w:cs="宋体"/>
      <w:color w:val="000000"/>
      <w:sz w:val="24"/>
      <w:szCs w:val="24"/>
      <w:u w:val="none"/>
    </w:rPr>
  </w:style>
  <w:style w:type="character" w:customStyle="1" w:styleId="50">
    <w:name w:val="font11"/>
    <w:basedOn w:val="24"/>
    <w:qFormat/>
    <w:uiPriority w:val="0"/>
    <w:rPr>
      <w:rFonts w:ascii="宋体" w:hAnsi="宋体" w:eastAsia="宋体" w:cs="宋体"/>
      <w:color w:val="000000"/>
      <w:sz w:val="24"/>
      <w:szCs w:val="24"/>
      <w:u w:val="none"/>
    </w:rPr>
  </w:style>
  <w:style w:type="paragraph" w:customStyle="1" w:styleId="51">
    <w:name w:val="正文文本 (2)1"/>
    <w:basedOn w:val="1"/>
    <w:qFormat/>
    <w:uiPriority w:val="99"/>
    <w:pPr>
      <w:shd w:val="clear" w:color="auto" w:fill="FFFFFF"/>
      <w:spacing w:line="480" w:lineRule="exact"/>
      <w:ind w:hanging="520"/>
      <w:jc w:val="distribute"/>
    </w:pPr>
    <w:rPr>
      <w:rFonts w:ascii="MingLiU" w:hAnsi="MingLiU" w:eastAsia="MingLiU"/>
      <w:sz w:val="22"/>
      <w:szCs w:val="22"/>
    </w:rPr>
  </w:style>
  <w:style w:type="table" w:customStyle="1" w:styleId="52">
    <w:name w:val="Table Normal"/>
    <w:unhideWhenUsed/>
    <w:qFormat/>
    <w:uiPriority w:val="2"/>
    <w:pPr>
      <w:widowControl w:val="0"/>
      <w:autoSpaceDE w:val="0"/>
      <w:autoSpaceDN w:val="0"/>
    </w:pPr>
    <w:rPr>
      <w:rFonts w:ascii="Calibri" w:hAnsi="Calibri" w:cs="黑体"/>
      <w:sz w:val="22"/>
      <w:szCs w:val="22"/>
      <w:lang w:eastAsia="en-US"/>
    </w:rPr>
    <w:tblPr>
      <w:tblCellMar>
        <w:top w:w="0" w:type="dxa"/>
        <w:left w:w="0" w:type="dxa"/>
        <w:bottom w:w="0" w:type="dxa"/>
        <w:right w:w="0" w:type="dxa"/>
      </w:tblCellMar>
    </w:tblPr>
  </w:style>
  <w:style w:type="paragraph" w:customStyle="1" w:styleId="53">
    <w:name w:val="标题2"/>
    <w:basedOn w:val="4"/>
    <w:next w:val="1"/>
    <w:link w:val="54"/>
    <w:qFormat/>
    <w:uiPriority w:val="0"/>
    <w:pPr>
      <w:spacing w:before="0" w:beforeLines="50" w:after="0" w:afterLines="50" w:line="360" w:lineRule="auto"/>
      <w:ind w:firstLine="397"/>
      <w:jc w:val="left"/>
    </w:pPr>
    <w:rPr>
      <w:rFonts w:ascii="黑体" w:hAnsi="宋体"/>
    </w:rPr>
  </w:style>
  <w:style w:type="character" w:customStyle="1" w:styleId="54">
    <w:name w:val="标题2 Char"/>
    <w:link w:val="53"/>
    <w:qFormat/>
    <w:uiPriority w:val="0"/>
    <w:rPr>
      <w:rFonts w:ascii="黑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9507</Words>
  <Characters>9886</Characters>
  <Lines>20</Lines>
  <Paragraphs>5</Paragraphs>
  <TotalTime>20</TotalTime>
  <ScaleCrop>false</ScaleCrop>
  <LinksUpToDate>false</LinksUpToDate>
  <CharactersWithSpaces>10662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LYH</cp:lastModifiedBy>
  <dcterms:modified xsi:type="dcterms:W3CDTF">2024-11-12T01:16:03Z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7714E9570D4D407387DC80497DB72ED1_13</vt:lpwstr>
  </property>
</Properties>
</file>