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AF586">
      <w:pPr>
        <w:wordWrap w:val="0"/>
        <w:spacing w:line="360" w:lineRule="auto"/>
        <w:ind w:right="105"/>
        <w:jc w:val="center"/>
        <w:rPr>
          <w:rFonts w:hint="eastAsia" w:ascii="仿宋" w:hAnsi="仿宋" w:eastAsia="仿宋" w:cs="仿宋"/>
          <w:b/>
          <w:bCs/>
          <w:color w:val="auto"/>
          <w:sz w:val="30"/>
          <w:szCs w:val="30"/>
          <w:highlight w:val="none"/>
        </w:rPr>
      </w:pPr>
    </w:p>
    <w:p w14:paraId="6C851808">
      <w:pPr>
        <w:wordWrap w:val="0"/>
        <w:ind w:left="420" w:leftChars="200" w:right="420" w:rightChars="200"/>
        <w:jc w:val="center"/>
        <w:rPr>
          <w:rFonts w:hint="eastAsia" w:ascii="仿宋" w:hAnsi="仿宋" w:eastAsia="仿宋" w:cs="仿宋"/>
          <w:b/>
          <w:color w:val="auto"/>
          <w:sz w:val="36"/>
          <w:szCs w:val="36"/>
          <w:highlight w:val="none"/>
        </w:rPr>
      </w:pPr>
      <w:bookmarkStart w:id="0" w:name="_Toc15350"/>
      <w:r>
        <w:rPr>
          <w:rFonts w:hint="eastAsia" w:ascii="仿宋" w:hAnsi="仿宋" w:eastAsia="仿宋" w:cs="仿宋"/>
          <w:b/>
          <w:color w:val="auto"/>
          <w:sz w:val="36"/>
          <w:szCs w:val="36"/>
          <w:highlight w:val="none"/>
        </w:rPr>
        <w:t>杭州市新能源投资发展有限公司</w:t>
      </w:r>
    </w:p>
    <w:p w14:paraId="1DE4EA89">
      <w:pPr>
        <w:wordWrap w:val="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杭州市电动自行车街面充（换）电设备项目--换电柜样品采购安装</w:t>
      </w:r>
    </w:p>
    <w:p w14:paraId="7F8A1621">
      <w:pPr>
        <w:wordWrap w:val="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项目编号：</w:t>
      </w:r>
      <w:bookmarkEnd w:id="0"/>
      <w:r>
        <w:rPr>
          <w:rFonts w:hint="eastAsia" w:ascii="仿宋" w:hAnsi="仿宋" w:eastAsia="仿宋" w:cs="仿宋"/>
          <w:b/>
          <w:color w:val="auto"/>
          <w:sz w:val="36"/>
          <w:szCs w:val="36"/>
          <w:highlight w:val="none"/>
          <w:lang w:val="en-US" w:eastAsia="zh-CN"/>
        </w:rPr>
        <w:t xml:space="preserve"> XNYTFXJ2024-19</w:t>
      </w:r>
    </w:p>
    <w:p w14:paraId="35573778">
      <w:pPr>
        <w:wordWrap w:val="0"/>
        <w:jc w:val="center"/>
        <w:rPr>
          <w:rFonts w:hint="eastAsia" w:ascii="仿宋" w:hAnsi="仿宋" w:eastAsia="仿宋" w:cs="仿宋"/>
          <w:b/>
          <w:color w:val="auto"/>
          <w:sz w:val="36"/>
          <w:szCs w:val="36"/>
          <w:highlight w:val="none"/>
          <w:lang w:val="en-US" w:eastAsia="zh-CN"/>
        </w:rPr>
      </w:pPr>
    </w:p>
    <w:p w14:paraId="47E3220E">
      <w:pPr>
        <w:wordWrap w:val="0"/>
        <w:jc w:val="center"/>
        <w:rPr>
          <w:rFonts w:hint="eastAsia" w:ascii="仿宋" w:hAnsi="仿宋" w:eastAsia="仿宋" w:cs="仿宋"/>
          <w:b/>
          <w:color w:val="auto"/>
          <w:sz w:val="52"/>
          <w:szCs w:val="52"/>
          <w:highlight w:val="none"/>
        </w:rPr>
      </w:pPr>
      <w:bookmarkStart w:id="1" w:name="_Toc1039"/>
      <w:bookmarkStart w:id="2" w:name="_Toc7601"/>
      <w:r>
        <w:rPr>
          <w:rFonts w:hint="eastAsia" w:ascii="仿宋" w:hAnsi="仿宋" w:eastAsia="仿宋" w:cs="仿宋"/>
          <w:b/>
          <w:color w:val="auto"/>
          <w:sz w:val="52"/>
          <w:szCs w:val="52"/>
          <w:highlight w:val="none"/>
        </w:rPr>
        <w:t>询</w:t>
      </w:r>
      <w:bookmarkEnd w:id="1"/>
      <w:bookmarkEnd w:id="2"/>
    </w:p>
    <w:p w14:paraId="321314A8">
      <w:pPr>
        <w:wordWrap w:val="0"/>
        <w:jc w:val="center"/>
        <w:rPr>
          <w:rFonts w:hint="eastAsia" w:ascii="仿宋" w:hAnsi="仿宋" w:eastAsia="仿宋" w:cs="仿宋"/>
          <w:b/>
          <w:color w:val="auto"/>
          <w:sz w:val="52"/>
          <w:szCs w:val="52"/>
          <w:highlight w:val="none"/>
        </w:rPr>
      </w:pPr>
      <w:bookmarkStart w:id="3" w:name="_Toc31318"/>
      <w:bookmarkStart w:id="4" w:name="_Toc8948"/>
      <w:r>
        <w:rPr>
          <w:rFonts w:hint="eastAsia" w:ascii="仿宋" w:hAnsi="仿宋" w:eastAsia="仿宋" w:cs="仿宋"/>
          <w:b/>
          <w:color w:val="auto"/>
          <w:sz w:val="52"/>
          <w:szCs w:val="52"/>
          <w:highlight w:val="none"/>
        </w:rPr>
        <w:t>价</w:t>
      </w:r>
      <w:bookmarkEnd w:id="3"/>
      <w:bookmarkEnd w:id="4"/>
    </w:p>
    <w:p w14:paraId="567A631A">
      <w:pPr>
        <w:wordWrap w:val="0"/>
        <w:jc w:val="center"/>
        <w:rPr>
          <w:rFonts w:hint="eastAsia" w:ascii="仿宋" w:hAnsi="仿宋" w:eastAsia="仿宋" w:cs="仿宋"/>
          <w:b/>
          <w:color w:val="auto"/>
          <w:sz w:val="52"/>
          <w:szCs w:val="52"/>
          <w:highlight w:val="none"/>
        </w:rPr>
      </w:pPr>
      <w:bookmarkStart w:id="5" w:name="_Toc31929"/>
      <w:bookmarkStart w:id="6" w:name="_Toc11046"/>
      <w:r>
        <w:rPr>
          <w:rFonts w:hint="eastAsia" w:ascii="仿宋" w:hAnsi="仿宋" w:eastAsia="仿宋" w:cs="仿宋"/>
          <w:b/>
          <w:color w:val="auto"/>
          <w:sz w:val="52"/>
          <w:szCs w:val="52"/>
          <w:highlight w:val="none"/>
        </w:rPr>
        <w:t>文</w:t>
      </w:r>
      <w:bookmarkEnd w:id="5"/>
      <w:bookmarkEnd w:id="6"/>
    </w:p>
    <w:p w14:paraId="65135C4F">
      <w:pPr>
        <w:wordWrap w:val="0"/>
        <w:jc w:val="center"/>
        <w:rPr>
          <w:rFonts w:hint="eastAsia" w:ascii="仿宋" w:hAnsi="仿宋" w:eastAsia="仿宋" w:cs="仿宋"/>
          <w:b/>
          <w:color w:val="auto"/>
          <w:sz w:val="52"/>
          <w:szCs w:val="52"/>
          <w:highlight w:val="none"/>
        </w:rPr>
      </w:pPr>
      <w:bookmarkStart w:id="7" w:name="_Toc17568"/>
      <w:bookmarkStart w:id="8" w:name="_Toc15118"/>
      <w:r>
        <w:rPr>
          <w:rFonts w:hint="eastAsia" w:ascii="仿宋" w:hAnsi="仿宋" w:eastAsia="仿宋" w:cs="仿宋"/>
          <w:b/>
          <w:color w:val="auto"/>
          <w:sz w:val="52"/>
          <w:szCs w:val="52"/>
          <w:highlight w:val="none"/>
        </w:rPr>
        <w:t>件</w:t>
      </w:r>
      <w:bookmarkEnd w:id="7"/>
      <w:bookmarkEnd w:id="8"/>
    </w:p>
    <w:p w14:paraId="0C94B2EB">
      <w:pPr>
        <w:wordWrap w:val="0"/>
        <w:spacing w:line="360" w:lineRule="auto"/>
        <w:jc w:val="center"/>
        <w:rPr>
          <w:rFonts w:hint="eastAsia" w:ascii="仿宋" w:hAnsi="仿宋" w:eastAsia="仿宋" w:cs="仿宋"/>
          <w:b/>
          <w:bCs/>
          <w:color w:val="auto"/>
          <w:sz w:val="48"/>
          <w:szCs w:val="48"/>
          <w:highlight w:val="none"/>
          <w:u w:val="single"/>
        </w:rPr>
      </w:pPr>
    </w:p>
    <w:p w14:paraId="3C82474C">
      <w:pPr>
        <w:pStyle w:val="14"/>
        <w:wordWrap w:val="0"/>
        <w:rPr>
          <w:rFonts w:hint="eastAsia" w:ascii="仿宋" w:hAnsi="仿宋" w:eastAsia="仿宋" w:cs="仿宋"/>
          <w:b/>
          <w:bCs/>
          <w:color w:val="auto"/>
          <w:sz w:val="48"/>
          <w:szCs w:val="48"/>
          <w:highlight w:val="none"/>
          <w:u w:val="single"/>
        </w:rPr>
      </w:pPr>
    </w:p>
    <w:p w14:paraId="21BC2B2E">
      <w:pPr>
        <w:pStyle w:val="14"/>
        <w:wordWrap w:val="0"/>
        <w:rPr>
          <w:rFonts w:hint="eastAsia" w:ascii="仿宋" w:hAnsi="仿宋" w:eastAsia="仿宋" w:cs="仿宋"/>
          <w:b/>
          <w:bCs/>
          <w:color w:val="auto"/>
          <w:sz w:val="48"/>
          <w:szCs w:val="48"/>
          <w:highlight w:val="none"/>
          <w:u w:val="single"/>
        </w:rPr>
      </w:pPr>
    </w:p>
    <w:p w14:paraId="71280586">
      <w:pPr>
        <w:pStyle w:val="14"/>
        <w:wordWrap w:val="0"/>
        <w:rPr>
          <w:rFonts w:hint="eastAsia" w:ascii="仿宋" w:hAnsi="仿宋" w:eastAsia="仿宋" w:cs="仿宋"/>
          <w:b/>
          <w:bCs/>
          <w:color w:val="auto"/>
          <w:sz w:val="48"/>
          <w:szCs w:val="48"/>
          <w:highlight w:val="none"/>
          <w:u w:val="single"/>
        </w:rPr>
      </w:pPr>
    </w:p>
    <w:p w14:paraId="4E79C9A9">
      <w:pPr>
        <w:pStyle w:val="20"/>
        <w:rPr>
          <w:rFonts w:hint="eastAsia" w:ascii="仿宋" w:hAnsi="仿宋" w:eastAsia="仿宋" w:cs="仿宋"/>
          <w:b/>
          <w:bCs/>
          <w:color w:val="auto"/>
          <w:sz w:val="48"/>
          <w:szCs w:val="48"/>
          <w:highlight w:val="none"/>
          <w:u w:val="single"/>
        </w:rPr>
      </w:pPr>
    </w:p>
    <w:p w14:paraId="144CEE50">
      <w:pPr>
        <w:rPr>
          <w:rFonts w:hint="eastAsia" w:ascii="仿宋" w:hAnsi="仿宋" w:eastAsia="仿宋" w:cs="仿宋"/>
          <w:color w:val="auto"/>
          <w:highlight w:val="none"/>
        </w:rPr>
      </w:pPr>
    </w:p>
    <w:p w14:paraId="2F8E45DE">
      <w:pPr>
        <w:wordWrap w:val="0"/>
        <w:jc w:val="center"/>
        <w:rPr>
          <w:rFonts w:hint="eastAsia" w:ascii="仿宋" w:hAnsi="仿宋" w:eastAsia="仿宋" w:cs="仿宋"/>
          <w:b/>
          <w:bCs/>
          <w:color w:val="auto"/>
          <w:sz w:val="36"/>
          <w:szCs w:val="36"/>
          <w:highlight w:val="none"/>
        </w:rPr>
      </w:pPr>
      <w:bookmarkStart w:id="9" w:name="_Toc17477"/>
      <w:bookmarkStart w:id="10" w:name="_Toc32756"/>
      <w:r>
        <w:rPr>
          <w:rFonts w:hint="eastAsia" w:ascii="仿宋" w:hAnsi="仿宋" w:eastAsia="仿宋" w:cs="仿宋"/>
          <w:b/>
          <w:bCs/>
          <w:color w:val="auto"/>
          <w:sz w:val="36"/>
          <w:szCs w:val="36"/>
          <w:highlight w:val="none"/>
        </w:rPr>
        <w:t>询价人：</w:t>
      </w:r>
      <w:bookmarkEnd w:id="9"/>
      <w:r>
        <w:rPr>
          <w:rFonts w:hint="eastAsia" w:ascii="仿宋" w:hAnsi="仿宋" w:eastAsia="仿宋" w:cs="仿宋"/>
          <w:b/>
          <w:bCs/>
          <w:color w:val="auto"/>
          <w:sz w:val="36"/>
          <w:szCs w:val="36"/>
          <w:highlight w:val="none"/>
        </w:rPr>
        <w:t>杭州市新能源投资发展有限公司</w:t>
      </w:r>
      <w:bookmarkEnd w:id="10"/>
    </w:p>
    <w:p w14:paraId="7E30DC09">
      <w:pPr>
        <w:wordWrap w:val="0"/>
        <w:jc w:val="center"/>
        <w:rPr>
          <w:rFonts w:hint="eastAsia" w:ascii="仿宋" w:hAnsi="仿宋" w:eastAsia="仿宋" w:cs="仿宋"/>
          <w:color w:val="auto"/>
          <w:highlight w:val="none"/>
        </w:rPr>
        <w:sectPr>
          <w:pgSz w:w="11906" w:h="16838"/>
          <w:pgMar w:top="1440" w:right="1474" w:bottom="1440" w:left="1800" w:header="851" w:footer="992" w:gutter="0"/>
          <w:cols w:space="425" w:num="1"/>
          <w:docGrid w:type="lines" w:linePitch="312" w:charSpace="0"/>
        </w:sectPr>
      </w:pPr>
      <w:r>
        <w:rPr>
          <w:rFonts w:hint="eastAsia" w:ascii="仿宋" w:hAnsi="仿宋" w:eastAsia="仿宋" w:cs="仿宋"/>
          <w:b/>
          <w:bCs/>
          <w:color w:val="auto"/>
          <w:sz w:val="36"/>
          <w:szCs w:val="36"/>
          <w:highlight w:val="none"/>
        </w:rPr>
        <w:t>2024年</w:t>
      </w: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rPr>
        <w:t xml:space="preserve"> 月</w:t>
      </w:r>
    </w:p>
    <w:sdt>
      <w:sdtPr>
        <w:rPr>
          <w:rFonts w:hint="eastAsia" w:ascii="仿宋" w:hAnsi="仿宋" w:eastAsia="仿宋" w:cs="仿宋"/>
          <w:color w:val="auto"/>
          <w:highlight w:val="none"/>
        </w:rPr>
        <w:id w:val="147481098"/>
        <w15:color w:val="DBDBDB"/>
      </w:sdtPr>
      <w:sdtEndPr>
        <w:rPr>
          <w:rFonts w:hint="eastAsia" w:ascii="仿宋" w:hAnsi="仿宋" w:eastAsia="仿宋" w:cs="仿宋"/>
          <w:color w:val="auto"/>
          <w:highlight w:val="none"/>
        </w:rPr>
      </w:sdtEndPr>
      <w:sdtContent>
        <w:p w14:paraId="7695046F">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210616ED">
          <w:pPr>
            <w:pStyle w:val="18"/>
            <w:tabs>
              <w:tab w:val="right" w:leader="dot" w:pos="8913"/>
              <w:tab w:val="clear" w:pos="840"/>
              <w:tab w:val="clear" w:pos="8296"/>
            </w:tabs>
            <w:rPr>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HYPERLINK \l "_Toc25891"</w:instrText>
          </w:r>
          <w:r>
            <w:rPr>
              <w:color w:val="auto"/>
              <w:highlight w:val="none"/>
            </w:rPr>
            <w:fldChar w:fldCharType="separate"/>
          </w:r>
          <w:r>
            <w:rPr>
              <w:rFonts w:hint="eastAsia" w:ascii="仿宋" w:hAnsi="仿宋" w:eastAsia="仿宋" w:cs="仿宋"/>
              <w:color w:val="auto"/>
              <w:sz w:val="28"/>
              <w:szCs w:val="28"/>
              <w:highlight w:val="none"/>
            </w:rPr>
            <w:t>第一部分  询价公告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_Toc25891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51C76E9">
          <w:pPr>
            <w:pStyle w:val="18"/>
            <w:tabs>
              <w:tab w:val="right" w:leader="dot" w:pos="8913"/>
              <w:tab w:val="clear" w:pos="840"/>
              <w:tab w:val="clear" w:pos="8296"/>
            </w:tabs>
            <w:rPr>
              <w:color w:val="auto"/>
              <w:sz w:val="28"/>
              <w:szCs w:val="28"/>
              <w:highlight w:val="none"/>
            </w:rPr>
          </w:pPr>
          <w:r>
            <w:rPr>
              <w:color w:val="auto"/>
              <w:highlight w:val="none"/>
            </w:rPr>
            <w:fldChar w:fldCharType="begin"/>
          </w:r>
          <w:r>
            <w:rPr>
              <w:color w:val="auto"/>
              <w:highlight w:val="none"/>
            </w:rPr>
            <w:instrText xml:space="preserve">HYPERLINK \l "_Toc29581"</w:instrText>
          </w:r>
          <w:r>
            <w:rPr>
              <w:color w:val="auto"/>
              <w:highlight w:val="none"/>
            </w:rPr>
            <w:fldChar w:fldCharType="separate"/>
          </w:r>
          <w:r>
            <w:rPr>
              <w:rFonts w:hint="eastAsia" w:ascii="仿宋" w:hAnsi="仿宋" w:eastAsia="仿宋" w:cs="仿宋"/>
              <w:color w:val="auto"/>
              <w:sz w:val="28"/>
              <w:szCs w:val="28"/>
              <w:highlight w:val="none"/>
            </w:rPr>
            <w:t>第二部分  询价须知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_Toc29581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1BED76E4">
          <w:pPr>
            <w:pStyle w:val="18"/>
            <w:tabs>
              <w:tab w:val="right" w:leader="dot" w:pos="8913"/>
              <w:tab w:val="clear" w:pos="840"/>
              <w:tab w:val="clear" w:pos="8296"/>
            </w:tabs>
            <w:rPr>
              <w:color w:val="auto"/>
              <w:sz w:val="28"/>
              <w:szCs w:val="28"/>
              <w:highlight w:val="none"/>
            </w:rPr>
          </w:pPr>
          <w:r>
            <w:rPr>
              <w:color w:val="auto"/>
              <w:highlight w:val="none"/>
            </w:rPr>
            <w:fldChar w:fldCharType="begin"/>
          </w:r>
          <w:r>
            <w:rPr>
              <w:color w:val="auto"/>
              <w:highlight w:val="none"/>
            </w:rPr>
            <w:instrText xml:space="preserve">HYPERLINK \l "_Toc18430"</w:instrText>
          </w:r>
          <w:r>
            <w:rPr>
              <w:color w:val="auto"/>
              <w:highlight w:val="none"/>
            </w:rPr>
            <w:fldChar w:fldCharType="separate"/>
          </w:r>
          <w:r>
            <w:rPr>
              <w:rFonts w:hint="eastAsia" w:ascii="仿宋" w:hAnsi="仿宋" w:eastAsia="仿宋" w:cs="仿宋"/>
              <w:bCs/>
              <w:color w:val="auto"/>
              <w:sz w:val="28"/>
              <w:szCs w:val="28"/>
              <w:highlight w:val="none"/>
            </w:rPr>
            <w:t>第三部分  采购需求及要求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_Toc18430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14:paraId="61D3B0E6">
          <w:pPr>
            <w:pStyle w:val="18"/>
            <w:tabs>
              <w:tab w:val="right" w:leader="dot" w:pos="8913"/>
              <w:tab w:val="clear" w:pos="840"/>
              <w:tab w:val="clear" w:pos="8296"/>
            </w:tabs>
            <w:rPr>
              <w:color w:val="auto"/>
              <w:sz w:val="28"/>
              <w:szCs w:val="28"/>
              <w:highlight w:val="none"/>
            </w:rPr>
          </w:pPr>
          <w:r>
            <w:rPr>
              <w:color w:val="auto"/>
              <w:highlight w:val="none"/>
            </w:rPr>
            <w:fldChar w:fldCharType="begin"/>
          </w:r>
          <w:r>
            <w:rPr>
              <w:color w:val="auto"/>
              <w:highlight w:val="none"/>
            </w:rPr>
            <w:instrText xml:space="preserve">HYPERLINK \l "_Toc22296"</w:instrText>
          </w:r>
          <w:r>
            <w:rPr>
              <w:color w:val="auto"/>
              <w:highlight w:val="none"/>
            </w:rPr>
            <w:fldChar w:fldCharType="separate"/>
          </w:r>
          <w:r>
            <w:rPr>
              <w:rFonts w:hint="eastAsia" w:ascii="仿宋" w:hAnsi="仿宋" w:eastAsia="仿宋" w:cs="仿宋"/>
              <w:bCs/>
              <w:color w:val="auto"/>
              <w:sz w:val="28"/>
              <w:szCs w:val="28"/>
              <w:highlight w:val="none"/>
            </w:rPr>
            <w:t>第四部分  应价文件格式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_Toc22296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0098DEDB">
          <w:pPr>
            <w:pStyle w:val="18"/>
            <w:tabs>
              <w:tab w:val="right" w:leader="dot" w:pos="8913"/>
              <w:tab w:val="clear" w:pos="840"/>
              <w:tab w:val="clear" w:pos="8296"/>
            </w:tabs>
            <w:rPr>
              <w:color w:val="auto"/>
              <w:sz w:val="28"/>
              <w:szCs w:val="28"/>
              <w:highlight w:val="none"/>
            </w:rPr>
          </w:pPr>
          <w:r>
            <w:rPr>
              <w:color w:val="auto"/>
              <w:highlight w:val="none"/>
            </w:rPr>
            <w:fldChar w:fldCharType="begin"/>
          </w:r>
          <w:r>
            <w:rPr>
              <w:color w:val="auto"/>
              <w:highlight w:val="none"/>
            </w:rPr>
            <w:instrText xml:space="preserve">HYPERLINK \l "_Toc11912"</w:instrText>
          </w:r>
          <w:r>
            <w:rPr>
              <w:color w:val="auto"/>
              <w:highlight w:val="none"/>
            </w:rPr>
            <w:fldChar w:fldCharType="separate"/>
          </w:r>
          <w:r>
            <w:rPr>
              <w:rFonts w:hint="eastAsia" w:ascii="仿宋" w:hAnsi="仿宋" w:eastAsia="仿宋" w:cs="仿宋"/>
              <w:bCs/>
              <w:color w:val="auto"/>
              <w:sz w:val="28"/>
              <w:szCs w:val="28"/>
              <w:highlight w:val="none"/>
            </w:rPr>
            <w:t>第五部分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_Toc11912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14:paraId="58F01786">
          <w:pPr>
            <w:pStyle w:val="18"/>
            <w:tabs>
              <w:tab w:val="right" w:leader="dot" w:pos="8913"/>
              <w:tab w:val="clear" w:pos="840"/>
              <w:tab w:val="clear" w:pos="8296"/>
            </w:tabs>
            <w:rPr>
              <w:color w:val="auto"/>
              <w:sz w:val="28"/>
              <w:szCs w:val="28"/>
              <w:highlight w:val="none"/>
            </w:rPr>
          </w:pPr>
          <w:r>
            <w:rPr>
              <w:color w:val="auto"/>
              <w:highlight w:val="none"/>
            </w:rPr>
            <w:fldChar w:fldCharType="begin"/>
          </w:r>
          <w:r>
            <w:rPr>
              <w:color w:val="auto"/>
              <w:highlight w:val="none"/>
            </w:rPr>
            <w:instrText xml:space="preserve">HYPERLINK \l "_Toc2792"</w:instrText>
          </w:r>
          <w:r>
            <w:rPr>
              <w:color w:val="auto"/>
              <w:highlight w:val="none"/>
            </w:rPr>
            <w:fldChar w:fldCharType="separate"/>
          </w:r>
          <w:r>
            <w:rPr>
              <w:rFonts w:hint="eastAsia" w:ascii="仿宋" w:hAnsi="仿宋" w:eastAsia="仿宋" w:cs="仿宋"/>
              <w:color w:val="auto"/>
              <w:sz w:val="28"/>
              <w:szCs w:val="28"/>
              <w:highlight w:val="none"/>
            </w:rPr>
            <w:t>第六部分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_Toc2792 \h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color w:val="auto"/>
              <w:sz w:val="28"/>
              <w:szCs w:val="28"/>
              <w:highlight w:val="none"/>
            </w:rPr>
            <w:fldChar w:fldCharType="end"/>
          </w:r>
        </w:p>
        <w:p w14:paraId="2677BA3E">
          <w:pPr>
            <w:spacing w:line="360" w:lineRule="auto"/>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end"/>
          </w:r>
        </w:p>
      </w:sdtContent>
    </w:sdt>
    <w:p w14:paraId="044537DA">
      <w:pPr>
        <w:wordWrap w:val="0"/>
        <w:jc w:val="left"/>
        <w:rPr>
          <w:rStyle w:val="33"/>
          <w:rFonts w:hint="eastAsia" w:ascii="仿宋" w:hAnsi="仿宋" w:eastAsia="仿宋" w:cs="仿宋"/>
          <w:b/>
          <w:color w:val="auto"/>
          <w:sz w:val="36"/>
          <w:szCs w:val="36"/>
          <w:highlight w:val="none"/>
        </w:rPr>
      </w:pPr>
      <w:r>
        <w:rPr>
          <w:rStyle w:val="33"/>
          <w:rFonts w:hint="eastAsia" w:ascii="仿宋" w:hAnsi="仿宋" w:eastAsia="仿宋" w:cs="仿宋"/>
          <w:b/>
          <w:color w:val="auto"/>
          <w:sz w:val="36"/>
          <w:szCs w:val="36"/>
          <w:highlight w:val="none"/>
        </w:rPr>
        <w:br w:type="page"/>
      </w:r>
    </w:p>
    <w:p w14:paraId="0F86F937">
      <w:pPr>
        <w:numPr>
          <w:ilvl w:val="255"/>
          <w:numId w:val="0"/>
        </w:numPr>
        <w:wordWrap w:val="0"/>
        <w:jc w:val="center"/>
        <w:outlineLvl w:val="0"/>
        <w:rPr>
          <w:rStyle w:val="33"/>
          <w:rFonts w:hint="eastAsia" w:ascii="仿宋" w:hAnsi="仿宋" w:eastAsia="仿宋" w:cs="仿宋"/>
          <w:b/>
          <w:color w:val="auto"/>
          <w:sz w:val="36"/>
          <w:szCs w:val="36"/>
          <w:highlight w:val="none"/>
        </w:rPr>
      </w:pPr>
      <w:bookmarkStart w:id="11" w:name="_Toc18742"/>
      <w:bookmarkStart w:id="12" w:name="_Toc4406"/>
      <w:bookmarkStart w:id="13" w:name="_Toc24980"/>
      <w:bookmarkStart w:id="14" w:name="_Toc25891"/>
      <w:bookmarkStart w:id="15" w:name="_Toc24043"/>
      <w:bookmarkStart w:id="16" w:name="_Toc26340"/>
      <w:bookmarkStart w:id="17" w:name="_Toc7871"/>
      <w:r>
        <w:rPr>
          <w:rStyle w:val="33"/>
          <w:rFonts w:hint="eastAsia" w:ascii="仿宋" w:hAnsi="仿宋" w:eastAsia="仿宋" w:cs="仿宋"/>
          <w:b/>
          <w:color w:val="auto"/>
          <w:sz w:val="36"/>
          <w:szCs w:val="36"/>
          <w:highlight w:val="none"/>
        </w:rPr>
        <w:t>第一部分  询价公告</w:t>
      </w:r>
      <w:bookmarkEnd w:id="11"/>
      <w:bookmarkEnd w:id="12"/>
      <w:bookmarkEnd w:id="13"/>
      <w:bookmarkEnd w:id="14"/>
      <w:bookmarkEnd w:id="15"/>
      <w:bookmarkEnd w:id="16"/>
      <w:bookmarkEnd w:id="17"/>
    </w:p>
    <w:p w14:paraId="1241CB69">
      <w:pPr>
        <w:pStyle w:val="22"/>
        <w:widowControl/>
        <w:wordWrap w:val="0"/>
        <w:snapToGrid w:val="0"/>
        <w:spacing w:beforeAutospacing="0" w:afterAutospacing="0" w:line="360" w:lineRule="auto"/>
        <w:rPr>
          <w:rFonts w:hint="eastAsia" w:ascii="仿宋" w:hAnsi="仿宋" w:eastAsia="仿宋" w:cs="仿宋"/>
          <w:color w:val="auto"/>
          <w:highlight w:val="none"/>
        </w:rPr>
      </w:pPr>
      <w:bookmarkStart w:id="18" w:name="_Toc11086"/>
      <w:r>
        <w:rPr>
          <w:rStyle w:val="30"/>
          <w:rFonts w:hint="eastAsia" w:ascii="仿宋" w:hAnsi="仿宋" w:eastAsia="仿宋" w:cs="仿宋"/>
          <w:color w:val="auto"/>
          <w:highlight w:val="none"/>
        </w:rPr>
        <w:t>一、询价人：</w:t>
      </w:r>
      <w:bookmarkEnd w:id="18"/>
      <w:r>
        <w:rPr>
          <w:rStyle w:val="33"/>
          <w:rFonts w:hint="eastAsia" w:ascii="仿宋" w:hAnsi="仿宋" w:eastAsia="仿宋" w:cs="仿宋"/>
          <w:color w:val="auto"/>
          <w:highlight w:val="none"/>
        </w:rPr>
        <w:t>杭州市新能源投资发展有限公司</w:t>
      </w:r>
    </w:p>
    <w:p w14:paraId="08C36F03">
      <w:pPr>
        <w:pStyle w:val="22"/>
        <w:widowControl/>
        <w:wordWrap w:val="0"/>
        <w:snapToGrid w:val="0"/>
        <w:spacing w:beforeAutospacing="0" w:afterAutospacing="0" w:line="360" w:lineRule="auto"/>
        <w:rPr>
          <w:rStyle w:val="33"/>
          <w:rFonts w:hint="eastAsia" w:ascii="仿宋" w:hAnsi="仿宋" w:eastAsia="仿宋" w:cs="仿宋"/>
          <w:color w:val="auto"/>
          <w:highlight w:val="none"/>
          <w:lang w:eastAsia="zh-CN"/>
        </w:rPr>
      </w:pPr>
      <w:r>
        <w:rPr>
          <w:rStyle w:val="30"/>
          <w:rFonts w:hint="eastAsia" w:ascii="仿宋" w:hAnsi="仿宋" w:eastAsia="仿宋" w:cs="仿宋"/>
          <w:color w:val="auto"/>
          <w:highlight w:val="none"/>
        </w:rPr>
        <w:t>二、项目名称：</w:t>
      </w:r>
      <w:r>
        <w:rPr>
          <w:rStyle w:val="33"/>
          <w:rFonts w:hint="eastAsia" w:ascii="仿宋" w:hAnsi="仿宋" w:eastAsia="仿宋" w:cs="仿宋"/>
          <w:color w:val="auto"/>
          <w:highlight w:val="none"/>
        </w:rPr>
        <w:t>杭州市新能源投资发展有限公司杭州市电动自行车街面充（换）电设备项目--换电柜样品采购安装</w:t>
      </w:r>
    </w:p>
    <w:p w14:paraId="0DF055D4">
      <w:pPr>
        <w:pStyle w:val="22"/>
        <w:widowControl/>
        <w:wordWrap w:val="0"/>
        <w:snapToGrid w:val="0"/>
        <w:spacing w:beforeAutospacing="0" w:afterAutospacing="0" w:line="360" w:lineRule="auto"/>
        <w:rPr>
          <w:rStyle w:val="33"/>
          <w:rFonts w:hint="eastAsia" w:ascii="仿宋" w:hAnsi="仿宋" w:eastAsia="仿宋" w:cs="仿宋"/>
          <w:color w:val="auto"/>
          <w:highlight w:val="none"/>
          <w:lang w:eastAsia="zh-CN"/>
        </w:rPr>
      </w:pPr>
      <w:r>
        <w:rPr>
          <w:rFonts w:hint="eastAsia" w:ascii="仿宋" w:hAnsi="仿宋" w:eastAsia="仿宋" w:cs="仿宋"/>
          <w:b/>
          <w:bCs/>
          <w:color w:val="auto"/>
          <w:highlight w:val="none"/>
        </w:rPr>
        <w:t>三、</w:t>
      </w:r>
      <w:r>
        <w:rPr>
          <w:rStyle w:val="33"/>
          <w:rFonts w:hint="eastAsia" w:ascii="仿宋" w:hAnsi="仿宋" w:eastAsia="仿宋" w:cs="仿宋"/>
          <w:b/>
          <w:bCs/>
          <w:color w:val="auto"/>
          <w:highlight w:val="none"/>
        </w:rPr>
        <w:t>项目编号：</w:t>
      </w:r>
      <w:r>
        <w:rPr>
          <w:rStyle w:val="33"/>
          <w:rFonts w:hint="eastAsia" w:ascii="仿宋" w:hAnsi="仿宋" w:eastAsia="仿宋" w:cs="仿宋"/>
          <w:color w:val="auto"/>
          <w:highlight w:val="none"/>
          <w:lang w:val="en-US" w:eastAsia="zh-CN"/>
        </w:rPr>
        <w:t xml:space="preserve"> XNYTFXJ2024-19</w:t>
      </w:r>
    </w:p>
    <w:p w14:paraId="30B9AF48">
      <w:pPr>
        <w:pStyle w:val="22"/>
        <w:widowControl/>
        <w:wordWrap w:val="0"/>
        <w:snapToGrid w:val="0"/>
        <w:spacing w:beforeAutospacing="0" w:afterAutospacing="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四、</w:t>
      </w:r>
      <w:r>
        <w:rPr>
          <w:rStyle w:val="30"/>
          <w:rFonts w:hint="eastAsia" w:ascii="仿宋" w:hAnsi="仿宋" w:eastAsia="仿宋" w:cs="仿宋"/>
          <w:color w:val="auto"/>
          <w:highlight w:val="none"/>
        </w:rPr>
        <w:t>采购方式：</w:t>
      </w:r>
      <w:r>
        <w:rPr>
          <w:rStyle w:val="30"/>
          <w:rFonts w:hint="eastAsia" w:ascii="仿宋" w:hAnsi="仿宋" w:eastAsia="仿宋" w:cs="仿宋"/>
          <w:b w:val="0"/>
          <w:bCs/>
          <w:color w:val="auto"/>
          <w:highlight w:val="none"/>
        </w:rPr>
        <w:t>公开</w:t>
      </w:r>
      <w:r>
        <w:rPr>
          <w:rStyle w:val="30"/>
          <w:rFonts w:hint="eastAsia" w:ascii="仿宋" w:hAnsi="仿宋" w:eastAsia="仿宋" w:cs="仿宋"/>
          <w:b w:val="0"/>
          <w:color w:val="auto"/>
          <w:highlight w:val="none"/>
        </w:rPr>
        <w:t>询价（</w:t>
      </w:r>
      <w:r>
        <w:rPr>
          <w:rFonts w:hint="eastAsia" w:ascii="仿宋" w:hAnsi="仿宋" w:eastAsia="仿宋" w:cs="仿宋"/>
          <w:color w:val="auto"/>
          <w:highlight w:val="none"/>
        </w:rPr>
        <w:t>非政府采购）</w:t>
      </w:r>
    </w:p>
    <w:p w14:paraId="0CBE603A">
      <w:pPr>
        <w:rPr>
          <w:rStyle w:val="30"/>
          <w:rFonts w:hint="eastAsia" w:ascii="仿宋" w:hAnsi="仿宋" w:eastAsia="仿宋" w:cs="仿宋"/>
          <w:color w:val="auto"/>
          <w:sz w:val="24"/>
          <w:highlight w:val="none"/>
        </w:rPr>
      </w:pPr>
      <w:bookmarkStart w:id="19" w:name="_Toc16380"/>
      <w:r>
        <w:rPr>
          <w:rStyle w:val="30"/>
          <w:rFonts w:hint="eastAsia" w:ascii="仿宋" w:hAnsi="仿宋" w:eastAsia="仿宋" w:cs="仿宋"/>
          <w:color w:val="auto"/>
          <w:sz w:val="24"/>
          <w:highlight w:val="none"/>
        </w:rPr>
        <w:t>五、采购内容：</w:t>
      </w:r>
    </w:p>
    <w:bookmarkEnd w:id="19"/>
    <w:p w14:paraId="5EE02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bookmarkStart w:id="20" w:name="_Toc1427"/>
      <w:bookmarkStart w:id="21" w:name="_Toc10372"/>
      <w:r>
        <w:rPr>
          <w:rFonts w:hint="eastAsia" w:ascii="仿宋" w:hAnsi="仿宋" w:eastAsia="仿宋" w:cs="仿宋"/>
          <w:color w:val="auto"/>
          <w:sz w:val="24"/>
          <w:highlight w:val="none"/>
        </w:rPr>
        <w:t>本次采购内容为换电柜采购安装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但不限于：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sz w:val="24"/>
          <w:szCs w:val="24"/>
          <w:highlight w:val="none"/>
          <w:lang w:val="en-US" w:eastAsia="zh-CN"/>
        </w:rPr>
        <w:t>针对2个投放站点换电柜的深化设计（柜体造型、颜色应按照设计方案，出具深化图纸（含效果图），换电柜设备的供货及安装、接地及整体系统调试，质保期内的保修和维保服务；（2）与服务亭供应商、电源接入施工单位的相关配合工作；</w:t>
      </w:r>
      <w:r>
        <w:rPr>
          <w:rFonts w:hint="eastAsia" w:ascii="仿宋" w:hAnsi="仿宋" w:eastAsia="仿宋" w:cs="仿宋"/>
          <w:sz w:val="24"/>
          <w:szCs w:val="24"/>
          <w:highlight w:val="none"/>
          <w:lang w:val="en-US" w:eastAsia="zh-CN"/>
        </w:rPr>
        <w:t>（3）与后续非样品换电柜及电池供应商的相关配合工作；（4）本次采购的样品需根据招标人的要求对换电柜样品的外观设计等因素进行修改调整。</w:t>
      </w:r>
      <w:r>
        <w:rPr>
          <w:rFonts w:hint="eastAsia" w:ascii="仿宋" w:hAnsi="仿宋" w:eastAsia="仿宋" w:cs="仿宋"/>
          <w:color w:val="auto"/>
          <w:sz w:val="24"/>
          <w:highlight w:val="none"/>
          <w:lang w:val="en-US" w:eastAsia="zh-CN"/>
        </w:rPr>
        <w:t>具体详见“第三章 采购需求及要求”；供货期：确定中标人后15天内完成送货，在招标人要求的时间内完成安装。</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万元。</w:t>
      </w:r>
    </w:p>
    <w:p w14:paraId="04807FFF">
      <w:pPr>
        <w:wordWrap w:val="0"/>
        <w:snapToGrid w:val="0"/>
        <w:spacing w:line="360" w:lineRule="auto"/>
        <w:outlineLvl w:val="1"/>
        <w:rPr>
          <w:rStyle w:val="30"/>
          <w:rFonts w:hint="eastAsia" w:ascii="仿宋" w:hAnsi="仿宋" w:eastAsia="仿宋" w:cs="仿宋"/>
          <w:color w:val="auto"/>
          <w:kern w:val="0"/>
          <w:sz w:val="24"/>
          <w:highlight w:val="none"/>
        </w:rPr>
      </w:pPr>
      <w:r>
        <w:rPr>
          <w:rStyle w:val="30"/>
          <w:rFonts w:hint="eastAsia" w:ascii="仿宋" w:hAnsi="仿宋" w:eastAsia="仿宋" w:cs="仿宋"/>
          <w:color w:val="auto"/>
          <w:kern w:val="0"/>
          <w:sz w:val="24"/>
          <w:highlight w:val="none"/>
        </w:rPr>
        <w:t>六、供应商资格条件</w:t>
      </w:r>
      <w:bookmarkEnd w:id="20"/>
      <w:r>
        <w:rPr>
          <w:rStyle w:val="30"/>
          <w:rFonts w:hint="eastAsia" w:ascii="仿宋" w:hAnsi="仿宋" w:eastAsia="仿宋" w:cs="仿宋"/>
          <w:color w:val="auto"/>
          <w:kern w:val="0"/>
          <w:sz w:val="24"/>
          <w:highlight w:val="none"/>
        </w:rPr>
        <w:t>：</w:t>
      </w:r>
      <w:bookmarkEnd w:id="21"/>
    </w:p>
    <w:p w14:paraId="54ECFB6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zh-CN"/>
        </w:rPr>
        <w:t>）在</w:t>
      </w:r>
      <w:r>
        <w:rPr>
          <w:rFonts w:hint="eastAsia" w:ascii="仿宋" w:hAnsi="仿宋" w:eastAsia="仿宋" w:cs="仿宋"/>
          <w:color w:val="auto"/>
          <w:sz w:val="24"/>
          <w:highlight w:val="none"/>
        </w:rPr>
        <w:t>中华人民共和国境内[</w:t>
      </w:r>
      <w:r>
        <w:rPr>
          <w:rFonts w:hint="eastAsia" w:ascii="仿宋" w:hAnsi="仿宋" w:eastAsia="仿宋" w:cs="仿宋"/>
          <w:color w:val="auto"/>
          <w:sz w:val="24"/>
          <w:highlight w:val="none"/>
          <w:u w:val="single"/>
        </w:rPr>
        <w:t>不含港、澳、台地区</w:t>
      </w:r>
      <w:r>
        <w:rPr>
          <w:rFonts w:hint="eastAsia" w:ascii="仿宋" w:hAnsi="仿宋" w:eastAsia="仿宋" w:cs="仿宋"/>
          <w:color w:val="auto"/>
          <w:sz w:val="24"/>
          <w:highlight w:val="none"/>
        </w:rPr>
        <w:t>]注册，</w:t>
      </w:r>
      <w:r>
        <w:rPr>
          <w:rFonts w:hint="eastAsia" w:ascii="仿宋" w:hAnsi="仿宋" w:eastAsia="仿宋" w:cs="仿宋"/>
          <w:color w:val="auto"/>
          <w:sz w:val="24"/>
          <w:highlight w:val="none"/>
          <w:u w:val="single"/>
        </w:rPr>
        <w:t>具有独立法人资格的供应商</w:t>
      </w:r>
      <w:r>
        <w:rPr>
          <w:rFonts w:hint="eastAsia" w:ascii="仿宋" w:hAnsi="仿宋" w:eastAsia="仿宋" w:cs="仿宋"/>
          <w:color w:val="auto"/>
          <w:sz w:val="24"/>
          <w:highlight w:val="none"/>
        </w:rPr>
        <w:t>（提供营业执照（或者事业单位法人证书、社会团体法人登记证书、其他组织登记证明文件，下同）副本复印件，保险、金融、电信、通信等特殊行业可视行业实际情况提供非独立法人的分公司登记证书及上级总公司唯一授权相关证明材料的复印件）；</w:t>
      </w:r>
    </w:p>
    <w:p w14:paraId="744F73A8">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（2）单位负责人为同一人或者存在直接控股、管理关系的不同单位，不得同时参加</w:t>
      </w:r>
      <w:r>
        <w:rPr>
          <w:rFonts w:hint="eastAsia" w:ascii="仿宋" w:hAnsi="仿宋" w:eastAsia="仿宋" w:cs="仿宋"/>
          <w:snapToGrid w:val="0"/>
          <w:color w:val="auto"/>
          <w:kern w:val="0"/>
          <w:sz w:val="24"/>
          <w:highlight w:val="none"/>
          <w:lang w:val="en-US" w:eastAsia="zh-CN"/>
        </w:rPr>
        <w:t>本项目应价。</w:t>
      </w:r>
      <w:r>
        <w:rPr>
          <w:rFonts w:hint="eastAsia" w:ascii="仿宋" w:hAnsi="仿宋" w:eastAsia="仿宋" w:cs="仿宋"/>
          <w:snapToGrid w:val="0"/>
          <w:color w:val="auto"/>
          <w:kern w:val="0"/>
          <w:sz w:val="24"/>
          <w:highlight w:val="none"/>
          <w:lang w:val="zh-CN"/>
        </w:rPr>
        <w:t>（以开</w:t>
      </w:r>
      <w:r>
        <w:rPr>
          <w:rFonts w:hint="eastAsia" w:ascii="仿宋" w:hAnsi="仿宋" w:eastAsia="仿宋" w:cs="仿宋"/>
          <w:snapToGrid w:val="0"/>
          <w:color w:val="auto"/>
          <w:kern w:val="0"/>
          <w:sz w:val="24"/>
          <w:highlight w:val="none"/>
          <w:lang w:val="en-US" w:eastAsia="zh-CN"/>
        </w:rPr>
        <w:t>启</w:t>
      </w:r>
      <w:r>
        <w:rPr>
          <w:rFonts w:hint="eastAsia" w:ascii="仿宋" w:hAnsi="仿宋" w:eastAsia="仿宋" w:cs="仿宋"/>
          <w:snapToGrid w:val="0"/>
          <w:color w:val="auto"/>
          <w:kern w:val="0"/>
          <w:sz w:val="24"/>
          <w:highlight w:val="none"/>
          <w:lang w:val="zh-CN"/>
        </w:rPr>
        <w:t>当天</w:t>
      </w:r>
      <w:r>
        <w:rPr>
          <w:rFonts w:hint="eastAsia" w:ascii="仿宋" w:hAnsi="仿宋" w:eastAsia="仿宋" w:cs="仿宋"/>
          <w:snapToGrid w:val="0"/>
          <w:color w:val="auto"/>
          <w:kern w:val="0"/>
          <w:sz w:val="24"/>
          <w:highlight w:val="none"/>
          <w:lang w:val="en-US" w:eastAsia="zh-CN"/>
        </w:rPr>
        <w:t>询价人通过</w:t>
      </w:r>
      <w:r>
        <w:rPr>
          <w:rFonts w:hint="eastAsia" w:ascii="仿宋" w:hAnsi="仿宋" w:eastAsia="仿宋" w:cs="仿宋"/>
          <w:snapToGrid w:val="0"/>
          <w:color w:val="auto"/>
          <w:kern w:val="0"/>
          <w:sz w:val="24"/>
          <w:highlight w:val="none"/>
          <w:lang w:val="zh-CN"/>
        </w:rPr>
        <w:t>“天眼查”网站查询结果为准）</w:t>
      </w:r>
      <w:r>
        <w:rPr>
          <w:rFonts w:hint="eastAsia" w:ascii="仿宋" w:hAnsi="仿宋" w:eastAsia="仿宋" w:cs="仿宋"/>
          <w:snapToGrid w:val="0"/>
          <w:color w:val="auto"/>
          <w:kern w:val="0"/>
          <w:sz w:val="24"/>
          <w:highlight w:val="none"/>
          <w:lang w:val="zh-CN" w:eastAsia="zh-CN"/>
        </w:rPr>
        <w:t>；</w:t>
      </w:r>
    </w:p>
    <w:p w14:paraId="0E060AF3">
      <w:pPr>
        <w:pStyle w:val="22"/>
        <w:wordWrap w:val="0"/>
        <w:adjustRightInd w:val="0"/>
        <w:snapToGrid w:val="0"/>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highlight w:val="none"/>
        </w:rPr>
        <w:t>（3）本项目</w:t>
      </w:r>
      <w:r>
        <w:rPr>
          <w:rFonts w:hint="eastAsia" w:ascii="仿宋" w:hAnsi="仿宋" w:eastAsia="仿宋" w:cs="仿宋"/>
          <w:color w:val="auto"/>
          <w:kern w:val="2"/>
          <w:highlight w:val="none"/>
          <w:u w:val="single"/>
        </w:rPr>
        <w:t>不接受</w:t>
      </w:r>
      <w:r>
        <w:rPr>
          <w:rFonts w:hint="eastAsia" w:ascii="仿宋" w:hAnsi="仿宋" w:eastAsia="仿宋" w:cs="仿宋"/>
          <w:color w:val="auto"/>
          <w:kern w:val="2"/>
          <w:highlight w:val="none"/>
        </w:rPr>
        <w:t>联合体应价。</w:t>
      </w:r>
    </w:p>
    <w:p w14:paraId="58C86743">
      <w:pPr>
        <w:adjustRightInd w:val="0"/>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napToGrid w:val="0"/>
          <w:color w:val="auto"/>
          <w:kern w:val="0"/>
          <w:sz w:val="24"/>
          <w:highlight w:val="none"/>
          <w:lang w:val="zh-CN"/>
        </w:rPr>
        <w:t>（4）</w:t>
      </w:r>
      <w:r>
        <w:rPr>
          <w:rFonts w:hint="eastAsia" w:ascii="仿宋" w:hAnsi="仿宋" w:eastAsia="仿宋" w:cs="仿宋"/>
          <w:color w:val="auto"/>
          <w:sz w:val="24"/>
          <w:highlight w:val="none"/>
        </w:rPr>
        <w:t>其他要求：/</w:t>
      </w:r>
    </w:p>
    <w:p w14:paraId="64B83F17">
      <w:pPr>
        <w:snapToGrid w:val="0"/>
        <w:spacing w:line="420" w:lineRule="exact"/>
        <w:outlineLvl w:val="1"/>
        <w:rPr>
          <w:rFonts w:hint="eastAsia" w:ascii="仿宋" w:hAnsi="仿宋" w:eastAsia="仿宋" w:cs="仿宋"/>
          <w:b/>
          <w:bCs/>
          <w:color w:val="auto"/>
          <w:sz w:val="24"/>
          <w:highlight w:val="none"/>
        </w:rPr>
      </w:pPr>
      <w:bookmarkStart w:id="22" w:name="_Toc21836"/>
      <w:bookmarkStart w:id="23" w:name="_Toc2408"/>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、询价文件获取：</w:t>
      </w:r>
    </w:p>
    <w:p w14:paraId="5B191894">
      <w:pPr>
        <w:snapToGrid w:val="0"/>
        <w:spacing w:line="420" w:lineRule="exact"/>
        <w:ind w:firstLine="480" w:firstLineChars="200"/>
        <w:rPr>
          <w:rFonts w:hint="eastAsia" w:ascii="仿宋" w:hAnsi="仿宋" w:eastAsia="仿宋" w:cs="仿宋"/>
          <w:color w:val="auto"/>
          <w:sz w:val="24"/>
          <w:highlight w:val="none"/>
        </w:rPr>
      </w:pPr>
      <w:bookmarkStart w:id="24" w:name="_Toc10147"/>
      <w:bookmarkStart w:id="25" w:name="_Toc5358"/>
      <w:bookmarkStart w:id="26" w:name="_Toc31561"/>
      <w:r>
        <w:rPr>
          <w:rFonts w:hint="eastAsia" w:ascii="仿宋" w:hAnsi="仿宋" w:eastAsia="仿宋" w:cs="仿宋"/>
          <w:color w:val="auto"/>
          <w:sz w:val="24"/>
          <w:highlight w:val="none"/>
        </w:rPr>
        <w:t>时间：2024年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日至2024年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p>
    <w:p w14:paraId="48E15131">
      <w:pPr>
        <w:keepNext w:val="0"/>
        <w:keepLines w:val="0"/>
        <w:pageBreakBefore w:val="0"/>
        <w:kinsoku/>
        <w:wordWrap w:val="0"/>
        <w:overflowPunct/>
        <w:topLinePunct w:val="0"/>
        <w:autoSpaceDE/>
        <w:autoSpaceDN/>
        <w:bidi w:val="0"/>
        <w:snapToGrid w:val="0"/>
        <w:spacing w:line="56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color w:val="auto"/>
          <w:sz w:val="24"/>
          <w:szCs w:val="24"/>
          <w:highlight w:val="none"/>
        </w:rPr>
        <w:t>方式：</w:t>
      </w:r>
      <w:r>
        <w:rPr>
          <w:rFonts w:hint="eastAsia" w:ascii="仿宋" w:hAnsi="仿宋" w:eastAsia="仿宋" w:cs="仿宋"/>
          <w:color w:val="auto"/>
          <w:sz w:val="24"/>
          <w:highlight w:val="none"/>
        </w:rPr>
        <w:t>以网上下载方式获取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本项目相关公告在</w:t>
      </w:r>
      <w:r>
        <w:rPr>
          <w:rFonts w:hint="eastAsia" w:ascii="仿宋" w:hAnsi="仿宋" w:eastAsia="仿宋" w:cs="仿宋"/>
          <w:color w:val="auto"/>
          <w:sz w:val="24"/>
          <w:highlight w:val="none"/>
        </w:rPr>
        <w:t>浙江省政府采购网（www.zjzfcg.gov.cn）发布</w:t>
      </w:r>
      <w:r>
        <w:rPr>
          <w:rFonts w:hint="eastAsia" w:ascii="仿宋" w:hAnsi="仿宋" w:eastAsia="仿宋" w:cs="仿宋"/>
          <w:color w:val="auto"/>
          <w:sz w:val="24"/>
          <w:highlight w:val="none"/>
          <w:lang w:val="en-US" w:eastAsia="zh-CN"/>
        </w:rPr>
        <w:t>。</w:t>
      </w:r>
    </w:p>
    <w:p w14:paraId="6D0F6426">
      <w:pPr>
        <w:wordWrap w:val="0"/>
        <w:snapToGrid w:val="0"/>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下载时间：自本项目招标公告发布之日起至投标截止时间止（投标人对招标文件提出问题、异议截止时间：2024年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w:t>
      </w:r>
    </w:p>
    <w:p w14:paraId="59C71725">
      <w:pPr>
        <w:keepNext w:val="0"/>
        <w:keepLines w:val="0"/>
        <w:pageBreakBefore w:val="0"/>
        <w:kinsoku/>
        <w:wordWrap w:val="0"/>
        <w:overflowPunct/>
        <w:topLinePunct w:val="0"/>
        <w:autoSpaceDE/>
        <w:autoSpaceDN/>
        <w:bidi w:val="0"/>
        <w:snapToGrid w:val="0"/>
        <w:spacing w:line="56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"mailto:供应商在报名及获取截止时间前将报名需提供的资料扫描生成PDF格式发送至邮箱1193789122@qq.com（邮件备注为***单位的***项目报名资料）；" </w:instrText>
      </w:r>
      <w:r>
        <w:rPr>
          <w:rFonts w:hint="eastAsia" w:ascii="仿宋" w:hAnsi="仿宋" w:eastAsia="仿宋" w:cs="仿宋"/>
          <w:color w:val="auto"/>
          <w:sz w:val="24"/>
          <w:szCs w:val="24"/>
          <w:highlight w:val="none"/>
          <w:u w:val="none"/>
          <w:lang w:val="en-US" w:eastAsia="zh-CN"/>
        </w:rPr>
        <w:fldChar w:fldCharType="separate"/>
      </w:r>
      <w:r>
        <w:rPr>
          <w:rStyle w:val="31"/>
          <w:rFonts w:hint="eastAsia" w:ascii="仿宋" w:hAnsi="仿宋" w:eastAsia="仿宋" w:cs="仿宋"/>
          <w:color w:val="auto"/>
          <w:sz w:val="24"/>
          <w:szCs w:val="24"/>
          <w:highlight w:val="none"/>
          <w:lang w:val="en-US" w:eastAsia="zh-CN"/>
        </w:rPr>
        <w:t>供应商在报名及获取截止时间前将报名需提供的资料扫描生成PDF格式发送至邮箱1193789122@qq.com（邮件备注为***单位的***项目报名资料）；</w:t>
      </w:r>
      <w:r>
        <w:rPr>
          <w:rFonts w:hint="eastAsia" w:ascii="仿宋" w:hAnsi="仿宋" w:eastAsia="仿宋" w:cs="仿宋"/>
          <w:color w:val="auto"/>
          <w:sz w:val="24"/>
          <w:szCs w:val="24"/>
          <w:highlight w:val="none"/>
          <w:u w:val="none"/>
          <w:lang w:val="en-US" w:eastAsia="zh-CN"/>
        </w:rPr>
        <w:fldChar w:fldCharType="end"/>
      </w:r>
    </w:p>
    <w:p w14:paraId="36E54264">
      <w:pPr>
        <w:keepNext w:val="0"/>
        <w:keepLines w:val="0"/>
        <w:pageBreakBefore w:val="0"/>
        <w:kinsoku/>
        <w:wordWrap w:val="0"/>
        <w:overflowPunct/>
        <w:topLinePunct w:val="0"/>
        <w:autoSpaceDE/>
        <w:autoSpaceDN/>
        <w:bidi w:val="0"/>
        <w:snapToGrid w:val="0"/>
        <w:spacing w:line="560" w:lineRule="exact"/>
        <w:ind w:firstLine="480" w:firstLineChars="200"/>
        <w:jc w:val="left"/>
        <w:textAlignment w:val="auto"/>
        <w:rPr>
          <w:rFonts w:hint="eastAsia"/>
          <w:color w:val="auto"/>
          <w:highlight w:val="none"/>
        </w:rPr>
      </w:pPr>
      <w:r>
        <w:rPr>
          <w:rFonts w:hint="eastAsia" w:ascii="仿宋" w:hAnsi="仿宋" w:eastAsia="仿宋" w:cs="仿宋"/>
          <w:color w:val="auto"/>
          <w:sz w:val="24"/>
          <w:szCs w:val="24"/>
          <w:highlight w:val="none"/>
          <w:lang w:val="en-US" w:eastAsia="zh-CN"/>
        </w:rPr>
        <w:t>报名需递交的资料：授权委托书原件、报名表原件（格式自拟）和营业执照复印件（加盖单位物理公章）。</w:t>
      </w:r>
    </w:p>
    <w:p w14:paraId="6073C060">
      <w:pPr>
        <w:wordWrap w:val="0"/>
        <w:snapToGrid w:val="0"/>
        <w:spacing w:line="420" w:lineRule="exac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售价（元）：0 </w:t>
      </w:r>
    </w:p>
    <w:p w14:paraId="049EA371">
      <w:pPr>
        <w:wordWrap w:val="0"/>
        <w:snapToGrid w:val="0"/>
        <w:spacing w:line="420" w:lineRule="exact"/>
        <w:jc w:val="left"/>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、应价文件递交</w:t>
      </w:r>
      <w:bookmarkEnd w:id="24"/>
      <w:r>
        <w:rPr>
          <w:rFonts w:hint="eastAsia" w:ascii="仿宋" w:hAnsi="仿宋" w:eastAsia="仿宋" w:cs="仿宋"/>
          <w:b/>
          <w:bCs/>
          <w:color w:val="auto"/>
          <w:sz w:val="24"/>
          <w:highlight w:val="none"/>
        </w:rPr>
        <w:t>：</w:t>
      </w:r>
      <w:bookmarkEnd w:id="25"/>
    </w:p>
    <w:p w14:paraId="0F551A4A">
      <w:pPr>
        <w:wordWrap w:val="0"/>
        <w:snapToGrid w:val="0"/>
        <w:spacing w:line="420" w:lineRule="exact"/>
        <w:ind w:firstLine="480" w:firstLineChars="200"/>
        <w:rPr>
          <w:rFonts w:hint="eastAsia" w:ascii="仿宋" w:hAnsi="仿宋" w:eastAsia="仿宋" w:cs="仿宋"/>
          <w:color w:val="auto"/>
          <w:sz w:val="24"/>
          <w:highlight w:val="none"/>
        </w:rPr>
      </w:pPr>
      <w:bookmarkStart w:id="27" w:name="_Toc9068"/>
      <w:r>
        <w:rPr>
          <w:rFonts w:hint="eastAsia" w:ascii="仿宋" w:hAnsi="仿宋" w:eastAsia="仿宋" w:cs="仿宋"/>
          <w:color w:val="auto"/>
          <w:sz w:val="24"/>
          <w:highlight w:val="none"/>
        </w:rPr>
        <w:t>1、截止时间：</w:t>
      </w:r>
      <w:bookmarkEnd w:id="27"/>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p>
    <w:p w14:paraId="74CAEA96">
      <w:pPr>
        <w:wordWrap w:val="0"/>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2、地点：杭州市聚园路290号。</w:t>
      </w:r>
    </w:p>
    <w:p w14:paraId="4F13941D">
      <w:pPr>
        <w:wordWrap w:val="0"/>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3、递交方式：</w:t>
      </w:r>
    </w:p>
    <w:p w14:paraId="613E3C58">
      <w:pPr>
        <w:wordWrap w:val="0"/>
        <w:spacing w:line="420" w:lineRule="exact"/>
        <w:ind w:firstLine="480" w:firstLineChars="200"/>
        <w:rPr>
          <w:rFonts w:hint="eastAsia" w:ascii="仿宋" w:hAnsi="仿宋" w:eastAsia="仿宋" w:cs="仿宋"/>
          <w:color w:val="auto"/>
          <w:sz w:val="24"/>
          <w:highlight w:val="none"/>
        </w:rPr>
      </w:pPr>
      <w:bookmarkStart w:id="28" w:name="_Toc16505"/>
      <w:r>
        <w:rPr>
          <w:rFonts w:hint="eastAsia" w:ascii="仿宋" w:hAnsi="仿宋" w:eastAsia="仿宋" w:cs="仿宋"/>
          <w:color w:val="auto"/>
          <w:sz w:val="24"/>
          <w:highlight w:val="none"/>
          <w:lang w:val="en-US" w:eastAsia="zh-CN"/>
        </w:rPr>
        <w:t>现场开标</w:t>
      </w:r>
      <w:r>
        <w:rPr>
          <w:rFonts w:hint="eastAsia" w:ascii="仿宋" w:hAnsi="仿宋" w:eastAsia="仿宋" w:cs="仿宋"/>
          <w:color w:val="auto"/>
          <w:sz w:val="24"/>
          <w:highlight w:val="none"/>
        </w:rPr>
        <w:t>：应价人在应价截止时间之前将应价文件</w:t>
      </w:r>
      <w:r>
        <w:rPr>
          <w:rFonts w:hint="eastAsia" w:ascii="仿宋" w:hAnsi="仿宋" w:eastAsia="仿宋" w:cs="仿宋"/>
          <w:color w:val="auto"/>
          <w:sz w:val="24"/>
          <w:highlight w:val="none"/>
          <w:lang w:val="en-US" w:eastAsia="zh-CN"/>
        </w:rPr>
        <w:t>派专员将密封的文件送</w:t>
      </w:r>
      <w:r>
        <w:rPr>
          <w:rFonts w:hint="eastAsia" w:ascii="仿宋" w:hAnsi="仿宋" w:eastAsia="仿宋" w:cs="仿宋"/>
          <w:color w:val="auto"/>
          <w:sz w:val="24"/>
          <w:highlight w:val="none"/>
        </w:rPr>
        <w:t>至浙江省杭州市聚园路290号，</w:t>
      </w:r>
      <w:bookmarkStart w:id="172" w:name="_GoBack"/>
      <w:bookmarkEnd w:id="172"/>
      <w:r>
        <w:rPr>
          <w:rFonts w:hint="eastAsia" w:ascii="仿宋" w:hAnsi="仿宋" w:eastAsia="仿宋" w:cs="仿宋"/>
          <w:color w:val="auto"/>
          <w:sz w:val="24"/>
          <w:highlight w:val="none"/>
          <w:u w:val="single"/>
        </w:rPr>
        <w:t>应价人自行确保应价文件在应价文件截止时间前到达</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如果</w:t>
      </w:r>
      <w:r>
        <w:rPr>
          <w:rFonts w:hint="eastAsia" w:ascii="仿宋" w:hAnsi="仿宋" w:eastAsia="仿宋" w:cs="仿宋"/>
          <w:color w:val="auto"/>
          <w:sz w:val="24"/>
          <w:highlight w:val="none"/>
          <w:lang w:val="en-US" w:eastAsia="zh-CN"/>
        </w:rPr>
        <w:t>我司工作</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val="en-US" w:eastAsia="zh-CN"/>
        </w:rPr>
        <w:t>发现文件密封性有</w:t>
      </w:r>
      <w:r>
        <w:rPr>
          <w:rFonts w:hint="eastAsia" w:ascii="仿宋" w:hAnsi="仿宋" w:eastAsia="仿宋" w:cs="仿宋"/>
          <w:color w:val="auto"/>
          <w:sz w:val="24"/>
          <w:highlight w:val="none"/>
        </w:rPr>
        <w:t>破损的，</w:t>
      </w:r>
      <w:r>
        <w:rPr>
          <w:rFonts w:hint="eastAsia" w:ascii="仿宋" w:hAnsi="仿宋" w:eastAsia="仿宋" w:cs="仿宋"/>
          <w:color w:val="auto"/>
          <w:sz w:val="24"/>
          <w:highlight w:val="none"/>
          <w:lang w:val="en-US" w:eastAsia="zh-CN"/>
        </w:rPr>
        <w:t>当场拒收</w:t>
      </w:r>
      <w:r>
        <w:rPr>
          <w:rFonts w:hint="eastAsia" w:ascii="仿宋" w:hAnsi="仿宋" w:eastAsia="仿宋" w:cs="仿宋"/>
          <w:color w:val="auto"/>
          <w:sz w:val="24"/>
          <w:highlight w:val="none"/>
        </w:rPr>
        <w:t>。收件人：</w:t>
      </w:r>
      <w:r>
        <w:rPr>
          <w:rFonts w:hint="eastAsia" w:ascii="仿宋" w:hAnsi="仿宋" w:eastAsia="仿宋" w:cs="仿宋"/>
          <w:color w:val="auto"/>
          <w:sz w:val="24"/>
          <w:highlight w:val="none"/>
          <w:lang w:val="en-US" w:eastAsia="zh-CN"/>
        </w:rPr>
        <w:t>张工</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18857134242</w:t>
      </w:r>
      <w:r>
        <w:rPr>
          <w:rFonts w:hint="eastAsia" w:ascii="仿宋" w:hAnsi="仿宋" w:eastAsia="仿宋" w:cs="仿宋"/>
          <w:color w:val="auto"/>
          <w:sz w:val="24"/>
          <w:highlight w:val="none"/>
        </w:rPr>
        <w:t>。</w:t>
      </w:r>
    </w:p>
    <w:bookmarkEnd w:id="28"/>
    <w:p w14:paraId="665BD703">
      <w:pPr>
        <w:pStyle w:val="22"/>
        <w:widowControl/>
        <w:snapToGrid w:val="0"/>
        <w:spacing w:beforeAutospacing="0" w:afterAutospacing="0" w:line="420" w:lineRule="exact"/>
        <w:rPr>
          <w:rFonts w:hint="eastAsia" w:ascii="仿宋" w:hAnsi="仿宋" w:eastAsia="仿宋" w:cs="仿宋"/>
          <w:color w:val="auto"/>
          <w:highlight w:val="none"/>
        </w:rPr>
      </w:pPr>
      <w:r>
        <w:rPr>
          <w:rStyle w:val="30"/>
          <w:rFonts w:hint="eastAsia" w:ascii="仿宋" w:hAnsi="仿宋" w:eastAsia="仿宋" w:cs="仿宋"/>
          <w:color w:val="auto"/>
          <w:highlight w:val="none"/>
          <w:lang w:val="en-US" w:eastAsia="zh-CN"/>
        </w:rPr>
        <w:t>九</w:t>
      </w:r>
      <w:r>
        <w:rPr>
          <w:rStyle w:val="30"/>
          <w:rFonts w:hint="eastAsia" w:ascii="仿宋" w:hAnsi="仿宋" w:eastAsia="仿宋" w:cs="仿宋"/>
          <w:color w:val="auto"/>
          <w:highlight w:val="none"/>
        </w:rPr>
        <w:t>、公告期限：</w:t>
      </w:r>
      <w:bookmarkEnd w:id="26"/>
    </w:p>
    <w:p w14:paraId="4671AA57">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日（开始、结束之日为工作日）。</w:t>
      </w:r>
    </w:p>
    <w:p w14:paraId="2BA6EAE3">
      <w:pPr>
        <w:pStyle w:val="22"/>
        <w:widowControl/>
        <w:spacing w:beforeAutospacing="0" w:afterAutospacing="0" w:line="420" w:lineRule="exact"/>
        <w:rPr>
          <w:rFonts w:hint="eastAsia" w:ascii="仿宋" w:hAnsi="仿宋" w:eastAsia="仿宋" w:cs="仿宋"/>
          <w:color w:val="auto"/>
          <w:highlight w:val="none"/>
        </w:rPr>
      </w:pPr>
      <w:bookmarkStart w:id="29" w:name="_Toc4855"/>
      <w:r>
        <w:rPr>
          <w:rStyle w:val="30"/>
          <w:rFonts w:hint="eastAsia" w:ascii="仿宋" w:hAnsi="仿宋" w:eastAsia="仿宋" w:cs="仿宋"/>
          <w:color w:val="auto"/>
          <w:highlight w:val="none"/>
        </w:rPr>
        <w:t>十、</w:t>
      </w:r>
      <w:bookmarkEnd w:id="29"/>
      <w:bookmarkStart w:id="30" w:name="_Toc14714"/>
      <w:r>
        <w:rPr>
          <w:rStyle w:val="30"/>
          <w:rFonts w:hint="eastAsia" w:ascii="仿宋" w:hAnsi="仿宋" w:eastAsia="仿宋" w:cs="仿宋"/>
          <w:color w:val="auto"/>
          <w:highlight w:val="none"/>
        </w:rPr>
        <w:t>其他事项：</w:t>
      </w:r>
      <w:bookmarkEnd w:id="30"/>
      <w:r>
        <w:rPr>
          <w:rFonts w:hint="eastAsia" w:ascii="仿宋" w:hAnsi="仿宋" w:eastAsia="仿宋" w:cs="仿宋"/>
          <w:color w:val="auto"/>
          <w:highlight w:val="none"/>
        </w:rPr>
        <w:t>应价人认为询价文件使自己的权益受到损害的，可以自报名之日起1个工作日内，以书面形式</w:t>
      </w:r>
      <w:r>
        <w:rPr>
          <w:rFonts w:hint="eastAsia" w:ascii="仿宋" w:hAnsi="仿宋" w:eastAsia="仿宋" w:cs="仿宋"/>
          <w:color w:val="auto"/>
          <w:highlight w:val="none"/>
          <w:lang w:val="en-US" w:eastAsia="zh-CN"/>
        </w:rPr>
        <w:t>盖章形式</w:t>
      </w:r>
      <w:r>
        <w:rPr>
          <w:rFonts w:hint="eastAsia" w:ascii="仿宋" w:hAnsi="仿宋" w:eastAsia="仿宋" w:cs="仿宋"/>
          <w:color w:val="auto"/>
          <w:highlight w:val="none"/>
        </w:rPr>
        <w:t>向询价人提出异议。未报名供应商不得对询价文件提出质疑，应价文件将被拒绝。应价人指参加本次应价的供应商。</w:t>
      </w:r>
    </w:p>
    <w:p w14:paraId="777ACAD6">
      <w:pPr>
        <w:pStyle w:val="22"/>
        <w:widowControl/>
        <w:snapToGrid w:val="0"/>
        <w:spacing w:beforeAutospacing="0" w:afterAutospacing="0" w:line="420" w:lineRule="exact"/>
        <w:rPr>
          <w:rStyle w:val="30"/>
          <w:rFonts w:hint="eastAsia" w:ascii="仿宋" w:hAnsi="仿宋" w:eastAsia="仿宋" w:cs="仿宋"/>
          <w:color w:val="auto"/>
          <w:highlight w:val="none"/>
        </w:rPr>
      </w:pPr>
      <w:bookmarkStart w:id="31" w:name="_Toc13377"/>
      <w:r>
        <w:rPr>
          <w:rStyle w:val="30"/>
          <w:rFonts w:hint="eastAsia" w:ascii="仿宋" w:hAnsi="仿宋" w:eastAsia="仿宋" w:cs="仿宋"/>
          <w:color w:val="auto"/>
          <w:highlight w:val="none"/>
        </w:rPr>
        <w:t>十</w:t>
      </w:r>
      <w:r>
        <w:rPr>
          <w:rStyle w:val="30"/>
          <w:rFonts w:hint="eastAsia" w:ascii="仿宋" w:hAnsi="仿宋" w:eastAsia="仿宋" w:cs="仿宋"/>
          <w:color w:val="auto"/>
          <w:highlight w:val="none"/>
          <w:lang w:val="en-US" w:eastAsia="zh-CN"/>
        </w:rPr>
        <w:t>一</w:t>
      </w:r>
      <w:r>
        <w:rPr>
          <w:rStyle w:val="30"/>
          <w:rFonts w:hint="eastAsia" w:ascii="仿宋" w:hAnsi="仿宋" w:eastAsia="仿宋" w:cs="仿宋"/>
          <w:color w:val="auto"/>
          <w:highlight w:val="none"/>
        </w:rPr>
        <w:t>、联系方式</w:t>
      </w:r>
      <w:bookmarkEnd w:id="31"/>
      <w:r>
        <w:rPr>
          <w:rStyle w:val="30"/>
          <w:rFonts w:hint="eastAsia" w:ascii="仿宋" w:hAnsi="仿宋" w:eastAsia="仿宋" w:cs="仿宋"/>
          <w:color w:val="auto"/>
          <w:highlight w:val="none"/>
        </w:rPr>
        <w:t>：</w:t>
      </w:r>
    </w:p>
    <w:p w14:paraId="0495311D">
      <w:pPr>
        <w:snapToGrid w:val="0"/>
        <w:spacing w:line="420" w:lineRule="exact"/>
        <w:ind w:firstLine="482" w:firstLineChars="200"/>
        <w:rPr>
          <w:rFonts w:hint="eastAsia" w:ascii="仿宋" w:hAnsi="仿宋" w:eastAsia="仿宋" w:cs="仿宋"/>
          <w:color w:val="auto"/>
          <w:sz w:val="24"/>
          <w:highlight w:val="none"/>
        </w:rPr>
      </w:pPr>
      <w:bookmarkStart w:id="32" w:name="_Toc22977"/>
      <w:r>
        <w:rPr>
          <w:rFonts w:hint="eastAsia" w:ascii="仿宋" w:hAnsi="仿宋" w:eastAsia="仿宋" w:cs="仿宋"/>
          <w:b/>
          <w:color w:val="auto"/>
          <w:sz w:val="24"/>
          <w:highlight w:val="none"/>
        </w:rPr>
        <w:t>询价人名称：</w:t>
      </w:r>
      <w:bookmarkEnd w:id="32"/>
      <w:r>
        <w:rPr>
          <w:rFonts w:hint="eastAsia" w:ascii="仿宋" w:hAnsi="仿宋" w:eastAsia="仿宋" w:cs="仿宋"/>
          <w:color w:val="auto"/>
          <w:sz w:val="24"/>
          <w:highlight w:val="none"/>
        </w:rPr>
        <w:t>杭州市新能源投资发展有限公司</w:t>
      </w:r>
    </w:p>
    <w:p w14:paraId="0319301F">
      <w:pPr>
        <w:snapToGrid w:val="0"/>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地址：</w:t>
      </w:r>
      <w:r>
        <w:rPr>
          <w:rFonts w:hint="eastAsia" w:ascii="仿宋" w:hAnsi="仿宋" w:eastAsia="仿宋" w:cs="仿宋"/>
          <w:color w:val="auto"/>
          <w:sz w:val="24"/>
          <w:highlight w:val="none"/>
        </w:rPr>
        <w:t>杭州市聚园路290号</w:t>
      </w:r>
    </w:p>
    <w:p w14:paraId="30C309A2">
      <w:pPr>
        <w:snapToGrid w:val="0"/>
        <w:spacing w:line="420" w:lineRule="exact"/>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联系人：</w:t>
      </w:r>
      <w:r>
        <w:rPr>
          <w:rFonts w:hint="eastAsia" w:ascii="仿宋" w:hAnsi="仿宋" w:eastAsia="仿宋" w:cs="仿宋"/>
          <w:bCs/>
          <w:color w:val="auto"/>
          <w:sz w:val="24"/>
          <w:highlight w:val="none"/>
          <w:lang w:val="en-US" w:eastAsia="zh-CN"/>
        </w:rPr>
        <w:t>张工</w:t>
      </w:r>
    </w:p>
    <w:p w14:paraId="5A1B5AB8">
      <w:pPr>
        <w:snapToGrid w:val="0"/>
        <w:spacing w:line="420" w:lineRule="exact"/>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联系电话：</w:t>
      </w:r>
      <w:r>
        <w:rPr>
          <w:rFonts w:hint="eastAsia" w:ascii="仿宋" w:hAnsi="仿宋" w:eastAsia="仿宋" w:cs="仿宋"/>
          <w:bCs/>
          <w:color w:val="auto"/>
          <w:sz w:val="24"/>
          <w:highlight w:val="none"/>
          <w:lang w:val="en-US" w:eastAsia="zh-CN"/>
        </w:rPr>
        <w:t>18857134242</w:t>
      </w:r>
    </w:p>
    <w:p w14:paraId="7F99DF29">
      <w:pPr>
        <w:jc w:val="righ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日期：2024年</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日</w:t>
      </w:r>
    </w:p>
    <w:p w14:paraId="0047EF07">
      <w:pPr>
        <w:wordWrap w:val="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9DA5A6B">
      <w:pPr>
        <w:wordWrap w:val="0"/>
        <w:jc w:val="center"/>
        <w:outlineLvl w:val="0"/>
        <w:rPr>
          <w:rFonts w:hint="eastAsia" w:ascii="仿宋" w:hAnsi="仿宋" w:eastAsia="仿宋" w:cs="仿宋"/>
          <w:b/>
          <w:color w:val="auto"/>
          <w:sz w:val="36"/>
          <w:szCs w:val="36"/>
          <w:highlight w:val="none"/>
        </w:rPr>
      </w:pPr>
      <w:bookmarkStart w:id="33" w:name="_Toc18431"/>
      <w:bookmarkStart w:id="34" w:name="_Toc2244"/>
      <w:bookmarkStart w:id="35" w:name="_Toc13730"/>
      <w:bookmarkStart w:id="36" w:name="_Toc15929"/>
      <w:bookmarkStart w:id="37" w:name="_Toc29581"/>
      <w:r>
        <w:rPr>
          <w:rFonts w:hint="eastAsia" w:ascii="仿宋" w:hAnsi="仿宋" w:eastAsia="仿宋" w:cs="仿宋"/>
          <w:b/>
          <w:color w:val="auto"/>
          <w:sz w:val="36"/>
          <w:szCs w:val="36"/>
          <w:highlight w:val="none"/>
        </w:rPr>
        <w:t>第二部分  询价</w:t>
      </w:r>
      <w:bookmarkEnd w:id="22"/>
      <w:r>
        <w:rPr>
          <w:rFonts w:hint="eastAsia" w:ascii="仿宋" w:hAnsi="仿宋" w:eastAsia="仿宋" w:cs="仿宋"/>
          <w:b/>
          <w:color w:val="auto"/>
          <w:sz w:val="36"/>
          <w:szCs w:val="36"/>
          <w:highlight w:val="none"/>
        </w:rPr>
        <w:t>须知</w:t>
      </w:r>
      <w:bookmarkEnd w:id="23"/>
      <w:bookmarkEnd w:id="33"/>
      <w:bookmarkEnd w:id="34"/>
      <w:bookmarkEnd w:id="35"/>
      <w:bookmarkEnd w:id="36"/>
      <w:bookmarkEnd w:id="37"/>
    </w:p>
    <w:p w14:paraId="6DAB66FF">
      <w:pPr>
        <w:wordWrap w:val="0"/>
        <w:rPr>
          <w:rFonts w:hint="eastAsia" w:ascii="仿宋" w:hAnsi="仿宋" w:eastAsia="仿宋" w:cs="仿宋"/>
          <w:color w:val="auto"/>
          <w:szCs w:val="21"/>
          <w:highlight w:val="none"/>
        </w:rPr>
      </w:pPr>
    </w:p>
    <w:p w14:paraId="719B615D">
      <w:pPr>
        <w:pStyle w:val="22"/>
        <w:widowControl/>
        <w:wordWrap w:val="0"/>
        <w:snapToGrid w:val="0"/>
        <w:spacing w:beforeAutospacing="0" w:afterAutospacing="0" w:line="360" w:lineRule="auto"/>
        <w:ind w:firstLine="480" w:firstLineChars="200"/>
        <w:rPr>
          <w:rFonts w:hint="eastAsia" w:ascii="仿宋" w:hAnsi="仿宋" w:eastAsia="仿宋" w:cs="仿宋"/>
          <w:color w:val="auto"/>
          <w:highlight w:val="none"/>
        </w:rPr>
      </w:pPr>
      <w:bookmarkStart w:id="38" w:name="_Toc20440"/>
      <w:r>
        <w:rPr>
          <w:rFonts w:hint="eastAsia" w:ascii="仿宋" w:hAnsi="仿宋" w:eastAsia="仿宋" w:cs="仿宋"/>
          <w:color w:val="auto"/>
          <w:highlight w:val="none"/>
        </w:rPr>
        <w:t>一</w:t>
      </w:r>
      <w:r>
        <w:rPr>
          <w:rFonts w:hint="eastAsia" w:ascii="仿宋" w:hAnsi="仿宋" w:eastAsia="仿宋" w:cs="仿宋"/>
          <w:b/>
          <w:bCs/>
          <w:color w:val="auto"/>
          <w:highlight w:val="none"/>
        </w:rPr>
        <w:t>、项目名称</w:t>
      </w:r>
      <w:r>
        <w:rPr>
          <w:rFonts w:hint="eastAsia" w:ascii="仿宋" w:hAnsi="仿宋" w:eastAsia="仿宋" w:cs="仿宋"/>
          <w:color w:val="auto"/>
          <w:highlight w:val="none"/>
        </w:rPr>
        <w:t>：</w:t>
      </w:r>
      <w:bookmarkEnd w:id="38"/>
      <w:r>
        <w:rPr>
          <w:rStyle w:val="33"/>
          <w:rFonts w:hint="eastAsia" w:ascii="仿宋" w:hAnsi="仿宋" w:eastAsia="仿宋" w:cs="仿宋"/>
          <w:color w:val="auto"/>
          <w:highlight w:val="none"/>
        </w:rPr>
        <w:t>杭州市新能源投资发展有限公司杭州市电动自行车街面充（换）电设备项目--换电柜样品采购安装</w:t>
      </w:r>
    </w:p>
    <w:p w14:paraId="2ED95E03">
      <w:pPr>
        <w:wordWrap w:val="0"/>
        <w:snapToGrid w:val="0"/>
        <w:spacing w:line="360" w:lineRule="auto"/>
        <w:ind w:firstLine="482" w:firstLineChars="200"/>
        <w:outlineLvl w:val="1"/>
        <w:rPr>
          <w:rFonts w:hint="eastAsia" w:ascii="仿宋" w:hAnsi="仿宋" w:eastAsia="仿宋" w:cs="仿宋"/>
          <w:color w:val="auto"/>
          <w:kern w:val="0"/>
          <w:sz w:val="24"/>
          <w:highlight w:val="none"/>
        </w:rPr>
      </w:pPr>
      <w:bookmarkStart w:id="39" w:name="_Toc19707"/>
      <w:r>
        <w:rPr>
          <w:rFonts w:hint="eastAsia" w:ascii="仿宋" w:hAnsi="仿宋" w:eastAsia="仿宋" w:cs="仿宋"/>
          <w:b/>
          <w:color w:val="auto"/>
          <w:sz w:val="24"/>
          <w:highlight w:val="none"/>
        </w:rPr>
        <w:t>二、采购内容：</w:t>
      </w:r>
      <w:bookmarkEnd w:id="39"/>
      <w:r>
        <w:rPr>
          <w:rFonts w:hint="eastAsia" w:ascii="仿宋" w:hAnsi="仿宋" w:eastAsia="仿宋" w:cs="仿宋"/>
          <w:color w:val="auto"/>
          <w:kern w:val="0"/>
          <w:sz w:val="24"/>
          <w:highlight w:val="none"/>
        </w:rPr>
        <w:t>见询价公告。</w:t>
      </w:r>
    </w:p>
    <w:p w14:paraId="79606F31">
      <w:pPr>
        <w:wordWrap w:val="0"/>
        <w:spacing w:line="360" w:lineRule="auto"/>
        <w:ind w:firstLine="482"/>
        <w:outlineLvl w:val="1"/>
        <w:rPr>
          <w:rFonts w:hint="eastAsia" w:ascii="仿宋" w:hAnsi="仿宋" w:eastAsia="仿宋" w:cs="仿宋"/>
          <w:b/>
          <w:bCs/>
          <w:color w:val="auto"/>
          <w:sz w:val="24"/>
          <w:highlight w:val="none"/>
        </w:rPr>
      </w:pPr>
      <w:bookmarkStart w:id="40" w:name="_Toc1965"/>
      <w:bookmarkStart w:id="41" w:name="_Toc18273"/>
      <w:r>
        <w:rPr>
          <w:rFonts w:hint="eastAsia" w:ascii="仿宋" w:hAnsi="仿宋" w:eastAsia="仿宋" w:cs="仿宋"/>
          <w:b/>
          <w:color w:val="auto"/>
          <w:sz w:val="24"/>
          <w:highlight w:val="none"/>
        </w:rPr>
        <w:t>三、</w:t>
      </w:r>
      <w:bookmarkEnd w:id="40"/>
      <w:bookmarkStart w:id="42" w:name="_Toc11385"/>
      <w:bookmarkStart w:id="43" w:name="_Toc5881"/>
      <w:r>
        <w:rPr>
          <w:rFonts w:hint="eastAsia" w:ascii="仿宋" w:hAnsi="仿宋" w:eastAsia="仿宋" w:cs="仿宋"/>
          <w:b/>
          <w:bCs/>
          <w:color w:val="auto"/>
          <w:sz w:val="24"/>
          <w:highlight w:val="none"/>
        </w:rPr>
        <w:t>报价要求：</w:t>
      </w:r>
      <w:bookmarkEnd w:id="42"/>
      <w:bookmarkEnd w:id="43"/>
    </w:p>
    <w:p w14:paraId="4C9A1178">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1、人民币报价。</w:t>
      </w:r>
    </w:p>
    <w:p w14:paraId="10FDE5B1">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包括包括但不限于合同货物（含随机备品备件、专用工具和检测工具等）出厂价（含所有规费、税费（13%）等）、深化设计、包装费、运杂费、装卸费、验收费（含第三方检验）、保险费（工伤保险、财产保险、 意外伤害保险、运输险等）、风险费、安装、接地、调试、验收、质保期运维、合理损耗、售后服务费、利润、税金及完成本项目需要配合的其他工作</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lang w:val="zh-CN"/>
        </w:rPr>
        <w:t>全部费用</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应价人须按报价函中的格式要求填写。</w:t>
      </w:r>
    </w:p>
    <w:p w14:paraId="2CE82A3D">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3、供应商开具增值税专票。</w:t>
      </w:r>
    </w:p>
    <w:p w14:paraId="230577CC">
      <w:pPr>
        <w:wordWrap w:val="0"/>
        <w:snapToGrid w:val="0"/>
        <w:spacing w:line="360" w:lineRule="auto"/>
        <w:ind w:firstLine="482" w:firstLineChars="200"/>
        <w:outlineLvl w:val="1"/>
        <w:rPr>
          <w:rFonts w:hint="eastAsia" w:ascii="仿宋" w:hAnsi="仿宋" w:eastAsia="仿宋" w:cs="仿宋"/>
          <w:b/>
          <w:bCs/>
          <w:color w:val="auto"/>
          <w:sz w:val="24"/>
          <w:highlight w:val="none"/>
        </w:rPr>
      </w:pPr>
      <w:bookmarkStart w:id="44" w:name="_Toc27099"/>
      <w:bookmarkStart w:id="45" w:name="_Toc24500"/>
      <w:r>
        <w:rPr>
          <w:rFonts w:hint="eastAsia" w:ascii="仿宋" w:hAnsi="仿宋" w:eastAsia="仿宋" w:cs="仿宋"/>
          <w:b/>
          <w:bCs/>
          <w:color w:val="auto"/>
          <w:sz w:val="24"/>
          <w:highlight w:val="none"/>
        </w:rPr>
        <w:t>四、应价文件要求：</w:t>
      </w:r>
      <w:bookmarkEnd w:id="44"/>
      <w:bookmarkEnd w:id="45"/>
    </w:p>
    <w:p w14:paraId="2538340E">
      <w:pPr>
        <w:wordWrap w:val="0"/>
        <w:snapToGrid w:val="0"/>
        <w:spacing w:line="360" w:lineRule="auto"/>
        <w:ind w:firstLine="480" w:firstLineChars="200"/>
        <w:outlineLvl w:val="1"/>
        <w:rPr>
          <w:rFonts w:hint="eastAsia" w:ascii="仿宋" w:hAnsi="仿宋" w:eastAsia="仿宋" w:cs="仿宋"/>
          <w:color w:val="auto"/>
          <w:sz w:val="24"/>
          <w:highlight w:val="none"/>
        </w:rPr>
      </w:pPr>
      <w:bookmarkStart w:id="46" w:name="_Toc29202"/>
      <w:bookmarkStart w:id="47" w:name="_Toc6450"/>
      <w:r>
        <w:rPr>
          <w:rFonts w:hint="eastAsia" w:ascii="仿宋" w:hAnsi="仿宋" w:eastAsia="仿宋" w:cs="仿宋"/>
          <w:color w:val="auto"/>
          <w:sz w:val="24"/>
          <w:highlight w:val="none"/>
        </w:rPr>
        <w:t>（一）应价文件组成：</w:t>
      </w:r>
      <w:bookmarkEnd w:id="46"/>
      <w:bookmarkEnd w:id="47"/>
    </w:p>
    <w:p w14:paraId="10A6B579">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1、报价函及附表；</w:t>
      </w:r>
    </w:p>
    <w:p w14:paraId="4D0ADF08">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2、报价明细清单（如有）；</w:t>
      </w:r>
    </w:p>
    <w:p w14:paraId="52A5FF84">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3、法定代表人身份证明和法定代表人授权委托书（法定代表人签字的，仅提供法定代表人身份证明）；</w:t>
      </w:r>
    </w:p>
    <w:p w14:paraId="120486E8">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4、企业营业执照副本复印件；</w:t>
      </w:r>
    </w:p>
    <w:p w14:paraId="0E164CB7">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5、供应商资格条件要求提供的其他材料；</w:t>
      </w:r>
    </w:p>
    <w:p w14:paraId="1607C6E5">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6、声明函；</w:t>
      </w:r>
    </w:p>
    <w:p w14:paraId="6FDEBE6F">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w:t>
      </w:r>
    </w:p>
    <w:p w14:paraId="1B2ECEBB">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8、其他应价人认为需要提供的材料（如生产厂家介绍、设备介绍等）。</w:t>
      </w:r>
    </w:p>
    <w:p w14:paraId="03F1D8F0">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注：以上复印件均需加盖应价人单位公章。</w:t>
      </w:r>
    </w:p>
    <w:p w14:paraId="348C0FF9">
      <w:pPr>
        <w:wordWrap w:val="0"/>
        <w:snapToGrid w:val="0"/>
        <w:spacing w:line="360" w:lineRule="auto"/>
        <w:ind w:firstLine="480" w:firstLineChars="200"/>
        <w:rPr>
          <w:rFonts w:hint="eastAsia" w:ascii="仿宋" w:hAnsi="仿宋" w:eastAsia="仿宋" w:cs="仿宋"/>
          <w:color w:val="auto"/>
          <w:sz w:val="24"/>
          <w:highlight w:val="none"/>
        </w:rPr>
      </w:pPr>
      <w:bookmarkStart w:id="48" w:name="_Toc3405"/>
      <w:bookmarkStart w:id="49" w:name="_Toc15069"/>
      <w:bookmarkStart w:id="50" w:name="_Toc22903"/>
      <w:bookmarkStart w:id="51" w:name="_Toc21594"/>
      <w:r>
        <w:rPr>
          <w:rFonts w:hint="eastAsia" w:ascii="仿宋" w:hAnsi="仿宋" w:eastAsia="仿宋" w:cs="仿宋"/>
          <w:color w:val="auto"/>
          <w:sz w:val="24"/>
          <w:highlight w:val="none"/>
        </w:rPr>
        <w:t>（二）</w:t>
      </w:r>
      <w:bookmarkEnd w:id="48"/>
      <w:bookmarkEnd w:id="49"/>
      <w:bookmarkStart w:id="52" w:name="_Toc5448"/>
      <w:r>
        <w:rPr>
          <w:rFonts w:hint="eastAsia" w:ascii="仿宋" w:hAnsi="仿宋" w:eastAsia="仿宋" w:cs="仿宋"/>
          <w:color w:val="auto"/>
          <w:sz w:val="24"/>
          <w:highlight w:val="none"/>
        </w:rPr>
        <w:t>应价文件份数</w:t>
      </w:r>
      <w:r>
        <w:rPr>
          <w:rFonts w:hint="eastAsia" w:ascii="仿宋" w:hAnsi="仿宋" w:eastAsia="仿宋" w:cs="仿宋"/>
          <w:color w:val="auto"/>
          <w:sz w:val="24"/>
          <w:highlight w:val="none"/>
        </w:rPr>
        <w:tab/>
      </w:r>
    </w:p>
    <w:p w14:paraId="0FAABA1E">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1、纸质文件：三份，其中正本壹份，副本贰份。正本和副本内容有出入，以正本为准，副本可用正本复印。</w:t>
      </w:r>
    </w:p>
    <w:p w14:paraId="394966BD">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2.电子文件：一份，存储介质U盘（提交电子版带红章的PDF文件及word版本各1份）。</w:t>
      </w:r>
    </w:p>
    <w:p w14:paraId="401FB7D6">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（三）装订及签署</w:t>
      </w:r>
      <w:r>
        <w:rPr>
          <w:rFonts w:hint="eastAsia" w:ascii="仿宋" w:hAnsi="仿宋" w:eastAsia="仿宋" w:cs="仿宋"/>
          <w:color w:val="auto"/>
          <w:sz w:val="24"/>
          <w:highlight w:val="none"/>
        </w:rPr>
        <w:tab/>
      </w:r>
    </w:p>
    <w:p w14:paraId="63E22929">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1、装订方式要求：装订应牢固、不易拆散和换页，不得采用活页装订，否则其不利后果应价人自行负责；</w:t>
      </w:r>
    </w:p>
    <w:p w14:paraId="72210EEA">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14:paraId="7DB7398D">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（四）包装及密封</w:t>
      </w:r>
      <w:r>
        <w:rPr>
          <w:rFonts w:hint="eastAsia" w:ascii="仿宋" w:hAnsi="仿宋" w:eastAsia="仿宋" w:cs="仿宋"/>
          <w:color w:val="auto"/>
          <w:sz w:val="24"/>
          <w:highlight w:val="none"/>
        </w:rPr>
        <w:tab/>
      </w:r>
    </w:p>
    <w:p w14:paraId="1335BFED">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p w14:paraId="0739C110">
      <w:pPr>
        <w:wordWrap w:val="0"/>
        <w:snapToGrid w:val="0"/>
        <w:spacing w:line="360" w:lineRule="auto"/>
        <w:ind w:firstLine="482" w:firstLineChars="200"/>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五、应价保证金：</w:t>
      </w:r>
      <w:bookmarkEnd w:id="52"/>
      <w:r>
        <w:rPr>
          <w:rFonts w:hint="eastAsia" w:ascii="仿宋" w:hAnsi="仿宋" w:eastAsia="仿宋" w:cs="仿宋"/>
          <w:b/>
          <w:bCs/>
          <w:color w:val="auto"/>
          <w:sz w:val="24"/>
          <w:highlight w:val="none"/>
        </w:rPr>
        <w:t>无</w:t>
      </w:r>
    </w:p>
    <w:p w14:paraId="6ECEC204">
      <w:pPr>
        <w:wordWrap w:val="0"/>
        <w:snapToGrid w:val="0"/>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六、应价有效期:开启之日起不少于90天。</w:t>
      </w:r>
      <w:bookmarkEnd w:id="50"/>
    </w:p>
    <w:bookmarkEnd w:id="51"/>
    <w:p w14:paraId="0A613C63">
      <w:pPr>
        <w:pStyle w:val="25"/>
        <w:wordWrap w:val="0"/>
        <w:rPr>
          <w:rFonts w:hint="eastAsia" w:ascii="仿宋" w:hAnsi="仿宋" w:eastAsia="仿宋" w:cs="仿宋"/>
          <w:color w:val="auto"/>
          <w:highlight w:val="none"/>
          <w:lang w:val="en-US"/>
        </w:rPr>
      </w:pPr>
      <w:bookmarkStart w:id="53" w:name="_Toc30986"/>
      <w:r>
        <w:rPr>
          <w:rFonts w:hint="eastAsia" w:ascii="仿宋" w:hAnsi="仿宋" w:eastAsia="仿宋" w:cs="仿宋"/>
          <w:b/>
          <w:bCs/>
          <w:color w:val="auto"/>
          <w:highlight w:val="none"/>
          <w:lang w:val="en-US"/>
        </w:rPr>
        <w:t>八、应价文件递交</w:t>
      </w:r>
    </w:p>
    <w:p w14:paraId="6AF73051">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1、递交形式：详见公告。</w:t>
      </w:r>
    </w:p>
    <w:p w14:paraId="0C96811F">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2、应价文件拒收</w:t>
      </w:r>
      <w:r>
        <w:rPr>
          <w:rFonts w:hint="eastAsia" w:ascii="仿宋" w:hAnsi="仿宋" w:eastAsia="仿宋" w:cs="仿宋"/>
          <w:color w:val="auto"/>
          <w:highlight w:val="none"/>
          <w:lang w:val="en-US"/>
        </w:rPr>
        <w:tab/>
      </w:r>
    </w:p>
    <w:p w14:paraId="3811A9FA">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存在下列情况之一的，应价文件被拒绝接受：</w:t>
      </w:r>
    </w:p>
    <w:p w14:paraId="087A3654">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（1）逾期送达的、未送达指定地点的；</w:t>
      </w:r>
    </w:p>
    <w:p w14:paraId="664AAB1E">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（2）由于包装不妥严重破损或失散的；</w:t>
      </w:r>
    </w:p>
    <w:p w14:paraId="7B84B93E">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（3）未按照询价文件规定要求包装或密封的；</w:t>
      </w:r>
    </w:p>
    <w:p w14:paraId="473C4D55">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（4）以电讯形式递交的；</w:t>
      </w:r>
    </w:p>
    <w:p w14:paraId="7D6C5A58">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（5）不符合法律、法规和询价文件中规定的其他实质性要求的。</w:t>
      </w:r>
    </w:p>
    <w:p w14:paraId="51B664E1">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3、存在下列情况之一的，视为拒收，当场退回应价文件：</w:t>
      </w:r>
    </w:p>
    <w:p w14:paraId="38E8DE25">
      <w:pPr>
        <w:pStyle w:val="25"/>
        <w:wordWrap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（1）纸质应价文件不符合装订要求的。</w:t>
      </w:r>
    </w:p>
    <w:p w14:paraId="44981627">
      <w:pPr>
        <w:pStyle w:val="25"/>
        <w:wordWrap w:val="0"/>
        <w:rPr>
          <w:rFonts w:hint="eastAsia" w:ascii="仿宋" w:hAnsi="仿宋" w:eastAsia="仿宋" w:cs="仿宋"/>
          <w:b/>
          <w:bCs/>
          <w:color w:val="auto"/>
          <w:highlight w:val="none"/>
          <w:lang w:val="en-US"/>
        </w:rPr>
      </w:pPr>
      <w:r>
        <w:rPr>
          <w:rFonts w:hint="eastAsia" w:ascii="仿宋" w:hAnsi="仿宋" w:eastAsia="仿宋" w:cs="仿宋"/>
          <w:color w:val="auto"/>
          <w:highlight w:val="none"/>
          <w:lang w:val="en-US"/>
        </w:rPr>
        <w:t>（2）其他：无。</w:t>
      </w:r>
    </w:p>
    <w:p w14:paraId="1D3B005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4、递交应价文件不足三家的，询价失败。</w:t>
      </w:r>
    </w:p>
    <w:p w14:paraId="04280F91">
      <w:pPr>
        <w:wordWrap w:val="0"/>
        <w:spacing w:line="360" w:lineRule="auto"/>
        <w:ind w:firstLine="472" w:firstLineChars="196"/>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九、评审方法</w:t>
      </w:r>
      <w:bookmarkEnd w:id="53"/>
    </w:p>
    <w:p w14:paraId="37BF83C0">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1、本项目采用经评审最低价法。</w:t>
      </w:r>
      <w:r>
        <w:rPr>
          <w:rFonts w:hint="eastAsia" w:ascii="仿宋" w:hAnsi="仿宋" w:eastAsia="仿宋" w:cs="仿宋"/>
          <w:color w:val="auto"/>
          <w:kern w:val="0"/>
          <w:sz w:val="24"/>
          <w:highlight w:val="none"/>
        </w:rPr>
        <w:t>经评审最低价法，是指应价文件满足询价文件全部实质性要求，响应报价最低的应价人为成交候选人的评审方法。</w:t>
      </w:r>
    </w:p>
    <w:p w14:paraId="1387ABEA">
      <w:pPr>
        <w:wordWrap w:val="0"/>
        <w:spacing w:line="360" w:lineRule="auto"/>
        <w:ind w:firstLine="472" w:firstLineChars="196"/>
        <w:rPr>
          <w:rFonts w:hint="eastAsia" w:ascii="仿宋" w:hAnsi="仿宋" w:eastAsia="仿宋" w:cs="仿宋"/>
          <w:b/>
          <w:color w:val="auto"/>
          <w:kern w:val="0"/>
          <w:sz w:val="24"/>
          <w:highlight w:val="none"/>
        </w:rPr>
      </w:pPr>
      <w:bookmarkStart w:id="54" w:name="_Toc124257994"/>
      <w:r>
        <w:rPr>
          <w:rFonts w:hint="eastAsia" w:ascii="仿宋" w:hAnsi="仿宋" w:eastAsia="仿宋" w:cs="仿宋"/>
          <w:b/>
          <w:color w:val="auto"/>
          <w:kern w:val="0"/>
          <w:sz w:val="24"/>
          <w:highlight w:val="none"/>
        </w:rPr>
        <w:t>2、评审程序</w:t>
      </w:r>
      <w:bookmarkEnd w:id="54"/>
    </w:p>
    <w:p w14:paraId="55C24DF3">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2.1确定最低报价。对应价人的响应报价从低到高进行排序（报价相同时抽签确定）。</w:t>
      </w:r>
    </w:p>
    <w:p w14:paraId="1A0CF0A1">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2.2符合性审查。</w:t>
      </w:r>
    </w:p>
    <w:p w14:paraId="527E8D7B">
      <w:pPr>
        <w:wordWrap w:val="0"/>
        <w:spacing w:line="360" w:lineRule="auto"/>
        <w:ind w:firstLine="470" w:firstLineChars="19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对报价最低的前三名应价人进行符合性审查，审查不通过的依次递补，审查通过的单位中的报价最低的应价人推荐为成交候选人。</w:t>
      </w:r>
      <w:r>
        <w:rPr>
          <w:rFonts w:hint="eastAsia" w:ascii="仿宋" w:hAnsi="仿宋" w:eastAsia="仿宋" w:cs="仿宋"/>
          <w:color w:val="auto"/>
          <w:kern w:val="0"/>
          <w:sz w:val="24"/>
          <w:highlight w:val="none"/>
          <w:u w:val="single"/>
        </w:rPr>
        <w:t>经评审有效应价人不足三家的，本次询价失败。</w:t>
      </w:r>
    </w:p>
    <w:p w14:paraId="21DF95B9">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2.3响应人存在以下情形之一的，符合性审查不予通过，否决其响应：</w:t>
      </w:r>
    </w:p>
    <w:p w14:paraId="4D3DDC9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（1）应价人不具备询价文件中规定的资格要求的（应价人未提供有效的资格文件的，视为应价人不具备询价文件中规定的资格要求）；</w:t>
      </w:r>
    </w:p>
    <w:p w14:paraId="024FC1E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（2）应价文件未按照询价文件要求签署、盖章的；应价文件全部为复印件的；</w:t>
      </w:r>
    </w:p>
    <w:p w14:paraId="4BCA047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（3）应价文件含有询价人不能接受的附加条件的；</w:t>
      </w:r>
    </w:p>
    <w:p w14:paraId="4E41E570">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（4）应价文件中承诺的应价有效期少于询价文件中载明的应价有效期的；</w:t>
      </w:r>
    </w:p>
    <w:p w14:paraId="24873284">
      <w:pPr>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（5）应价文件出现不是唯一的、有选择性报价的;</w:t>
      </w:r>
    </w:p>
    <w:p w14:paraId="27F5975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（6）报价超过询价文件中规定的最高限价的;</w:t>
      </w:r>
    </w:p>
    <w:p w14:paraId="103BD2C0">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（7）报价明显低于其他通过符合性审查应价人的报价，有可能影响产品质量或者不能诚信履约的，未能按要求提供书面说明或者提交相关证明材料，不能证明其报价合理性的;</w:t>
      </w:r>
    </w:p>
    <w:p w14:paraId="11F20DDE">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（8）应价人对根据修正原则修正后的报价不确认的；</w:t>
      </w:r>
    </w:p>
    <w:p w14:paraId="4542F546">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（9）应价人提供虚假材料应价的；</w:t>
      </w:r>
    </w:p>
    <w:p w14:paraId="289D8E39">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（10）应价人有恶意串通、妨碍其他应价人的竞争行为、损害询价人或者其他应价人的合法权益情形的；</w:t>
      </w:r>
    </w:p>
    <w:p w14:paraId="6746BA23">
      <w:pPr>
        <w:wordWrap w:val="0"/>
        <w:spacing w:line="360" w:lineRule="auto"/>
        <w:ind w:firstLine="480" w:firstLineChars="200"/>
        <w:rPr>
          <w:rFonts w:hint="eastAsia" w:ascii="仿宋" w:hAnsi="仿宋" w:eastAsia="仿宋" w:cs="仿宋"/>
          <w:color w:val="auto"/>
          <w:kern w:val="0"/>
          <w:sz w:val="24"/>
          <w:highlight w:val="none"/>
        </w:rPr>
      </w:pPr>
      <w:bookmarkStart w:id="55" w:name="_Toc14294"/>
      <w:bookmarkStart w:id="56" w:name="_Toc124257995"/>
      <w:r>
        <w:rPr>
          <w:rFonts w:hint="eastAsia" w:ascii="仿宋" w:hAnsi="仿宋" w:eastAsia="仿宋" w:cs="仿宋"/>
          <w:color w:val="auto"/>
          <w:kern w:val="0"/>
          <w:sz w:val="24"/>
          <w:highlight w:val="none"/>
        </w:rPr>
        <w:t>（11）应价文件不满足询价文件实质性要求的；</w:t>
      </w:r>
      <w:bookmarkEnd w:id="55"/>
      <w:bookmarkEnd w:id="56"/>
    </w:p>
    <w:p w14:paraId="233DA5F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（12）法律、法规、规章规定的其他无效情形。</w:t>
      </w:r>
    </w:p>
    <w:p w14:paraId="209E33B6">
      <w:pPr>
        <w:wordWrap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2.4</w:t>
      </w:r>
      <w:r>
        <w:rPr>
          <w:rFonts w:hint="eastAsia" w:ascii="仿宋" w:hAnsi="仿宋" w:eastAsia="仿宋" w:cs="仿宋"/>
          <w:bCs/>
          <w:color w:val="auto"/>
          <w:kern w:val="0"/>
          <w:sz w:val="24"/>
          <w:highlight w:val="none"/>
        </w:rPr>
        <w:t>推荐成交候选人。</w:t>
      </w:r>
    </w:p>
    <w:p w14:paraId="0CDE0538">
      <w:pPr>
        <w:wordWrap w:val="0"/>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bCs/>
          <w:color w:val="auto"/>
          <w:kern w:val="0"/>
          <w:sz w:val="24"/>
          <w:highlight w:val="none"/>
        </w:rPr>
        <w:t>评</w:t>
      </w:r>
      <w:r>
        <w:rPr>
          <w:rFonts w:hint="eastAsia" w:ascii="仿宋" w:hAnsi="仿宋" w:eastAsia="仿宋" w:cs="仿宋"/>
          <w:color w:val="auto"/>
          <w:kern w:val="0"/>
          <w:sz w:val="24"/>
          <w:highlight w:val="none"/>
        </w:rPr>
        <w:t>审结果按评审后报价由低到高顺序排列。应价文件满足询价文件全部实质性要求，且报价最低的应价人为排名第一的成交候选人。</w:t>
      </w:r>
      <w:r>
        <w:rPr>
          <w:rFonts w:hint="eastAsia" w:ascii="仿宋" w:hAnsi="仿宋" w:eastAsia="仿宋" w:cs="仿宋"/>
          <w:color w:val="auto"/>
          <w:kern w:val="0"/>
          <w:sz w:val="24"/>
          <w:highlight w:val="none"/>
          <w:u w:val="single"/>
        </w:rPr>
        <w:t>本项目推荐成交候选人1名。</w:t>
      </w:r>
    </w:p>
    <w:p w14:paraId="6A8840B1">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2.5编写评审报告。评审</w:t>
      </w:r>
      <w:r>
        <w:rPr>
          <w:rFonts w:hint="eastAsia" w:ascii="仿宋" w:hAnsi="仿宋" w:eastAsia="仿宋" w:cs="仿宋"/>
          <w:color w:val="auto"/>
          <w:kern w:val="0"/>
          <w:sz w:val="24"/>
          <w:highlight w:val="none"/>
        </w:rPr>
        <w:t>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104CCDC">
      <w:pPr>
        <w:widowControl/>
        <w:shd w:val="clear" w:color="auto" w:fill="FFFFFF"/>
        <w:wordWrap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3、评审中的其他事项</w:t>
      </w:r>
    </w:p>
    <w:p w14:paraId="4B11E5A7">
      <w:pPr>
        <w:pStyle w:val="52"/>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3.1应价人澄清、说明或者补正。</w:t>
      </w:r>
      <w:r>
        <w:rPr>
          <w:rFonts w:hint="eastAsia" w:ascii="仿宋" w:hAnsi="仿宋" w:eastAsia="仿宋" w:cs="仿宋"/>
          <w:color w:val="auto"/>
          <w:kern w:val="0"/>
          <w:szCs w:val="24"/>
          <w:highlight w:val="none"/>
        </w:rPr>
        <w:t>对于应价文件中含义不明确、同类问题表述不一致或者有明显文字和计算错误的内容需要应价人作出必要的澄清、说明或者补正的，评审小组和应价人通过电子邮件形式质询、澄清、说明或补正，应价人提交通过电子邮件发送加盖单位物理公章的扫描件。给予应价人提交澄清、说明或补正的时间不得少于半小时，应价人已经明确表示澄清说明或补正完毕的除外。应价人的澄清、说明或者补正不得超出应价文件的范围或者改变应价文件的实质性内容。</w:t>
      </w:r>
    </w:p>
    <w:p w14:paraId="1C14B304">
      <w:pPr>
        <w:wordWrap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3.2报价评审。</w:t>
      </w:r>
    </w:p>
    <w:p w14:paraId="26AABE6F">
      <w:pPr>
        <w:pStyle w:val="52"/>
        <w:wordWrap w:val="0"/>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应价文件报价出现前后不一致的，按照下列规定修正：</w:t>
      </w:r>
    </w:p>
    <w:p w14:paraId="5EC28440">
      <w:pPr>
        <w:pStyle w:val="5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（1）应价文件中报价函内容与应价文件中相应内容不一致的，以报价函为准；</w:t>
      </w:r>
      <w:r>
        <w:rPr>
          <w:rFonts w:hint="eastAsia" w:ascii="仿宋" w:hAnsi="仿宋" w:eastAsia="仿宋" w:cs="仿宋"/>
          <w:color w:val="auto"/>
          <w:kern w:val="0"/>
          <w:szCs w:val="24"/>
          <w:highlight w:val="none"/>
          <w:u w:val="single"/>
        </w:rPr>
        <w:t>但报价函存在明显单位、文字错误的，则澄清、说明、补正；</w:t>
      </w:r>
    </w:p>
    <w:p w14:paraId="343FD540">
      <w:pPr>
        <w:pStyle w:val="52"/>
        <w:wordWrap w:val="0"/>
        <w:spacing w:before="0"/>
        <w:ind w:firstLine="480"/>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u w:val="single"/>
        </w:rPr>
        <w:t>但大写有明显单位、文字错误外的除外；</w:t>
      </w:r>
    </w:p>
    <w:p w14:paraId="7F9AFF0C">
      <w:pPr>
        <w:pStyle w:val="5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6B05D283">
      <w:pPr>
        <w:pStyle w:val="5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7B2B855A">
      <w:pPr>
        <w:pStyle w:val="5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同时出现两种以上不一致的，按照以上规定的顺序修正。修正后的报价经应价人确认后产生约束力。应价人不予确认的，其响应无效。</w:t>
      </w:r>
    </w:p>
    <w:p w14:paraId="2B52F8C5">
      <w:pPr>
        <w:pStyle w:val="13"/>
        <w:wordWrap w:val="0"/>
        <w:snapToGrid w:val="0"/>
        <w:ind w:firstLine="482" w:firstLineChars="200"/>
        <w:rPr>
          <w:rFonts w:ascii="仿宋" w:hAnsi="仿宋" w:eastAsia="仿宋" w:cs="仿宋"/>
          <w:color w:val="auto"/>
          <w:szCs w:val="24"/>
          <w:highlight w:val="none"/>
        </w:rPr>
      </w:pPr>
      <w:r>
        <w:rPr>
          <w:rFonts w:ascii="仿宋" w:hAnsi="仿宋" w:eastAsia="仿宋" w:cs="仿宋"/>
          <w:b/>
          <w:color w:val="auto"/>
          <w:szCs w:val="24"/>
          <w:highlight w:val="none"/>
        </w:rPr>
        <w:t>3.3修改询价文件，重新组织采购活动。</w:t>
      </w:r>
      <w:r>
        <w:rPr>
          <w:rFonts w:ascii="仿宋" w:hAnsi="仿宋" w:eastAsia="仿宋" w:cs="仿宋"/>
          <w:color w:val="auto"/>
          <w:szCs w:val="24"/>
          <w:highlight w:val="none"/>
        </w:rPr>
        <w:t>评审小组发现询价文件存在歧义、重大缺陷导致评审工作无法进行，或者询价文件内容违反国家有关强制性规定的，将停止评审工作，并与询价人、询价代理机构沟通并作书面记录。询价人、询价代理机构确认后，将修改询价文件，重新组织采购活动。</w:t>
      </w:r>
    </w:p>
    <w:p w14:paraId="46DA6FEA">
      <w:pPr>
        <w:pStyle w:val="13"/>
        <w:wordWrap w:val="0"/>
        <w:snapToGrid w:val="0"/>
        <w:outlineLvl w:val="1"/>
        <w:rPr>
          <w:rFonts w:ascii="仿宋" w:hAnsi="仿宋" w:eastAsia="仿宋" w:cs="仿宋"/>
          <w:b/>
          <w:bCs/>
          <w:color w:val="auto"/>
          <w:szCs w:val="24"/>
          <w:highlight w:val="none"/>
        </w:rPr>
      </w:pPr>
      <w:bookmarkStart w:id="57" w:name="_Toc28179"/>
      <w:r>
        <w:rPr>
          <w:rFonts w:ascii="仿宋" w:hAnsi="仿宋" w:eastAsia="仿宋" w:cs="仿宋"/>
          <w:b/>
          <w:bCs/>
          <w:color w:val="auto"/>
          <w:szCs w:val="24"/>
          <w:highlight w:val="none"/>
        </w:rPr>
        <w:t>十、定价</w:t>
      </w:r>
      <w:bookmarkEnd w:id="57"/>
    </w:p>
    <w:p w14:paraId="251C4A03">
      <w:pPr>
        <w:pStyle w:val="13"/>
        <w:wordWrap w:val="0"/>
        <w:ind w:left="439" w:leftChars="209" w:firstLine="0"/>
        <w:rPr>
          <w:rFonts w:ascii="仿宋" w:hAnsi="仿宋" w:eastAsia="仿宋" w:cs="仿宋"/>
          <w:b/>
          <w:color w:val="auto"/>
          <w:szCs w:val="24"/>
          <w:highlight w:val="none"/>
        </w:rPr>
      </w:pPr>
      <w:r>
        <w:rPr>
          <w:rFonts w:ascii="仿宋" w:hAnsi="仿宋" w:eastAsia="仿宋" w:cs="仿宋"/>
          <w:b/>
          <w:color w:val="auto"/>
          <w:szCs w:val="24"/>
          <w:highlight w:val="none"/>
        </w:rPr>
        <w:t>1、确定成交人</w:t>
      </w:r>
    </w:p>
    <w:p w14:paraId="3C897CFA">
      <w:pPr>
        <w:pStyle w:val="52"/>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询价人应当自收到评审报告之日起3个工作日内确定成交人（供应商）。</w:t>
      </w:r>
    </w:p>
    <w:p w14:paraId="75E8135C">
      <w:pPr>
        <w:pStyle w:val="52"/>
        <w:wordWrap w:val="0"/>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2、成交结果公告与成交通知书</w:t>
      </w:r>
    </w:p>
    <w:p w14:paraId="56E586BA">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2.1自成交人确定之日起1个工作日内，</w:t>
      </w:r>
      <w:r>
        <w:rPr>
          <w:rFonts w:hint="eastAsia" w:ascii="仿宋" w:hAnsi="仿宋" w:eastAsia="仿宋" w:cs="仿宋"/>
          <w:color w:val="auto"/>
          <w:sz w:val="24"/>
          <w:highlight w:val="none"/>
          <w:lang w:val="en-US" w:eastAsia="zh-CN"/>
        </w:rPr>
        <w:t>询价人</w:t>
      </w:r>
      <w:r>
        <w:rPr>
          <w:rFonts w:hint="eastAsia" w:ascii="仿宋" w:hAnsi="仿宋" w:eastAsia="仿宋" w:cs="仿宋"/>
          <w:color w:val="auto"/>
          <w:sz w:val="24"/>
          <w:highlight w:val="none"/>
        </w:rPr>
        <w:t xml:space="preserve">向成交人发出成交通知书，同时编制发布成交结果公告。 </w:t>
      </w:r>
    </w:p>
    <w:p w14:paraId="235F3617">
      <w:pPr>
        <w:widowControl/>
        <w:shd w:val="clear" w:color="auto" w:fill="FFFFFF"/>
        <w:wordWrap w:val="0"/>
        <w:spacing w:line="360" w:lineRule="auto"/>
        <w:ind w:firstLine="48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2.2成交公告期限为1个工作日。</w:t>
      </w:r>
    </w:p>
    <w:p w14:paraId="06046ABB">
      <w:pPr>
        <w:wordWrap w:val="0"/>
        <w:snapToGrid w:val="0"/>
        <w:spacing w:line="360" w:lineRule="auto"/>
        <w:ind w:left="120" w:leftChars="57" w:firstLine="361" w:firstLineChars="150"/>
        <w:outlineLvl w:val="1"/>
        <w:rPr>
          <w:rFonts w:hint="eastAsia" w:ascii="仿宋" w:hAnsi="仿宋" w:eastAsia="仿宋" w:cs="仿宋"/>
          <w:b/>
          <w:color w:val="auto"/>
          <w:sz w:val="24"/>
          <w:highlight w:val="none"/>
        </w:rPr>
      </w:pPr>
      <w:bookmarkStart w:id="58" w:name="_Toc8173"/>
      <w:r>
        <w:rPr>
          <w:rFonts w:hint="eastAsia" w:ascii="仿宋" w:hAnsi="仿宋" w:eastAsia="仿宋" w:cs="仿宋"/>
          <w:b/>
          <w:color w:val="auto"/>
          <w:sz w:val="24"/>
          <w:highlight w:val="none"/>
        </w:rPr>
        <w:t>十一、合同授予</w:t>
      </w:r>
      <w:bookmarkEnd w:id="58"/>
    </w:p>
    <w:p w14:paraId="31CB04F9">
      <w:pPr>
        <w:pStyle w:val="13"/>
        <w:keepNext w:val="0"/>
        <w:keepLines w:val="0"/>
        <w:pageBreakBefore w:val="0"/>
        <w:kinsoku/>
        <w:wordWrap w:val="0"/>
        <w:overflowPunct/>
        <w:topLinePunct w:val="0"/>
        <w:autoSpaceDE/>
        <w:autoSpaceDN/>
        <w:bidi w:val="0"/>
        <w:adjustRightInd w:val="0"/>
        <w:snapToGrid w:val="0"/>
        <w:ind w:left="0" w:leftChars="0" w:firstLine="480" w:firstLineChars="200"/>
        <w:textAlignment w:val="auto"/>
        <w:rPr>
          <w:rFonts w:ascii="仿宋" w:hAnsi="仿宋" w:eastAsia="仿宋" w:cs="仿宋"/>
          <w:b/>
          <w:color w:val="auto"/>
          <w:szCs w:val="24"/>
          <w:highlight w:val="none"/>
        </w:rPr>
      </w:pPr>
      <w:r>
        <w:rPr>
          <w:rFonts w:ascii="仿宋" w:hAnsi="仿宋" w:eastAsia="仿宋" w:cs="仿宋"/>
          <w:bCs/>
          <w:color w:val="auto"/>
          <w:szCs w:val="24"/>
          <w:highlight w:val="none"/>
        </w:rPr>
        <w:t>1、</w:t>
      </w:r>
      <w:r>
        <w:rPr>
          <w:rFonts w:ascii="仿宋" w:hAnsi="仿宋" w:eastAsia="仿宋" w:cs="仿宋"/>
          <w:color w:val="auto"/>
          <w:szCs w:val="24"/>
          <w:highlight w:val="none"/>
        </w:rPr>
        <w:t>合同条款详见“五、拟签订的合同文本”。</w:t>
      </w:r>
    </w:p>
    <w:p w14:paraId="6BE6031E">
      <w:pPr>
        <w:pStyle w:val="13"/>
        <w:keepNext w:val="0"/>
        <w:keepLines w:val="0"/>
        <w:pageBreakBefore w:val="0"/>
        <w:kinsoku/>
        <w:wordWrap w:val="0"/>
        <w:overflowPunct/>
        <w:topLinePunct w:val="0"/>
        <w:autoSpaceDE/>
        <w:autoSpaceDN/>
        <w:bidi w:val="0"/>
        <w:adjustRightInd w:val="0"/>
        <w:snapToGrid w:val="0"/>
        <w:ind w:left="0" w:leftChars="0" w:firstLine="480" w:firstLineChars="200"/>
        <w:textAlignment w:val="auto"/>
        <w:rPr>
          <w:rFonts w:ascii="仿宋" w:hAnsi="仿宋" w:eastAsia="仿宋" w:cs="仿宋"/>
          <w:bCs/>
          <w:color w:val="auto"/>
          <w:szCs w:val="24"/>
          <w:highlight w:val="none"/>
        </w:rPr>
      </w:pPr>
      <w:r>
        <w:rPr>
          <w:rFonts w:ascii="仿宋" w:hAnsi="仿宋" w:eastAsia="仿宋" w:cs="仿宋"/>
          <w:bCs/>
          <w:color w:val="auto"/>
          <w:szCs w:val="24"/>
          <w:highlight w:val="none"/>
        </w:rPr>
        <w:t>2、合同的签订</w:t>
      </w:r>
    </w:p>
    <w:p w14:paraId="50121677">
      <w:pPr>
        <w:keepNext w:val="0"/>
        <w:keepLines w:val="0"/>
        <w:pageBreakBefore w:val="0"/>
        <w:widowControl/>
        <w:shd w:val="clear" w:color="auto" w:fill="FFFFFF"/>
        <w:kinsoku/>
        <w:wordWrap w:val="0"/>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kern w:val="0"/>
          <w:sz w:val="24"/>
          <w:highlight w:val="none"/>
        </w:rPr>
        <w:t xml:space="preserve"> 询价人与成交人应当在成交通知书发出之日起30日内，按照询价文件确定的事项签订采购合同。</w:t>
      </w:r>
    </w:p>
    <w:p w14:paraId="5C85458F">
      <w:pPr>
        <w:pStyle w:val="52"/>
        <w:keepNext w:val="0"/>
        <w:keepLines w:val="0"/>
        <w:pageBreakBefore w:val="0"/>
        <w:kinsoku/>
        <w:wordWrap w:val="0"/>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2.2成交人按规定的日期、时间、地点，由法定代表人或其授权代表与询价人代表签订合同。如成交人为联合体的，由联合体成员各方法定代表人或其授权代表与询价人代表签订合同。</w:t>
      </w:r>
    </w:p>
    <w:p w14:paraId="11C7208F">
      <w:pPr>
        <w:pStyle w:val="52"/>
        <w:keepNext w:val="0"/>
        <w:keepLines w:val="0"/>
        <w:pageBreakBefore w:val="0"/>
        <w:kinsoku/>
        <w:wordWrap w:val="0"/>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2.3如签订合同并生效后，供应商无故拒绝或延期，除按照合同条款处理外，列入询价人的不良行为记录一次。</w:t>
      </w:r>
    </w:p>
    <w:p w14:paraId="4A2078BD">
      <w:pPr>
        <w:pStyle w:val="52"/>
        <w:keepNext w:val="0"/>
        <w:keepLines w:val="0"/>
        <w:pageBreakBefore w:val="0"/>
        <w:kinsoku/>
        <w:wordWrap w:val="0"/>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2.4成交供应商拒绝与询价人签订合同的，询价人可以按照评审报告推荐的成交或者成交候选人名单排序，确定下一候选人为成交供应商，也可以重新开展采购活动。</w:t>
      </w:r>
    </w:p>
    <w:p w14:paraId="0B354636">
      <w:pPr>
        <w:pStyle w:val="52"/>
        <w:keepNext w:val="0"/>
        <w:keepLines w:val="0"/>
        <w:pageBreakBefore w:val="0"/>
        <w:kinsoku/>
        <w:wordWrap w:val="0"/>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2.5采购合同由询价人与成交人根据询价文件、应价文件等内容签订。</w:t>
      </w:r>
    </w:p>
    <w:p w14:paraId="6509D3E0">
      <w:pPr>
        <w:pStyle w:val="13"/>
        <w:wordWrap w:val="0"/>
        <w:ind w:left="439" w:leftChars="209" w:firstLine="0"/>
        <w:rPr>
          <w:rFonts w:ascii="仿宋" w:hAnsi="仿宋" w:eastAsia="仿宋" w:cs="仿宋"/>
          <w:b/>
          <w:color w:val="auto"/>
          <w:szCs w:val="24"/>
          <w:highlight w:val="none"/>
        </w:rPr>
      </w:pPr>
      <w:r>
        <w:rPr>
          <w:rFonts w:ascii="仿宋" w:hAnsi="仿宋" w:eastAsia="仿宋" w:cs="仿宋"/>
          <w:b/>
          <w:color w:val="auto"/>
          <w:szCs w:val="24"/>
          <w:highlight w:val="none"/>
        </w:rPr>
        <w:t>十二、履约保证金</w:t>
      </w:r>
    </w:p>
    <w:p w14:paraId="2AF2B18D">
      <w:pPr>
        <w:tabs>
          <w:tab w:val="left" w:pos="0"/>
        </w:tabs>
        <w:wordWrap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拟签订的合同要求成交人提交履约保证金的，供应商应当以转账、支票、汇票、本票或者金融机构出具的保函等形式提交</w:t>
      </w:r>
      <w:r>
        <w:rPr>
          <w:rFonts w:hint="eastAsia" w:ascii="仿宋" w:hAnsi="仿宋" w:eastAsia="仿宋" w:cs="仿宋"/>
          <w:color w:val="auto"/>
          <w:sz w:val="24"/>
          <w:highlight w:val="none"/>
        </w:rPr>
        <w:t>。履约保证金的数额为合同金额的5%。</w:t>
      </w:r>
    </w:p>
    <w:p w14:paraId="35A8E4F8">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68D4781D">
      <w:pPr>
        <w:wordWrap w:val="0"/>
        <w:jc w:val="center"/>
        <w:outlineLvl w:val="0"/>
        <w:rPr>
          <w:rFonts w:hint="eastAsia" w:ascii="仿宋" w:hAnsi="仿宋" w:eastAsia="仿宋" w:cs="仿宋"/>
          <w:b/>
          <w:bCs/>
          <w:color w:val="auto"/>
          <w:sz w:val="32"/>
          <w:szCs w:val="32"/>
          <w:highlight w:val="none"/>
        </w:rPr>
      </w:pPr>
      <w:bookmarkStart w:id="59" w:name="_Toc18430"/>
      <w:bookmarkStart w:id="60" w:name="_Toc3062"/>
      <w:bookmarkStart w:id="61" w:name="_Toc4334"/>
      <w:bookmarkStart w:id="62" w:name="_Toc15435"/>
      <w:r>
        <w:rPr>
          <w:rFonts w:hint="eastAsia" w:ascii="仿宋" w:hAnsi="仿宋" w:eastAsia="仿宋" w:cs="仿宋"/>
          <w:b/>
          <w:bCs/>
          <w:color w:val="auto"/>
          <w:sz w:val="32"/>
          <w:szCs w:val="32"/>
          <w:highlight w:val="none"/>
        </w:rPr>
        <w:t>第三部分  采购需求及要求</w:t>
      </w:r>
      <w:bookmarkEnd w:id="41"/>
      <w:bookmarkEnd w:id="59"/>
      <w:bookmarkEnd w:id="60"/>
      <w:bookmarkEnd w:id="61"/>
      <w:bookmarkEnd w:id="62"/>
    </w:p>
    <w:p w14:paraId="51BCD6A0">
      <w:pPr>
        <w:pStyle w:val="14"/>
        <w:wordWrap w:val="0"/>
        <w:rPr>
          <w:rFonts w:hint="eastAsia" w:ascii="仿宋" w:hAnsi="仿宋" w:eastAsia="仿宋" w:cs="仿宋"/>
          <w:b/>
          <w:bCs/>
          <w:color w:val="auto"/>
          <w:sz w:val="24"/>
          <w:highlight w:val="none"/>
        </w:rPr>
      </w:pPr>
      <w:bookmarkStart w:id="63" w:name="_Toc20190"/>
    </w:p>
    <w:bookmarkEnd w:id="63"/>
    <w:p w14:paraId="4CEE15C7">
      <w:pPr>
        <w:pageBreakBefore w:val="0"/>
        <w:numPr>
          <w:ilvl w:val="0"/>
          <w:numId w:val="5"/>
        </w:numPr>
        <w:kinsoku/>
        <w:wordWrap w:val="0"/>
        <w:overflowPunct/>
        <w:topLinePunct w:val="0"/>
        <w:bidi w:val="0"/>
        <w:spacing w:line="360" w:lineRule="auto"/>
        <w:ind w:firstLine="482" w:firstLineChars="200"/>
        <w:outlineLvl w:val="1"/>
        <w:rPr>
          <w:rFonts w:hint="eastAsia" w:ascii="仿宋" w:hAnsi="仿宋" w:eastAsia="仿宋" w:cs="仿宋"/>
          <w:b/>
          <w:bCs/>
          <w:sz w:val="24"/>
          <w:szCs w:val="24"/>
          <w:highlight w:val="none"/>
        </w:rPr>
      </w:pPr>
      <w:bookmarkStart w:id="64" w:name="_Toc26994"/>
      <w:bookmarkStart w:id="65" w:name="_Toc20920"/>
      <w:bookmarkStart w:id="66" w:name="_Toc21619"/>
      <w:bookmarkStart w:id="67" w:name="_Toc16497"/>
      <w:bookmarkStart w:id="68" w:name="_Toc18998"/>
      <w:bookmarkStart w:id="69" w:name="_Toc23129"/>
      <w:bookmarkStart w:id="70" w:name="_Toc4733"/>
      <w:r>
        <w:rPr>
          <w:rFonts w:hint="eastAsia" w:ascii="仿宋" w:hAnsi="仿宋" w:eastAsia="仿宋" w:cs="仿宋"/>
          <w:b/>
          <w:bCs/>
          <w:sz w:val="24"/>
          <w:szCs w:val="24"/>
          <w:highlight w:val="none"/>
        </w:rPr>
        <w:t>项目概况</w:t>
      </w:r>
      <w:bookmarkEnd w:id="64"/>
    </w:p>
    <w:p w14:paraId="08B617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电动自行车街面充（换）电设备项目是一个面向杭州市的惠民能源供应项目，旨在打造一张清洁电能的能源网络。基于外卖骑手等换电需求场景，铺设换电设施，建立换电网络，引导电动自行车骑手用户使用换电设备，提供换电服务，实现换电安全，骑行续航无忧的目的。</w:t>
      </w:r>
    </w:p>
    <w:p w14:paraId="6E041F90">
      <w:pPr>
        <w:pageBreakBefore w:val="0"/>
        <w:numPr>
          <w:ilvl w:val="0"/>
          <w:numId w:val="5"/>
        </w:numPr>
        <w:kinsoku/>
        <w:wordWrap w:val="0"/>
        <w:overflowPunct/>
        <w:topLinePunct w:val="0"/>
        <w:bidi w:val="0"/>
        <w:spacing w:line="360" w:lineRule="auto"/>
        <w:ind w:left="0" w:leftChars="0" w:firstLine="482" w:firstLineChars="200"/>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招标范围</w:t>
      </w:r>
    </w:p>
    <w:p w14:paraId="010743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电动自行车街面充(换)电设备项目--换电柜及电池采购安装招标包含但不限于：（1）针对2个投放站点换电柜的深化设计（柜体造型、颜色应按照设计方案，出具深化图纸（含效果图）），换电柜设备的供货及安装、接地及整体系统调试，质保期内的保修和维保服务；（2）与服务亭供应商、电源接入施工单位的相关配合工作；</w:t>
      </w:r>
      <w:r>
        <w:rPr>
          <w:rFonts w:hint="eastAsia" w:ascii="仿宋" w:hAnsi="仿宋" w:eastAsia="仿宋" w:cs="仿宋"/>
          <w:sz w:val="24"/>
          <w:szCs w:val="24"/>
          <w:highlight w:val="none"/>
          <w:lang w:val="en-US" w:eastAsia="zh-CN"/>
        </w:rPr>
        <w:t>（3）与后续非样品换电柜及电池供应商的相关配合工作；（4）本次采购的样品需根据招标人的要求对换电柜样品的外观设计等因素进行修改调整。</w:t>
      </w:r>
    </w:p>
    <w:p w14:paraId="66ABD9D4">
      <w:pPr>
        <w:pageBreakBefore w:val="0"/>
        <w:widowControl w:val="0"/>
        <w:numPr>
          <w:ilvl w:val="0"/>
          <w:numId w:val="5"/>
        </w:numPr>
        <w:kinsoku/>
        <w:wordWrap w:val="0"/>
        <w:overflowPunct/>
        <w:topLinePunct w:val="0"/>
        <w:autoSpaceDE/>
        <w:autoSpaceDN/>
        <w:bidi w:val="0"/>
        <w:snapToGrid w:val="0"/>
        <w:spacing w:before="144" w:beforeLines="50" w:after="144" w:afterLines="50" w:line="360" w:lineRule="auto"/>
        <w:ind w:left="0" w:leftChars="0" w:firstLine="482" w:firstLineChars="20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技术要求</w:t>
      </w:r>
    </w:p>
    <w:p w14:paraId="29D98281">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default" w:ascii="仿宋" w:hAnsi="仿宋" w:eastAsia="仿宋" w:cs="仿宋"/>
          <w:sz w:val="24"/>
          <w:szCs w:val="24"/>
          <w:highlight w:val="none"/>
          <w:lang w:val="en-US" w:eastAsia="zh-CN"/>
        </w:rPr>
      </w:pPr>
      <w:bookmarkStart w:id="71" w:name="_Toc22150"/>
      <w:r>
        <w:rPr>
          <w:rFonts w:hint="eastAsia" w:ascii="仿宋" w:hAnsi="仿宋" w:eastAsia="仿宋" w:cs="仿宋"/>
          <w:sz w:val="24"/>
          <w:szCs w:val="24"/>
          <w:highlight w:val="none"/>
          <w:lang w:val="en-US" w:eastAsia="zh-CN"/>
        </w:rPr>
        <w:t>（一）换电柜技术要求</w:t>
      </w:r>
    </w:p>
    <w:p w14:paraId="01320E70">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产品简要说明</w:t>
      </w:r>
      <w:bookmarkEnd w:id="71"/>
    </w:p>
    <w:p w14:paraId="1CE7E4B9">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firstLine="482" w:firstLineChars="200"/>
        <w:textAlignment w:val="auto"/>
        <w:rPr>
          <w:rFonts w:hint="eastAsia" w:ascii="仿宋" w:hAnsi="仿宋" w:eastAsia="仿宋" w:cs="仿宋"/>
          <w:sz w:val="24"/>
          <w:szCs w:val="24"/>
          <w:highlight w:val="none"/>
          <w:lang w:eastAsia="zh-CN"/>
        </w:rPr>
      </w:pPr>
      <w:bookmarkStart w:id="72" w:name="_Toc23919"/>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产品简述</w:t>
      </w:r>
      <w:bookmarkEnd w:id="72"/>
    </w:p>
    <w:p w14:paraId="3AD37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动自行车智能充换电柜（以下简称充换电柜）是响应国家节能减排政策和满足绿色出行需求的创新产品。该产品基于车身与电池分离的设计理念，为用户提供便捷、高效的换电服务。用户可以通过充换电柜轻松实现欠电电池与满电电池的互换，无需等待充电时间即可继续使用电动自行车。这种模式不仅提高了电动自行车的使用效率，还有效解决了用户在出行过程中可能遇到的电量不足问题。</w:t>
      </w:r>
    </w:p>
    <w:p w14:paraId="7A6636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国家对电动自行车及电池管理日益严格的背景下，充换电柜的设计和生产，不仅符合国家关于电动自行车车辆安全、环保的相关标准，还通过物联网及智能化技术提升了产品性能和用户体验。产品的设计充分考虑了用户的便捷性和实用性，通过实时电池状态监控功能，用户可以清晰了解电池的充电进度和健康状况。通过数据管理平台，能够及时预警电池潜在的风险，使电池的使用、充换电和回收等环节的安全水平得到了全面提升，从而最大程度地保障使用安全，延长电池寿命。充换电柜采用了模块化设计，易于维护和升级，确保了长期的可靠性和实用性。通过集成的智能控制单元，充换电柜能够实现远程监控和故障诊断，减少了人工干预，提高了运营效率。</w:t>
      </w:r>
    </w:p>
    <w:p w14:paraId="34275E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体而言，充换电柜是一种高效、安全、环保的智能充电解决方案，它不仅满足了当前市场对电动车辆能源补给的需求，也符合国家推动新能源产业发展和构建绿色出行体系的战略目标。随着技术的不断进步和市场的逐渐成熟，充换电柜有望在未来的能源管理和城市交通中扮演更加重要的角色。</w:t>
      </w:r>
    </w:p>
    <w:p w14:paraId="5033A981">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default" w:ascii="仿宋" w:hAnsi="仿宋" w:eastAsia="仿宋" w:cs="仿宋"/>
          <w:sz w:val="24"/>
          <w:szCs w:val="24"/>
          <w:highlight w:val="none"/>
          <w:lang w:val="en-US" w:eastAsia="zh-CN"/>
        </w:rPr>
      </w:pPr>
      <w:bookmarkStart w:id="73" w:name="_Toc14074"/>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2设计依据</w:t>
      </w:r>
      <w:bookmarkEnd w:id="73"/>
    </w:p>
    <w:p w14:paraId="34379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本项目的建设依据主要根据国家的相关技术标准规范和相关行业技术要求，主要有:</w:t>
      </w:r>
    </w:p>
    <w:p w14:paraId="0BFDC4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4208《外壳防护等级（IP代码）》</w:t>
      </w:r>
    </w:p>
    <w:p w14:paraId="41F3B9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9286-1998《色漆和清漆漆膜的划格试验》</w:t>
      </w:r>
    </w:p>
    <w:p w14:paraId="22C20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GB/T29318-2012《电动汽车非车载充电机电能计量》</w:t>
      </w:r>
    </w:p>
    <w:p w14:paraId="4AC738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36944-2018《电动自行车用电源技术要求》</w:t>
      </w:r>
    </w:p>
    <w:p w14:paraId="39C171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GB50689-2011《通信局站防雷与接地工程设计规范》</w:t>
      </w:r>
    </w:p>
    <w:p w14:paraId="4B6CFE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YD/T1363.3-2014《通信局（站）电源、空调及环境集中监控管理系统第3部分：前端智能设备协议》</w:t>
      </w:r>
    </w:p>
    <w:p w14:paraId="43098E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YD/T2344.1-2011《通信用磷酸铁锂电池组第1部分：集成式电池组》</w:t>
      </w:r>
    </w:p>
    <w:p w14:paraId="0023F1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GA199.1-2010《气溶胶灭火系统第1部分：热气溶胶灭火装置》</w:t>
      </w:r>
    </w:p>
    <w:p w14:paraId="435BDC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CQC1902-2020电动自行车充充换电柜技术规范</w:t>
      </w:r>
    </w:p>
    <w:p w14:paraId="13FBC0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42236.1-2022 电动自行车集中充电设施 第 1 部分：技术规范</w:t>
      </w:r>
    </w:p>
    <w:p w14:paraId="6D3F97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2423.1-2008 电工电子产品环境试验 第 2 部分：试验方法 试验 A：低温 </w:t>
      </w:r>
    </w:p>
    <w:p w14:paraId="1F0AE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2423.2-2008 电工电子产品环境试验 第 2 部分：试验方法 试验 B：高温 </w:t>
      </w:r>
    </w:p>
    <w:p w14:paraId="52AA6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2423.3-2016 环境试验 第 2 部分：试验方法 试验 Cab：恒定湿热试验 </w:t>
      </w:r>
    </w:p>
    <w:p w14:paraId="65BD6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2423.17-2008 电工电子产品环境试验 第 2 部分：试验方法 试验 Ka：盐雾 </w:t>
      </w:r>
    </w:p>
    <w:p w14:paraId="6C9DA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2423.55-2006 电工电子产品环境试验 第 2 部分：试验方法 试验 Eh：锤击试验 </w:t>
      </w:r>
    </w:p>
    <w:p w14:paraId="0693EB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GB/T 17626.5-2019 电磁兼容 试验和测量技术 浪涌（冲击）抗扰度试验</w:t>
      </w:r>
    </w:p>
    <w:p w14:paraId="1FCA00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GB/T 17626.11-2008 电磁兼容 试验和测量技术 电压暂降、短时中断和电压变化 的抗扰度试验 </w:t>
      </w:r>
    </w:p>
    <w:p w14:paraId="38E9B0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GB 17761-2018 电动自行车安全技术规范</w:t>
      </w:r>
    </w:p>
    <w:p w14:paraId="4F37C74A">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eastAsia" w:ascii="仿宋" w:hAnsi="仿宋" w:eastAsia="仿宋" w:cs="仿宋"/>
          <w:sz w:val="24"/>
          <w:szCs w:val="24"/>
          <w:highlight w:val="none"/>
          <w:lang w:val="en-US" w:eastAsia="zh-CN"/>
        </w:rPr>
      </w:pPr>
      <w:bookmarkStart w:id="74" w:name="_Toc31928"/>
      <w:r>
        <w:rPr>
          <w:rFonts w:hint="eastAsia" w:ascii="仿宋" w:hAnsi="仿宋" w:eastAsia="仿宋" w:cs="仿宋"/>
          <w:sz w:val="24"/>
          <w:szCs w:val="24"/>
          <w:highlight w:val="none"/>
          <w:lang w:val="en-US" w:eastAsia="zh-CN"/>
        </w:rPr>
        <w:t>2.设计原理</w:t>
      </w:r>
      <w:bookmarkEnd w:id="74"/>
    </w:p>
    <w:p w14:paraId="1FEF1106">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充换电柜的设计是一套集成了硬件设备和软件系统的解决方案，旨在为电动自行车用户提供高效、安全的电池</w:t>
      </w:r>
      <w:r>
        <w:rPr>
          <w:rFonts w:hint="eastAsia" w:ascii="仿宋" w:hAnsi="仿宋" w:eastAsia="仿宋" w:cs="仿宋"/>
          <w:sz w:val="24"/>
          <w:szCs w:val="24"/>
          <w:highlight w:val="none"/>
          <w:lang w:val="en-US" w:eastAsia="zh-CN"/>
        </w:rPr>
        <w:t>充换电</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设计主要包括：</w:t>
      </w:r>
    </w:p>
    <w:p w14:paraId="7129C54F">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75" w:name="_Toc7375"/>
      <w:bookmarkStart w:id="76" w:name="_Toc6315"/>
      <w:r>
        <w:rPr>
          <w:rFonts w:hint="eastAsia" w:ascii="仿宋" w:hAnsi="仿宋" w:eastAsia="仿宋" w:cs="仿宋"/>
          <w:snapToGrid w:val="0"/>
          <w:kern w:val="0"/>
          <w:sz w:val="24"/>
          <w:szCs w:val="24"/>
          <w:highlight w:val="none"/>
        </w:rPr>
        <w:t>▲</w:t>
      </w:r>
      <w:r>
        <w:rPr>
          <w:rFonts w:hint="eastAsia" w:ascii="仿宋" w:hAnsi="仿宋" w:eastAsia="仿宋" w:cs="仿宋"/>
          <w:sz w:val="24"/>
          <w:szCs w:val="24"/>
          <w:highlight w:val="none"/>
          <w:lang w:val="en-US" w:eastAsia="zh-CN"/>
        </w:rPr>
        <w:t>2.1硬件组成</w:t>
      </w:r>
      <w:bookmarkEnd w:id="75"/>
      <w:bookmarkEnd w:id="76"/>
    </w:p>
    <w:p w14:paraId="596976C2">
      <w:pPr>
        <w:pageBreakBefore w:val="0"/>
        <w:numPr>
          <w:ilvl w:val="-1"/>
          <w:numId w:val="0"/>
        </w:numPr>
        <w:kinsoku/>
        <w:overflowPunct/>
        <w:topLinePunct w:val="0"/>
        <w:bidi w:val="0"/>
        <w:spacing w:line="360" w:lineRule="auto"/>
        <w:ind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充换电柜由多个电池仓、充电模块、</w:t>
      </w:r>
      <w:r>
        <w:rPr>
          <w:rFonts w:hint="eastAsia" w:ascii="仿宋" w:hAnsi="仿宋" w:eastAsia="仿宋" w:cs="仿宋"/>
          <w:sz w:val="24"/>
          <w:highlight w:val="none"/>
          <w:lang w:val="en-US" w:eastAsia="zh-CN"/>
        </w:rPr>
        <w:t>电器设备模块、</w:t>
      </w:r>
      <w:r>
        <w:rPr>
          <w:rFonts w:hint="eastAsia" w:ascii="仿宋" w:hAnsi="仿宋" w:eastAsia="仿宋" w:cs="仿宋"/>
          <w:sz w:val="24"/>
          <w:highlight w:val="none"/>
        </w:rPr>
        <w:t>智能控制单元、用户交互界面和安全防护装置等部分组成。电池仓用于存放和充电电池，而充电模块则负责电池的充放电管理。</w:t>
      </w:r>
    </w:p>
    <w:p w14:paraId="27DA658D">
      <w:pPr>
        <w:pageBreakBefore w:val="0"/>
        <w:numPr>
          <w:ilvl w:val="-1"/>
          <w:numId w:val="0"/>
        </w:numPr>
        <w:kinsoku/>
        <w:overflowPunct/>
        <w:topLinePunct w:val="0"/>
        <w:bidi w:val="0"/>
        <w:spacing w:line="360" w:lineRule="auto"/>
        <w:ind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充换电柜需要具备功能如下：</w:t>
      </w:r>
    </w:p>
    <w:p w14:paraId="3C5FD621">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（1）智能总电表：能将电表数据上传至数据后台</w:t>
      </w:r>
    </w:p>
    <w:p w14:paraId="0153726C">
      <w:pPr>
        <w:pageBreakBefore w:val="0"/>
        <w:numPr>
          <w:ilvl w:val="-1"/>
          <w:numId w:val="0"/>
        </w:numPr>
        <w:kinsoku/>
        <w:overflowPunct/>
        <w:topLinePunct w:val="0"/>
        <w:bidi w:val="0"/>
        <w:spacing w:line="360" w:lineRule="auto"/>
        <w:ind w:left="0" w:leftChars="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（2）电源开关：能远程进行跳闸控制</w:t>
      </w:r>
    </w:p>
    <w:p w14:paraId="018160DB">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（3）浸水检测：当触发浸水检测传感器，能将浸水数据上报至数据后台</w:t>
      </w:r>
    </w:p>
    <w:p w14:paraId="6CE69F72">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（4）机柜风扇：采用无电容风扇，当柜体温度过高时能远程自动开启</w:t>
      </w:r>
    </w:p>
    <w:p w14:paraId="1CCB483B">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（5）电控锁：电控制应能远程控制，并且将锁状态上传至平台</w:t>
      </w:r>
    </w:p>
    <w:p w14:paraId="2ECADBAD">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（6）电加热：当环境温度过低，能自动开启加热功能</w:t>
      </w:r>
    </w:p>
    <w:p w14:paraId="43060642">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（7）在位检测：用户换电操作时，检测仓内是否有物体放入</w:t>
      </w:r>
    </w:p>
    <w:p w14:paraId="4F6BCF29">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（8）烟感检测：烟雾传感器检测到冒烟后，能自动将异常情况上报至数据后台，并且开启灭火消防动作</w:t>
      </w:r>
    </w:p>
    <w:p w14:paraId="19EF5662">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（9）灭火模块：采用气溶胶灭火，当检测到仓内温度过高或烟雾传感器异常，触发气溶胶灭火并上传至数据后台</w:t>
      </w:r>
    </w:p>
    <w:p w14:paraId="72D37ACB">
      <w:pPr>
        <w:pageBreakBefore w:val="0"/>
        <w:numPr>
          <w:ilvl w:val="-1"/>
          <w:numId w:val="0"/>
        </w:numPr>
        <w:kinsoku/>
        <w:overflowPunct/>
        <w:topLinePunct w:val="0"/>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（10）温湿度模块：当温湿度传感器检测到柜内温湿度异常，需能远程开启风扇，并将数据上传至数据后台。若温度达到阈值，触发气溶胶灭火，并将数据上报至数据后台。</w:t>
      </w:r>
    </w:p>
    <w:p w14:paraId="75AE0D39">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77" w:name="_Toc28675"/>
      <w:bookmarkStart w:id="78" w:name="_Toc28485"/>
      <w:r>
        <w:rPr>
          <w:rFonts w:hint="eastAsia" w:ascii="仿宋" w:hAnsi="仿宋" w:eastAsia="仿宋" w:cs="仿宋"/>
          <w:sz w:val="24"/>
          <w:szCs w:val="24"/>
          <w:highlight w:val="none"/>
          <w:lang w:val="en-US" w:eastAsia="zh-CN"/>
        </w:rPr>
        <w:t>2.2智能控制</w:t>
      </w:r>
      <w:bookmarkEnd w:id="77"/>
      <w:bookmarkEnd w:id="78"/>
    </w:p>
    <w:p w14:paraId="35643898">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充换电柜的核心是智能控制系统，该系统通过内置的</w:t>
      </w:r>
      <w:r>
        <w:rPr>
          <w:rFonts w:hint="eastAsia" w:ascii="仿宋" w:hAnsi="仿宋" w:eastAsia="仿宋" w:cs="仿宋"/>
          <w:sz w:val="24"/>
          <w:szCs w:val="24"/>
          <w:highlight w:val="none"/>
          <w:lang w:val="en-US" w:eastAsia="zh-CN"/>
        </w:rPr>
        <w:t>嵌入式控制单元</w:t>
      </w:r>
      <w:r>
        <w:rPr>
          <w:rFonts w:hint="eastAsia" w:ascii="仿宋" w:hAnsi="仿宋" w:eastAsia="仿宋" w:cs="仿宋"/>
          <w:sz w:val="24"/>
          <w:szCs w:val="24"/>
          <w:highlight w:val="none"/>
        </w:rPr>
        <w:t>来实现对电池充电状态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电柜运行状态进行</w:t>
      </w:r>
      <w:r>
        <w:rPr>
          <w:rFonts w:hint="eastAsia" w:ascii="仿宋" w:hAnsi="仿宋" w:eastAsia="仿宋" w:cs="仿宋"/>
          <w:sz w:val="24"/>
          <w:szCs w:val="24"/>
          <w:highlight w:val="none"/>
        </w:rPr>
        <w:t>实时监控，以及对用户操作的响应。智能控制系统能够根据电池的类型和充电需求，自动调整充电策略，确保电池充电的安全性和</w:t>
      </w:r>
      <w:r>
        <w:rPr>
          <w:rFonts w:hint="eastAsia" w:ascii="仿宋" w:hAnsi="仿宋" w:eastAsia="仿宋" w:cs="仿宋"/>
          <w:sz w:val="24"/>
          <w:szCs w:val="24"/>
          <w:highlight w:val="none"/>
          <w:lang w:val="en-US" w:eastAsia="zh-CN"/>
        </w:rPr>
        <w:t>高效性</w:t>
      </w:r>
      <w:r>
        <w:rPr>
          <w:rFonts w:hint="eastAsia" w:ascii="仿宋" w:hAnsi="仿宋" w:eastAsia="仿宋" w:cs="仿宋"/>
          <w:sz w:val="24"/>
          <w:szCs w:val="24"/>
          <w:highlight w:val="none"/>
        </w:rPr>
        <w:t>。</w:t>
      </w:r>
    </w:p>
    <w:p w14:paraId="35D2C29F">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79" w:name="_Toc9776"/>
      <w:bookmarkStart w:id="80" w:name="_Toc2979"/>
      <w:r>
        <w:rPr>
          <w:rFonts w:hint="eastAsia" w:ascii="仿宋" w:hAnsi="仿宋" w:eastAsia="仿宋" w:cs="仿宋"/>
          <w:sz w:val="24"/>
          <w:szCs w:val="24"/>
          <w:highlight w:val="none"/>
          <w:lang w:val="en-US" w:eastAsia="zh-CN"/>
        </w:rPr>
        <w:t>2.3安全防护</w:t>
      </w:r>
      <w:bookmarkEnd w:id="79"/>
      <w:bookmarkEnd w:id="80"/>
    </w:p>
    <w:p w14:paraId="54916A37">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充换电柜要求设计多重安全防护措施，包括过充保护、过热保护、短路保护、灭火系统、防雷保护、防水保护等，以防止电池在存放和充电过程中发生安全事故。</w:t>
      </w:r>
      <w:bookmarkStart w:id="81" w:name="_Toc9278"/>
      <w:bookmarkStart w:id="82" w:name="_Toc14198"/>
    </w:p>
    <w:p w14:paraId="327AA061">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napToGrid w:val="0"/>
          <w:kern w:val="0"/>
          <w:sz w:val="24"/>
          <w:szCs w:val="24"/>
          <w:highlight w:val="none"/>
        </w:rPr>
        <w:t>▲</w:t>
      </w:r>
      <w:r>
        <w:rPr>
          <w:rFonts w:hint="eastAsia" w:ascii="仿宋" w:hAnsi="仿宋" w:eastAsia="仿宋" w:cs="仿宋"/>
          <w:sz w:val="24"/>
          <w:szCs w:val="24"/>
          <w:highlight w:val="none"/>
          <w:lang w:val="en-US" w:eastAsia="zh-CN"/>
        </w:rPr>
        <w:t>2.4电池管理</w:t>
      </w:r>
      <w:bookmarkEnd w:id="81"/>
      <w:bookmarkEnd w:id="82"/>
    </w:p>
    <w:p w14:paraId="4465020A">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充换电柜要求匹配电池内置的电池管理系统（BMS），负责监控电池的电压、电流、温度、定位等参数，确保电池在安全的工作范围内充电，并在检测到异常时及时采取措施。</w:t>
      </w:r>
    </w:p>
    <w:p w14:paraId="5A30D8B5">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83" w:name="_Toc2243"/>
      <w:bookmarkStart w:id="84" w:name="_Toc15529"/>
      <w:r>
        <w:rPr>
          <w:rFonts w:hint="eastAsia" w:ascii="仿宋" w:hAnsi="仿宋" w:eastAsia="仿宋" w:cs="仿宋"/>
          <w:sz w:val="24"/>
          <w:szCs w:val="24"/>
          <w:highlight w:val="none"/>
          <w:lang w:val="en-US" w:eastAsia="zh-CN"/>
        </w:rPr>
        <w:t>2.5环境适应性</w:t>
      </w:r>
      <w:bookmarkEnd w:id="83"/>
      <w:bookmarkEnd w:id="84"/>
    </w:p>
    <w:p w14:paraId="1CEC2E6C">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充换电柜设计应考虑安装环境的需求，包括户外防雨、防尘和耐高低温等特性，确保设备在实际运行环境下都能稳定工作。</w:t>
      </w:r>
    </w:p>
    <w:p w14:paraId="3ADD6EF1">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eastAsia" w:ascii="仿宋" w:hAnsi="仿宋" w:eastAsia="仿宋" w:cs="仿宋"/>
          <w:sz w:val="24"/>
          <w:szCs w:val="24"/>
          <w:highlight w:val="none"/>
          <w:lang w:val="en-US" w:eastAsia="zh-CN"/>
        </w:rPr>
      </w:pPr>
      <w:bookmarkStart w:id="85" w:name="_Toc12478"/>
      <w:r>
        <w:rPr>
          <w:rFonts w:hint="eastAsia" w:ascii="仿宋" w:hAnsi="仿宋" w:eastAsia="仿宋" w:cs="仿宋"/>
          <w:sz w:val="24"/>
          <w:szCs w:val="24"/>
          <w:highlight w:val="none"/>
          <w:lang w:val="en-US" w:eastAsia="zh-CN"/>
        </w:rPr>
        <w:t>3.外观设计及特性</w:t>
      </w:r>
      <w:bookmarkEnd w:id="85"/>
    </w:p>
    <w:p w14:paraId="1E89C9F5">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86" w:name="_Toc12392"/>
      <w:r>
        <w:rPr>
          <w:rFonts w:hint="eastAsia" w:ascii="仿宋" w:hAnsi="仿宋" w:eastAsia="仿宋" w:cs="仿宋"/>
          <w:sz w:val="24"/>
          <w:szCs w:val="24"/>
          <w:highlight w:val="none"/>
          <w:lang w:val="en-US" w:eastAsia="zh-CN"/>
        </w:rPr>
        <w:t>3.1外观设计</w:t>
      </w:r>
      <w:bookmarkEnd w:id="86"/>
    </w:p>
    <w:p w14:paraId="3C2EC4AC">
      <w:pPr>
        <w:spacing w:line="360" w:lineRule="auto"/>
        <w:ind w:firstLine="480" w:firstLineChars="200"/>
        <w:rPr>
          <w:rFonts w:hint="eastAsia"/>
          <w:color w:val="auto"/>
          <w:highlight w:val="none"/>
          <w:lang w:val="en-US" w:eastAsia="zh-CN"/>
        </w:rPr>
      </w:pPr>
      <w:r>
        <w:rPr>
          <w:rFonts w:hint="eastAsia" w:ascii="仿宋" w:hAnsi="仿宋" w:eastAsia="仿宋" w:cs="仿宋"/>
          <w:snapToGrid w:val="0"/>
          <w:kern w:val="0"/>
          <w:sz w:val="24"/>
          <w:szCs w:val="24"/>
          <w:highlight w:val="none"/>
          <w:lang w:val="en-US" w:eastAsia="zh-CN"/>
        </w:rPr>
        <w:t>3.1.1</w:t>
      </w:r>
      <w:r>
        <w:rPr>
          <w:rFonts w:hint="eastAsia" w:ascii="仿宋" w:hAnsi="仿宋" w:eastAsia="仿宋" w:cs="仿宋"/>
          <w:color w:val="auto"/>
          <w:sz w:val="24"/>
          <w:szCs w:val="24"/>
          <w:highlight w:val="none"/>
          <w:lang w:val="en-US" w:eastAsia="zh-CN"/>
        </w:rPr>
        <w:t>外形尺寸要求</w:t>
      </w:r>
      <w:r>
        <w:rPr>
          <w:rFonts w:hint="eastAsia"/>
          <w:color w:val="auto"/>
          <w:sz w:val="24"/>
          <w:szCs w:val="24"/>
          <w:highlight w:val="none"/>
        </w:rPr>
        <w:t>10</w:t>
      </w:r>
      <w:r>
        <w:rPr>
          <w:rFonts w:hint="eastAsia"/>
          <w:color w:val="auto"/>
          <w:sz w:val="24"/>
          <w:szCs w:val="24"/>
          <w:highlight w:val="none"/>
          <w:lang w:val="en-US" w:eastAsia="zh-CN"/>
        </w:rPr>
        <w:t>00宽</w:t>
      </w:r>
      <w:r>
        <w:rPr>
          <w:rFonts w:hint="eastAsia"/>
          <w:color w:val="auto"/>
          <w:sz w:val="24"/>
          <w:szCs w:val="24"/>
          <w:highlight w:val="none"/>
        </w:rPr>
        <w:t>*1</w:t>
      </w:r>
      <w:r>
        <w:rPr>
          <w:rFonts w:hint="eastAsia"/>
          <w:color w:val="auto"/>
          <w:sz w:val="24"/>
          <w:szCs w:val="24"/>
          <w:highlight w:val="none"/>
          <w:lang w:val="en-US" w:eastAsia="zh-CN"/>
        </w:rPr>
        <w:t>7</w:t>
      </w:r>
      <w:r>
        <w:rPr>
          <w:rFonts w:hint="eastAsia"/>
          <w:color w:val="auto"/>
          <w:sz w:val="24"/>
          <w:szCs w:val="24"/>
          <w:highlight w:val="none"/>
        </w:rPr>
        <w:t>00</w:t>
      </w:r>
      <w:r>
        <w:rPr>
          <w:rFonts w:hint="eastAsia"/>
          <w:color w:val="auto"/>
          <w:sz w:val="24"/>
          <w:szCs w:val="24"/>
          <w:highlight w:val="none"/>
          <w:lang w:val="en-US" w:eastAsia="zh-CN"/>
        </w:rPr>
        <w:t>高</w:t>
      </w:r>
      <w:r>
        <w:rPr>
          <w:rFonts w:hint="eastAsia"/>
          <w:color w:val="auto"/>
          <w:sz w:val="24"/>
          <w:szCs w:val="24"/>
          <w:highlight w:val="none"/>
        </w:rPr>
        <w:t>*</w:t>
      </w:r>
      <w:r>
        <w:rPr>
          <w:rFonts w:hint="eastAsia"/>
          <w:color w:val="auto"/>
          <w:sz w:val="24"/>
          <w:szCs w:val="24"/>
          <w:highlight w:val="none"/>
          <w:lang w:val="en-US" w:eastAsia="zh-CN"/>
        </w:rPr>
        <w:t>445~475深（以上为建议尺寸，后续中标单位需按招标人要求，与换电亭中标单位进行二次深化）</w:t>
      </w:r>
    </w:p>
    <w:p w14:paraId="55E74F66">
      <w:pPr>
        <w:pageBreakBefore w:val="0"/>
        <w:kinsoku/>
        <w:overflowPunct/>
        <w:topLinePunct w:val="0"/>
        <w:bidi w:val="0"/>
        <w:spacing w:line="240" w:lineRule="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drawing>
          <wp:inline distT="0" distB="0" distL="114300" distR="114300">
            <wp:extent cx="5273675" cy="2415540"/>
            <wp:effectExtent l="0" t="0" r="3175" b="3810"/>
            <wp:docPr id="22" name="图片 22" descr="12仓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2仓图片"/>
                    <pic:cNvPicPr>
                      <a:picLocks noChangeAspect="1"/>
                    </pic:cNvPicPr>
                  </pic:nvPicPr>
                  <pic:blipFill>
                    <a:blip r:embed="rId5"/>
                    <a:stretch>
                      <a:fillRect/>
                    </a:stretch>
                  </pic:blipFill>
                  <pic:spPr>
                    <a:xfrm>
                      <a:off x="0" y="0"/>
                      <a:ext cx="5273675" cy="2415540"/>
                    </a:xfrm>
                    <a:prstGeom prst="rect">
                      <a:avLst/>
                    </a:prstGeom>
                  </pic:spPr>
                </pic:pic>
              </a:graphicData>
            </a:graphic>
          </wp:inline>
        </w:drawing>
      </w:r>
    </w:p>
    <w:p w14:paraId="5EDF1B81">
      <w:pPr>
        <w:pStyle w:val="59"/>
        <w:pageBreakBefore w:val="0"/>
        <w:kinsoku/>
        <w:overflowPunct/>
        <w:topLinePunct w:val="0"/>
        <w:bidi w:val="0"/>
        <w:spacing w:line="240" w:lineRule="auto"/>
        <w:ind w:firstLine="2160" w:firstLineChars="9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图3.</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 外观</w:t>
      </w:r>
      <w:r>
        <w:rPr>
          <w:rFonts w:hint="eastAsia" w:ascii="仿宋" w:hAnsi="仿宋" w:eastAsia="仿宋" w:cs="仿宋"/>
          <w:sz w:val="24"/>
          <w:szCs w:val="24"/>
          <w:highlight w:val="none"/>
          <w:lang w:val="en-US" w:eastAsia="zh-CN"/>
        </w:rPr>
        <w:t>示意</w:t>
      </w:r>
      <w:r>
        <w:rPr>
          <w:rFonts w:hint="eastAsia" w:ascii="仿宋" w:hAnsi="仿宋" w:eastAsia="仿宋" w:cs="仿宋"/>
          <w:sz w:val="24"/>
          <w:szCs w:val="24"/>
          <w:highlight w:val="none"/>
        </w:rPr>
        <w:t>图</w:t>
      </w:r>
    </w:p>
    <w:p w14:paraId="6ADF2721">
      <w:pPr>
        <w:pStyle w:val="59"/>
        <w:pageBreakBefore w:val="0"/>
        <w:kinsoku/>
        <w:overflowPunct/>
        <w:topLinePunct w:val="0"/>
        <w:bidi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3.1.2投标人根据换电柜外观示意图（详见上图），结合项目IP“蓝仔”（详见附件1）进行外观深化设计，并在本次采购的样品中体现。</w:t>
      </w:r>
    </w:p>
    <w:p w14:paraId="534B1A52">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87" w:name="_Toc10462"/>
      <w:r>
        <w:rPr>
          <w:rFonts w:hint="eastAsia" w:ascii="仿宋" w:hAnsi="仿宋" w:eastAsia="仿宋" w:cs="仿宋"/>
          <w:sz w:val="24"/>
          <w:szCs w:val="24"/>
          <w:highlight w:val="none"/>
          <w:lang w:val="en-US" w:eastAsia="zh-CN"/>
        </w:rPr>
        <w:t>3.2钣金结构</w:t>
      </w:r>
      <w:bookmarkEnd w:id="87"/>
    </w:p>
    <w:p w14:paraId="3DB6E413">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（1）柜体主材使用冷轧钢板或镀锌钢板，框架及固定支架部分厚度不小于1.5mm，其他部分厚度不小于1.2mm，柜门不小于0.8mm。</w:t>
      </w:r>
    </w:p>
    <w:p w14:paraId="52CF49B1">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（2）柜体应满足GB/T 2423中的防潮湿、防霉变、防烟雾的要求。</w:t>
      </w:r>
    </w:p>
    <w:p w14:paraId="0D11D3E0">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防潮湿腐蚀试验建议参考GB/T 2423的方法，试验时间24h,试验后干燥1h，产品涂层应无脱落；</w:t>
      </w:r>
    </w:p>
    <w:p w14:paraId="5CE6BFC1">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防霉变腐蚀试验建议参考GB/T 2423的方法，试验时间28d，试验后长霉面积不超过检测面积的5%；</w:t>
      </w:r>
    </w:p>
    <w:p w14:paraId="1D9C25FE">
      <w:pPr>
        <w:pageBreakBefore w:val="0"/>
        <w:kinsoku/>
        <w:wordWrap/>
        <w:overflowPunct/>
        <w:topLinePunct w:val="0"/>
        <w:bidi w:val="0"/>
        <w:snapToGrid/>
        <w:spacing w:line="360" w:lineRule="auto"/>
        <w:ind w:firstLine="42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防盐雾腐蚀试验建议参考GB/T 2423的方法，试验时间48h，试验后在15℃~40℃流水中用柔软的刷子清洗7min，干燥1h，产品应无赤/青锈、不出现涂装掉落现象，涂装无鼓起。</w:t>
      </w:r>
    </w:p>
    <w:p w14:paraId="4BC5CF01">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（3）柜体不可从外部拆分，构件采用立柱框架式结构。</w:t>
      </w:r>
    </w:p>
    <w:p w14:paraId="51D27B60">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（4）柜体内部有电池泄爆结构设计。当仓内电池发生热失控时，高压气体通过柜内泄放结构从柜体顶部排出，以降低对柜体正面各仓门的冲击。</w:t>
      </w:r>
      <w:r>
        <w:rPr>
          <w:rFonts w:hint="eastAsia" w:ascii="仿宋" w:hAnsi="仿宋" w:eastAsia="仿宋" w:cs="仿宋"/>
          <w:sz w:val="24"/>
          <w:highlight w:val="none"/>
          <w:lang w:val="en-US" w:eastAsia="zh-CN"/>
        </w:rPr>
        <w:t>散热部分要求换电柜需具备进风口和排风口，建议采用设备正面进风，背面或上方排风（底部可以开进风口来保证电池的散热，若浸水后触发浸水传感器，直接告警并断电。）。</w:t>
      </w:r>
    </w:p>
    <w:p w14:paraId="78127B50">
      <w:pPr>
        <w:pageBreakBefore w:val="0"/>
        <w:numPr>
          <w:ilvl w:val="0"/>
          <w:numId w:val="0"/>
        </w:numPr>
        <w:kinsoku/>
        <w:wordWrap/>
        <w:overflowPunct/>
        <w:topLinePunct w:val="0"/>
        <w:bidi w:val="0"/>
        <w:snapToGrid/>
        <w:spacing w:line="360" w:lineRule="auto"/>
        <w:ind w:firstLine="42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柜体4G信号天线的设计需与换电亭厂家配合，确保信号通讯畅通及柜体设计美观。考虑到充换电柜嵌入服务亭，金属柜体会屏蔽信号导致通讯不稳定，建议换电柜表面（正面）4G信号天线外露，外露尺寸小于5cm。或者考虑连线加长，直接将天线安装在服务亭顶棚（安装前需与服务亭厂家协调沟通）。</w:t>
      </w:r>
    </w:p>
    <w:p w14:paraId="29CC1DFC">
      <w:pPr>
        <w:pageBreakBefore w:val="0"/>
        <w:numPr>
          <w:ilvl w:val="0"/>
          <w:numId w:val="0"/>
        </w:numPr>
        <w:kinsoku/>
        <w:wordWrap/>
        <w:overflowPunct/>
        <w:topLinePunct w:val="0"/>
        <w:bidi w:val="0"/>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（6）柜体顶板能承受100kg以上的均布荷载。</w:t>
      </w:r>
    </w:p>
    <w:p w14:paraId="692F9E92">
      <w:pPr>
        <w:pageBreakBefore w:val="0"/>
        <w:numPr>
          <w:ilvl w:val="0"/>
          <w:numId w:val="0"/>
        </w:numPr>
        <w:kinsoku/>
        <w:wordWrap/>
        <w:overflowPunct/>
        <w:topLinePunct w:val="0"/>
        <w:bidi w:val="0"/>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（7）机柜顶部有防积水设计。</w:t>
      </w:r>
    </w:p>
    <w:p w14:paraId="4DE9791F">
      <w:pPr>
        <w:pageBreakBefore w:val="0"/>
        <w:numPr>
          <w:ilvl w:val="0"/>
          <w:numId w:val="0"/>
        </w:numPr>
        <w:kinsoku/>
        <w:wordWrap/>
        <w:overflowPunct/>
        <w:topLinePunct w:val="0"/>
        <w:bidi w:val="0"/>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（8）考虑到充换电柜嵌入服务亭，换电柜应设计可拆卸脚轮装置便于移动和搬运。换电柜要提供底部安装基础，与服务亭进行连接。</w:t>
      </w:r>
    </w:p>
    <w:p w14:paraId="556D6E62">
      <w:pPr>
        <w:pageBreakBefore w:val="0"/>
        <w:numPr>
          <w:ilvl w:val="0"/>
          <w:numId w:val="0"/>
        </w:numPr>
        <w:kinsoku/>
        <w:wordWrap/>
        <w:overflowPunct/>
        <w:topLinePunct w:val="0"/>
        <w:bidi w:val="0"/>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（9）换电柜壳体防护等级IP54及以上。</w:t>
      </w:r>
    </w:p>
    <w:p w14:paraId="7F6C8121">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88" w:name="_Toc30605"/>
      <w:r>
        <w:rPr>
          <w:rFonts w:hint="eastAsia" w:ascii="仿宋" w:hAnsi="仿宋" w:eastAsia="仿宋" w:cs="仿宋"/>
          <w:sz w:val="24"/>
          <w:szCs w:val="24"/>
          <w:highlight w:val="none"/>
          <w:lang w:val="en-US" w:eastAsia="zh-CN"/>
        </w:rPr>
        <w:t>3.3电器仓</w:t>
      </w:r>
      <w:bookmarkEnd w:id="88"/>
    </w:p>
    <w:p w14:paraId="2F0F8360">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（1）电器仓位于充换电柜上半部分，并具备循环散热的能力。</w:t>
      </w:r>
    </w:p>
    <w:p w14:paraId="791A38B8">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（2）电器仓与电池仓有物理隔离设计。</w:t>
      </w:r>
    </w:p>
    <w:p w14:paraId="047F6FB2">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（3）电器仓内AC-DC电源模块、柜控单元、柜控电源模块有序排列于电器仓内，便于维护。</w:t>
      </w:r>
    </w:p>
    <w:p w14:paraId="293F3411">
      <w:pPr>
        <w:pageBreakBefore w:val="0"/>
        <w:kinsoku/>
        <w:wordWrap/>
        <w:overflowPunct/>
        <w:topLinePunct w:val="0"/>
        <w:bidi w:val="0"/>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（4）整个柜体的设计满足对仓内各部件进行可维护的设计，并与服务亭厂家做好柜体的二次深化工作。</w:t>
      </w:r>
    </w:p>
    <w:p w14:paraId="566963CF">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89" w:name="_Toc18428"/>
      <w:r>
        <w:rPr>
          <w:rFonts w:hint="eastAsia" w:ascii="仿宋" w:hAnsi="仿宋" w:eastAsia="仿宋" w:cs="仿宋"/>
          <w:sz w:val="24"/>
          <w:szCs w:val="24"/>
          <w:highlight w:val="none"/>
          <w:lang w:val="en-US" w:eastAsia="zh-CN"/>
        </w:rPr>
        <w:t>3.4电池仓</w:t>
      </w:r>
      <w:bookmarkEnd w:id="89"/>
    </w:p>
    <w:p w14:paraId="07094627">
      <w:pPr>
        <w:pageBreakBefore w:val="0"/>
        <w:kinsoku/>
        <w:wordWrap/>
        <w:overflowPunct/>
        <w:topLinePunct w:val="0"/>
        <w:autoSpaceDE w:val="0"/>
        <w:autoSpaceDN w:val="0"/>
        <w:bidi w:val="0"/>
        <w:adjustRightInd w:val="0"/>
        <w:snapToGrid/>
        <w:spacing w:line="360" w:lineRule="auto"/>
        <w:ind w:firstLine="420" w:firstLineChars="0"/>
        <w:jc w:val="left"/>
        <w:rPr>
          <w:rFonts w:hint="eastAsia" w:ascii="仿宋" w:hAnsi="仿宋" w:eastAsia="仿宋" w:cs="仿宋"/>
          <w:kern w:val="0"/>
          <w:sz w:val="24"/>
          <w:szCs w:val="24"/>
          <w:highlight w:val="none"/>
          <w:lang w:val="en-US" w:eastAsia="zh-CN"/>
        </w:rPr>
      </w:pPr>
      <w:bookmarkStart w:id="90" w:name="_Hlk28541318"/>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电池仓</w:t>
      </w:r>
      <w:bookmarkEnd w:id="90"/>
      <w:r>
        <w:rPr>
          <w:rFonts w:hint="eastAsia" w:ascii="仿宋" w:hAnsi="仿宋" w:eastAsia="仿宋" w:cs="仿宋"/>
          <w:kern w:val="0"/>
          <w:sz w:val="24"/>
          <w:szCs w:val="24"/>
          <w:highlight w:val="none"/>
        </w:rPr>
        <w:t>层板能承受50kg</w:t>
      </w:r>
      <w:r>
        <w:rPr>
          <w:rFonts w:hint="eastAsia" w:ascii="仿宋" w:hAnsi="仿宋" w:eastAsia="仿宋" w:cs="仿宋"/>
          <w:kern w:val="0"/>
          <w:sz w:val="24"/>
          <w:szCs w:val="24"/>
          <w:highlight w:val="none"/>
          <w:lang w:val="en-US" w:eastAsia="zh-CN"/>
        </w:rPr>
        <w:t>以上</w:t>
      </w:r>
      <w:r>
        <w:rPr>
          <w:rFonts w:hint="eastAsia" w:ascii="仿宋" w:hAnsi="仿宋" w:eastAsia="仿宋" w:cs="仿宋"/>
          <w:kern w:val="0"/>
          <w:sz w:val="24"/>
          <w:szCs w:val="24"/>
          <w:highlight w:val="none"/>
        </w:rPr>
        <w:t>的均布荷载</w:t>
      </w:r>
      <w:r>
        <w:rPr>
          <w:rFonts w:hint="eastAsia" w:ascii="仿宋" w:hAnsi="仿宋" w:eastAsia="仿宋" w:cs="仿宋"/>
          <w:kern w:val="0"/>
          <w:sz w:val="24"/>
          <w:szCs w:val="24"/>
          <w:highlight w:val="none"/>
          <w:lang w:eastAsia="zh-CN"/>
        </w:rPr>
        <w:t>。</w:t>
      </w:r>
    </w:p>
    <w:p w14:paraId="124EAD40">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（2）电池仓的有效尺寸要求210~275宽*210~290高*350~420深mm</w:t>
      </w:r>
    </w:p>
    <w:p w14:paraId="799936FA">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电池仓底部</w:t>
      </w:r>
      <w:r>
        <w:rPr>
          <w:rFonts w:hint="eastAsia" w:ascii="仿宋" w:hAnsi="仿宋" w:eastAsia="仿宋" w:cs="仿宋"/>
          <w:kern w:val="0"/>
          <w:sz w:val="24"/>
          <w:szCs w:val="24"/>
          <w:highlight w:val="none"/>
          <w:lang w:val="en-US" w:eastAsia="zh-CN"/>
        </w:rPr>
        <w:t>以及背部</w:t>
      </w:r>
      <w:r>
        <w:rPr>
          <w:rFonts w:hint="eastAsia" w:ascii="仿宋" w:hAnsi="仿宋" w:eastAsia="仿宋" w:cs="仿宋"/>
          <w:kern w:val="0"/>
          <w:sz w:val="24"/>
          <w:szCs w:val="24"/>
          <w:highlight w:val="none"/>
        </w:rPr>
        <w:t>有</w:t>
      </w:r>
      <w:r>
        <w:rPr>
          <w:rFonts w:hint="eastAsia" w:ascii="仿宋" w:hAnsi="仿宋" w:eastAsia="仿宋" w:cs="仿宋"/>
          <w:kern w:val="0"/>
          <w:sz w:val="24"/>
          <w:szCs w:val="24"/>
          <w:highlight w:val="none"/>
          <w:lang w:val="en-US" w:eastAsia="zh-CN"/>
        </w:rPr>
        <w:t>保护设计，</w:t>
      </w:r>
      <w:r>
        <w:rPr>
          <w:rFonts w:hint="eastAsia" w:ascii="仿宋" w:hAnsi="仿宋" w:eastAsia="仿宋" w:cs="仿宋"/>
          <w:kern w:val="0"/>
          <w:sz w:val="24"/>
          <w:szCs w:val="24"/>
          <w:highlight w:val="none"/>
        </w:rPr>
        <w:t>保证换电电池表面不被划伤</w:t>
      </w:r>
      <w:r>
        <w:rPr>
          <w:rFonts w:hint="eastAsia" w:ascii="仿宋" w:hAnsi="仿宋" w:eastAsia="仿宋" w:cs="仿宋"/>
          <w:kern w:val="0"/>
          <w:sz w:val="24"/>
          <w:szCs w:val="24"/>
          <w:highlight w:val="none"/>
          <w:lang w:eastAsia="zh-CN"/>
        </w:rPr>
        <w:t>。</w:t>
      </w:r>
    </w:p>
    <w:p w14:paraId="40CFF203">
      <w:pPr>
        <w:pageBreakBefore w:val="0"/>
        <w:kinsoku/>
        <w:wordWrap/>
        <w:overflowPunct/>
        <w:topLinePunct w:val="0"/>
        <w:autoSpaceDE w:val="0"/>
        <w:autoSpaceDN w:val="0"/>
        <w:bidi w:val="0"/>
        <w:adjustRightInd w:val="0"/>
        <w:snapToGrid/>
        <w:spacing w:line="360" w:lineRule="auto"/>
        <w:ind w:firstLine="42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电池仓内安装</w:t>
      </w:r>
      <w:r>
        <w:rPr>
          <w:rFonts w:hint="eastAsia" w:ascii="仿宋" w:hAnsi="仿宋" w:eastAsia="仿宋" w:cs="仿宋"/>
          <w:kern w:val="0"/>
          <w:sz w:val="24"/>
          <w:szCs w:val="24"/>
          <w:highlight w:val="none"/>
          <w:lang w:eastAsia="zh-CN"/>
        </w:rPr>
        <w:t>有</w:t>
      </w:r>
      <w:r>
        <w:rPr>
          <w:rFonts w:hint="eastAsia" w:ascii="仿宋" w:hAnsi="仿宋" w:eastAsia="仿宋" w:cs="仿宋"/>
          <w:kern w:val="0"/>
          <w:sz w:val="24"/>
          <w:szCs w:val="24"/>
          <w:highlight w:val="none"/>
        </w:rPr>
        <w:t>温度</w:t>
      </w:r>
      <w:r>
        <w:rPr>
          <w:rFonts w:hint="eastAsia" w:ascii="仿宋" w:hAnsi="仿宋" w:eastAsia="仿宋" w:cs="仿宋"/>
          <w:kern w:val="0"/>
          <w:sz w:val="24"/>
          <w:szCs w:val="24"/>
          <w:highlight w:val="none"/>
          <w:lang w:val="en-US" w:eastAsia="zh-CN"/>
        </w:rPr>
        <w:t>烟雾</w:t>
      </w:r>
      <w:r>
        <w:rPr>
          <w:rFonts w:hint="eastAsia" w:ascii="仿宋" w:hAnsi="仿宋" w:eastAsia="仿宋" w:cs="仿宋"/>
          <w:kern w:val="0"/>
          <w:sz w:val="24"/>
          <w:szCs w:val="24"/>
          <w:highlight w:val="none"/>
        </w:rPr>
        <w:t>传感器，</w:t>
      </w:r>
      <w:r>
        <w:rPr>
          <w:rFonts w:hint="eastAsia" w:ascii="仿宋" w:hAnsi="仿宋" w:eastAsia="仿宋" w:cs="仿宋"/>
          <w:kern w:val="0"/>
          <w:sz w:val="24"/>
          <w:szCs w:val="24"/>
          <w:highlight w:val="none"/>
          <w:lang w:val="en-US" w:eastAsia="zh-CN"/>
        </w:rPr>
        <w:t>有效监测电池仓的温湿度和烟雾浓度。</w:t>
      </w:r>
    </w:p>
    <w:p w14:paraId="30970A39">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电池仓底部设计有面向柜内的</w:t>
      </w:r>
      <w:r>
        <w:rPr>
          <w:rFonts w:hint="eastAsia" w:ascii="仿宋" w:hAnsi="仿宋" w:eastAsia="仿宋" w:cs="仿宋"/>
          <w:kern w:val="0"/>
          <w:sz w:val="24"/>
          <w:szCs w:val="24"/>
          <w:highlight w:val="none"/>
          <w:lang w:val="en-US" w:eastAsia="zh-CN"/>
        </w:rPr>
        <w:t>不小于4°</w:t>
      </w:r>
      <w:r>
        <w:rPr>
          <w:rFonts w:hint="eastAsia" w:ascii="仿宋" w:hAnsi="仿宋" w:eastAsia="仿宋" w:cs="仿宋"/>
          <w:kern w:val="0"/>
          <w:sz w:val="24"/>
          <w:szCs w:val="24"/>
          <w:highlight w:val="none"/>
        </w:rPr>
        <w:t>倾角，</w:t>
      </w:r>
      <w:r>
        <w:rPr>
          <w:rFonts w:hint="eastAsia" w:ascii="仿宋" w:hAnsi="仿宋" w:eastAsia="仿宋" w:cs="仿宋"/>
          <w:kern w:val="0"/>
          <w:sz w:val="24"/>
          <w:szCs w:val="24"/>
          <w:highlight w:val="none"/>
          <w:lang w:val="en-US" w:eastAsia="zh-CN"/>
        </w:rPr>
        <w:t>保证电池的重心靠后不滑出。</w:t>
      </w:r>
    </w:p>
    <w:p w14:paraId="74E3210F">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电池仓工作状态指示灯</w:t>
      </w:r>
      <w:r>
        <w:rPr>
          <w:rFonts w:hint="eastAsia" w:ascii="仿宋" w:hAnsi="仿宋" w:eastAsia="仿宋" w:cs="仿宋"/>
          <w:kern w:val="0"/>
          <w:sz w:val="24"/>
          <w:szCs w:val="24"/>
          <w:highlight w:val="none"/>
          <w:lang w:eastAsia="zh-CN"/>
        </w:rPr>
        <w:t>是</w:t>
      </w:r>
      <w:r>
        <w:rPr>
          <w:rFonts w:hint="eastAsia" w:ascii="仿宋" w:hAnsi="仿宋" w:eastAsia="仿宋" w:cs="仿宋"/>
          <w:kern w:val="0"/>
          <w:sz w:val="24"/>
          <w:szCs w:val="24"/>
          <w:highlight w:val="none"/>
          <w:lang w:val="en-US" w:eastAsia="zh-CN"/>
        </w:rPr>
        <w:t>3色指示灯</w:t>
      </w:r>
      <w:r>
        <w:rPr>
          <w:rFonts w:hint="eastAsia" w:ascii="仿宋" w:hAnsi="仿宋" w:eastAsia="仿宋" w:cs="仿宋"/>
          <w:kern w:val="0"/>
          <w:sz w:val="24"/>
          <w:szCs w:val="24"/>
          <w:highlight w:val="none"/>
        </w:rPr>
        <w:t>，以颜色指示状态</w:t>
      </w:r>
    </w:p>
    <w:p w14:paraId="2F09B4C9">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1.红灯闪烁------充电故障，闪烁频率5S；</w:t>
      </w:r>
    </w:p>
    <w:p w14:paraId="0E74B34C">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2.红灯常亮------本仓故障；</w:t>
      </w:r>
    </w:p>
    <w:p w14:paraId="141BB87B">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3.黄灯闪烁------门开启未关闭（伴有蜂鸣报警）闪烁频率5S；</w:t>
      </w:r>
    </w:p>
    <w:p w14:paraId="2078F16B">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4.黄灯常亮------通讯故障；</w:t>
      </w:r>
    </w:p>
    <w:p w14:paraId="0918CCD7">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5.绿灯闪烁------电池正在充电中，闪烁频率5S；</w:t>
      </w:r>
    </w:p>
    <w:p w14:paraId="68EA4B4E">
      <w:pPr>
        <w:pageBreakBefore w:val="0"/>
        <w:numPr>
          <w:ilvl w:val="0"/>
          <w:numId w:val="0"/>
        </w:numPr>
        <w:kinsoku/>
        <w:wordWrap/>
        <w:overflowPunct/>
        <w:topLinePunct w:val="0"/>
        <w:bidi w:val="0"/>
        <w:snapToGrid/>
        <w:spacing w:before="120" w:after="120" w:line="360" w:lineRule="auto"/>
        <w:ind w:left="420" w:leftChars="0"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6.绿灯常亮------电池充满电待机；</w:t>
      </w:r>
    </w:p>
    <w:p w14:paraId="58D667A5">
      <w:pPr>
        <w:pageBreakBefore w:val="0"/>
        <w:numPr>
          <w:ilvl w:val="0"/>
          <w:numId w:val="0"/>
        </w:numPr>
        <w:kinsoku/>
        <w:wordWrap/>
        <w:overflowPunct/>
        <w:topLinePunct w:val="0"/>
        <w:bidi w:val="0"/>
        <w:snapToGrid/>
        <w:spacing w:before="120" w:after="120" w:line="360" w:lineRule="auto"/>
        <w:ind w:left="420" w:leftChars="0" w:firstLine="420" w:firstLineChars="0"/>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7.仓不亮------仓空闲。</w:t>
      </w:r>
    </w:p>
    <w:p w14:paraId="39C424A0">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91" w:name="_Toc22740"/>
      <w:r>
        <w:rPr>
          <w:rFonts w:hint="eastAsia" w:ascii="仿宋" w:hAnsi="仿宋" w:eastAsia="仿宋" w:cs="仿宋"/>
          <w:color w:val="000000" w:themeColor="text1"/>
          <w:sz w:val="24"/>
          <w:szCs w:val="24"/>
          <w:highlight w:val="none"/>
          <w:lang w:val="en-US" w:eastAsia="zh-CN"/>
          <w14:textFill>
            <w14:solidFill>
              <w14:schemeClr w14:val="tx1"/>
            </w14:solidFill>
          </w14:textFill>
        </w:rPr>
        <w:t>3.5外观规格指标</w:t>
      </w:r>
      <w:bookmarkEnd w:id="91"/>
    </w:p>
    <w:p w14:paraId="2BC160A8">
      <w:pPr>
        <w:pageBreakBefore w:val="0"/>
        <w:kinsoku/>
        <w:wordWrap/>
        <w:overflowPunct/>
        <w:topLinePunct w:val="0"/>
        <w:bidi w:val="0"/>
        <w:snapToGrid/>
        <w:spacing w:before="120" w:after="120"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p>
    <w:p w14:paraId="2E975B22">
      <w:pPr>
        <w:pageBreakBefore w:val="0"/>
        <w:kinsoku/>
        <w:wordWrap/>
        <w:overflowPunct/>
        <w:topLinePunct w:val="0"/>
        <w:bidi w:val="0"/>
        <w:snapToGrid/>
        <w:spacing w:before="120" w:after="120"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规格尺寸表</w:t>
      </w:r>
    </w:p>
    <w:tbl>
      <w:tblPr>
        <w:tblStyle w:val="28"/>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124"/>
        <w:gridCol w:w="1934"/>
        <w:gridCol w:w="1978"/>
      </w:tblGrid>
      <w:tr w14:paraId="2679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3" w:type="dxa"/>
            <w:vMerge w:val="restart"/>
            <w:vAlign w:val="center"/>
          </w:tcPr>
          <w:p w14:paraId="0C8618A5">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bookmarkStart w:id="92" w:name="_Toc13101"/>
            <w:r>
              <w:rPr>
                <w:rFonts w:hint="eastAsia" w:ascii="仿宋" w:hAnsi="仿宋" w:eastAsia="仿宋" w:cs="仿宋"/>
                <w:bCs/>
                <w:kern w:val="0"/>
                <w:sz w:val="24"/>
                <w:szCs w:val="24"/>
                <w:highlight w:val="none"/>
              </w:rPr>
              <w:t>分类</w:t>
            </w:r>
          </w:p>
        </w:tc>
        <w:tc>
          <w:tcPr>
            <w:tcW w:w="6036" w:type="dxa"/>
            <w:gridSpan w:val="3"/>
            <w:vAlign w:val="center"/>
          </w:tcPr>
          <w:p w14:paraId="1F0CED76">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规格尺寸（宽深高mm）</w:t>
            </w:r>
          </w:p>
        </w:tc>
      </w:tr>
      <w:tr w14:paraId="12F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3" w:type="dxa"/>
            <w:vMerge w:val="continue"/>
            <w:vAlign w:val="center"/>
          </w:tcPr>
          <w:p w14:paraId="7C4E9546">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p>
        </w:tc>
        <w:tc>
          <w:tcPr>
            <w:tcW w:w="2124" w:type="dxa"/>
            <w:vAlign w:val="center"/>
          </w:tcPr>
          <w:p w14:paraId="04F5D9B4">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整体尺寸</w:t>
            </w:r>
          </w:p>
        </w:tc>
        <w:tc>
          <w:tcPr>
            <w:tcW w:w="1934" w:type="dxa"/>
            <w:vAlign w:val="center"/>
          </w:tcPr>
          <w:p w14:paraId="19438232">
            <w:pPr>
              <w:pageBreakBefore w:val="0"/>
              <w:kinsoku/>
              <w:wordWrap/>
              <w:overflowPunct/>
              <w:topLinePunct w:val="0"/>
              <w:autoSpaceDE w:val="0"/>
              <w:autoSpaceDN w:val="0"/>
              <w:bidi w:val="0"/>
              <w:adjustRightInd w:val="0"/>
              <w:snapToGrid/>
              <w:spacing w:line="240" w:lineRule="auto"/>
              <w:ind w:firstLine="0" w:firstLineChars="0"/>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rPr>
              <w:t>电池</w:t>
            </w:r>
            <w:r>
              <w:rPr>
                <w:rFonts w:hint="eastAsia" w:ascii="仿宋" w:hAnsi="仿宋" w:eastAsia="仿宋" w:cs="仿宋"/>
                <w:bCs/>
                <w:kern w:val="0"/>
                <w:sz w:val="24"/>
                <w:szCs w:val="24"/>
                <w:highlight w:val="none"/>
                <w:lang w:val="en-US" w:eastAsia="zh-CN"/>
              </w:rPr>
              <w:t>仓最大尺寸</w:t>
            </w:r>
          </w:p>
        </w:tc>
        <w:tc>
          <w:tcPr>
            <w:tcW w:w="1978" w:type="dxa"/>
            <w:vAlign w:val="center"/>
          </w:tcPr>
          <w:p w14:paraId="2A0B50D0">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电池</w:t>
            </w:r>
            <w:r>
              <w:rPr>
                <w:rFonts w:hint="eastAsia" w:ascii="仿宋" w:hAnsi="仿宋" w:eastAsia="仿宋" w:cs="仿宋"/>
                <w:bCs/>
                <w:kern w:val="0"/>
                <w:sz w:val="24"/>
                <w:szCs w:val="24"/>
                <w:highlight w:val="none"/>
                <w:lang w:val="en-US" w:eastAsia="zh-CN"/>
              </w:rPr>
              <w:t>仓最小尺寸</w:t>
            </w:r>
          </w:p>
        </w:tc>
      </w:tr>
      <w:tr w14:paraId="3A5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403" w:type="dxa"/>
            <w:vAlign w:val="center"/>
          </w:tcPr>
          <w:p w14:paraId="38F06704">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r>
              <w:rPr>
                <w:rFonts w:hint="eastAsia" w:ascii="仿宋" w:hAnsi="仿宋" w:eastAsia="仿宋" w:cs="仿宋"/>
                <w:bCs/>
                <w:kern w:val="0"/>
                <w:sz w:val="24"/>
                <w:szCs w:val="24"/>
                <w:highlight w:val="none"/>
                <w:lang w:val="en-US" w:eastAsia="zh-CN"/>
              </w:rPr>
              <w:t>2</w:t>
            </w:r>
            <w:r>
              <w:rPr>
                <w:rFonts w:hint="eastAsia" w:ascii="仿宋" w:hAnsi="仿宋" w:eastAsia="仿宋" w:cs="仿宋"/>
                <w:bCs/>
                <w:kern w:val="0"/>
                <w:sz w:val="24"/>
                <w:szCs w:val="24"/>
                <w:highlight w:val="none"/>
              </w:rPr>
              <w:t>仓（主体）</w:t>
            </w:r>
          </w:p>
        </w:tc>
        <w:tc>
          <w:tcPr>
            <w:tcW w:w="2124" w:type="dxa"/>
            <w:vAlign w:val="center"/>
          </w:tcPr>
          <w:p w14:paraId="03711820">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rPr>
              <w:t>10</w:t>
            </w:r>
            <w:r>
              <w:rPr>
                <w:rFonts w:hint="eastAsia" w:ascii="仿宋" w:hAnsi="仿宋" w:eastAsia="仿宋" w:cs="仿宋"/>
                <w:bCs/>
                <w:kern w:val="0"/>
                <w:sz w:val="24"/>
                <w:szCs w:val="24"/>
                <w:highlight w:val="none"/>
                <w:lang w:val="en-US" w:eastAsia="zh-CN"/>
              </w:rPr>
              <w:t>00宽</w:t>
            </w:r>
            <w:r>
              <w:rPr>
                <w:rFonts w:hint="eastAsia" w:ascii="仿宋" w:hAnsi="仿宋" w:eastAsia="仿宋" w:cs="仿宋"/>
                <w:bCs/>
                <w:kern w:val="0"/>
                <w:sz w:val="24"/>
                <w:szCs w:val="24"/>
                <w:highlight w:val="none"/>
              </w:rPr>
              <w:t>*1</w:t>
            </w:r>
            <w:r>
              <w:rPr>
                <w:rFonts w:hint="eastAsia" w:ascii="仿宋" w:hAnsi="仿宋" w:eastAsia="仿宋" w:cs="仿宋"/>
                <w:bCs/>
                <w:kern w:val="0"/>
                <w:sz w:val="24"/>
                <w:szCs w:val="24"/>
                <w:highlight w:val="none"/>
                <w:lang w:val="en-US" w:eastAsia="zh-CN"/>
              </w:rPr>
              <w:t>7</w:t>
            </w:r>
            <w:r>
              <w:rPr>
                <w:rFonts w:hint="eastAsia" w:ascii="仿宋" w:hAnsi="仿宋" w:eastAsia="仿宋" w:cs="仿宋"/>
                <w:bCs/>
                <w:kern w:val="0"/>
                <w:sz w:val="24"/>
                <w:szCs w:val="24"/>
                <w:highlight w:val="none"/>
              </w:rPr>
              <w:t>00</w:t>
            </w:r>
            <w:r>
              <w:rPr>
                <w:rFonts w:hint="eastAsia" w:ascii="仿宋" w:hAnsi="仿宋" w:eastAsia="仿宋" w:cs="仿宋"/>
                <w:bCs/>
                <w:kern w:val="0"/>
                <w:sz w:val="24"/>
                <w:szCs w:val="24"/>
                <w:highlight w:val="none"/>
                <w:lang w:val="en-US" w:eastAsia="zh-CN"/>
              </w:rPr>
              <w:t>高</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lang w:val="en-US" w:eastAsia="zh-CN"/>
              </w:rPr>
              <w:t>445深</w:t>
            </w:r>
          </w:p>
        </w:tc>
        <w:tc>
          <w:tcPr>
            <w:tcW w:w="1934" w:type="dxa"/>
            <w:vAlign w:val="center"/>
          </w:tcPr>
          <w:p w14:paraId="306E11F3">
            <w:pPr>
              <w:pageBreakBefore w:val="0"/>
              <w:kinsoku/>
              <w:wordWrap/>
              <w:overflowPunct/>
              <w:topLinePunct w:val="0"/>
              <w:autoSpaceDE w:val="0"/>
              <w:autoSpaceDN w:val="0"/>
              <w:bidi w:val="0"/>
              <w:adjustRightInd w:val="0"/>
              <w:snapToGrid/>
              <w:spacing w:line="240" w:lineRule="auto"/>
              <w:ind w:firstLine="0" w:firstLineChars="0"/>
              <w:jc w:val="center"/>
              <w:rPr>
                <w:rFonts w:hint="default" w:ascii="仿宋" w:hAnsi="仿宋" w:eastAsia="仿宋" w:cs="仿宋"/>
                <w:bCs/>
                <w:kern w:val="0"/>
                <w:sz w:val="24"/>
                <w:szCs w:val="24"/>
                <w:highlight w:val="none"/>
                <w:lang w:val="en-US"/>
              </w:rPr>
            </w:pPr>
            <w:r>
              <w:rPr>
                <w:rFonts w:hint="eastAsia" w:ascii="仿宋" w:hAnsi="仿宋" w:eastAsia="仿宋" w:cs="仿宋"/>
                <w:bCs/>
                <w:kern w:val="0"/>
                <w:sz w:val="24"/>
                <w:szCs w:val="24"/>
                <w:highlight w:val="none"/>
                <w:lang w:val="en-US" w:eastAsia="zh-CN"/>
              </w:rPr>
              <w:t>275宽*290高*420深（±5mm）</w:t>
            </w:r>
          </w:p>
        </w:tc>
        <w:tc>
          <w:tcPr>
            <w:tcW w:w="1978" w:type="dxa"/>
            <w:vAlign w:val="center"/>
          </w:tcPr>
          <w:p w14:paraId="45C282C7">
            <w:pPr>
              <w:pageBreakBefore w:val="0"/>
              <w:kinsoku/>
              <w:wordWrap/>
              <w:overflowPunct/>
              <w:topLinePunct w:val="0"/>
              <w:autoSpaceDE w:val="0"/>
              <w:autoSpaceDN w:val="0"/>
              <w:bidi w:val="0"/>
              <w:adjustRightInd w:val="0"/>
              <w:snapToGrid/>
              <w:spacing w:line="240" w:lineRule="auto"/>
              <w:ind w:firstLine="0" w:firstLineChars="0"/>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210宽*210高*350深（±5mm）</w:t>
            </w:r>
          </w:p>
        </w:tc>
      </w:tr>
    </w:tbl>
    <w:p w14:paraId="392791C9">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3.6门和门锁</w:t>
      </w:r>
      <w:bookmarkEnd w:id="92"/>
    </w:p>
    <w:p w14:paraId="2535B011">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（1）电器仓门开度大于100° 有手动和电控两种打开方式并能有效限位锁住便于维护电器，背面维护门能手动打开便于维护柜内线路和柜内设备。</w:t>
      </w:r>
    </w:p>
    <w:p w14:paraId="5700E33C">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（2）电池仓门采用统一方向的开门形式（统一朝左开或朝右开）。</w:t>
      </w:r>
    </w:p>
    <w:p w14:paraId="32E83A2C">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（3）仓门具备电子锁状态检测功能。</w:t>
      </w:r>
    </w:p>
    <w:p w14:paraId="26027880">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（4）仓门使用DC12V安全电压的电控锁，只有开门瞬间通电，门锁上后不带电。有相应的应急开门设计。</w:t>
      </w:r>
    </w:p>
    <w:p w14:paraId="01E4BED2">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（5）锁具须具备防尘、防锈蚀功能，使用寿命≥100，000次。</w:t>
      </w:r>
    </w:p>
    <w:p w14:paraId="3A749B18">
      <w:pPr>
        <w:pageBreakBefore w:val="0"/>
        <w:numPr>
          <w:ilvl w:val="0"/>
          <w:numId w:val="0"/>
        </w:numPr>
        <w:kinsoku/>
        <w:wordWrap/>
        <w:overflowPunct/>
        <w:topLinePunct w:val="0"/>
        <w:bidi w:val="0"/>
        <w:snapToGrid/>
        <w:spacing w:before="120" w:after="120" w:line="360" w:lineRule="auto"/>
        <w:ind w:firstLine="420" w:firstLineChars="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（6）电控锁具属易损件，结构设计上应便于维修更换。</w:t>
      </w:r>
    </w:p>
    <w:p w14:paraId="0963D554">
      <w:pPr>
        <w:pStyle w:val="70"/>
        <w:pageBreakBefore w:val="0"/>
        <w:kinsoku/>
        <w:wordWrap/>
        <w:overflowPunct/>
        <w:topLinePunct w:val="0"/>
        <w:bidi w:val="0"/>
        <w:snapToGrid/>
        <w:spacing w:before="0" w:beforeLines="0" w:after="0" w:afterLines="0" w:line="240" w:lineRule="auto"/>
        <w:rPr>
          <w:rFonts w:hint="eastAsia" w:ascii="仿宋" w:hAnsi="仿宋" w:eastAsia="仿宋" w:cs="仿宋"/>
          <w:sz w:val="22"/>
          <w:szCs w:val="22"/>
          <w:highlight w:val="none"/>
        </w:rPr>
      </w:pPr>
      <w:r>
        <w:rPr>
          <w:rFonts w:hint="eastAsia" w:ascii="仿宋" w:hAnsi="仿宋" w:eastAsia="仿宋" w:cs="仿宋"/>
          <w:kern w:val="0"/>
          <w:sz w:val="22"/>
          <w:szCs w:val="22"/>
          <w:highlight w:val="none"/>
        </w:rPr>
        <w:t xml:space="preserve"> 电控锁具参数要求</w:t>
      </w:r>
    </w:p>
    <w:tbl>
      <w:tblPr>
        <w:tblStyle w:val="27"/>
        <w:tblW w:w="6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44"/>
      </w:tblGrid>
      <w:tr w14:paraId="7270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29" w:type="dxa"/>
            <w:vAlign w:val="center"/>
          </w:tcPr>
          <w:p w14:paraId="69A8B1C5">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名称</w:t>
            </w:r>
          </w:p>
        </w:tc>
        <w:tc>
          <w:tcPr>
            <w:tcW w:w="3544" w:type="dxa"/>
            <w:vAlign w:val="center"/>
          </w:tcPr>
          <w:p w14:paraId="55580D90">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参数</w:t>
            </w:r>
          </w:p>
        </w:tc>
      </w:tr>
      <w:tr w14:paraId="5ED8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29" w:type="dxa"/>
            <w:vAlign w:val="center"/>
          </w:tcPr>
          <w:p w14:paraId="6AD0B115">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额定电压</w:t>
            </w:r>
          </w:p>
        </w:tc>
        <w:tc>
          <w:tcPr>
            <w:tcW w:w="3544" w:type="dxa"/>
            <w:vAlign w:val="center"/>
          </w:tcPr>
          <w:p w14:paraId="34B36B4D">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DC</w:t>
            </w:r>
            <w:r>
              <w:rPr>
                <w:rFonts w:hint="eastAsia" w:ascii="仿宋" w:hAnsi="仿宋" w:eastAsia="仿宋" w:cs="仿宋"/>
                <w:kern w:val="0"/>
                <w:sz w:val="24"/>
                <w:szCs w:val="24"/>
                <w:highlight w:val="none"/>
              </w:rPr>
              <w:t>12V</w:t>
            </w:r>
          </w:p>
        </w:tc>
      </w:tr>
      <w:tr w14:paraId="4E02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29" w:type="dxa"/>
            <w:vAlign w:val="center"/>
          </w:tcPr>
          <w:p w14:paraId="79468C64">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电压适应范围</w:t>
            </w:r>
          </w:p>
        </w:tc>
        <w:tc>
          <w:tcPr>
            <w:tcW w:w="3544" w:type="dxa"/>
            <w:vAlign w:val="center"/>
          </w:tcPr>
          <w:p w14:paraId="7639EF47">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85%～110%</w:t>
            </w:r>
          </w:p>
        </w:tc>
      </w:tr>
      <w:tr w14:paraId="5B7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29" w:type="dxa"/>
            <w:vAlign w:val="center"/>
          </w:tcPr>
          <w:p w14:paraId="6802DD39">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最大瞬间工作电流</w:t>
            </w:r>
          </w:p>
        </w:tc>
        <w:tc>
          <w:tcPr>
            <w:tcW w:w="3544" w:type="dxa"/>
            <w:vAlign w:val="center"/>
          </w:tcPr>
          <w:p w14:paraId="572CA139">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2A±25%</w:t>
            </w:r>
          </w:p>
        </w:tc>
      </w:tr>
      <w:tr w14:paraId="467F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829" w:type="dxa"/>
            <w:vAlign w:val="center"/>
          </w:tcPr>
          <w:p w14:paraId="163904CD">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状态监测</w:t>
            </w:r>
          </w:p>
        </w:tc>
        <w:tc>
          <w:tcPr>
            <w:tcW w:w="3544" w:type="dxa"/>
            <w:vAlign w:val="center"/>
          </w:tcPr>
          <w:p w14:paraId="133631E1">
            <w:pPr>
              <w:pageBreakBefore w:val="0"/>
              <w:kinsoku/>
              <w:wordWrap/>
              <w:overflowPunct/>
              <w:topLinePunct w:val="0"/>
              <w:autoSpaceDE w:val="0"/>
              <w:autoSpaceDN w:val="0"/>
              <w:bidi w:val="0"/>
              <w:adjustRightInd w:val="0"/>
              <w:snapToGrid/>
              <w:spacing w:line="24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具有锁开/锁关两状态反馈</w:t>
            </w:r>
          </w:p>
        </w:tc>
      </w:tr>
    </w:tbl>
    <w:p w14:paraId="5F19562D">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93" w:name="_Toc14828"/>
      <w:r>
        <w:rPr>
          <w:rFonts w:hint="eastAsia" w:ascii="仿宋" w:hAnsi="仿宋" w:eastAsia="仿宋" w:cs="仿宋"/>
          <w:sz w:val="24"/>
          <w:szCs w:val="24"/>
          <w:highlight w:val="none"/>
          <w:lang w:val="en-US" w:eastAsia="zh-CN"/>
        </w:rPr>
        <w:t>3.</w:t>
      </w:r>
      <w:bookmarkEnd w:id="93"/>
      <w:r>
        <w:rPr>
          <w:rFonts w:hint="eastAsia" w:ascii="仿宋" w:hAnsi="仿宋" w:eastAsia="仿宋" w:cs="仿宋"/>
          <w:sz w:val="24"/>
          <w:szCs w:val="24"/>
          <w:highlight w:val="none"/>
          <w:lang w:val="en-US" w:eastAsia="zh-CN"/>
        </w:rPr>
        <w:t>7操作方式</w:t>
      </w:r>
    </w:p>
    <w:p w14:paraId="4756D368">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3.7.1二维码采用哑银防水不干胶材质，粘贴在柜体上。为防止被恶意刮花破坏，采用开启式透明亚克力板盖在二维码上。</w:t>
      </w:r>
    </w:p>
    <w:p w14:paraId="50EA00AC">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3.7.2</w:t>
      </w:r>
      <w:bookmarkStart w:id="94" w:name="_Toc26195"/>
      <w:r>
        <w:rPr>
          <w:rFonts w:hint="eastAsia" w:ascii="仿宋" w:hAnsi="仿宋" w:eastAsia="仿宋" w:cs="仿宋"/>
          <w:sz w:val="24"/>
          <w:szCs w:val="24"/>
          <w:highlight w:val="none"/>
          <w:lang w:val="en-US" w:eastAsia="zh-CN"/>
        </w:rPr>
        <w:t xml:space="preserve"> 显示屏（选配）</w:t>
      </w:r>
      <w:bookmarkEnd w:id="94"/>
    </w:p>
    <w:p w14:paraId="7075072B">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可配置不同尺寸的串口屏显示屏安装位于柜体上部，安装后整柜满足防护等级IP54及以上。</w:t>
      </w:r>
      <w:bookmarkStart w:id="95" w:name="_Toc4133"/>
    </w:p>
    <w:p w14:paraId="3542C97E">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3.8雨棚（选配）</w:t>
      </w:r>
      <w:bookmarkEnd w:id="95"/>
    </w:p>
    <w:p w14:paraId="65BEB94B">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可根据现场场景选择雨棚。</w:t>
      </w:r>
    </w:p>
    <w:p w14:paraId="05A847DE">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96" w:name="_Toc9365"/>
      <w:r>
        <w:rPr>
          <w:rFonts w:hint="eastAsia" w:ascii="仿宋" w:hAnsi="仿宋" w:eastAsia="仿宋" w:cs="仿宋"/>
          <w:sz w:val="24"/>
          <w:szCs w:val="24"/>
          <w:highlight w:val="none"/>
          <w:lang w:val="en-US" w:eastAsia="zh-CN"/>
        </w:rPr>
        <w:t>3.9综合布线</w:t>
      </w:r>
      <w:bookmarkEnd w:id="96"/>
    </w:p>
    <w:p w14:paraId="49C0B129">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（1）市电引入采用下进方式，但电源搭接部位必须在柜体上部。</w:t>
      </w:r>
    </w:p>
    <w:p w14:paraId="143E3699">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（2）柜体内部规划走线槽敷设线缆，交流线缆、直流线缆、控制/通讯线缆避免有交叉或干扰，分线槽敷设线缆。</w:t>
      </w:r>
    </w:p>
    <w:p w14:paraId="6BF0D335">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（3）所有开孔处打磨光滑，不能有毛刺锐角等，所有开孔处有密封处理，防止水或小动物进入柜内。</w:t>
      </w:r>
    </w:p>
    <w:p w14:paraId="0CC44C0D">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97" w:name="_Toc24192"/>
      <w:r>
        <w:rPr>
          <w:rFonts w:hint="eastAsia" w:ascii="仿宋" w:hAnsi="仿宋" w:eastAsia="仿宋" w:cs="仿宋"/>
          <w:sz w:val="24"/>
          <w:szCs w:val="24"/>
          <w:highlight w:val="none"/>
          <w:lang w:val="en-US" w:eastAsia="zh-CN"/>
        </w:rPr>
        <w:t>3.10热交换模块</w:t>
      </w:r>
      <w:bookmarkEnd w:id="97"/>
    </w:p>
    <w:p w14:paraId="7EE7DFDB">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（1）热交换系统包括散热系统和加热系统两部分。</w:t>
      </w:r>
    </w:p>
    <w:p w14:paraId="1D77427A">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（2）散热系统使用2个风扇是AC220V无电容风扇。</w:t>
      </w:r>
    </w:p>
    <w:p w14:paraId="06170071">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（3）热交换的散热系统和加热系统采用阵列式风道设计，实现电池仓整体加热与散热。</w:t>
      </w:r>
    </w:p>
    <w:p w14:paraId="6D369634">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bookmarkStart w:id="98" w:name="_Hlk34425291"/>
      <w:r>
        <w:rPr>
          <w:rFonts w:hint="eastAsia" w:ascii="仿宋" w:hAnsi="仿宋" w:eastAsia="仿宋" w:cs="仿宋"/>
          <w:kern w:val="0"/>
          <w:sz w:val="24"/>
          <w:szCs w:val="24"/>
          <w:highlight w:val="none"/>
          <w:lang w:val="en-US" w:eastAsia="zh-CN"/>
        </w:rPr>
        <w:t>抽/排风扇</w:t>
      </w:r>
      <w:bookmarkEnd w:id="98"/>
      <w:r>
        <w:rPr>
          <w:rFonts w:hint="eastAsia" w:ascii="仿宋" w:hAnsi="仿宋" w:eastAsia="仿宋" w:cs="仿宋"/>
          <w:kern w:val="0"/>
          <w:sz w:val="24"/>
          <w:szCs w:val="24"/>
          <w:highlight w:val="none"/>
          <w:lang w:val="en-US" w:eastAsia="zh-CN"/>
        </w:rPr>
        <w:t>运行根据电器仓温度传感器监测的环境温度，温度达到55度智能选择开启风扇。</w:t>
      </w:r>
    </w:p>
    <w:p w14:paraId="46B56698">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99" w:name="_Toc1083"/>
      <w:r>
        <w:rPr>
          <w:rFonts w:hint="eastAsia" w:ascii="仿宋" w:hAnsi="仿宋" w:eastAsia="仿宋" w:cs="仿宋"/>
          <w:snapToGrid w:val="0"/>
          <w:kern w:val="0"/>
          <w:sz w:val="24"/>
          <w:szCs w:val="24"/>
          <w:highlight w:val="none"/>
        </w:rPr>
        <w:t>▲</w:t>
      </w:r>
      <w:r>
        <w:rPr>
          <w:rFonts w:hint="eastAsia" w:ascii="仿宋" w:hAnsi="仿宋" w:eastAsia="仿宋" w:cs="仿宋"/>
          <w:sz w:val="24"/>
          <w:szCs w:val="24"/>
          <w:highlight w:val="none"/>
          <w:lang w:val="en-US" w:eastAsia="zh-CN"/>
        </w:rPr>
        <w:t>3.11消防模块  (三级控制）</w:t>
      </w:r>
      <w:bookmarkEnd w:id="99"/>
    </w:p>
    <w:p w14:paraId="6D02B50F">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消防模块分为消防预警，消防报警，消防灭火三级控制。且温控系统具有阈值设定功能。</w:t>
      </w:r>
    </w:p>
    <w:p w14:paraId="62B8248F">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1）当环境温度过高时，以40度室温为标准，当电池温度达到50度（可调），充电器会降功率充电，使得电池温度在保持55度以下；若电池还继续升温，温度超过60度（可调），则判定为电池异常，充电器马上停止充电。充电器会根据电池温度进行降功率充电，接近阈值温度时启动慢充，最低电流为1A。</w:t>
      </w:r>
    </w:p>
    <w:p w14:paraId="242F8C09">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（2）当整柜的温度达到50度(可调)时，开启充换电柜的风扇散热功能，降低整柜的高温压力，实现对充换电柜消防预警的功能。</w:t>
      </w:r>
    </w:p>
    <w:p w14:paraId="59BE26F4">
      <w:pPr>
        <w:pageBreakBefore w:val="0"/>
        <w:numPr>
          <w:ilvl w:val="0"/>
          <w:numId w:val="0"/>
        </w:numPr>
        <w:kinsoku/>
        <w:wordWrap/>
        <w:overflowPunct/>
        <w:topLinePunct w:val="0"/>
        <w:bidi w:val="0"/>
        <w:snapToGrid/>
        <w:spacing w:before="120" w:after="120" w:line="360" w:lineRule="auto"/>
        <w:ind w:firstLine="42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highlight w:val="none"/>
          <w:lang w:val="en-US" w:eastAsia="zh-CN"/>
        </w:rPr>
        <w:t>（3）充换电柜中还具有水浸检测功能，当水浸传感器检测到底部积水，将会上报水浸报警信号，并且主板切断所有充电电源。</w:t>
      </w:r>
      <w:r>
        <w:rPr>
          <w:rFonts w:hint="eastAsia" w:ascii="仿宋" w:hAnsi="仿宋" w:eastAsia="仿宋" w:cs="仿宋"/>
          <w:color w:val="auto"/>
          <w:kern w:val="0"/>
          <w:sz w:val="24"/>
          <w:szCs w:val="24"/>
          <w:highlight w:val="none"/>
          <w:lang w:val="en-US" w:eastAsia="zh-CN"/>
        </w:rPr>
        <w:t>同时柜内带电部位要求距柜底200mm以上。</w:t>
      </w:r>
    </w:p>
    <w:p w14:paraId="63080C74">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（4）消防报警自动灭火装置由单仓热气溶胶和化学烟雾探测器、温度传感器组成，温度达到170度热气溶胶自启并发出反馈信号，主板切断充电电源。</w:t>
      </w:r>
    </w:p>
    <w:p w14:paraId="14BFD26A">
      <w:pPr>
        <w:pageBreakBefore w:val="0"/>
        <w:numPr>
          <w:ilvl w:val="0"/>
          <w:numId w:val="0"/>
        </w:numPr>
        <w:kinsoku/>
        <w:wordWrap/>
        <w:overflowPunct/>
        <w:topLinePunct w:val="0"/>
        <w:bidi w:val="0"/>
        <w:snapToGrid/>
        <w:spacing w:before="120" w:after="120" w:line="360" w:lineRule="auto"/>
        <w:ind w:firstLine="42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（5）充换电柜内部配置消防报警自动灭火装置，实现自动探测、自动上报、自动灭火等功能，满足充换电柜全天候火灾安全防护。</w:t>
      </w:r>
    </w:p>
    <w:p w14:paraId="553B4FEB">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100" w:name="_Toc11531"/>
      <w:r>
        <w:rPr>
          <w:rFonts w:hint="eastAsia" w:ascii="仿宋" w:hAnsi="仿宋" w:eastAsia="仿宋" w:cs="仿宋"/>
          <w:sz w:val="24"/>
          <w:szCs w:val="24"/>
          <w:highlight w:val="none"/>
          <w:lang w:val="en-US" w:eastAsia="zh-CN"/>
        </w:rPr>
        <w:t>3.12电量表</w:t>
      </w:r>
      <w:bookmarkEnd w:id="100"/>
    </w:p>
    <w:p w14:paraId="23E80755">
      <w:pPr>
        <w:pageBreakBefore w:val="0"/>
        <w:kinsoku/>
        <w:wordWrap/>
        <w:overflowPunct/>
        <w:topLinePunct w:val="0"/>
        <w:bidi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（1）充</w:t>
      </w:r>
      <w:r>
        <w:rPr>
          <w:rFonts w:hint="eastAsia" w:ascii="仿宋" w:hAnsi="仿宋" w:eastAsia="仿宋" w:cs="仿宋"/>
          <w:sz w:val="24"/>
          <w:szCs w:val="24"/>
          <w:highlight w:val="none"/>
        </w:rPr>
        <w:t>换电柜内配置满足</w:t>
      </w:r>
      <w:r>
        <w:rPr>
          <w:rFonts w:hint="eastAsia" w:ascii="仿宋" w:hAnsi="仿宋" w:eastAsia="仿宋" w:cs="仿宋"/>
          <w:sz w:val="24"/>
          <w:szCs w:val="24"/>
          <w:highlight w:val="none"/>
          <w:lang w:val="en-US" w:eastAsia="zh-CN"/>
        </w:rPr>
        <w:t>需求的</w:t>
      </w:r>
      <w:r>
        <w:rPr>
          <w:rFonts w:hint="eastAsia" w:ascii="仿宋" w:hAnsi="仿宋" w:eastAsia="仿宋" w:cs="仿宋"/>
          <w:sz w:val="24"/>
          <w:szCs w:val="24"/>
          <w:highlight w:val="none"/>
        </w:rPr>
        <w:t>智能电表，数据依要求通过</w:t>
      </w:r>
      <w:r>
        <w:rPr>
          <w:rFonts w:hint="eastAsia" w:ascii="仿宋" w:hAnsi="仿宋" w:eastAsia="仿宋" w:cs="仿宋"/>
          <w:sz w:val="24"/>
          <w:szCs w:val="24"/>
          <w:highlight w:val="none"/>
          <w:lang w:val="en-US" w:eastAsia="zh-CN"/>
        </w:rPr>
        <w:t>485</w:t>
      </w:r>
      <w:r>
        <w:rPr>
          <w:rFonts w:hint="eastAsia" w:ascii="仿宋" w:hAnsi="仿宋" w:eastAsia="仿宋" w:cs="仿宋"/>
          <w:sz w:val="24"/>
          <w:szCs w:val="24"/>
          <w:highlight w:val="none"/>
        </w:rPr>
        <w:t>通信模块上报平台。</w:t>
      </w:r>
    </w:p>
    <w:p w14:paraId="4AC203A5">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01" w:name="_Toc26439"/>
      <w:r>
        <w:rPr>
          <w:rFonts w:hint="eastAsia" w:ascii="仿宋" w:hAnsi="仿宋" w:eastAsia="仿宋" w:cs="仿宋"/>
          <w:sz w:val="24"/>
          <w:szCs w:val="24"/>
          <w:highlight w:val="none"/>
          <w:lang w:val="en-US" w:eastAsia="zh-CN"/>
        </w:rPr>
        <w:t>3.13交流配电</w:t>
      </w:r>
      <w:bookmarkEnd w:id="101"/>
    </w:p>
    <w:tbl>
      <w:tblPr>
        <w:tblStyle w:val="27"/>
        <w:tblW w:w="83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787"/>
        <w:gridCol w:w="5833"/>
      </w:tblGrid>
      <w:tr w14:paraId="52B975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7" w:hRule="atLeast"/>
          <w:jc w:val="center"/>
        </w:trPr>
        <w:tc>
          <w:tcPr>
            <w:tcW w:w="706" w:type="dxa"/>
            <w:tcBorders>
              <w:tl2br w:val="nil"/>
              <w:tr2bl w:val="nil"/>
            </w:tcBorders>
            <w:vAlign w:val="center"/>
          </w:tcPr>
          <w:p w14:paraId="7A134D18">
            <w:pPr>
              <w:pStyle w:val="71"/>
              <w:pageBreakBefore w:val="0"/>
              <w:kinsoku/>
              <w:wordWrap/>
              <w:overflowPunct/>
              <w:topLinePunct w:val="0"/>
              <w:bidi w:val="0"/>
              <w:snapToGrid/>
              <w:spacing w:line="240" w:lineRule="auto"/>
              <w:ind w:right="8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1787" w:type="dxa"/>
            <w:tcBorders>
              <w:tl2br w:val="nil"/>
              <w:tr2bl w:val="nil"/>
            </w:tcBorders>
            <w:vAlign w:val="center"/>
          </w:tcPr>
          <w:p w14:paraId="59A3BE37">
            <w:pPr>
              <w:pStyle w:val="71"/>
              <w:pageBreakBefore w:val="0"/>
              <w:kinsoku/>
              <w:wordWrap/>
              <w:overflowPunct/>
              <w:topLinePunct w:val="0"/>
              <w:bidi w:val="0"/>
              <w:snapToGrid/>
              <w:spacing w:line="240" w:lineRule="auto"/>
              <w:ind w:right="571"/>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名称</w:t>
            </w:r>
          </w:p>
        </w:tc>
        <w:tc>
          <w:tcPr>
            <w:tcW w:w="5833" w:type="dxa"/>
            <w:tcBorders>
              <w:tl2br w:val="nil"/>
              <w:tr2bl w:val="nil"/>
            </w:tcBorders>
            <w:vAlign w:val="center"/>
          </w:tcPr>
          <w:p w14:paraId="134A2D85">
            <w:pPr>
              <w:pStyle w:val="71"/>
              <w:pageBreakBefore w:val="0"/>
              <w:kinsoku/>
              <w:wordWrap/>
              <w:overflowPunct/>
              <w:topLinePunct w:val="0"/>
              <w:bidi w:val="0"/>
              <w:snapToGrid/>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功能</w:t>
            </w:r>
          </w:p>
        </w:tc>
      </w:tr>
      <w:tr w14:paraId="1B42F2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06" w:type="dxa"/>
            <w:tcBorders>
              <w:tl2br w:val="nil"/>
              <w:tr2bl w:val="nil"/>
            </w:tcBorders>
            <w:vAlign w:val="center"/>
          </w:tcPr>
          <w:p w14:paraId="38180432">
            <w:pPr>
              <w:pStyle w:val="71"/>
              <w:pageBreakBefore w:val="0"/>
              <w:kinsoku/>
              <w:wordWrap/>
              <w:overflowPunct/>
              <w:topLinePunct w:val="0"/>
              <w:bidi w:val="0"/>
              <w:snapToGrid/>
              <w:spacing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787" w:type="dxa"/>
            <w:tcBorders>
              <w:tl2br w:val="nil"/>
              <w:tr2bl w:val="nil"/>
            </w:tcBorders>
            <w:vAlign w:val="center"/>
          </w:tcPr>
          <w:p w14:paraId="52AC7673">
            <w:pPr>
              <w:pStyle w:val="71"/>
              <w:pageBreakBefore w:val="0"/>
              <w:kinsoku/>
              <w:wordWrap/>
              <w:overflowPunct/>
              <w:topLinePunct w:val="0"/>
              <w:bidi w:val="0"/>
              <w:snapToGrid/>
              <w:spacing w:before="94" w:line="240" w:lineRule="auto"/>
              <w:ind w:right="4"/>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浪涌保护器</w:t>
            </w:r>
          </w:p>
        </w:tc>
        <w:tc>
          <w:tcPr>
            <w:tcW w:w="5833" w:type="dxa"/>
            <w:tcBorders>
              <w:tl2br w:val="nil"/>
              <w:tr2bl w:val="nil"/>
            </w:tcBorders>
            <w:vAlign w:val="center"/>
          </w:tcPr>
          <w:p w14:paraId="6008F1A2">
            <w:pPr>
              <w:pStyle w:val="71"/>
              <w:pageBreakBefore w:val="0"/>
              <w:kinsoku/>
              <w:wordWrap/>
              <w:overflowPunct/>
              <w:topLinePunct w:val="0"/>
              <w:bidi w:val="0"/>
              <w:snapToGrid/>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智能换电柜进线位置安装了一套In=20KA浪涌保护器（3P+N)，‌‌为智能换电柜下游的用电设备提供可靠的防雷保护。‌</w:t>
            </w:r>
          </w:p>
        </w:tc>
      </w:tr>
      <w:tr w14:paraId="05D53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06" w:type="dxa"/>
            <w:tcBorders>
              <w:tl2br w:val="nil"/>
              <w:tr2bl w:val="nil"/>
            </w:tcBorders>
            <w:vAlign w:val="center"/>
          </w:tcPr>
          <w:p w14:paraId="046D3AA4">
            <w:pPr>
              <w:pStyle w:val="71"/>
              <w:pageBreakBefore w:val="0"/>
              <w:kinsoku/>
              <w:wordWrap/>
              <w:overflowPunct/>
              <w:topLinePunct w:val="0"/>
              <w:bidi w:val="0"/>
              <w:snapToGrid/>
              <w:spacing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787" w:type="dxa"/>
            <w:tcBorders>
              <w:tl2br w:val="nil"/>
              <w:tr2bl w:val="nil"/>
            </w:tcBorders>
            <w:vAlign w:val="center"/>
          </w:tcPr>
          <w:p w14:paraId="5955EC6E">
            <w:pPr>
              <w:pStyle w:val="71"/>
              <w:pageBreakBefore w:val="0"/>
              <w:kinsoku/>
              <w:wordWrap/>
              <w:overflowPunct/>
              <w:topLinePunct w:val="0"/>
              <w:bidi w:val="0"/>
              <w:snapToGrid/>
              <w:spacing w:before="94" w:line="240" w:lineRule="auto"/>
              <w:ind w:right="4"/>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短路、过载和漏电保护器</w:t>
            </w:r>
          </w:p>
        </w:tc>
        <w:tc>
          <w:tcPr>
            <w:tcW w:w="5833" w:type="dxa"/>
            <w:tcBorders>
              <w:tl2br w:val="nil"/>
              <w:tr2bl w:val="nil"/>
            </w:tcBorders>
            <w:vAlign w:val="center"/>
          </w:tcPr>
          <w:p w14:paraId="47DA39C0">
            <w:pPr>
              <w:pStyle w:val="71"/>
              <w:pageBreakBefore w:val="0"/>
              <w:kinsoku/>
              <w:wordWrap/>
              <w:overflowPunct/>
              <w:topLinePunct w:val="0"/>
              <w:bidi w:val="0"/>
              <w:snapToGrid/>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智能换电柜终端配电系统主回路前端安装了一套短路、过载和漏电保护器，额定电流为32A，保护主回路电路和设备免受短路、过载和漏电带来的安全隐患。</w:t>
            </w:r>
          </w:p>
        </w:tc>
      </w:tr>
      <w:tr w14:paraId="75F3B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06" w:type="dxa"/>
            <w:tcBorders>
              <w:tl2br w:val="nil"/>
              <w:tr2bl w:val="nil"/>
            </w:tcBorders>
            <w:vAlign w:val="center"/>
          </w:tcPr>
          <w:p w14:paraId="6658899A">
            <w:pPr>
              <w:pStyle w:val="71"/>
              <w:pageBreakBefore w:val="0"/>
              <w:kinsoku/>
              <w:wordWrap/>
              <w:overflowPunct/>
              <w:topLinePunct w:val="0"/>
              <w:bidi w:val="0"/>
              <w:snapToGrid/>
              <w:spacing w:before="103"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787" w:type="dxa"/>
            <w:tcBorders>
              <w:tl2br w:val="nil"/>
              <w:tr2bl w:val="nil"/>
            </w:tcBorders>
            <w:vAlign w:val="center"/>
          </w:tcPr>
          <w:p w14:paraId="468C41B1">
            <w:pPr>
              <w:pStyle w:val="71"/>
              <w:pageBreakBefore w:val="0"/>
              <w:kinsoku/>
              <w:wordWrap/>
              <w:overflowPunct/>
              <w:topLinePunct w:val="0"/>
              <w:bidi w:val="0"/>
              <w:snapToGrid/>
              <w:spacing w:before="94" w:line="240" w:lineRule="auto"/>
              <w:ind w:right="4"/>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过欠压保护器</w:t>
            </w:r>
          </w:p>
        </w:tc>
        <w:tc>
          <w:tcPr>
            <w:tcW w:w="5833" w:type="dxa"/>
            <w:tcBorders>
              <w:tl2br w:val="nil"/>
              <w:tr2bl w:val="nil"/>
            </w:tcBorders>
            <w:vAlign w:val="center"/>
          </w:tcPr>
          <w:p w14:paraId="3035C7A2">
            <w:pPr>
              <w:pStyle w:val="71"/>
              <w:pageBreakBefore w:val="0"/>
              <w:kinsoku/>
              <w:wordWrap/>
              <w:overflowPunct/>
              <w:topLinePunct w:val="0"/>
              <w:bidi w:val="0"/>
              <w:snapToGrid/>
              <w:spacing w:line="240" w:lineRule="auto"/>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智能换电柜终端配电系统主回路前端安装欠压保护器，该装置可防止设备过电压（AC275±5V）、欠电压（AC175±5V）过载而烧毁下游电气设备。</w:t>
            </w:r>
          </w:p>
        </w:tc>
      </w:tr>
      <w:tr w14:paraId="17341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706" w:type="dxa"/>
            <w:tcBorders>
              <w:tl2br w:val="nil"/>
              <w:tr2bl w:val="nil"/>
            </w:tcBorders>
            <w:vAlign w:val="center"/>
          </w:tcPr>
          <w:p w14:paraId="7C1498B7">
            <w:pPr>
              <w:pStyle w:val="71"/>
              <w:pageBreakBefore w:val="0"/>
              <w:kinsoku/>
              <w:wordWrap/>
              <w:overflowPunct/>
              <w:topLinePunct w:val="0"/>
              <w:bidi w:val="0"/>
              <w:snapToGrid/>
              <w:spacing w:before="103"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787" w:type="dxa"/>
            <w:tcBorders>
              <w:tl2br w:val="nil"/>
              <w:tr2bl w:val="nil"/>
            </w:tcBorders>
            <w:vAlign w:val="center"/>
          </w:tcPr>
          <w:p w14:paraId="66AFEA90">
            <w:pPr>
              <w:pStyle w:val="71"/>
              <w:pageBreakBefore w:val="0"/>
              <w:kinsoku/>
              <w:wordWrap/>
              <w:overflowPunct/>
              <w:topLinePunct w:val="0"/>
              <w:bidi w:val="0"/>
              <w:snapToGrid/>
              <w:spacing w:before="94" w:line="240" w:lineRule="auto"/>
              <w:ind w:right="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线控断路保护器</w:t>
            </w:r>
          </w:p>
        </w:tc>
        <w:tc>
          <w:tcPr>
            <w:tcW w:w="5833" w:type="dxa"/>
            <w:tcBorders>
              <w:tl2br w:val="nil"/>
              <w:tr2bl w:val="nil"/>
            </w:tcBorders>
            <w:vAlign w:val="center"/>
          </w:tcPr>
          <w:p w14:paraId="4333E5FC">
            <w:pPr>
              <w:pStyle w:val="71"/>
              <w:pageBreakBefore w:val="0"/>
              <w:kinsoku/>
              <w:wordWrap/>
              <w:overflowPunct/>
              <w:topLinePunct w:val="0"/>
              <w:bidi w:val="0"/>
              <w:snapToGrid/>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终端配电系统分支回路前端安装了一套线控断路保护器，该装置主要用于智能换电柜电气系统遇到一类告警（浸水、火警等）时，主控制板可通过线控断路保护器将各支路电源切断，提供电气安全保护。</w:t>
            </w:r>
          </w:p>
        </w:tc>
      </w:tr>
      <w:tr w14:paraId="7B1DE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06" w:type="dxa"/>
            <w:tcBorders>
              <w:tl2br w:val="nil"/>
              <w:tr2bl w:val="nil"/>
            </w:tcBorders>
            <w:vAlign w:val="center"/>
          </w:tcPr>
          <w:p w14:paraId="0549D0AD">
            <w:pPr>
              <w:pStyle w:val="71"/>
              <w:pageBreakBefore w:val="0"/>
              <w:kinsoku/>
              <w:wordWrap/>
              <w:overflowPunct/>
              <w:topLinePunct w:val="0"/>
              <w:bidi w:val="0"/>
              <w:snapToGrid/>
              <w:spacing w:before="103"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787" w:type="dxa"/>
            <w:tcBorders>
              <w:tl2br w:val="nil"/>
              <w:tr2bl w:val="nil"/>
            </w:tcBorders>
            <w:vAlign w:val="center"/>
          </w:tcPr>
          <w:p w14:paraId="1468B526">
            <w:pPr>
              <w:pStyle w:val="71"/>
              <w:pageBreakBefore w:val="0"/>
              <w:kinsoku/>
              <w:wordWrap/>
              <w:overflowPunct/>
              <w:topLinePunct w:val="0"/>
              <w:bidi w:val="0"/>
              <w:snapToGrid/>
              <w:spacing w:before="94" w:line="240" w:lineRule="auto"/>
              <w:ind w:right="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漏电保护器</w:t>
            </w:r>
          </w:p>
        </w:tc>
        <w:tc>
          <w:tcPr>
            <w:tcW w:w="5833" w:type="dxa"/>
            <w:tcBorders>
              <w:tl2br w:val="nil"/>
              <w:tr2bl w:val="nil"/>
            </w:tcBorders>
            <w:vAlign w:val="center"/>
          </w:tcPr>
          <w:p w14:paraId="30471ECB">
            <w:pPr>
              <w:pStyle w:val="71"/>
              <w:pageBreakBefore w:val="0"/>
              <w:kinsoku/>
              <w:wordWrap/>
              <w:overflowPunct/>
              <w:topLinePunct w:val="0"/>
              <w:bidi w:val="0"/>
              <w:snapToGrid/>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智能换电柜终端配电系统分支回路前端安装漏电保护器，‌当人身触电或电网泄漏电流超过规定值时，该装置‌能在极短的时间内迅速切断电源，‌保护人身及用电设备的安全。</w:t>
            </w:r>
          </w:p>
        </w:tc>
      </w:tr>
      <w:tr w14:paraId="6EF55F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06" w:type="dxa"/>
            <w:tcBorders>
              <w:tl2br w:val="nil"/>
              <w:tr2bl w:val="nil"/>
            </w:tcBorders>
            <w:vAlign w:val="center"/>
          </w:tcPr>
          <w:p w14:paraId="4CEB4C45">
            <w:pPr>
              <w:pStyle w:val="71"/>
              <w:pageBreakBefore w:val="0"/>
              <w:kinsoku/>
              <w:wordWrap/>
              <w:overflowPunct/>
              <w:topLinePunct w:val="0"/>
              <w:bidi w:val="0"/>
              <w:snapToGrid/>
              <w:spacing w:before="103"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1787" w:type="dxa"/>
            <w:tcBorders>
              <w:tl2br w:val="nil"/>
              <w:tr2bl w:val="nil"/>
            </w:tcBorders>
            <w:vAlign w:val="center"/>
          </w:tcPr>
          <w:p w14:paraId="089FF657">
            <w:pPr>
              <w:pStyle w:val="71"/>
              <w:pageBreakBefore w:val="0"/>
              <w:kinsoku/>
              <w:wordWrap/>
              <w:overflowPunct/>
              <w:topLinePunct w:val="0"/>
              <w:bidi w:val="0"/>
              <w:snapToGrid/>
              <w:spacing w:before="94" w:line="240" w:lineRule="auto"/>
              <w:ind w:right="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断路器</w:t>
            </w:r>
          </w:p>
        </w:tc>
        <w:tc>
          <w:tcPr>
            <w:tcW w:w="5833" w:type="dxa"/>
            <w:tcBorders>
              <w:tl2br w:val="nil"/>
              <w:tr2bl w:val="nil"/>
            </w:tcBorders>
            <w:vAlign w:val="center"/>
          </w:tcPr>
          <w:p w14:paraId="100E15FE">
            <w:pPr>
              <w:pStyle w:val="71"/>
              <w:pageBreakBefore w:val="0"/>
              <w:kinsoku/>
              <w:wordWrap/>
              <w:overflowPunct/>
              <w:topLinePunct w:val="0"/>
              <w:bidi w:val="0"/>
              <w:snapToGrid/>
              <w:spacing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智能换电柜终端配电系统分支回路前端安装了多路断路器，每电池仓一套，安装在配电箱的分支回路断路器保护电路免受过载和短路的影响，‌确保电气安全。</w:t>
            </w:r>
          </w:p>
        </w:tc>
      </w:tr>
      <w:tr w14:paraId="54707C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706" w:type="dxa"/>
            <w:tcBorders>
              <w:tl2br w:val="nil"/>
              <w:tr2bl w:val="nil"/>
            </w:tcBorders>
            <w:vAlign w:val="center"/>
          </w:tcPr>
          <w:p w14:paraId="7F065D09">
            <w:pPr>
              <w:pStyle w:val="71"/>
              <w:pageBreakBefore w:val="0"/>
              <w:kinsoku/>
              <w:wordWrap/>
              <w:overflowPunct/>
              <w:topLinePunct w:val="0"/>
              <w:bidi w:val="0"/>
              <w:snapToGrid/>
              <w:spacing w:before="103" w:line="240" w:lineRule="auto"/>
              <w:ind w:right="8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1787" w:type="dxa"/>
            <w:tcBorders>
              <w:tl2br w:val="nil"/>
              <w:tr2bl w:val="nil"/>
            </w:tcBorders>
            <w:vAlign w:val="center"/>
          </w:tcPr>
          <w:p w14:paraId="0D0CFB18">
            <w:pPr>
              <w:pStyle w:val="71"/>
              <w:pageBreakBefore w:val="0"/>
              <w:kinsoku/>
              <w:wordWrap/>
              <w:overflowPunct/>
              <w:topLinePunct w:val="0"/>
              <w:bidi w:val="0"/>
              <w:snapToGrid/>
              <w:spacing w:before="94" w:line="240" w:lineRule="auto"/>
              <w:ind w:right="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五孔插座</w:t>
            </w:r>
          </w:p>
        </w:tc>
        <w:tc>
          <w:tcPr>
            <w:tcW w:w="5833" w:type="dxa"/>
            <w:tcBorders>
              <w:tl2br w:val="nil"/>
              <w:tr2bl w:val="nil"/>
            </w:tcBorders>
            <w:vAlign w:val="center"/>
          </w:tcPr>
          <w:p w14:paraId="11AB948A">
            <w:pPr>
              <w:pStyle w:val="71"/>
              <w:pageBreakBefore w:val="0"/>
              <w:kinsoku/>
              <w:wordWrap/>
              <w:overflowPunct/>
              <w:topLinePunct w:val="0"/>
              <w:bidi w:val="0"/>
              <w:snapToGrid/>
              <w:spacing w:line="240" w:lineRule="auto"/>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日常维护插座，10A。</w:t>
            </w:r>
          </w:p>
        </w:tc>
      </w:tr>
    </w:tbl>
    <w:p w14:paraId="32E17B74">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color w:val="FF0000"/>
          <w:kern w:val="0"/>
          <w:sz w:val="22"/>
          <w:szCs w:val="22"/>
          <w:highlight w:val="none"/>
          <w:lang w:eastAsia="zh-CN"/>
        </w:rPr>
      </w:pPr>
      <w:r>
        <w:rPr>
          <w:rFonts w:hint="eastAsia" w:ascii="仿宋" w:hAnsi="仿宋" w:eastAsia="仿宋" w:cs="仿宋"/>
          <w:kern w:val="0"/>
          <w:sz w:val="24"/>
          <w:szCs w:val="24"/>
          <w:highlight w:val="none"/>
        </w:rPr>
        <w:t>交流</w:t>
      </w:r>
      <w:r>
        <w:rPr>
          <w:rFonts w:hint="eastAsia" w:ascii="仿宋" w:hAnsi="仿宋" w:eastAsia="仿宋" w:cs="仿宋"/>
          <w:kern w:val="0"/>
          <w:sz w:val="24"/>
          <w:szCs w:val="24"/>
          <w:highlight w:val="none"/>
          <w:lang w:val="en-US" w:eastAsia="zh-CN"/>
        </w:rPr>
        <w:t>配电模块由</w:t>
      </w:r>
      <w:r>
        <w:rPr>
          <w:rFonts w:hint="eastAsia" w:ascii="仿宋" w:hAnsi="仿宋" w:eastAsia="仿宋" w:cs="仿宋"/>
          <w:color w:val="auto"/>
          <w:kern w:val="0"/>
          <w:sz w:val="24"/>
          <w:szCs w:val="24"/>
          <w:highlight w:val="none"/>
        </w:rPr>
        <w:t>总开关、</w:t>
      </w:r>
      <w:r>
        <w:rPr>
          <w:rFonts w:hint="eastAsia" w:ascii="仿宋" w:hAnsi="仿宋" w:eastAsia="仿宋" w:cs="仿宋"/>
          <w:color w:val="auto"/>
          <w:kern w:val="0"/>
          <w:sz w:val="24"/>
          <w:szCs w:val="24"/>
          <w:highlight w:val="none"/>
          <w:lang w:val="en-US" w:eastAsia="zh-CN"/>
        </w:rPr>
        <w:t>浪涌</w:t>
      </w:r>
      <w:r>
        <w:rPr>
          <w:rFonts w:hint="eastAsia" w:ascii="仿宋" w:hAnsi="仿宋" w:eastAsia="仿宋" w:cs="仿宋"/>
          <w:color w:val="auto"/>
          <w:kern w:val="0"/>
          <w:sz w:val="24"/>
          <w:szCs w:val="24"/>
          <w:highlight w:val="none"/>
        </w:rPr>
        <w:t>保护</w:t>
      </w:r>
      <w:r>
        <w:rPr>
          <w:rFonts w:hint="eastAsia" w:ascii="仿宋" w:hAnsi="仿宋" w:eastAsia="仿宋" w:cs="仿宋"/>
          <w:color w:val="auto"/>
          <w:kern w:val="0"/>
          <w:sz w:val="24"/>
          <w:szCs w:val="24"/>
          <w:highlight w:val="none"/>
          <w:lang w:val="en-US" w:eastAsia="zh-CN"/>
        </w:rPr>
        <w:t>器</w:t>
      </w:r>
      <w:r>
        <w:rPr>
          <w:rFonts w:hint="eastAsia" w:ascii="仿宋" w:hAnsi="仿宋" w:eastAsia="仿宋" w:cs="仿宋"/>
          <w:color w:val="auto"/>
          <w:kern w:val="0"/>
          <w:sz w:val="24"/>
          <w:szCs w:val="24"/>
          <w:highlight w:val="none"/>
        </w:rPr>
        <w:t>、漏电保护</w:t>
      </w:r>
      <w:r>
        <w:rPr>
          <w:rFonts w:hint="eastAsia" w:ascii="仿宋" w:hAnsi="仿宋" w:eastAsia="仿宋" w:cs="仿宋"/>
          <w:color w:val="auto"/>
          <w:kern w:val="0"/>
          <w:sz w:val="24"/>
          <w:szCs w:val="24"/>
          <w:highlight w:val="none"/>
          <w:lang w:val="en-US" w:eastAsia="zh-CN"/>
        </w:rPr>
        <w:t>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欠压保护器、</w:t>
      </w:r>
      <w:r>
        <w:rPr>
          <w:rFonts w:hint="eastAsia" w:ascii="仿宋" w:hAnsi="仿宋" w:eastAsia="仿宋" w:cs="仿宋"/>
          <w:color w:val="auto"/>
          <w:sz w:val="24"/>
          <w:szCs w:val="24"/>
          <w:highlight w:val="none"/>
          <w:lang w:val="en-US" w:eastAsia="zh-CN"/>
        </w:rPr>
        <w:t>漏电断路器、无源控制器、断路器、五孔插座组成。</w:t>
      </w:r>
      <w:r>
        <w:rPr>
          <w:rFonts w:hint="eastAsia" w:ascii="仿宋" w:hAnsi="仿宋" w:eastAsia="仿宋" w:cs="仿宋"/>
          <w:kern w:val="0"/>
          <w:sz w:val="24"/>
          <w:szCs w:val="24"/>
          <w:highlight w:val="none"/>
        </w:rPr>
        <w:t>异常情况下可</w:t>
      </w:r>
      <w:r>
        <w:rPr>
          <w:rFonts w:hint="eastAsia" w:ascii="仿宋" w:hAnsi="仿宋" w:eastAsia="仿宋" w:cs="仿宋"/>
          <w:color w:val="auto"/>
          <w:kern w:val="0"/>
          <w:sz w:val="24"/>
          <w:szCs w:val="24"/>
          <w:highlight w:val="none"/>
          <w:lang w:val="en-US" w:eastAsia="zh-CN"/>
        </w:rPr>
        <w:t>利用线控漏电保护器来</w:t>
      </w:r>
      <w:r>
        <w:rPr>
          <w:rFonts w:hint="eastAsia" w:ascii="仿宋" w:hAnsi="仿宋" w:eastAsia="仿宋" w:cs="仿宋"/>
          <w:color w:val="auto"/>
          <w:kern w:val="0"/>
          <w:sz w:val="24"/>
          <w:szCs w:val="24"/>
          <w:highlight w:val="none"/>
        </w:rPr>
        <w:t>自动切断交流输入</w:t>
      </w:r>
      <w:r>
        <w:rPr>
          <w:rFonts w:hint="eastAsia" w:ascii="仿宋" w:hAnsi="仿宋" w:eastAsia="仿宋" w:cs="仿宋"/>
          <w:color w:val="auto"/>
          <w:kern w:val="0"/>
          <w:sz w:val="24"/>
          <w:szCs w:val="24"/>
          <w:highlight w:val="none"/>
          <w:lang w:eastAsia="zh-CN"/>
        </w:rPr>
        <w:t>。</w:t>
      </w:r>
    </w:p>
    <w:p w14:paraId="01E654DE">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102" w:name="_Toc21115"/>
      <w:r>
        <w:rPr>
          <w:rFonts w:hint="eastAsia" w:ascii="仿宋" w:hAnsi="仿宋" w:eastAsia="仿宋" w:cs="仿宋"/>
          <w:sz w:val="24"/>
          <w:szCs w:val="24"/>
          <w:highlight w:val="none"/>
          <w:lang w:val="en-US" w:eastAsia="zh-CN"/>
        </w:rPr>
        <w:t>3.14噪音</w:t>
      </w:r>
      <w:bookmarkEnd w:id="102"/>
    </w:p>
    <w:p w14:paraId="0693BB5F">
      <w:pPr>
        <w:pageBreakBefore w:val="0"/>
        <w:kinsoku/>
        <w:wordWrap/>
        <w:overflowPunct/>
        <w:topLinePunct w:val="0"/>
        <w:bidi w:val="0"/>
        <w:snapToGrid/>
        <w:spacing w:line="360"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在满载以及风扇全开的情况下，</w:t>
      </w:r>
      <w:r>
        <w:rPr>
          <w:rFonts w:hint="eastAsia" w:ascii="仿宋" w:hAnsi="仿宋" w:eastAsia="仿宋" w:cs="仿宋"/>
          <w:sz w:val="24"/>
          <w:szCs w:val="24"/>
          <w:highlight w:val="none"/>
          <w:lang w:val="en-US" w:eastAsia="zh-CN"/>
        </w:rPr>
        <w:t>充</w:t>
      </w:r>
      <w:r>
        <w:rPr>
          <w:rFonts w:hint="eastAsia" w:ascii="仿宋" w:hAnsi="仿宋" w:eastAsia="仿宋" w:cs="仿宋"/>
          <w:sz w:val="24"/>
          <w:szCs w:val="24"/>
          <w:highlight w:val="none"/>
        </w:rPr>
        <w:t>换电柜噪声不大于60dB</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为避免充换电柜噪音影响居民生活，实行夜间降功率充电。夜间充换电柜噪声不大于50dB。</w:t>
      </w:r>
    </w:p>
    <w:p w14:paraId="7428C863">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360" w:lineRule="auto"/>
        <w:ind w:leftChars="200"/>
        <w:textAlignment w:val="auto"/>
        <w:rPr>
          <w:rFonts w:hint="eastAsia" w:ascii="仿宋" w:hAnsi="仿宋" w:eastAsia="仿宋" w:cs="仿宋"/>
          <w:sz w:val="24"/>
          <w:szCs w:val="24"/>
          <w:highlight w:val="none"/>
          <w:lang w:val="en-US" w:eastAsia="zh-CN"/>
        </w:rPr>
      </w:pPr>
      <w:bookmarkStart w:id="103" w:name="_Toc23381"/>
      <w:r>
        <w:rPr>
          <w:rFonts w:hint="eastAsia" w:ascii="仿宋" w:hAnsi="仿宋" w:eastAsia="仿宋" w:cs="仿宋"/>
          <w:sz w:val="24"/>
          <w:szCs w:val="24"/>
          <w:highlight w:val="none"/>
          <w:lang w:val="en-US" w:eastAsia="zh-CN"/>
        </w:rPr>
        <w:t>3.15防雷接地</w:t>
      </w:r>
      <w:bookmarkEnd w:id="103"/>
    </w:p>
    <w:p w14:paraId="64AA7B39">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充</w:t>
      </w:r>
      <w:r>
        <w:rPr>
          <w:rFonts w:hint="eastAsia" w:ascii="仿宋" w:hAnsi="仿宋" w:eastAsia="仿宋" w:cs="仿宋"/>
          <w:kern w:val="0"/>
          <w:sz w:val="24"/>
          <w:szCs w:val="24"/>
          <w:highlight w:val="none"/>
        </w:rPr>
        <w:t>换电柜与大地可靠连接接地，</w:t>
      </w:r>
      <w:r>
        <w:rPr>
          <w:rFonts w:hint="eastAsia" w:ascii="仿宋" w:hAnsi="仿宋" w:eastAsia="仿宋" w:cs="仿宋"/>
          <w:kern w:val="0"/>
          <w:sz w:val="24"/>
          <w:szCs w:val="24"/>
          <w:highlight w:val="none"/>
          <w:lang w:val="en-US" w:eastAsia="zh-CN"/>
        </w:rPr>
        <w:t>充</w:t>
      </w:r>
      <w:r>
        <w:rPr>
          <w:rFonts w:hint="eastAsia" w:ascii="仿宋" w:hAnsi="仿宋" w:eastAsia="仿宋" w:cs="仿宋"/>
          <w:kern w:val="0"/>
          <w:sz w:val="24"/>
          <w:szCs w:val="24"/>
          <w:highlight w:val="none"/>
        </w:rPr>
        <w:t>换电柜的接地应符合下列要求</w:t>
      </w:r>
    </w:p>
    <w:p w14:paraId="157A5F32">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lang w:val="en-US" w:eastAsia="zh-CN"/>
        </w:rPr>
        <w:t>（1）充</w:t>
      </w:r>
      <w:r>
        <w:rPr>
          <w:rFonts w:hint="eastAsia" w:ascii="仿宋" w:hAnsi="仿宋" w:eastAsia="仿宋" w:cs="仿宋"/>
          <w:kern w:val="0"/>
          <w:sz w:val="24"/>
          <w:szCs w:val="24"/>
          <w:highlight w:val="none"/>
        </w:rPr>
        <w:t>换电柜金属壳体设置接地端子（螺栓不小于M8），有接地标志；</w:t>
      </w:r>
    </w:p>
    <w:p w14:paraId="7428F0D5">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所有作为隔离带电导体的金属外壳、隔板，电气装置的金属外壳等，均应有效等电位连接，且接地连续性电阻不大于0.1Ω</w:t>
      </w:r>
      <w:r>
        <w:rPr>
          <w:rFonts w:hint="eastAsia" w:ascii="仿宋" w:hAnsi="仿宋" w:eastAsia="仿宋" w:cs="仿宋"/>
          <w:kern w:val="0"/>
          <w:sz w:val="24"/>
          <w:szCs w:val="24"/>
          <w:highlight w:val="none"/>
          <w:lang w:eastAsia="zh-CN"/>
        </w:rPr>
        <w:t>。</w:t>
      </w:r>
    </w:p>
    <w:p w14:paraId="527D6676">
      <w:pPr>
        <w:pStyle w:val="72"/>
        <w:pageBreakBefore w:val="0"/>
        <w:tabs>
          <w:tab w:val="center" w:pos="4201"/>
          <w:tab w:val="right" w:leader="dot" w:pos="9298"/>
        </w:tabs>
        <w:kinsoku/>
        <w:wordWrap/>
        <w:overflowPunct/>
        <w:topLinePunct w:val="0"/>
        <w:bidi w:val="0"/>
        <w:snapToGrid/>
        <w:spacing w:line="360" w:lineRule="auto"/>
        <w:ind w:firstLine="48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（3）接地电阻满足小于等于1Ω的需求。</w:t>
      </w:r>
    </w:p>
    <w:p w14:paraId="1D80BD87">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360" w:lineRule="auto"/>
        <w:ind w:firstLine="482" w:firstLineChars="200"/>
        <w:textAlignment w:val="auto"/>
        <w:rPr>
          <w:rFonts w:hint="eastAsia" w:ascii="仿宋" w:hAnsi="仿宋" w:eastAsia="仿宋" w:cs="仿宋"/>
          <w:sz w:val="24"/>
          <w:szCs w:val="24"/>
          <w:highlight w:val="none"/>
          <w:lang w:val="en-US" w:eastAsia="zh-CN"/>
        </w:rPr>
      </w:pPr>
      <w:bookmarkStart w:id="104" w:name="_Toc29159"/>
      <w:r>
        <w:rPr>
          <w:rFonts w:hint="eastAsia" w:ascii="仿宋" w:hAnsi="仿宋" w:eastAsia="仿宋" w:cs="仿宋"/>
          <w:sz w:val="24"/>
          <w:szCs w:val="24"/>
          <w:highlight w:val="none"/>
          <w:lang w:val="en-US" w:eastAsia="zh-CN"/>
        </w:rPr>
        <w:t>4.功能设计介绍</w:t>
      </w:r>
      <w:bookmarkEnd w:id="104"/>
    </w:p>
    <w:p w14:paraId="011EEBEC">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本产品使用三相交流 380V 电源供电，能够同时给多路电池充电并进行监控， 内部使用 RS-485 总线连接电池充电器、控制板、主控板、等各个部分进行通信，实现了各项数据的实时传输，保障了设备能够安全、稳定的运行。 设备整体由以下各部分组成： </w:t>
      </w:r>
    </w:p>
    <w:p w14:paraId="06991D9D">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 电池: 采用标称电压为 DC48V的磷酸铁锂锂电池作为换电电池，能够通过 RS-485 总线将电池充电状态上传至单仓控制板，由控制板与主板通讯。 </w:t>
      </w:r>
    </w:p>
    <w:p w14:paraId="6DC610C5">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（2）电池充电器: 电池充电器能够将 AC220V 交流输入转为直流输出为电池充电，电源具有高效率、低成本的充换电柜电源。输入电压范围 90Vac～ 290Vac；电源输出最大功率800W，最大电流15A，输出电压范围40V-88V，可对DC48V电池进行安全快充。此电源内置直流风扇强制风冷；电源具有输出短路保护、反接保护、输出过压过流保护、通讯中断保护、过温保护、输出防打火、输入欠压保护、输入过压保护等功能；同时具备交流输入电压实时上报功能。</w:t>
      </w:r>
    </w:p>
    <w:p w14:paraId="4E54294C">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 温湿度烟雾传感器和气溶胶灭火器烟雾传感器可以检测烟雾，判断有无起火。当电池温度大于170°且触发烟雾报警时，气溶胶灭火器可以在起火时快速灭火。 </w:t>
      </w:r>
    </w:p>
    <w:p w14:paraId="0C3125BA">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（4）本产品具有浸水监测功能，在柜体底板水位超限后自动切断电源并上报到服务器。</w:t>
      </w:r>
    </w:p>
    <w:p w14:paraId="25C9F58D">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（5）每个仓门具有非接触检测电池的在位传感器，可在电池通信失败时防止误开仓门。</w:t>
      </w:r>
    </w:p>
    <w:p w14:paraId="3FBB2A57">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（6）充换电柜充电器故障或仓内温度烟感有报警可自动切断充电器的电源，并且可远程对充电器电源进行开关操作。</w:t>
      </w:r>
    </w:p>
    <w:p w14:paraId="7ABA7F63">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（7）单仓门故障可锁定仓门，不影响用户继续用其他仓门换电。</w:t>
      </w:r>
    </w:p>
    <w:p w14:paraId="5BD5F499">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（8）各个电路板模块使用插拔接口，方便更换（包括电池保护板）。</w:t>
      </w:r>
    </w:p>
    <w:p w14:paraId="25AE1B45">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（9）整柜具备备电功能，在无市电的情况下只要柜仓里有一块电池就能反向给主板供电，保持通讯不中断。</w:t>
      </w:r>
    </w:p>
    <w:p w14:paraId="14451950">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（10）充换电柜具有充电线路老化监测功能，能对充电过程中充电线接触不良老化等现实问题进行提前报警并上报平台。</w:t>
      </w:r>
    </w:p>
    <w:p w14:paraId="31DB2CBD">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（11）用户在充换电柜拿取电池时，优先开启使用次输少、电量满的电池仓门，保证各个电池使用寿命相近。</w:t>
      </w:r>
    </w:p>
    <w:p w14:paraId="7E5E7974">
      <w:pPr>
        <w:pStyle w:val="72"/>
        <w:pageBreakBefore w:val="0"/>
        <w:tabs>
          <w:tab w:val="center" w:pos="4201"/>
          <w:tab w:val="right" w:leader="dot" w:pos="9298"/>
        </w:tabs>
        <w:kinsoku/>
        <w:wordWrap/>
        <w:overflowPunct/>
        <w:topLinePunct w:val="0"/>
        <w:bidi w:val="0"/>
        <w:snapToGrid/>
        <w:spacing w:line="360" w:lineRule="auto"/>
        <w:ind w:firstLine="480"/>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（12）具备蓝牙功能，可通过蓝牙实现离线换电功能。</w:t>
      </w:r>
    </w:p>
    <w:p w14:paraId="225D7D6F">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240" w:lineRule="auto"/>
        <w:ind w:firstLine="482" w:firstLineChars="200"/>
        <w:textAlignment w:val="auto"/>
        <w:rPr>
          <w:rFonts w:hint="eastAsia" w:ascii="仿宋" w:hAnsi="仿宋" w:eastAsia="仿宋" w:cs="仿宋"/>
          <w:sz w:val="24"/>
          <w:szCs w:val="24"/>
          <w:highlight w:val="none"/>
          <w:lang w:val="en-US" w:eastAsia="zh-CN"/>
        </w:rPr>
      </w:pPr>
      <w:bookmarkStart w:id="105" w:name="_Toc9452"/>
      <w:r>
        <w:rPr>
          <w:rFonts w:hint="eastAsia" w:ascii="仿宋" w:hAnsi="仿宋" w:eastAsia="仿宋" w:cs="仿宋"/>
          <w:sz w:val="24"/>
          <w:szCs w:val="24"/>
          <w:highlight w:val="none"/>
          <w:lang w:val="en-US" w:eastAsia="zh-CN"/>
        </w:rPr>
        <w:t>5.电气特性</w:t>
      </w:r>
      <w:bookmarkEnd w:id="105"/>
    </w:p>
    <w:p w14:paraId="74DFD4C1">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06" w:name="_Toc14412"/>
      <w:r>
        <w:rPr>
          <w:rFonts w:hint="eastAsia" w:ascii="仿宋" w:hAnsi="仿宋" w:eastAsia="仿宋" w:cs="仿宋"/>
          <w:sz w:val="24"/>
          <w:szCs w:val="24"/>
          <w:highlight w:val="none"/>
          <w:lang w:val="en-US" w:eastAsia="zh-CN"/>
        </w:rPr>
        <w:t>5.1充换电柜主要参数指标</w:t>
      </w:r>
      <w:bookmarkEnd w:id="106"/>
    </w:p>
    <w:tbl>
      <w:tblPr>
        <w:tblStyle w:val="27"/>
        <w:tblW w:w="9701"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6"/>
        <w:gridCol w:w="3159"/>
        <w:gridCol w:w="2496"/>
        <w:gridCol w:w="3000"/>
      </w:tblGrid>
      <w:tr w14:paraId="1603B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046" w:type="dxa"/>
            <w:tcBorders>
              <w:bottom w:val="single" w:color="000000" w:sz="4" w:space="0"/>
              <w:right w:val="single" w:color="000000" w:sz="4" w:space="0"/>
            </w:tcBorders>
            <w:vAlign w:val="center"/>
          </w:tcPr>
          <w:p w14:paraId="6E2070F2">
            <w:pPr>
              <w:pStyle w:val="71"/>
              <w:pageBreakBefore w:val="0"/>
              <w:kinsoku/>
              <w:wordWrap/>
              <w:overflowPunct/>
              <w:topLinePunct w:val="0"/>
              <w:bidi w:val="0"/>
              <w:snapToGrid/>
              <w:spacing w:line="240" w:lineRule="auto"/>
              <w:ind w:right="74"/>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序号</w:t>
            </w:r>
          </w:p>
        </w:tc>
        <w:tc>
          <w:tcPr>
            <w:tcW w:w="3159" w:type="dxa"/>
            <w:tcBorders>
              <w:left w:val="single" w:color="000000" w:sz="4" w:space="0"/>
              <w:bottom w:val="single" w:color="000000" w:sz="4" w:space="0"/>
              <w:right w:val="single" w:color="000000" w:sz="4" w:space="0"/>
            </w:tcBorders>
            <w:vAlign w:val="center"/>
          </w:tcPr>
          <w:p w14:paraId="6F5DE60F">
            <w:pPr>
              <w:pStyle w:val="71"/>
              <w:pageBreakBefore w:val="0"/>
              <w:kinsoku/>
              <w:wordWrap/>
              <w:overflowPunct/>
              <w:topLinePunct w:val="0"/>
              <w:bidi w:val="0"/>
              <w:snapToGrid/>
              <w:spacing w:before="107" w:line="24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名称</w:t>
            </w:r>
          </w:p>
        </w:tc>
        <w:tc>
          <w:tcPr>
            <w:tcW w:w="2496" w:type="dxa"/>
            <w:tcBorders>
              <w:left w:val="single" w:color="000000" w:sz="4" w:space="0"/>
              <w:bottom w:val="single" w:color="000000" w:sz="4" w:space="0"/>
              <w:right w:val="single" w:color="000000" w:sz="4" w:space="0"/>
            </w:tcBorders>
            <w:vAlign w:val="center"/>
          </w:tcPr>
          <w:p w14:paraId="69A7BA45">
            <w:pPr>
              <w:pStyle w:val="71"/>
              <w:pageBreakBefore w:val="0"/>
              <w:kinsoku/>
              <w:wordWrap/>
              <w:overflowPunct/>
              <w:topLinePunct w:val="0"/>
              <w:bidi w:val="0"/>
              <w:snapToGrid/>
              <w:spacing w:before="107" w:line="24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参数</w:t>
            </w:r>
          </w:p>
        </w:tc>
        <w:tc>
          <w:tcPr>
            <w:tcW w:w="3000" w:type="dxa"/>
            <w:tcBorders>
              <w:left w:val="single" w:color="000000" w:sz="4" w:space="0"/>
              <w:bottom w:val="single" w:color="000000" w:sz="4" w:space="0"/>
            </w:tcBorders>
            <w:vAlign w:val="center"/>
          </w:tcPr>
          <w:p w14:paraId="761E881D">
            <w:pPr>
              <w:pStyle w:val="71"/>
              <w:pageBreakBefore w:val="0"/>
              <w:kinsoku/>
              <w:wordWrap/>
              <w:overflowPunct/>
              <w:topLinePunct w:val="0"/>
              <w:bidi w:val="0"/>
              <w:snapToGrid/>
              <w:spacing w:before="107" w:line="24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备注</w:t>
            </w:r>
          </w:p>
        </w:tc>
      </w:tr>
      <w:tr w14:paraId="69F0B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1046" w:type="dxa"/>
            <w:tcBorders>
              <w:top w:val="single" w:color="000000" w:sz="4" w:space="0"/>
              <w:bottom w:val="single" w:color="000000" w:sz="4" w:space="0"/>
              <w:right w:val="single" w:color="000000" w:sz="4" w:space="0"/>
            </w:tcBorders>
            <w:vAlign w:val="center"/>
          </w:tcPr>
          <w:p w14:paraId="08A30BA7">
            <w:pPr>
              <w:pStyle w:val="71"/>
              <w:pageBreakBefore w:val="0"/>
              <w:kinsoku/>
              <w:wordWrap/>
              <w:overflowPunct/>
              <w:topLinePunct w:val="0"/>
              <w:bidi w:val="0"/>
              <w:snapToGrid/>
              <w:spacing w:before="101"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w:t>
            </w:r>
          </w:p>
        </w:tc>
        <w:tc>
          <w:tcPr>
            <w:tcW w:w="3159" w:type="dxa"/>
            <w:tcBorders>
              <w:top w:val="single" w:color="000000" w:sz="4" w:space="0"/>
              <w:left w:val="single" w:color="000000" w:sz="4" w:space="0"/>
              <w:bottom w:val="single" w:color="000000" w:sz="4" w:space="0"/>
              <w:right w:val="single" w:color="000000" w:sz="4" w:space="0"/>
            </w:tcBorders>
            <w:vAlign w:val="center"/>
          </w:tcPr>
          <w:p w14:paraId="423BEE15">
            <w:pPr>
              <w:pStyle w:val="71"/>
              <w:pageBreakBefore w:val="0"/>
              <w:kinsoku/>
              <w:wordWrap/>
              <w:overflowPunct/>
              <w:topLinePunct w:val="0"/>
              <w:bidi w:val="0"/>
              <w:snapToGrid/>
              <w:spacing w:before="119"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输入</w:t>
            </w:r>
            <w:r>
              <w:rPr>
                <w:rFonts w:hint="eastAsia" w:ascii="仿宋" w:hAnsi="仿宋" w:eastAsia="仿宋" w:cs="仿宋"/>
                <w:color w:val="auto"/>
                <w:spacing w:val="-3"/>
                <w:sz w:val="24"/>
                <w:szCs w:val="24"/>
                <w:highlight w:val="none"/>
              </w:rPr>
              <w:t>电压</w:t>
            </w:r>
          </w:p>
        </w:tc>
        <w:tc>
          <w:tcPr>
            <w:tcW w:w="2496" w:type="dxa"/>
            <w:tcBorders>
              <w:top w:val="single" w:color="000000" w:sz="4" w:space="0"/>
              <w:left w:val="single" w:color="000000" w:sz="4" w:space="0"/>
              <w:bottom w:val="single" w:color="000000" w:sz="4" w:space="0"/>
              <w:right w:val="single" w:color="000000" w:sz="4" w:space="0"/>
            </w:tcBorders>
            <w:vAlign w:val="center"/>
          </w:tcPr>
          <w:p w14:paraId="760948BF">
            <w:pPr>
              <w:pStyle w:val="71"/>
              <w:pageBreakBefore w:val="0"/>
              <w:kinsoku/>
              <w:wordWrap/>
              <w:overflowPunct/>
              <w:topLinePunct w:val="0"/>
              <w:bidi w:val="0"/>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380~440</w:t>
            </w:r>
            <w:r>
              <w:rPr>
                <w:rFonts w:hint="eastAsia" w:ascii="仿宋" w:hAnsi="仿宋" w:eastAsia="仿宋" w:cs="仿宋"/>
                <w:color w:val="auto"/>
                <w:spacing w:val="-2"/>
                <w:sz w:val="24"/>
                <w:szCs w:val="24"/>
                <w:highlight w:val="none"/>
              </w:rPr>
              <w:t>Vac</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kern w:val="0"/>
                <w:sz w:val="24"/>
                <w:szCs w:val="24"/>
                <w:highlight w:val="none"/>
              </w:rPr>
              <w:t>50Hz士 2.5Hz</w:t>
            </w:r>
          </w:p>
        </w:tc>
        <w:tc>
          <w:tcPr>
            <w:tcW w:w="3000" w:type="dxa"/>
            <w:tcBorders>
              <w:top w:val="single" w:color="000000" w:sz="4" w:space="0"/>
              <w:left w:val="single" w:color="000000" w:sz="4" w:space="0"/>
              <w:bottom w:val="single" w:color="000000" w:sz="4" w:space="0"/>
            </w:tcBorders>
            <w:vAlign w:val="center"/>
          </w:tcPr>
          <w:p w14:paraId="4255F970">
            <w:pPr>
              <w:pStyle w:val="71"/>
              <w:pageBreakBefore w:val="0"/>
              <w:kinsoku/>
              <w:wordWrap/>
              <w:overflowPunct/>
              <w:topLinePunct w:val="0"/>
              <w:bidi w:val="0"/>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柜内分相控制电池仓，保证三相负载平衡</w:t>
            </w:r>
          </w:p>
        </w:tc>
      </w:tr>
      <w:tr w14:paraId="6E4AC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1046" w:type="dxa"/>
            <w:tcBorders>
              <w:top w:val="single" w:color="000000" w:sz="4" w:space="0"/>
              <w:bottom w:val="single" w:color="000000" w:sz="4" w:space="0"/>
              <w:right w:val="single" w:color="000000" w:sz="4" w:space="0"/>
            </w:tcBorders>
            <w:vAlign w:val="center"/>
          </w:tcPr>
          <w:p w14:paraId="0F9C77E9">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2</w:t>
            </w:r>
          </w:p>
        </w:tc>
        <w:tc>
          <w:tcPr>
            <w:tcW w:w="3159" w:type="dxa"/>
            <w:tcBorders>
              <w:top w:val="single" w:color="000000" w:sz="4" w:space="0"/>
              <w:left w:val="single" w:color="000000" w:sz="4" w:space="0"/>
              <w:bottom w:val="single" w:color="000000" w:sz="4" w:space="0"/>
              <w:right w:val="single" w:color="000000" w:sz="4" w:space="0"/>
            </w:tcBorders>
            <w:vAlign w:val="center"/>
          </w:tcPr>
          <w:p w14:paraId="756024AF">
            <w:pPr>
              <w:pStyle w:val="71"/>
              <w:pageBreakBefore w:val="0"/>
              <w:kinsoku/>
              <w:wordWrap/>
              <w:overflowPunct/>
              <w:topLinePunct w:val="0"/>
              <w:bidi w:val="0"/>
              <w:snapToGrid/>
              <w:spacing w:before="119" w:line="240" w:lineRule="auto"/>
              <w:jc w:val="left"/>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额定</w:t>
            </w:r>
            <w:r>
              <w:rPr>
                <w:rFonts w:hint="eastAsia" w:ascii="仿宋" w:hAnsi="仿宋" w:eastAsia="仿宋" w:cs="仿宋"/>
                <w:spacing w:val="-3"/>
                <w:sz w:val="24"/>
                <w:szCs w:val="24"/>
                <w:highlight w:val="none"/>
              </w:rPr>
              <w:t>工作电压</w:t>
            </w:r>
          </w:p>
        </w:tc>
        <w:tc>
          <w:tcPr>
            <w:tcW w:w="2496" w:type="dxa"/>
            <w:tcBorders>
              <w:top w:val="single" w:color="000000" w:sz="4" w:space="0"/>
              <w:left w:val="single" w:color="000000" w:sz="4" w:space="0"/>
              <w:bottom w:val="single" w:color="000000" w:sz="4" w:space="0"/>
              <w:right w:val="single" w:color="000000" w:sz="4" w:space="0"/>
            </w:tcBorders>
            <w:vAlign w:val="center"/>
          </w:tcPr>
          <w:p w14:paraId="0BF71EC0">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176~264</w:t>
            </w:r>
            <w:r>
              <w:rPr>
                <w:rFonts w:hint="eastAsia" w:ascii="仿宋" w:hAnsi="仿宋" w:eastAsia="仿宋" w:cs="仿宋"/>
                <w:spacing w:val="-2"/>
                <w:sz w:val="24"/>
                <w:szCs w:val="24"/>
                <w:highlight w:val="none"/>
              </w:rPr>
              <w:t>Vac</w:t>
            </w:r>
            <w:r>
              <w:rPr>
                <w:rFonts w:hint="eastAsia" w:ascii="仿宋" w:hAnsi="仿宋" w:eastAsia="仿宋" w:cs="仿宋"/>
                <w:spacing w:val="-2"/>
                <w:sz w:val="24"/>
                <w:szCs w:val="24"/>
                <w:highlight w:val="none"/>
                <w:lang w:eastAsia="zh-CN"/>
              </w:rPr>
              <w:t>，</w:t>
            </w:r>
            <w:r>
              <w:rPr>
                <w:rFonts w:hint="eastAsia" w:ascii="仿宋" w:hAnsi="仿宋" w:eastAsia="仿宋" w:cs="仿宋"/>
                <w:kern w:val="0"/>
                <w:sz w:val="24"/>
                <w:szCs w:val="24"/>
                <w:highlight w:val="none"/>
              </w:rPr>
              <w:t>50Hz士 2.5Hz</w:t>
            </w:r>
          </w:p>
        </w:tc>
        <w:tc>
          <w:tcPr>
            <w:tcW w:w="3000" w:type="dxa"/>
            <w:tcBorders>
              <w:top w:val="single" w:color="000000" w:sz="4" w:space="0"/>
              <w:left w:val="single" w:color="000000" w:sz="4" w:space="0"/>
              <w:bottom w:val="single" w:color="000000" w:sz="4" w:space="0"/>
            </w:tcBorders>
            <w:vAlign w:val="center"/>
          </w:tcPr>
          <w:p w14:paraId="7731A98D">
            <w:pPr>
              <w:pStyle w:val="71"/>
              <w:pageBreakBefore w:val="0"/>
              <w:kinsoku/>
              <w:wordWrap/>
              <w:overflowPunct/>
              <w:topLinePunct w:val="0"/>
              <w:bidi w:val="0"/>
              <w:snapToGrid/>
              <w:spacing w:line="240" w:lineRule="auto"/>
              <w:jc w:val="both"/>
              <w:rPr>
                <w:rFonts w:hint="default" w:ascii="仿宋" w:hAnsi="仿宋" w:eastAsia="仿宋" w:cs="仿宋"/>
                <w:sz w:val="24"/>
                <w:szCs w:val="24"/>
                <w:highlight w:val="none"/>
                <w:lang w:val="en-US" w:eastAsia="zh-CN"/>
              </w:rPr>
            </w:pPr>
          </w:p>
        </w:tc>
      </w:tr>
      <w:tr w14:paraId="2702A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46" w:type="dxa"/>
            <w:tcBorders>
              <w:top w:val="single" w:color="000000" w:sz="4" w:space="0"/>
              <w:bottom w:val="single" w:color="000000" w:sz="4" w:space="0"/>
              <w:right w:val="single" w:color="000000" w:sz="4" w:space="0"/>
            </w:tcBorders>
            <w:vAlign w:val="center"/>
          </w:tcPr>
          <w:p w14:paraId="0D396689">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3</w:t>
            </w:r>
          </w:p>
        </w:tc>
        <w:tc>
          <w:tcPr>
            <w:tcW w:w="3159" w:type="dxa"/>
            <w:tcBorders>
              <w:top w:val="single" w:color="000000" w:sz="4" w:space="0"/>
              <w:left w:val="single" w:color="000000" w:sz="4" w:space="0"/>
              <w:bottom w:val="single" w:color="000000" w:sz="4" w:space="0"/>
              <w:right w:val="single" w:color="000000" w:sz="4" w:space="0"/>
            </w:tcBorders>
            <w:vAlign w:val="center"/>
          </w:tcPr>
          <w:p w14:paraId="66B829EB">
            <w:pPr>
              <w:pStyle w:val="71"/>
              <w:pageBreakBefore w:val="0"/>
              <w:kinsoku/>
              <w:wordWrap/>
              <w:overflowPunct/>
              <w:topLinePunct w:val="0"/>
              <w:bidi w:val="0"/>
              <w:snapToGrid/>
              <w:spacing w:line="240" w:lineRule="auto"/>
              <w:ind w:right="681" w:rightChars="0"/>
              <w:jc w:val="lef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最大充电功率</w:t>
            </w:r>
          </w:p>
        </w:tc>
        <w:tc>
          <w:tcPr>
            <w:tcW w:w="2496" w:type="dxa"/>
            <w:tcBorders>
              <w:top w:val="single" w:color="000000" w:sz="4" w:space="0"/>
              <w:left w:val="single" w:color="000000" w:sz="4" w:space="0"/>
              <w:bottom w:val="single" w:color="000000" w:sz="4" w:space="0"/>
              <w:right w:val="single" w:color="000000" w:sz="4" w:space="0"/>
            </w:tcBorders>
            <w:vAlign w:val="center"/>
          </w:tcPr>
          <w:p w14:paraId="5D002742">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spacing w:val="-4"/>
                <w:w w:val="80"/>
                <w:sz w:val="24"/>
                <w:szCs w:val="24"/>
                <w:highlight w:val="none"/>
                <w:lang w:val="en-US" w:eastAsia="zh-CN"/>
              </w:rPr>
              <w:t>8</w:t>
            </w:r>
            <w:r>
              <w:rPr>
                <w:rFonts w:hint="eastAsia" w:ascii="仿宋" w:hAnsi="仿宋" w:eastAsia="仿宋" w:cs="仿宋"/>
                <w:spacing w:val="-4"/>
                <w:w w:val="80"/>
                <w:sz w:val="24"/>
                <w:szCs w:val="24"/>
                <w:highlight w:val="none"/>
              </w:rPr>
              <w:t>KW</w:t>
            </w:r>
          </w:p>
        </w:tc>
        <w:tc>
          <w:tcPr>
            <w:tcW w:w="3000" w:type="dxa"/>
            <w:tcBorders>
              <w:top w:val="single" w:color="000000" w:sz="4" w:space="0"/>
              <w:left w:val="single" w:color="000000" w:sz="4" w:space="0"/>
              <w:bottom w:val="single" w:color="000000" w:sz="4" w:space="0"/>
            </w:tcBorders>
            <w:vAlign w:val="center"/>
          </w:tcPr>
          <w:p w14:paraId="5776A991">
            <w:pPr>
              <w:pStyle w:val="71"/>
              <w:pageBreakBefore w:val="0"/>
              <w:kinsoku/>
              <w:wordWrap/>
              <w:overflowPunct/>
              <w:topLinePunct w:val="0"/>
              <w:bidi w:val="0"/>
              <w:snapToGrid/>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包含加热模块，整柜9KW</w:t>
            </w:r>
          </w:p>
        </w:tc>
      </w:tr>
      <w:tr w14:paraId="58C37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1046" w:type="dxa"/>
            <w:tcBorders>
              <w:top w:val="single" w:color="000000" w:sz="4" w:space="0"/>
              <w:bottom w:val="single" w:color="000000" w:sz="4" w:space="0"/>
              <w:right w:val="single" w:color="000000" w:sz="4" w:space="0"/>
            </w:tcBorders>
            <w:vAlign w:val="center"/>
          </w:tcPr>
          <w:p w14:paraId="71F8E4D2">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4</w:t>
            </w:r>
          </w:p>
        </w:tc>
        <w:tc>
          <w:tcPr>
            <w:tcW w:w="3159" w:type="dxa"/>
            <w:tcBorders>
              <w:top w:val="single" w:color="000000" w:sz="4" w:space="0"/>
              <w:left w:val="single" w:color="000000" w:sz="4" w:space="0"/>
              <w:bottom w:val="single" w:color="000000" w:sz="4" w:space="0"/>
              <w:right w:val="single" w:color="000000" w:sz="4" w:space="0"/>
            </w:tcBorders>
            <w:vAlign w:val="center"/>
          </w:tcPr>
          <w:p w14:paraId="77A21AD9">
            <w:pPr>
              <w:pStyle w:val="71"/>
              <w:pageBreakBefore w:val="0"/>
              <w:kinsoku/>
              <w:wordWrap/>
              <w:overflowPunct/>
              <w:topLinePunct w:val="0"/>
              <w:bidi w:val="0"/>
              <w:snapToGrid/>
              <w:spacing w:line="240" w:lineRule="auto"/>
              <w:ind w:right="681" w:rightChars="0"/>
              <w:jc w:val="lef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充放电仓个数</w:t>
            </w:r>
          </w:p>
        </w:tc>
        <w:tc>
          <w:tcPr>
            <w:tcW w:w="2496" w:type="dxa"/>
            <w:tcBorders>
              <w:top w:val="single" w:color="000000" w:sz="4" w:space="0"/>
              <w:left w:val="single" w:color="000000" w:sz="4" w:space="0"/>
              <w:bottom w:val="single" w:color="000000" w:sz="4" w:space="0"/>
              <w:right w:val="single" w:color="000000" w:sz="4" w:space="0"/>
            </w:tcBorders>
            <w:vAlign w:val="center"/>
          </w:tcPr>
          <w:p w14:paraId="4DDC186D">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w w:val="90"/>
                <w:sz w:val="24"/>
                <w:szCs w:val="24"/>
                <w:highlight w:val="none"/>
              </w:rPr>
              <w:t>1</w:t>
            </w:r>
            <w:r>
              <w:rPr>
                <w:rFonts w:hint="eastAsia" w:ascii="仿宋" w:hAnsi="仿宋" w:eastAsia="仿宋" w:cs="仿宋"/>
                <w:w w:val="90"/>
                <w:sz w:val="24"/>
                <w:szCs w:val="24"/>
                <w:highlight w:val="none"/>
                <w:lang w:val="en-US" w:eastAsia="zh-CN"/>
              </w:rPr>
              <w:t>2</w:t>
            </w:r>
            <w:r>
              <w:rPr>
                <w:rFonts w:hint="eastAsia" w:ascii="仿宋" w:hAnsi="仿宋" w:eastAsia="仿宋" w:cs="仿宋"/>
                <w:spacing w:val="-10"/>
                <w:sz w:val="24"/>
                <w:szCs w:val="24"/>
                <w:highlight w:val="none"/>
              </w:rPr>
              <w:t>个</w:t>
            </w:r>
          </w:p>
        </w:tc>
        <w:tc>
          <w:tcPr>
            <w:tcW w:w="3000" w:type="dxa"/>
            <w:tcBorders>
              <w:top w:val="single" w:color="000000" w:sz="4" w:space="0"/>
              <w:left w:val="single" w:color="000000" w:sz="4" w:space="0"/>
              <w:bottom w:val="single" w:color="000000" w:sz="4" w:space="0"/>
            </w:tcBorders>
            <w:vAlign w:val="center"/>
          </w:tcPr>
          <w:p w14:paraId="59EA4DAC">
            <w:pPr>
              <w:pStyle w:val="71"/>
              <w:pageBreakBefore w:val="0"/>
              <w:kinsoku/>
              <w:wordWrap/>
              <w:overflowPunct/>
              <w:topLinePunct w:val="0"/>
              <w:bidi w:val="0"/>
              <w:snapToGrid/>
              <w:spacing w:line="240" w:lineRule="auto"/>
              <w:ind w:firstLine="723"/>
              <w:jc w:val="center"/>
              <w:rPr>
                <w:rFonts w:hint="eastAsia" w:ascii="仿宋" w:hAnsi="仿宋" w:eastAsia="仿宋" w:cs="仿宋"/>
                <w:sz w:val="24"/>
                <w:szCs w:val="24"/>
                <w:highlight w:val="none"/>
              </w:rPr>
            </w:pPr>
          </w:p>
        </w:tc>
      </w:tr>
      <w:tr w14:paraId="05AFF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46" w:type="dxa"/>
            <w:tcBorders>
              <w:top w:val="single" w:color="000000" w:sz="4" w:space="0"/>
              <w:bottom w:val="single" w:color="000000" w:sz="4" w:space="0"/>
              <w:right w:val="single" w:color="000000" w:sz="4" w:space="0"/>
            </w:tcBorders>
            <w:vAlign w:val="center"/>
          </w:tcPr>
          <w:p w14:paraId="7218E690">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w:t>
            </w:r>
          </w:p>
        </w:tc>
        <w:tc>
          <w:tcPr>
            <w:tcW w:w="3159" w:type="dxa"/>
            <w:tcBorders>
              <w:top w:val="single" w:color="000000" w:sz="4" w:space="0"/>
              <w:left w:val="single" w:color="000000" w:sz="4" w:space="0"/>
              <w:bottom w:val="single" w:color="000000" w:sz="4" w:space="0"/>
              <w:right w:val="single" w:color="000000" w:sz="4" w:space="0"/>
            </w:tcBorders>
            <w:vAlign w:val="center"/>
          </w:tcPr>
          <w:p w14:paraId="348A61C3">
            <w:pPr>
              <w:pStyle w:val="71"/>
              <w:pageBreakBefore w:val="0"/>
              <w:kinsoku/>
              <w:wordWrap/>
              <w:overflowPunct/>
              <w:topLinePunct w:val="0"/>
              <w:bidi w:val="0"/>
              <w:snapToGrid/>
              <w:spacing w:line="240" w:lineRule="auto"/>
              <w:ind w:right="681" w:rightChars="0"/>
              <w:jc w:val="lef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内部通讯接口</w:t>
            </w:r>
          </w:p>
        </w:tc>
        <w:tc>
          <w:tcPr>
            <w:tcW w:w="2496" w:type="dxa"/>
            <w:tcBorders>
              <w:top w:val="single" w:color="000000" w:sz="4" w:space="0"/>
              <w:left w:val="single" w:color="000000" w:sz="4" w:space="0"/>
              <w:bottom w:val="single" w:color="000000" w:sz="4" w:space="0"/>
              <w:right w:val="single" w:color="000000" w:sz="4" w:space="0"/>
            </w:tcBorders>
            <w:vAlign w:val="center"/>
          </w:tcPr>
          <w:p w14:paraId="333F2A2F">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w w:val="80"/>
                <w:sz w:val="24"/>
                <w:szCs w:val="24"/>
                <w:highlight w:val="none"/>
              </w:rPr>
              <w:t>RS485</w:t>
            </w:r>
            <w:r>
              <w:rPr>
                <w:rFonts w:hint="eastAsia" w:ascii="仿宋" w:hAnsi="仿宋" w:eastAsia="仿宋" w:cs="仿宋"/>
                <w:spacing w:val="-5"/>
                <w:w w:val="80"/>
                <w:sz w:val="24"/>
                <w:szCs w:val="24"/>
                <w:highlight w:val="none"/>
              </w:rPr>
              <w:t>总线</w:t>
            </w:r>
          </w:p>
        </w:tc>
        <w:tc>
          <w:tcPr>
            <w:tcW w:w="3000" w:type="dxa"/>
            <w:tcBorders>
              <w:top w:val="single" w:color="000000" w:sz="4" w:space="0"/>
              <w:left w:val="single" w:color="000000" w:sz="4" w:space="0"/>
              <w:bottom w:val="single" w:color="000000" w:sz="4" w:space="0"/>
            </w:tcBorders>
            <w:vAlign w:val="center"/>
          </w:tcPr>
          <w:p w14:paraId="3E4AD5C8">
            <w:pPr>
              <w:pStyle w:val="71"/>
              <w:pageBreakBefore w:val="0"/>
              <w:kinsoku/>
              <w:wordWrap/>
              <w:overflowPunct/>
              <w:topLinePunct w:val="0"/>
              <w:bidi w:val="0"/>
              <w:snapToGrid/>
              <w:spacing w:line="240" w:lineRule="auto"/>
              <w:jc w:val="both"/>
              <w:rPr>
                <w:rFonts w:hint="default" w:ascii="仿宋" w:hAnsi="仿宋" w:eastAsia="仿宋" w:cs="仿宋"/>
                <w:sz w:val="24"/>
                <w:szCs w:val="24"/>
                <w:highlight w:val="none"/>
                <w:lang w:val="en-US" w:eastAsia="zh-CN"/>
              </w:rPr>
            </w:pPr>
          </w:p>
        </w:tc>
      </w:tr>
      <w:tr w14:paraId="38F50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046" w:type="dxa"/>
            <w:tcBorders>
              <w:top w:val="single" w:color="000000" w:sz="4" w:space="0"/>
              <w:bottom w:val="single" w:color="000000" w:sz="4" w:space="0"/>
              <w:right w:val="single" w:color="000000" w:sz="4" w:space="0"/>
            </w:tcBorders>
            <w:vAlign w:val="center"/>
          </w:tcPr>
          <w:p w14:paraId="6E4C633E">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w:t>
            </w:r>
          </w:p>
        </w:tc>
        <w:tc>
          <w:tcPr>
            <w:tcW w:w="3159" w:type="dxa"/>
            <w:tcBorders>
              <w:top w:val="single" w:color="000000" w:sz="4" w:space="0"/>
              <w:left w:val="single" w:color="000000" w:sz="4" w:space="0"/>
              <w:bottom w:val="single" w:color="000000" w:sz="4" w:space="0"/>
              <w:right w:val="single" w:color="000000" w:sz="4" w:space="0"/>
            </w:tcBorders>
            <w:vAlign w:val="center"/>
          </w:tcPr>
          <w:p w14:paraId="7886AE91">
            <w:pPr>
              <w:pStyle w:val="71"/>
              <w:pageBreakBefore w:val="0"/>
              <w:kinsoku/>
              <w:wordWrap/>
              <w:overflowPunct/>
              <w:topLinePunct w:val="0"/>
              <w:bidi w:val="0"/>
              <w:snapToGrid/>
              <w:spacing w:line="240" w:lineRule="auto"/>
              <w:jc w:val="lef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电池组</w:t>
            </w:r>
          </w:p>
        </w:tc>
        <w:tc>
          <w:tcPr>
            <w:tcW w:w="2496" w:type="dxa"/>
            <w:tcBorders>
              <w:top w:val="single" w:color="000000" w:sz="4" w:space="0"/>
              <w:left w:val="single" w:color="000000" w:sz="4" w:space="0"/>
              <w:bottom w:val="single" w:color="000000" w:sz="4" w:space="0"/>
              <w:right w:val="single" w:color="000000" w:sz="4" w:space="0"/>
            </w:tcBorders>
            <w:vAlign w:val="center"/>
          </w:tcPr>
          <w:p w14:paraId="1E0819E1">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spacing w:val="-4"/>
                <w:w w:val="85"/>
                <w:sz w:val="24"/>
                <w:szCs w:val="24"/>
                <w:highlight w:val="none"/>
              </w:rPr>
              <w:t>DC48V</w:t>
            </w:r>
          </w:p>
        </w:tc>
        <w:tc>
          <w:tcPr>
            <w:tcW w:w="3000" w:type="dxa"/>
            <w:tcBorders>
              <w:top w:val="single" w:color="000000" w:sz="4" w:space="0"/>
              <w:left w:val="single" w:color="000000" w:sz="4" w:space="0"/>
              <w:bottom w:val="single" w:color="000000" w:sz="4" w:space="0"/>
            </w:tcBorders>
            <w:vAlign w:val="center"/>
          </w:tcPr>
          <w:p w14:paraId="7B7ED9DC">
            <w:pPr>
              <w:pStyle w:val="71"/>
              <w:pageBreakBefore w:val="0"/>
              <w:kinsoku/>
              <w:wordWrap/>
              <w:overflowPunct/>
              <w:topLinePunct w:val="0"/>
              <w:bidi w:val="0"/>
              <w:snapToGrid/>
              <w:spacing w:line="240" w:lineRule="auto"/>
              <w:ind w:firstLine="723"/>
              <w:jc w:val="center"/>
              <w:rPr>
                <w:rFonts w:hint="eastAsia" w:ascii="仿宋" w:hAnsi="仿宋" w:eastAsia="仿宋" w:cs="仿宋"/>
                <w:sz w:val="24"/>
                <w:szCs w:val="24"/>
                <w:highlight w:val="none"/>
              </w:rPr>
            </w:pPr>
          </w:p>
        </w:tc>
      </w:tr>
      <w:tr w14:paraId="1AA7C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1046" w:type="dxa"/>
            <w:tcBorders>
              <w:top w:val="single" w:color="000000" w:sz="4" w:space="0"/>
              <w:bottom w:val="single" w:color="000000" w:sz="4" w:space="0"/>
              <w:right w:val="single" w:color="000000" w:sz="4" w:space="0"/>
            </w:tcBorders>
            <w:vAlign w:val="center"/>
          </w:tcPr>
          <w:p w14:paraId="23EEDFD6">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7</w:t>
            </w:r>
          </w:p>
        </w:tc>
        <w:tc>
          <w:tcPr>
            <w:tcW w:w="3159" w:type="dxa"/>
            <w:tcBorders>
              <w:top w:val="single" w:color="000000" w:sz="4" w:space="0"/>
              <w:left w:val="single" w:color="000000" w:sz="4" w:space="0"/>
              <w:bottom w:val="single" w:color="000000" w:sz="4" w:space="0"/>
              <w:right w:val="single" w:color="000000" w:sz="4" w:space="0"/>
            </w:tcBorders>
            <w:vAlign w:val="center"/>
          </w:tcPr>
          <w:p w14:paraId="42A7AC10">
            <w:pPr>
              <w:pStyle w:val="71"/>
              <w:pageBreakBefore w:val="0"/>
              <w:kinsoku/>
              <w:wordWrap/>
              <w:overflowPunct/>
              <w:topLinePunct w:val="0"/>
              <w:bidi w:val="0"/>
              <w:snapToGrid/>
              <w:spacing w:line="240" w:lineRule="auto"/>
              <w:ind w:right="571" w:rightChars="0"/>
              <w:jc w:val="left"/>
              <w:rPr>
                <w:rFonts w:hint="eastAsia" w:ascii="仿宋" w:hAnsi="仿宋" w:eastAsia="仿宋" w:cs="仿宋"/>
                <w:sz w:val="24"/>
                <w:szCs w:val="24"/>
                <w:highlight w:val="none"/>
              </w:rPr>
            </w:pPr>
            <w:r>
              <w:rPr>
                <w:rFonts w:hint="eastAsia" w:ascii="仿宋" w:hAnsi="仿宋" w:eastAsia="仿宋" w:cs="仿宋"/>
                <w:spacing w:val="-4"/>
                <w:sz w:val="24"/>
                <w:szCs w:val="24"/>
                <w:highlight w:val="none"/>
                <w:lang w:val="en-US" w:eastAsia="zh-CN"/>
              </w:rPr>
              <w:t>充</w:t>
            </w:r>
            <w:r>
              <w:rPr>
                <w:rFonts w:hint="eastAsia" w:ascii="仿宋" w:hAnsi="仿宋" w:eastAsia="仿宋" w:cs="仿宋"/>
                <w:spacing w:val="-4"/>
                <w:sz w:val="24"/>
                <w:szCs w:val="24"/>
                <w:highlight w:val="none"/>
              </w:rPr>
              <w:t>换电柜实时定位</w:t>
            </w:r>
          </w:p>
        </w:tc>
        <w:tc>
          <w:tcPr>
            <w:tcW w:w="2496" w:type="dxa"/>
            <w:tcBorders>
              <w:top w:val="single" w:color="000000" w:sz="4" w:space="0"/>
              <w:left w:val="single" w:color="000000" w:sz="4" w:space="0"/>
              <w:bottom w:val="single" w:color="000000" w:sz="4" w:space="0"/>
              <w:right w:val="single" w:color="000000" w:sz="4" w:space="0"/>
            </w:tcBorders>
            <w:vAlign w:val="center"/>
          </w:tcPr>
          <w:p w14:paraId="020F14D5">
            <w:pPr>
              <w:pStyle w:val="71"/>
              <w:pageBreakBefore w:val="0"/>
              <w:kinsoku/>
              <w:wordWrap/>
              <w:overflowPunct/>
              <w:topLinePunct w:val="0"/>
              <w:bidi w:val="0"/>
              <w:snapToGrid/>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pacing w:val="-5"/>
                <w:sz w:val="24"/>
                <w:szCs w:val="24"/>
                <w:highlight w:val="none"/>
              </w:rPr>
              <w:t>支持</w:t>
            </w:r>
          </w:p>
        </w:tc>
        <w:tc>
          <w:tcPr>
            <w:tcW w:w="3000" w:type="dxa"/>
            <w:tcBorders>
              <w:top w:val="single" w:color="000000" w:sz="4" w:space="0"/>
              <w:left w:val="single" w:color="000000" w:sz="4" w:space="0"/>
              <w:bottom w:val="single" w:color="000000" w:sz="4" w:space="0"/>
            </w:tcBorders>
            <w:vAlign w:val="center"/>
          </w:tcPr>
          <w:p w14:paraId="0C022C94">
            <w:pPr>
              <w:pStyle w:val="71"/>
              <w:pageBreakBefore w:val="0"/>
              <w:kinsoku/>
              <w:wordWrap/>
              <w:overflowPunct/>
              <w:topLinePunct w:val="0"/>
              <w:bidi w:val="0"/>
              <w:snapToGrid/>
              <w:spacing w:line="240" w:lineRule="auto"/>
              <w:jc w:val="center"/>
              <w:rPr>
                <w:rFonts w:hint="default" w:ascii="仿宋" w:hAnsi="仿宋" w:eastAsia="仿宋" w:cs="仿宋"/>
                <w:sz w:val="24"/>
                <w:szCs w:val="24"/>
                <w:highlight w:val="none"/>
                <w:lang w:val="en-US" w:eastAsia="zh-CN"/>
              </w:rPr>
            </w:pPr>
          </w:p>
        </w:tc>
      </w:tr>
      <w:tr w14:paraId="68348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46" w:type="dxa"/>
            <w:tcBorders>
              <w:top w:val="single" w:color="000000" w:sz="4" w:space="0"/>
              <w:bottom w:val="single" w:color="000000" w:sz="4" w:space="0"/>
              <w:right w:val="single" w:color="000000" w:sz="4" w:space="0"/>
            </w:tcBorders>
            <w:vAlign w:val="center"/>
          </w:tcPr>
          <w:p w14:paraId="171D8DAB">
            <w:pPr>
              <w:pStyle w:val="71"/>
              <w:pageBreakBefore w:val="0"/>
              <w:kinsoku/>
              <w:wordWrap/>
              <w:overflowPunct/>
              <w:topLinePunct w:val="0"/>
              <w:bidi w:val="0"/>
              <w:snapToGrid/>
              <w:spacing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8</w:t>
            </w:r>
          </w:p>
        </w:tc>
        <w:tc>
          <w:tcPr>
            <w:tcW w:w="3159" w:type="dxa"/>
            <w:tcBorders>
              <w:top w:val="single" w:color="000000" w:sz="4" w:space="0"/>
              <w:left w:val="single" w:color="000000" w:sz="4" w:space="0"/>
              <w:bottom w:val="single" w:color="000000" w:sz="4" w:space="0"/>
              <w:right w:val="single" w:color="000000" w:sz="4" w:space="0"/>
            </w:tcBorders>
            <w:vAlign w:val="center"/>
          </w:tcPr>
          <w:p w14:paraId="133D6FC7">
            <w:pPr>
              <w:pStyle w:val="71"/>
              <w:pageBreakBefore w:val="0"/>
              <w:kinsoku/>
              <w:wordWrap/>
              <w:overflowPunct/>
              <w:topLinePunct w:val="0"/>
              <w:bidi w:val="0"/>
              <w:snapToGrid/>
              <w:spacing w:before="94" w:line="240" w:lineRule="auto"/>
              <w:ind w:right="4" w:rightChars="0"/>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整机外形尺寸</w:t>
            </w:r>
            <w:r>
              <w:rPr>
                <w:rFonts w:hint="eastAsia" w:ascii="仿宋" w:hAnsi="仿宋" w:eastAsia="仿宋" w:cs="仿宋"/>
                <w:spacing w:val="-2"/>
                <w:w w:val="85"/>
                <w:sz w:val="24"/>
                <w:szCs w:val="24"/>
                <w:highlight w:val="none"/>
              </w:rPr>
              <w:t>/W*D*H(mm)</w:t>
            </w:r>
          </w:p>
        </w:tc>
        <w:tc>
          <w:tcPr>
            <w:tcW w:w="2496" w:type="dxa"/>
            <w:tcBorders>
              <w:top w:val="single" w:color="000000" w:sz="4" w:space="0"/>
              <w:left w:val="single" w:color="000000" w:sz="4" w:space="0"/>
              <w:bottom w:val="single" w:color="000000" w:sz="4" w:space="0"/>
              <w:right w:val="single" w:color="000000" w:sz="4" w:space="0"/>
            </w:tcBorders>
            <w:vAlign w:val="center"/>
          </w:tcPr>
          <w:p w14:paraId="348AB4BB">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1000*445*1700</w:t>
            </w:r>
          </w:p>
        </w:tc>
        <w:tc>
          <w:tcPr>
            <w:tcW w:w="3000" w:type="dxa"/>
            <w:tcBorders>
              <w:top w:val="single" w:color="000000" w:sz="4" w:space="0"/>
              <w:left w:val="single" w:color="000000" w:sz="4" w:space="0"/>
              <w:bottom w:val="single" w:color="000000" w:sz="4" w:space="0"/>
            </w:tcBorders>
            <w:vAlign w:val="center"/>
          </w:tcPr>
          <w:p w14:paraId="47F370B9">
            <w:pPr>
              <w:pStyle w:val="71"/>
              <w:pageBreakBefore w:val="0"/>
              <w:kinsoku/>
              <w:wordWrap/>
              <w:overflowPunct/>
              <w:topLinePunct w:val="0"/>
              <w:bidi w:val="0"/>
              <w:snapToGrid/>
              <w:spacing w:line="240" w:lineRule="auto"/>
              <w:ind w:firstLine="723"/>
              <w:jc w:val="center"/>
              <w:rPr>
                <w:rFonts w:hint="eastAsia" w:ascii="仿宋" w:hAnsi="仿宋" w:eastAsia="仿宋" w:cs="仿宋"/>
                <w:sz w:val="24"/>
                <w:szCs w:val="24"/>
                <w:highlight w:val="none"/>
              </w:rPr>
            </w:pPr>
          </w:p>
        </w:tc>
      </w:tr>
      <w:tr w14:paraId="33250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046" w:type="dxa"/>
            <w:tcBorders>
              <w:top w:val="nil"/>
              <w:bottom w:val="single" w:color="auto" w:sz="4" w:space="0"/>
              <w:right w:val="single" w:color="000000" w:sz="4" w:space="0"/>
            </w:tcBorders>
            <w:vAlign w:val="center"/>
          </w:tcPr>
          <w:p w14:paraId="3CE962EB">
            <w:pPr>
              <w:pStyle w:val="71"/>
              <w:pageBreakBefore w:val="0"/>
              <w:kinsoku/>
              <w:wordWrap/>
              <w:overflowPunct/>
              <w:topLinePunct w:val="0"/>
              <w:bidi w:val="0"/>
              <w:snapToGrid/>
              <w:spacing w:before="103" w:line="240" w:lineRule="auto"/>
              <w:ind w:right="88"/>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9</w:t>
            </w:r>
          </w:p>
        </w:tc>
        <w:tc>
          <w:tcPr>
            <w:tcW w:w="3159" w:type="dxa"/>
            <w:tcBorders>
              <w:top w:val="nil"/>
              <w:left w:val="single" w:color="000000" w:sz="4" w:space="0"/>
              <w:bottom w:val="single" w:color="auto" w:sz="4" w:space="0"/>
              <w:right w:val="single" w:color="000000" w:sz="4" w:space="0"/>
            </w:tcBorders>
            <w:vAlign w:val="center"/>
          </w:tcPr>
          <w:p w14:paraId="31EED7E7">
            <w:pPr>
              <w:pStyle w:val="71"/>
              <w:pageBreakBefore w:val="0"/>
              <w:kinsoku/>
              <w:wordWrap/>
              <w:overflowPunct/>
              <w:topLinePunct w:val="0"/>
              <w:bidi w:val="0"/>
              <w:snapToGrid/>
              <w:spacing w:line="240" w:lineRule="auto"/>
              <w:jc w:val="lef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网络</w:t>
            </w:r>
          </w:p>
        </w:tc>
        <w:tc>
          <w:tcPr>
            <w:tcW w:w="2496" w:type="dxa"/>
            <w:tcBorders>
              <w:top w:val="nil"/>
              <w:left w:val="single" w:color="000000" w:sz="4" w:space="0"/>
              <w:bottom w:val="single" w:color="auto" w:sz="4" w:space="0"/>
              <w:right w:val="single" w:color="000000" w:sz="4" w:space="0"/>
            </w:tcBorders>
            <w:vAlign w:val="center"/>
          </w:tcPr>
          <w:p w14:paraId="04139A97">
            <w:pPr>
              <w:pStyle w:val="71"/>
              <w:pageBreakBefore w:val="0"/>
              <w:kinsoku/>
              <w:wordWrap/>
              <w:overflowPunct/>
              <w:topLinePunct w:val="0"/>
              <w:bidi w:val="0"/>
              <w:snapToGrid/>
              <w:spacing w:line="240" w:lineRule="auto"/>
              <w:jc w:val="center"/>
              <w:rPr>
                <w:rFonts w:hint="eastAsia" w:ascii="仿宋" w:hAnsi="仿宋" w:eastAsia="仿宋" w:cs="仿宋"/>
                <w:sz w:val="24"/>
                <w:szCs w:val="24"/>
                <w:highlight w:val="none"/>
              </w:rPr>
            </w:pPr>
            <w:r>
              <w:rPr>
                <w:rFonts w:hint="eastAsia" w:ascii="仿宋" w:hAnsi="仿宋" w:eastAsia="仿宋" w:cs="仿宋"/>
                <w:w w:val="90"/>
                <w:sz w:val="24"/>
                <w:szCs w:val="24"/>
                <w:highlight w:val="none"/>
              </w:rPr>
              <w:t>4G</w:t>
            </w:r>
            <w:r>
              <w:rPr>
                <w:rFonts w:hint="eastAsia" w:ascii="仿宋" w:hAnsi="仿宋" w:eastAsia="仿宋" w:cs="仿宋"/>
                <w:spacing w:val="-3"/>
                <w:w w:val="90"/>
                <w:sz w:val="24"/>
                <w:szCs w:val="24"/>
                <w:highlight w:val="none"/>
              </w:rPr>
              <w:t>网络支持</w:t>
            </w:r>
          </w:p>
        </w:tc>
        <w:tc>
          <w:tcPr>
            <w:tcW w:w="3000" w:type="dxa"/>
            <w:tcBorders>
              <w:top w:val="nil"/>
              <w:left w:val="single" w:color="000000" w:sz="4" w:space="0"/>
              <w:bottom w:val="single" w:color="auto" w:sz="4" w:space="0"/>
            </w:tcBorders>
            <w:vAlign w:val="center"/>
          </w:tcPr>
          <w:p w14:paraId="2E3BF9B4">
            <w:pPr>
              <w:pStyle w:val="71"/>
              <w:pageBreakBefore w:val="0"/>
              <w:kinsoku/>
              <w:wordWrap/>
              <w:overflowPunct/>
              <w:topLinePunct w:val="0"/>
              <w:bidi w:val="0"/>
              <w:snapToGrid/>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自项目竣工验收之日起1年</w:t>
            </w:r>
            <w:r>
              <w:rPr>
                <w:rFonts w:hint="eastAsia" w:ascii="仿宋" w:hAnsi="仿宋" w:eastAsia="仿宋" w:cs="仿宋"/>
                <w:sz w:val="24"/>
                <w:szCs w:val="24"/>
                <w:highlight w:val="none"/>
                <w:lang w:val="en-US" w:eastAsia="zh-CN"/>
              </w:rPr>
              <w:t xml:space="preserve"> ≥1G/月</w:t>
            </w:r>
          </w:p>
        </w:tc>
      </w:tr>
      <w:tr w14:paraId="2EC2C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046" w:type="dxa"/>
            <w:tcBorders>
              <w:top w:val="single" w:color="auto" w:sz="4" w:space="0"/>
              <w:bottom w:val="single" w:color="000000" w:sz="4" w:space="0"/>
              <w:right w:val="single" w:color="000000" w:sz="4" w:space="0"/>
            </w:tcBorders>
            <w:vAlign w:val="center"/>
          </w:tcPr>
          <w:p w14:paraId="24C19A3E">
            <w:pPr>
              <w:pStyle w:val="71"/>
              <w:pageBreakBefore w:val="0"/>
              <w:kinsoku/>
              <w:wordWrap/>
              <w:overflowPunct/>
              <w:topLinePunct w:val="0"/>
              <w:bidi w:val="0"/>
              <w:snapToGrid/>
              <w:spacing w:before="103" w:line="240" w:lineRule="auto"/>
              <w:ind w:right="88" w:rightChars="0"/>
              <w:jc w:val="center"/>
              <w:rPr>
                <w:rFonts w:hint="default" w:ascii="仿宋" w:hAnsi="仿宋" w:eastAsia="仿宋" w:cs="仿宋"/>
                <w:kern w:val="0"/>
                <w:sz w:val="24"/>
                <w:szCs w:val="24"/>
                <w:highlight w:val="none"/>
                <w:lang w:val="en-US" w:eastAsia="zh-CN" w:bidi="ar-SA"/>
              </w:rPr>
            </w:pPr>
            <w:bookmarkStart w:id="107" w:name="_Toc17229"/>
            <w:r>
              <w:rPr>
                <w:rFonts w:hint="eastAsia" w:ascii="仿宋" w:hAnsi="仿宋" w:eastAsia="仿宋" w:cs="仿宋"/>
                <w:kern w:val="0"/>
                <w:sz w:val="24"/>
                <w:szCs w:val="24"/>
                <w:highlight w:val="none"/>
                <w:lang w:val="en-US" w:eastAsia="zh-CN" w:bidi="ar-SA"/>
              </w:rPr>
              <w:t>10</w:t>
            </w:r>
          </w:p>
        </w:tc>
        <w:tc>
          <w:tcPr>
            <w:tcW w:w="3159" w:type="dxa"/>
            <w:tcBorders>
              <w:top w:val="single" w:color="auto" w:sz="4" w:space="0"/>
              <w:left w:val="single" w:color="000000" w:sz="4" w:space="0"/>
              <w:bottom w:val="single" w:color="000000" w:sz="4" w:space="0"/>
              <w:right w:val="single" w:color="000000" w:sz="4" w:space="0"/>
            </w:tcBorders>
            <w:vAlign w:val="center"/>
          </w:tcPr>
          <w:p w14:paraId="41A3FB1C">
            <w:pPr>
              <w:pStyle w:val="71"/>
              <w:pageBreakBefore w:val="0"/>
              <w:kinsoku/>
              <w:wordWrap/>
              <w:overflowPunct/>
              <w:topLinePunct w:val="0"/>
              <w:bidi w:val="0"/>
              <w:snapToGrid/>
              <w:spacing w:before="109"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pacing w:val="-3"/>
                <w:sz w:val="24"/>
                <w:szCs w:val="24"/>
                <w:highlight w:val="none"/>
              </w:rPr>
              <w:t>工作噪音</w:t>
            </w:r>
          </w:p>
        </w:tc>
        <w:tc>
          <w:tcPr>
            <w:tcW w:w="2496" w:type="dxa"/>
            <w:tcBorders>
              <w:top w:val="single" w:color="auto" w:sz="4" w:space="0"/>
              <w:left w:val="single" w:color="000000" w:sz="4" w:space="0"/>
              <w:bottom w:val="single" w:color="000000" w:sz="4" w:space="0"/>
              <w:right w:val="single" w:color="000000" w:sz="4" w:space="0"/>
            </w:tcBorders>
            <w:vAlign w:val="center"/>
          </w:tcPr>
          <w:p w14:paraId="752E2F86">
            <w:pPr>
              <w:pStyle w:val="71"/>
              <w:pageBreakBefore w:val="0"/>
              <w:kinsoku/>
              <w:wordWrap/>
              <w:overflowPunct/>
              <w:topLinePunct w:val="0"/>
              <w:bidi w:val="0"/>
              <w:snapToGrid/>
              <w:spacing w:before="84" w:line="24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pacing w:val="-2"/>
                <w:w w:val="95"/>
                <w:sz w:val="24"/>
                <w:szCs w:val="24"/>
                <w:highlight w:val="none"/>
              </w:rPr>
              <w:t>≤60dB</w:t>
            </w:r>
          </w:p>
        </w:tc>
        <w:tc>
          <w:tcPr>
            <w:tcW w:w="3000" w:type="dxa"/>
            <w:tcBorders>
              <w:top w:val="single" w:color="auto" w:sz="4" w:space="0"/>
              <w:left w:val="single" w:color="000000" w:sz="4" w:space="0"/>
              <w:bottom w:val="single" w:color="000000" w:sz="4" w:space="0"/>
            </w:tcBorders>
            <w:vAlign w:val="center"/>
          </w:tcPr>
          <w:p w14:paraId="4330D179">
            <w:pPr>
              <w:pStyle w:val="71"/>
              <w:pageBreakBefore w:val="0"/>
              <w:kinsoku/>
              <w:wordWrap/>
              <w:overflowPunct/>
              <w:topLinePunct w:val="0"/>
              <w:bidi w:val="0"/>
              <w:snapToGrid/>
              <w:spacing w:line="24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距离机柜</w:t>
            </w:r>
            <w:r>
              <w:rPr>
                <w:rFonts w:hint="eastAsia" w:ascii="仿宋" w:hAnsi="仿宋" w:eastAsia="仿宋" w:cs="仿宋"/>
                <w:spacing w:val="-10"/>
                <w:sz w:val="24"/>
                <w:szCs w:val="24"/>
                <w:highlight w:val="none"/>
              </w:rPr>
              <w:t>1</w:t>
            </w:r>
            <w:r>
              <w:rPr>
                <w:rFonts w:hint="eastAsia" w:ascii="仿宋" w:hAnsi="仿宋" w:eastAsia="仿宋" w:cs="仿宋"/>
                <w:spacing w:val="-5"/>
                <w:sz w:val="24"/>
                <w:szCs w:val="24"/>
                <w:highlight w:val="none"/>
              </w:rPr>
              <w:t>米处</w:t>
            </w:r>
          </w:p>
        </w:tc>
      </w:tr>
    </w:tbl>
    <w:p w14:paraId="2B89FF3D">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5.2充换电柜AC-DC电源主要参数</w:t>
      </w:r>
      <w:bookmarkEnd w:id="107"/>
    </w:p>
    <w:p w14:paraId="6495D354">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5.2.1功能概述：</w:t>
      </w:r>
    </w:p>
    <w:p w14:paraId="56F8CFCA">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该电源具有高效率、低成本的充换电柜电源特性。输入电压范围 90Vac～290Vac；电源输出最大功率800W，最大电流 15A，输出电压范围 40V-88V。此电源内置直流风扇强制风冷；电源具有输出短路保护、反接保护、输出过压过流保护通讯中断保护、过温保护、输出防打火、输入欠压保护、输入过压保护等功能；同时具备交流输入电压实时上报功能。</w:t>
      </w:r>
    </w:p>
    <w:p w14:paraId="2D75AAA7">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5.2.2技术要求</w:t>
      </w:r>
    </w:p>
    <w:tbl>
      <w:tblPr>
        <w:tblStyle w:val="28"/>
        <w:tblW w:w="92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891"/>
        <w:gridCol w:w="1362"/>
        <w:gridCol w:w="704"/>
        <w:gridCol w:w="4423"/>
      </w:tblGrid>
      <w:tr w14:paraId="7BAF8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221" w:type="dxa"/>
            <w:gridSpan w:val="5"/>
            <w:tcBorders>
              <w:tl2br w:val="nil"/>
              <w:tr2bl w:val="nil"/>
            </w:tcBorders>
            <w:vAlign w:val="top"/>
          </w:tcPr>
          <w:p w14:paraId="27BB56FF">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输入特性</w:t>
            </w:r>
          </w:p>
        </w:tc>
      </w:tr>
      <w:tr w14:paraId="56B3D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1" w:type="dxa"/>
            <w:tcBorders>
              <w:tl2br w:val="nil"/>
              <w:tr2bl w:val="nil"/>
            </w:tcBorders>
            <w:vAlign w:val="top"/>
          </w:tcPr>
          <w:p w14:paraId="674C3CF1">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序号</w:t>
            </w:r>
          </w:p>
        </w:tc>
        <w:tc>
          <w:tcPr>
            <w:tcW w:w="1891" w:type="dxa"/>
            <w:tcBorders>
              <w:tl2br w:val="nil"/>
              <w:tr2bl w:val="nil"/>
            </w:tcBorders>
            <w:vAlign w:val="top"/>
          </w:tcPr>
          <w:p w14:paraId="37E5640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项目</w:t>
            </w:r>
          </w:p>
        </w:tc>
        <w:tc>
          <w:tcPr>
            <w:tcW w:w="1362" w:type="dxa"/>
            <w:tcBorders>
              <w:tl2br w:val="nil"/>
              <w:tr2bl w:val="nil"/>
            </w:tcBorders>
            <w:vAlign w:val="top"/>
          </w:tcPr>
          <w:p w14:paraId="64C5D07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技术要求</w:t>
            </w:r>
          </w:p>
        </w:tc>
        <w:tc>
          <w:tcPr>
            <w:tcW w:w="704" w:type="dxa"/>
            <w:tcBorders>
              <w:tl2br w:val="nil"/>
              <w:tr2bl w:val="nil"/>
            </w:tcBorders>
            <w:vAlign w:val="top"/>
          </w:tcPr>
          <w:p w14:paraId="327D3E0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w:t>
            </w:r>
          </w:p>
        </w:tc>
        <w:tc>
          <w:tcPr>
            <w:tcW w:w="4423" w:type="dxa"/>
            <w:tcBorders>
              <w:tl2br w:val="nil"/>
              <w:tr2bl w:val="nil"/>
            </w:tcBorders>
            <w:vAlign w:val="top"/>
          </w:tcPr>
          <w:p w14:paraId="31CE50E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备注</w:t>
            </w:r>
          </w:p>
        </w:tc>
      </w:tr>
      <w:tr w14:paraId="6933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tcBorders>
              <w:tl2br w:val="nil"/>
              <w:tr2bl w:val="nil"/>
            </w:tcBorders>
            <w:vAlign w:val="top"/>
          </w:tcPr>
          <w:p w14:paraId="2F10C31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w:t>
            </w:r>
          </w:p>
        </w:tc>
        <w:tc>
          <w:tcPr>
            <w:tcW w:w="1891" w:type="dxa"/>
            <w:tcBorders>
              <w:tl2br w:val="nil"/>
              <w:tr2bl w:val="nil"/>
            </w:tcBorders>
            <w:vAlign w:val="top"/>
          </w:tcPr>
          <w:p w14:paraId="0EDB242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输入额定电压</w:t>
            </w:r>
          </w:p>
        </w:tc>
        <w:tc>
          <w:tcPr>
            <w:tcW w:w="1362" w:type="dxa"/>
            <w:tcBorders>
              <w:tl2br w:val="nil"/>
              <w:tr2bl w:val="nil"/>
            </w:tcBorders>
            <w:vAlign w:val="top"/>
          </w:tcPr>
          <w:p w14:paraId="20271DF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100</w:t>
            </w:r>
            <w:r>
              <w:rPr>
                <w:rFonts w:hint="eastAsia" w:ascii="仿宋" w:hAnsi="仿宋" w:eastAsia="仿宋" w:cs="仿宋"/>
                <w:kern w:val="0"/>
                <w:sz w:val="22"/>
                <w:szCs w:val="22"/>
                <w:highlight w:val="none"/>
              </w:rPr>
              <w:t>~2</w:t>
            </w:r>
            <w:r>
              <w:rPr>
                <w:rFonts w:hint="eastAsia" w:ascii="仿宋" w:hAnsi="仿宋" w:eastAsia="仿宋" w:cs="仿宋"/>
                <w:kern w:val="0"/>
                <w:sz w:val="22"/>
                <w:szCs w:val="22"/>
                <w:highlight w:val="none"/>
                <w:lang w:val="en-US" w:eastAsia="zh-CN"/>
              </w:rPr>
              <w:t>40</w:t>
            </w:r>
          </w:p>
        </w:tc>
        <w:tc>
          <w:tcPr>
            <w:tcW w:w="704" w:type="dxa"/>
            <w:tcBorders>
              <w:tl2br w:val="nil"/>
              <w:tr2bl w:val="nil"/>
            </w:tcBorders>
            <w:vAlign w:val="top"/>
          </w:tcPr>
          <w:p w14:paraId="27C1550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Vac</w:t>
            </w:r>
          </w:p>
        </w:tc>
        <w:tc>
          <w:tcPr>
            <w:tcW w:w="4423" w:type="dxa"/>
            <w:tcBorders>
              <w:tl2br w:val="nil"/>
              <w:tr2bl w:val="nil"/>
            </w:tcBorders>
            <w:vAlign w:val="top"/>
          </w:tcPr>
          <w:p w14:paraId="65BF6DF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26252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41" w:type="dxa"/>
            <w:tcBorders>
              <w:tl2br w:val="nil"/>
              <w:tr2bl w:val="nil"/>
            </w:tcBorders>
            <w:vAlign w:val="top"/>
          </w:tcPr>
          <w:p w14:paraId="627BBB3F">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p>
        </w:tc>
        <w:tc>
          <w:tcPr>
            <w:tcW w:w="1891" w:type="dxa"/>
            <w:tcBorders>
              <w:tl2br w:val="nil"/>
              <w:tr2bl w:val="nil"/>
            </w:tcBorders>
            <w:vAlign w:val="top"/>
          </w:tcPr>
          <w:p w14:paraId="5F27F2E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输入电压范围</w:t>
            </w:r>
          </w:p>
        </w:tc>
        <w:tc>
          <w:tcPr>
            <w:tcW w:w="1362" w:type="dxa"/>
            <w:tcBorders>
              <w:tl2br w:val="nil"/>
              <w:tr2bl w:val="nil"/>
            </w:tcBorders>
            <w:vAlign w:val="top"/>
          </w:tcPr>
          <w:p w14:paraId="3AD1193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90</w:t>
            </w:r>
            <w:r>
              <w:rPr>
                <w:rFonts w:hint="eastAsia" w:ascii="仿宋" w:hAnsi="仿宋" w:eastAsia="仿宋" w:cs="仿宋"/>
                <w:kern w:val="0"/>
                <w:sz w:val="22"/>
                <w:szCs w:val="22"/>
                <w:highlight w:val="none"/>
              </w:rPr>
              <w:t>V~</w:t>
            </w:r>
            <w:r>
              <w:rPr>
                <w:rFonts w:hint="eastAsia" w:ascii="仿宋" w:hAnsi="仿宋" w:eastAsia="仿宋" w:cs="仿宋"/>
                <w:kern w:val="0"/>
                <w:sz w:val="22"/>
                <w:szCs w:val="22"/>
                <w:highlight w:val="none"/>
                <w:lang w:val="en-US" w:eastAsia="zh-CN"/>
              </w:rPr>
              <w:t>290</w:t>
            </w:r>
            <w:r>
              <w:rPr>
                <w:rFonts w:hint="eastAsia" w:ascii="仿宋" w:hAnsi="仿宋" w:eastAsia="仿宋" w:cs="仿宋"/>
                <w:kern w:val="0"/>
                <w:sz w:val="22"/>
                <w:szCs w:val="22"/>
                <w:highlight w:val="none"/>
              </w:rPr>
              <w:t>V</w:t>
            </w:r>
          </w:p>
        </w:tc>
        <w:tc>
          <w:tcPr>
            <w:tcW w:w="704" w:type="dxa"/>
            <w:tcBorders>
              <w:tl2br w:val="nil"/>
              <w:tr2bl w:val="nil"/>
            </w:tcBorders>
            <w:vAlign w:val="top"/>
          </w:tcPr>
          <w:p w14:paraId="3F771E7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Vac</w:t>
            </w:r>
          </w:p>
        </w:tc>
        <w:tc>
          <w:tcPr>
            <w:tcW w:w="4423" w:type="dxa"/>
            <w:tcBorders>
              <w:tl2br w:val="nil"/>
              <w:tr2bl w:val="nil"/>
            </w:tcBorders>
            <w:vAlign w:val="top"/>
          </w:tcPr>
          <w:p w14:paraId="676012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输入185Vac 可以输出满功率,输入低于 180V，充电器线性降功率进行充电。输出功率随输入电压线性降额。</w:t>
            </w:r>
          </w:p>
        </w:tc>
      </w:tr>
      <w:tr w14:paraId="73B1B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1" w:type="dxa"/>
            <w:tcBorders>
              <w:tl2br w:val="nil"/>
              <w:tr2bl w:val="nil"/>
            </w:tcBorders>
            <w:vAlign w:val="top"/>
          </w:tcPr>
          <w:p w14:paraId="0B6596C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w:t>
            </w:r>
          </w:p>
        </w:tc>
        <w:tc>
          <w:tcPr>
            <w:tcW w:w="1891" w:type="dxa"/>
            <w:tcBorders>
              <w:tl2br w:val="nil"/>
              <w:tr2bl w:val="nil"/>
            </w:tcBorders>
            <w:vAlign w:val="top"/>
          </w:tcPr>
          <w:p w14:paraId="7931D52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交流输入电压频率</w:t>
            </w:r>
          </w:p>
        </w:tc>
        <w:tc>
          <w:tcPr>
            <w:tcW w:w="1362" w:type="dxa"/>
            <w:tcBorders>
              <w:tl2br w:val="nil"/>
              <w:tr2bl w:val="nil"/>
            </w:tcBorders>
            <w:vAlign w:val="top"/>
          </w:tcPr>
          <w:p w14:paraId="6B926C92">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50Hz 士 2.5Hz</w:t>
            </w:r>
          </w:p>
        </w:tc>
        <w:tc>
          <w:tcPr>
            <w:tcW w:w="704" w:type="dxa"/>
            <w:tcBorders>
              <w:tl2br w:val="nil"/>
              <w:tr2bl w:val="nil"/>
            </w:tcBorders>
            <w:vAlign w:val="top"/>
          </w:tcPr>
          <w:p w14:paraId="367A2CA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Hz</w:t>
            </w:r>
          </w:p>
        </w:tc>
        <w:tc>
          <w:tcPr>
            <w:tcW w:w="4423" w:type="dxa"/>
            <w:tcBorders>
              <w:tl2br w:val="nil"/>
              <w:tr2bl w:val="nil"/>
            </w:tcBorders>
            <w:vAlign w:val="top"/>
          </w:tcPr>
          <w:p w14:paraId="5E630BC2">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31301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1" w:type="dxa"/>
            <w:tcBorders>
              <w:tl2br w:val="nil"/>
              <w:tr2bl w:val="nil"/>
            </w:tcBorders>
            <w:vAlign w:val="top"/>
          </w:tcPr>
          <w:p w14:paraId="3D97D20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w:t>
            </w:r>
          </w:p>
        </w:tc>
        <w:tc>
          <w:tcPr>
            <w:tcW w:w="1891" w:type="dxa"/>
            <w:tcBorders>
              <w:tl2br w:val="nil"/>
              <w:tr2bl w:val="nil"/>
            </w:tcBorders>
            <w:vAlign w:val="top"/>
          </w:tcPr>
          <w:p w14:paraId="48450DD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输入</w:t>
            </w:r>
            <w:r>
              <w:rPr>
                <w:rFonts w:hint="eastAsia" w:ascii="仿宋" w:hAnsi="仿宋" w:eastAsia="仿宋" w:cs="仿宋"/>
                <w:kern w:val="0"/>
                <w:sz w:val="22"/>
                <w:szCs w:val="22"/>
                <w:highlight w:val="none"/>
              </w:rPr>
              <w:t>电流</w:t>
            </w:r>
          </w:p>
        </w:tc>
        <w:tc>
          <w:tcPr>
            <w:tcW w:w="1362" w:type="dxa"/>
            <w:tcBorders>
              <w:tl2br w:val="nil"/>
              <w:tr2bl w:val="nil"/>
            </w:tcBorders>
            <w:vAlign w:val="top"/>
          </w:tcPr>
          <w:p w14:paraId="26F348F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6</w:t>
            </w:r>
          </w:p>
        </w:tc>
        <w:tc>
          <w:tcPr>
            <w:tcW w:w="704" w:type="dxa"/>
            <w:tcBorders>
              <w:tl2br w:val="nil"/>
              <w:tr2bl w:val="nil"/>
            </w:tcBorders>
            <w:vAlign w:val="top"/>
          </w:tcPr>
          <w:p w14:paraId="54B2F83F">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A</w:t>
            </w:r>
          </w:p>
        </w:tc>
        <w:tc>
          <w:tcPr>
            <w:tcW w:w="4423" w:type="dxa"/>
            <w:tcBorders>
              <w:tl2br w:val="nil"/>
              <w:tr2bl w:val="nil"/>
            </w:tcBorders>
            <w:vAlign w:val="top"/>
          </w:tcPr>
          <w:p w14:paraId="6E9C2A22">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66247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1" w:type="dxa"/>
            <w:tcBorders>
              <w:tl2br w:val="nil"/>
              <w:tr2bl w:val="nil"/>
            </w:tcBorders>
            <w:vAlign w:val="top"/>
          </w:tcPr>
          <w:p w14:paraId="2AD9298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w:t>
            </w:r>
          </w:p>
        </w:tc>
        <w:tc>
          <w:tcPr>
            <w:tcW w:w="1891" w:type="dxa"/>
            <w:tcBorders>
              <w:tl2br w:val="nil"/>
              <w:tr2bl w:val="nil"/>
            </w:tcBorders>
            <w:vAlign w:val="top"/>
          </w:tcPr>
          <w:p w14:paraId="439D20E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最大输</w:t>
            </w:r>
            <w:r>
              <w:rPr>
                <w:rFonts w:hint="eastAsia" w:ascii="仿宋" w:hAnsi="仿宋" w:eastAsia="仿宋" w:cs="仿宋"/>
                <w:kern w:val="0"/>
                <w:sz w:val="22"/>
                <w:szCs w:val="22"/>
                <w:highlight w:val="none"/>
                <w:lang w:val="en-US" w:eastAsia="zh-CN"/>
              </w:rPr>
              <w:t>入</w:t>
            </w:r>
            <w:r>
              <w:rPr>
                <w:rFonts w:hint="eastAsia" w:ascii="仿宋" w:hAnsi="仿宋" w:eastAsia="仿宋" w:cs="仿宋"/>
                <w:kern w:val="0"/>
                <w:sz w:val="22"/>
                <w:szCs w:val="22"/>
                <w:highlight w:val="none"/>
              </w:rPr>
              <w:t>电流</w:t>
            </w:r>
          </w:p>
        </w:tc>
        <w:tc>
          <w:tcPr>
            <w:tcW w:w="1362" w:type="dxa"/>
            <w:tcBorders>
              <w:tl2br w:val="nil"/>
              <w:tr2bl w:val="nil"/>
            </w:tcBorders>
            <w:vAlign w:val="top"/>
          </w:tcPr>
          <w:p w14:paraId="3D0A235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40</w:t>
            </w:r>
            <w:r>
              <w:rPr>
                <w:rFonts w:hint="eastAsia" w:ascii="仿宋" w:hAnsi="仿宋" w:eastAsia="仿宋" w:cs="仿宋"/>
                <w:kern w:val="0"/>
                <w:sz w:val="22"/>
                <w:szCs w:val="22"/>
                <w:highlight w:val="none"/>
              </w:rPr>
              <w:t xml:space="preserve"> A</w:t>
            </w:r>
          </w:p>
        </w:tc>
        <w:tc>
          <w:tcPr>
            <w:tcW w:w="704" w:type="dxa"/>
            <w:tcBorders>
              <w:tl2br w:val="nil"/>
              <w:tr2bl w:val="nil"/>
            </w:tcBorders>
            <w:vAlign w:val="top"/>
          </w:tcPr>
          <w:p w14:paraId="1393E081">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A</w:t>
            </w:r>
          </w:p>
        </w:tc>
        <w:tc>
          <w:tcPr>
            <w:tcW w:w="4423" w:type="dxa"/>
            <w:tcBorders>
              <w:tl2br w:val="nil"/>
              <w:tr2bl w:val="nil"/>
            </w:tcBorders>
            <w:vAlign w:val="top"/>
          </w:tcPr>
          <w:p w14:paraId="15259EDF">
            <w:pPr>
              <w:keepNext w:val="0"/>
              <w:keepLines w:val="0"/>
              <w:pageBreakBefore w:val="0"/>
              <w:widowControl/>
              <w:suppressLineNumbers w:val="0"/>
              <w:kinsoku/>
              <w:wordWrap/>
              <w:overflowPunct/>
              <w:topLinePunct w:val="0"/>
              <w:autoSpaceDE/>
              <w:autoSpaceDN/>
              <w:bidi w:val="0"/>
              <w:adjustRightInd/>
              <w:snapToGrid/>
              <w:spacing w:line="240" w:lineRule="auto"/>
              <w:ind w:firstLine="220" w:firstLineChars="100"/>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220Vac/50Hz 输入，满载，冷启动，高温 50℃。</w:t>
            </w:r>
          </w:p>
        </w:tc>
      </w:tr>
      <w:tr w14:paraId="2FA3D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1" w:type="dxa"/>
            <w:tcBorders>
              <w:tl2br w:val="nil"/>
              <w:tr2bl w:val="nil"/>
            </w:tcBorders>
            <w:vAlign w:val="top"/>
          </w:tcPr>
          <w:p w14:paraId="08050B51">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w:t>
            </w:r>
          </w:p>
        </w:tc>
        <w:tc>
          <w:tcPr>
            <w:tcW w:w="1891" w:type="dxa"/>
            <w:vMerge w:val="restart"/>
            <w:tcBorders>
              <w:tl2br w:val="nil"/>
              <w:tr2bl w:val="nil"/>
            </w:tcBorders>
            <w:vAlign w:val="top"/>
          </w:tcPr>
          <w:p w14:paraId="060867C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p w14:paraId="55A3CA8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PFC 值</w:t>
            </w:r>
          </w:p>
        </w:tc>
        <w:tc>
          <w:tcPr>
            <w:tcW w:w="1362" w:type="dxa"/>
            <w:tcBorders>
              <w:tl2br w:val="nil"/>
              <w:tr2bl w:val="nil"/>
            </w:tcBorders>
            <w:vAlign w:val="top"/>
          </w:tcPr>
          <w:p w14:paraId="1519AA1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≥0.99</w:t>
            </w:r>
          </w:p>
        </w:tc>
        <w:tc>
          <w:tcPr>
            <w:tcW w:w="704" w:type="dxa"/>
            <w:tcBorders>
              <w:tl2br w:val="nil"/>
              <w:tr2bl w:val="nil"/>
            </w:tcBorders>
            <w:vAlign w:val="top"/>
          </w:tcPr>
          <w:p w14:paraId="0A23082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4CB5BFE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负载率100%</w:t>
            </w:r>
          </w:p>
        </w:tc>
      </w:tr>
      <w:tr w14:paraId="53FE4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20A6B3C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w:t>
            </w:r>
          </w:p>
        </w:tc>
        <w:tc>
          <w:tcPr>
            <w:tcW w:w="1891" w:type="dxa"/>
            <w:vMerge w:val="continue"/>
            <w:tcBorders>
              <w:tl2br w:val="nil"/>
              <w:tr2bl w:val="nil"/>
            </w:tcBorders>
            <w:vAlign w:val="top"/>
          </w:tcPr>
          <w:p w14:paraId="31B8C64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1362" w:type="dxa"/>
            <w:tcBorders>
              <w:tl2br w:val="nil"/>
              <w:tr2bl w:val="nil"/>
            </w:tcBorders>
            <w:vAlign w:val="top"/>
          </w:tcPr>
          <w:p w14:paraId="03A4881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≥0.98</w:t>
            </w:r>
          </w:p>
        </w:tc>
        <w:tc>
          <w:tcPr>
            <w:tcW w:w="704" w:type="dxa"/>
            <w:tcBorders>
              <w:tl2br w:val="nil"/>
              <w:tr2bl w:val="nil"/>
            </w:tcBorders>
            <w:vAlign w:val="top"/>
          </w:tcPr>
          <w:p w14:paraId="4971979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3FD154D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负载率50%</w:t>
            </w:r>
          </w:p>
        </w:tc>
      </w:tr>
      <w:tr w14:paraId="23C0E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41" w:type="dxa"/>
            <w:tcBorders>
              <w:tl2br w:val="nil"/>
              <w:tr2bl w:val="nil"/>
            </w:tcBorders>
            <w:vAlign w:val="top"/>
          </w:tcPr>
          <w:p w14:paraId="14A7A81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w:t>
            </w:r>
          </w:p>
        </w:tc>
        <w:tc>
          <w:tcPr>
            <w:tcW w:w="1891" w:type="dxa"/>
            <w:vMerge w:val="continue"/>
            <w:tcBorders>
              <w:tl2br w:val="nil"/>
              <w:tr2bl w:val="nil"/>
            </w:tcBorders>
            <w:vAlign w:val="top"/>
          </w:tcPr>
          <w:p w14:paraId="2CE79DC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1362" w:type="dxa"/>
            <w:tcBorders>
              <w:tl2br w:val="nil"/>
              <w:tr2bl w:val="nil"/>
            </w:tcBorders>
            <w:vAlign w:val="top"/>
          </w:tcPr>
          <w:p w14:paraId="192E432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≥0.97</w:t>
            </w:r>
          </w:p>
        </w:tc>
        <w:tc>
          <w:tcPr>
            <w:tcW w:w="704" w:type="dxa"/>
            <w:tcBorders>
              <w:tl2br w:val="nil"/>
              <w:tr2bl w:val="nil"/>
            </w:tcBorders>
            <w:vAlign w:val="top"/>
          </w:tcPr>
          <w:p w14:paraId="189C643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4C13ACA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负载率20%</w:t>
            </w:r>
          </w:p>
        </w:tc>
      </w:tr>
      <w:tr w14:paraId="313A1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679195F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w:t>
            </w:r>
          </w:p>
        </w:tc>
        <w:tc>
          <w:tcPr>
            <w:tcW w:w="1891" w:type="dxa"/>
            <w:tcBorders>
              <w:tl2br w:val="nil"/>
              <w:tr2bl w:val="nil"/>
            </w:tcBorders>
            <w:vAlign w:val="top"/>
          </w:tcPr>
          <w:p w14:paraId="61E34FA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效率</w:t>
            </w:r>
          </w:p>
        </w:tc>
        <w:tc>
          <w:tcPr>
            <w:tcW w:w="1362" w:type="dxa"/>
            <w:tcBorders>
              <w:tl2br w:val="nil"/>
              <w:tr2bl w:val="nil"/>
            </w:tcBorders>
            <w:vAlign w:val="top"/>
          </w:tcPr>
          <w:p w14:paraId="69EFF91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89</w:t>
            </w:r>
            <w:r>
              <w:rPr>
                <w:rFonts w:hint="eastAsia" w:ascii="仿宋" w:hAnsi="仿宋" w:eastAsia="仿宋" w:cs="仿宋"/>
                <w:kern w:val="0"/>
                <w:sz w:val="22"/>
                <w:szCs w:val="22"/>
                <w:highlight w:val="none"/>
              </w:rPr>
              <w:t>%</w:t>
            </w:r>
          </w:p>
        </w:tc>
        <w:tc>
          <w:tcPr>
            <w:tcW w:w="704" w:type="dxa"/>
            <w:tcBorders>
              <w:tl2br w:val="nil"/>
              <w:tr2bl w:val="nil"/>
            </w:tcBorders>
            <w:vAlign w:val="top"/>
          </w:tcPr>
          <w:p w14:paraId="55E52E3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41AB8ECD">
            <w:pPr>
              <w:keepNext w:val="0"/>
              <w:keepLines w:val="0"/>
              <w:pageBreakBefore w:val="0"/>
              <w:widowControl/>
              <w:suppressLineNumbers w:val="0"/>
              <w:kinsoku/>
              <w:wordWrap/>
              <w:overflowPunct/>
              <w:topLinePunct w:val="0"/>
              <w:autoSpaceDE/>
              <w:autoSpaceDN/>
              <w:bidi w:val="0"/>
              <w:adjustRightInd/>
              <w:snapToGrid/>
              <w:spacing w:line="240" w:lineRule="auto"/>
              <w:ind w:firstLine="220" w:firstLineChars="100"/>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220Vac/50Hz输入，48V输出，满载</w:t>
            </w:r>
          </w:p>
        </w:tc>
      </w:tr>
      <w:tr w14:paraId="617AD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221" w:type="dxa"/>
            <w:gridSpan w:val="5"/>
            <w:tcBorders>
              <w:tl2br w:val="nil"/>
              <w:tr2bl w:val="nil"/>
            </w:tcBorders>
            <w:vAlign w:val="top"/>
          </w:tcPr>
          <w:p w14:paraId="0F29625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输出特性</w:t>
            </w:r>
          </w:p>
        </w:tc>
      </w:tr>
      <w:tr w14:paraId="4FB42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43545A4F">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序号</w:t>
            </w:r>
          </w:p>
        </w:tc>
        <w:tc>
          <w:tcPr>
            <w:tcW w:w="1891" w:type="dxa"/>
            <w:tcBorders>
              <w:tl2br w:val="nil"/>
              <w:tr2bl w:val="nil"/>
            </w:tcBorders>
            <w:vAlign w:val="top"/>
          </w:tcPr>
          <w:p w14:paraId="7A3278E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项目</w:t>
            </w:r>
          </w:p>
        </w:tc>
        <w:tc>
          <w:tcPr>
            <w:tcW w:w="1362" w:type="dxa"/>
            <w:tcBorders>
              <w:tl2br w:val="nil"/>
              <w:tr2bl w:val="nil"/>
            </w:tcBorders>
            <w:vAlign w:val="top"/>
          </w:tcPr>
          <w:p w14:paraId="4681A21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技术要求</w:t>
            </w:r>
          </w:p>
        </w:tc>
        <w:tc>
          <w:tcPr>
            <w:tcW w:w="704" w:type="dxa"/>
            <w:tcBorders>
              <w:tl2br w:val="nil"/>
              <w:tr2bl w:val="nil"/>
            </w:tcBorders>
            <w:vAlign w:val="top"/>
          </w:tcPr>
          <w:p w14:paraId="3272B0A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w:t>
            </w:r>
          </w:p>
        </w:tc>
        <w:tc>
          <w:tcPr>
            <w:tcW w:w="4423" w:type="dxa"/>
            <w:tcBorders>
              <w:tl2br w:val="nil"/>
              <w:tr2bl w:val="nil"/>
            </w:tcBorders>
            <w:vAlign w:val="top"/>
          </w:tcPr>
          <w:p w14:paraId="499E837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备注</w:t>
            </w:r>
          </w:p>
        </w:tc>
      </w:tr>
      <w:tr w14:paraId="3E462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1D1413B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w:t>
            </w:r>
          </w:p>
        </w:tc>
        <w:tc>
          <w:tcPr>
            <w:tcW w:w="1891" w:type="dxa"/>
            <w:tcBorders>
              <w:tl2br w:val="nil"/>
              <w:tr2bl w:val="nil"/>
            </w:tcBorders>
            <w:vAlign w:val="top"/>
          </w:tcPr>
          <w:p w14:paraId="0517A3E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输出额定电压</w:t>
            </w:r>
          </w:p>
        </w:tc>
        <w:tc>
          <w:tcPr>
            <w:tcW w:w="1362" w:type="dxa"/>
            <w:tcBorders>
              <w:tl2br w:val="nil"/>
              <w:tr2bl w:val="nil"/>
            </w:tcBorders>
            <w:vAlign w:val="top"/>
          </w:tcPr>
          <w:p w14:paraId="696E136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rPr>
              <w:t>48</w:t>
            </w:r>
            <w:r>
              <w:rPr>
                <w:rFonts w:hint="eastAsia" w:ascii="仿宋" w:hAnsi="仿宋" w:eastAsia="仿宋" w:cs="仿宋"/>
                <w:kern w:val="0"/>
                <w:sz w:val="22"/>
                <w:szCs w:val="22"/>
                <w:highlight w:val="none"/>
                <w:lang w:val="en-US" w:eastAsia="zh-CN"/>
              </w:rPr>
              <w:t>-88</w:t>
            </w:r>
          </w:p>
        </w:tc>
        <w:tc>
          <w:tcPr>
            <w:tcW w:w="704" w:type="dxa"/>
            <w:tcBorders>
              <w:tl2br w:val="nil"/>
              <w:tr2bl w:val="nil"/>
            </w:tcBorders>
            <w:vAlign w:val="top"/>
          </w:tcPr>
          <w:p w14:paraId="7180F0F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Vdc</w:t>
            </w:r>
          </w:p>
        </w:tc>
        <w:tc>
          <w:tcPr>
            <w:tcW w:w="4423" w:type="dxa"/>
            <w:tcBorders>
              <w:tl2br w:val="nil"/>
              <w:tr2bl w:val="nil"/>
            </w:tcBorders>
            <w:vAlign w:val="top"/>
          </w:tcPr>
          <w:p w14:paraId="58B9E9CD">
            <w:pPr>
              <w:keepNext w:val="0"/>
              <w:keepLines w:val="0"/>
              <w:pageBreakBefore w:val="0"/>
              <w:widowControl/>
              <w:suppressLineNumbers w:val="0"/>
              <w:kinsoku/>
              <w:wordWrap/>
              <w:overflowPunct/>
              <w:topLinePunct w:val="0"/>
              <w:autoSpaceDE/>
              <w:autoSpaceDN/>
              <w:bidi w:val="0"/>
              <w:adjustRightInd/>
              <w:snapToGrid/>
              <w:spacing w:line="240" w:lineRule="auto"/>
              <w:ind w:firstLine="220" w:firstLineChars="100"/>
              <w:jc w:val="center"/>
              <w:textAlignment w:val="auto"/>
              <w:outlineLvl w:val="9"/>
              <w:rPr>
                <w:rFonts w:hint="eastAsia" w:ascii="仿宋" w:hAnsi="仿宋" w:eastAsia="仿宋" w:cs="仿宋"/>
                <w:kern w:val="0"/>
                <w:sz w:val="22"/>
                <w:szCs w:val="22"/>
                <w:highlight w:val="none"/>
              </w:rPr>
            </w:pPr>
          </w:p>
        </w:tc>
      </w:tr>
      <w:tr w14:paraId="67281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3844E0E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p>
        </w:tc>
        <w:tc>
          <w:tcPr>
            <w:tcW w:w="1891" w:type="dxa"/>
            <w:tcBorders>
              <w:tl2br w:val="nil"/>
              <w:tr2bl w:val="nil"/>
            </w:tcBorders>
            <w:vAlign w:val="top"/>
          </w:tcPr>
          <w:p w14:paraId="1F93197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最大电流</w:t>
            </w:r>
          </w:p>
        </w:tc>
        <w:tc>
          <w:tcPr>
            <w:tcW w:w="1362" w:type="dxa"/>
            <w:tcBorders>
              <w:tl2br w:val="nil"/>
              <w:tr2bl w:val="nil"/>
            </w:tcBorders>
            <w:vAlign w:val="top"/>
          </w:tcPr>
          <w:p w14:paraId="3CC139D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15</w:t>
            </w:r>
          </w:p>
        </w:tc>
        <w:tc>
          <w:tcPr>
            <w:tcW w:w="704" w:type="dxa"/>
            <w:tcBorders>
              <w:tl2br w:val="nil"/>
              <w:tr2bl w:val="nil"/>
            </w:tcBorders>
            <w:vAlign w:val="top"/>
          </w:tcPr>
          <w:p w14:paraId="1AC3BDA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A</w:t>
            </w:r>
          </w:p>
        </w:tc>
        <w:tc>
          <w:tcPr>
            <w:tcW w:w="4423" w:type="dxa"/>
            <w:tcBorders>
              <w:tl2br w:val="nil"/>
              <w:tr2bl w:val="nil"/>
            </w:tcBorders>
            <w:vAlign w:val="top"/>
          </w:tcPr>
          <w:p w14:paraId="71BDBAB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15230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1DE8017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w:t>
            </w:r>
          </w:p>
        </w:tc>
        <w:tc>
          <w:tcPr>
            <w:tcW w:w="1891" w:type="dxa"/>
            <w:tcBorders>
              <w:tl2br w:val="nil"/>
              <w:tr2bl w:val="nil"/>
            </w:tcBorders>
            <w:vAlign w:val="top"/>
          </w:tcPr>
          <w:p w14:paraId="6D58A77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最大输出功率</w:t>
            </w:r>
          </w:p>
        </w:tc>
        <w:tc>
          <w:tcPr>
            <w:tcW w:w="1362" w:type="dxa"/>
            <w:tcBorders>
              <w:tl2br w:val="nil"/>
              <w:tr2bl w:val="nil"/>
            </w:tcBorders>
            <w:vAlign w:val="top"/>
          </w:tcPr>
          <w:p w14:paraId="1EC35B5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800</w:t>
            </w:r>
          </w:p>
        </w:tc>
        <w:tc>
          <w:tcPr>
            <w:tcW w:w="704" w:type="dxa"/>
            <w:tcBorders>
              <w:tl2br w:val="nil"/>
              <w:tr2bl w:val="nil"/>
            </w:tcBorders>
            <w:vAlign w:val="top"/>
          </w:tcPr>
          <w:p w14:paraId="3A11D7A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w</w:t>
            </w:r>
          </w:p>
        </w:tc>
        <w:tc>
          <w:tcPr>
            <w:tcW w:w="4423" w:type="dxa"/>
            <w:tcBorders>
              <w:tl2br w:val="nil"/>
              <w:tr2bl w:val="nil"/>
            </w:tcBorders>
            <w:vAlign w:val="top"/>
          </w:tcPr>
          <w:p w14:paraId="0C0CBC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电源最大功率800W，最大电流15A。</w:t>
            </w:r>
          </w:p>
        </w:tc>
      </w:tr>
      <w:tr w14:paraId="7F77C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5ACC635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w:t>
            </w:r>
          </w:p>
        </w:tc>
        <w:tc>
          <w:tcPr>
            <w:tcW w:w="1891" w:type="dxa"/>
            <w:tcBorders>
              <w:tl2br w:val="nil"/>
              <w:tr2bl w:val="nil"/>
            </w:tcBorders>
            <w:vAlign w:val="top"/>
          </w:tcPr>
          <w:p w14:paraId="52EB7D6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输出最小电流</w:t>
            </w:r>
          </w:p>
        </w:tc>
        <w:tc>
          <w:tcPr>
            <w:tcW w:w="1362" w:type="dxa"/>
            <w:tcBorders>
              <w:tl2br w:val="nil"/>
              <w:tr2bl w:val="nil"/>
            </w:tcBorders>
            <w:vAlign w:val="top"/>
          </w:tcPr>
          <w:p w14:paraId="1D38025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w:t>
            </w:r>
          </w:p>
        </w:tc>
        <w:tc>
          <w:tcPr>
            <w:tcW w:w="704" w:type="dxa"/>
            <w:tcBorders>
              <w:tl2br w:val="nil"/>
              <w:tr2bl w:val="nil"/>
            </w:tcBorders>
            <w:vAlign w:val="top"/>
          </w:tcPr>
          <w:p w14:paraId="5099E98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A</w:t>
            </w:r>
          </w:p>
        </w:tc>
        <w:tc>
          <w:tcPr>
            <w:tcW w:w="4423" w:type="dxa"/>
            <w:tcBorders>
              <w:tl2br w:val="nil"/>
              <w:tr2bl w:val="nil"/>
            </w:tcBorders>
            <w:vAlign w:val="top"/>
          </w:tcPr>
          <w:p w14:paraId="57BAC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若电流持续小于 2A，充电器120分钟后自动关机。</w:t>
            </w:r>
          </w:p>
        </w:tc>
      </w:tr>
      <w:tr w14:paraId="2FD8B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5ABEA20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w:t>
            </w:r>
          </w:p>
        </w:tc>
        <w:tc>
          <w:tcPr>
            <w:tcW w:w="1891" w:type="dxa"/>
            <w:tcBorders>
              <w:tl2br w:val="nil"/>
              <w:tr2bl w:val="nil"/>
            </w:tcBorders>
            <w:vAlign w:val="top"/>
          </w:tcPr>
          <w:p w14:paraId="30CBD78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稳压精度</w:t>
            </w:r>
          </w:p>
        </w:tc>
        <w:tc>
          <w:tcPr>
            <w:tcW w:w="1362" w:type="dxa"/>
            <w:tcBorders>
              <w:tl2br w:val="nil"/>
              <w:tr2bl w:val="nil"/>
            </w:tcBorders>
            <w:vAlign w:val="top"/>
          </w:tcPr>
          <w:p w14:paraId="7700F83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土0.6V</w:t>
            </w:r>
          </w:p>
        </w:tc>
        <w:tc>
          <w:tcPr>
            <w:tcW w:w="704" w:type="dxa"/>
            <w:tcBorders>
              <w:tl2br w:val="nil"/>
              <w:tr2bl w:val="nil"/>
            </w:tcBorders>
            <w:vAlign w:val="top"/>
          </w:tcPr>
          <w:p w14:paraId="3BED71C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77BA191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4326B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018EBA3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w:t>
            </w:r>
          </w:p>
        </w:tc>
        <w:tc>
          <w:tcPr>
            <w:tcW w:w="1891" w:type="dxa"/>
            <w:tcBorders>
              <w:tl2br w:val="nil"/>
              <w:tr2bl w:val="nil"/>
            </w:tcBorders>
            <w:vAlign w:val="top"/>
          </w:tcPr>
          <w:p w14:paraId="1D9D7CD6">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开、关机过冲幅度</w:t>
            </w:r>
          </w:p>
        </w:tc>
        <w:tc>
          <w:tcPr>
            <w:tcW w:w="1362" w:type="dxa"/>
            <w:tcBorders>
              <w:tl2br w:val="nil"/>
              <w:tr2bl w:val="nil"/>
            </w:tcBorders>
            <w:vAlign w:val="top"/>
          </w:tcPr>
          <w:p w14:paraId="4C4A60C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土5%</w:t>
            </w:r>
          </w:p>
        </w:tc>
        <w:tc>
          <w:tcPr>
            <w:tcW w:w="704" w:type="dxa"/>
            <w:tcBorders>
              <w:tl2br w:val="nil"/>
              <w:tr2bl w:val="nil"/>
            </w:tcBorders>
            <w:vAlign w:val="top"/>
          </w:tcPr>
          <w:p w14:paraId="695D5D4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3880F4D9">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2F737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center"/>
          </w:tcPr>
          <w:p w14:paraId="45B3D12A">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w:t>
            </w:r>
          </w:p>
        </w:tc>
        <w:tc>
          <w:tcPr>
            <w:tcW w:w="1891" w:type="dxa"/>
            <w:tcBorders>
              <w:tl2br w:val="nil"/>
              <w:tr2bl w:val="nil"/>
            </w:tcBorders>
            <w:vAlign w:val="center"/>
          </w:tcPr>
          <w:p w14:paraId="0F46BD3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温度系数</w:t>
            </w:r>
          </w:p>
        </w:tc>
        <w:tc>
          <w:tcPr>
            <w:tcW w:w="1362" w:type="dxa"/>
            <w:tcBorders>
              <w:tl2br w:val="nil"/>
              <w:tr2bl w:val="nil"/>
            </w:tcBorders>
            <w:vAlign w:val="center"/>
          </w:tcPr>
          <w:p w14:paraId="26E1D4D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±0.02%</w:t>
            </w:r>
          </w:p>
        </w:tc>
        <w:tc>
          <w:tcPr>
            <w:tcW w:w="704" w:type="dxa"/>
            <w:tcBorders>
              <w:tl2br w:val="nil"/>
              <w:tr2bl w:val="nil"/>
            </w:tcBorders>
            <w:vAlign w:val="center"/>
          </w:tcPr>
          <w:p w14:paraId="4B0A213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521F9AD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整流模块的相对于20℃环境温度情况下，温度每变化1℃时的直流输出电压与输出电压整定值的差值不超过输出电压整定值的比值</w:t>
            </w:r>
            <w:r>
              <w:rPr>
                <w:rFonts w:hint="eastAsia" w:ascii="仿宋" w:hAnsi="仿宋" w:eastAsia="仿宋" w:cs="仿宋"/>
                <w:kern w:val="0"/>
                <w:sz w:val="22"/>
                <w:szCs w:val="22"/>
                <w:highlight w:val="none"/>
                <w:lang w:eastAsia="zh-CN"/>
              </w:rPr>
              <w:t>。</w:t>
            </w:r>
          </w:p>
        </w:tc>
      </w:tr>
      <w:tr w14:paraId="1667E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12C62E91">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w:t>
            </w:r>
          </w:p>
        </w:tc>
        <w:tc>
          <w:tcPr>
            <w:tcW w:w="1891" w:type="dxa"/>
            <w:tcBorders>
              <w:tl2br w:val="nil"/>
              <w:tr2bl w:val="nil"/>
            </w:tcBorders>
            <w:vAlign w:val="top"/>
          </w:tcPr>
          <w:p w14:paraId="52A98161">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软启动时间</w:t>
            </w:r>
          </w:p>
        </w:tc>
        <w:tc>
          <w:tcPr>
            <w:tcW w:w="1362" w:type="dxa"/>
            <w:tcBorders>
              <w:tl2br w:val="nil"/>
              <w:tr2bl w:val="nil"/>
            </w:tcBorders>
            <w:vAlign w:val="top"/>
          </w:tcPr>
          <w:p w14:paraId="2BF7677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5</w:t>
            </w:r>
          </w:p>
        </w:tc>
        <w:tc>
          <w:tcPr>
            <w:tcW w:w="704" w:type="dxa"/>
            <w:tcBorders>
              <w:tl2br w:val="nil"/>
              <w:tr2bl w:val="nil"/>
            </w:tcBorders>
            <w:vAlign w:val="top"/>
          </w:tcPr>
          <w:p w14:paraId="058D86CD">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S</w:t>
            </w:r>
          </w:p>
        </w:tc>
        <w:tc>
          <w:tcPr>
            <w:tcW w:w="4423" w:type="dxa"/>
            <w:tcBorders>
              <w:tl2br w:val="nil"/>
              <w:tr2bl w:val="nil"/>
            </w:tcBorders>
            <w:vAlign w:val="top"/>
          </w:tcPr>
          <w:p w14:paraId="26552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发开机指令后，电源起机时间。</w:t>
            </w:r>
          </w:p>
        </w:tc>
      </w:tr>
      <w:tr w14:paraId="488CD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1" w:type="dxa"/>
            <w:tcBorders>
              <w:tl2br w:val="nil"/>
              <w:tr2bl w:val="nil"/>
            </w:tcBorders>
            <w:vAlign w:val="top"/>
          </w:tcPr>
          <w:p w14:paraId="32DFDD35">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w:t>
            </w:r>
          </w:p>
        </w:tc>
        <w:tc>
          <w:tcPr>
            <w:tcW w:w="1891" w:type="dxa"/>
            <w:tcBorders>
              <w:tl2br w:val="nil"/>
              <w:tr2bl w:val="nil"/>
            </w:tcBorders>
            <w:vAlign w:val="top"/>
          </w:tcPr>
          <w:p w14:paraId="013279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噪声+纹波（峰值）</w:t>
            </w:r>
          </w:p>
        </w:tc>
        <w:tc>
          <w:tcPr>
            <w:tcW w:w="1362" w:type="dxa"/>
            <w:tcBorders>
              <w:tl2br w:val="nil"/>
              <w:tr2bl w:val="nil"/>
            </w:tcBorders>
            <w:vAlign w:val="top"/>
          </w:tcPr>
          <w:p w14:paraId="238023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2%Vout</w:t>
            </w:r>
          </w:p>
        </w:tc>
        <w:tc>
          <w:tcPr>
            <w:tcW w:w="704" w:type="dxa"/>
            <w:tcBorders>
              <w:tl2br w:val="nil"/>
              <w:tr2bl w:val="nil"/>
            </w:tcBorders>
            <w:vAlign w:val="top"/>
          </w:tcPr>
          <w:p w14:paraId="4292E0E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093BC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lang w:eastAsia="zh-CN"/>
              </w:rPr>
            </w:pPr>
            <w:r>
              <w:rPr>
                <w:rFonts w:hint="eastAsia" w:ascii="仿宋" w:hAnsi="仿宋" w:eastAsia="仿宋" w:cs="仿宋"/>
                <w:color w:val="000000"/>
                <w:kern w:val="0"/>
                <w:sz w:val="22"/>
                <w:szCs w:val="22"/>
                <w:highlight w:val="none"/>
                <w:lang w:val="en-US" w:eastAsia="zh-CN" w:bidi="ar"/>
              </w:rPr>
              <w:t>恒流状态下，纹波噪声最大不超过输出电压的2%。</w:t>
            </w:r>
          </w:p>
        </w:tc>
      </w:tr>
      <w:tr w14:paraId="1AA8C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3C451D8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w:t>
            </w:r>
          </w:p>
        </w:tc>
        <w:tc>
          <w:tcPr>
            <w:tcW w:w="1891" w:type="dxa"/>
            <w:tcBorders>
              <w:tl2br w:val="nil"/>
              <w:tr2bl w:val="nil"/>
            </w:tcBorders>
            <w:vAlign w:val="top"/>
          </w:tcPr>
          <w:p w14:paraId="7601FD60">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休眠功耗</w:t>
            </w:r>
          </w:p>
        </w:tc>
        <w:tc>
          <w:tcPr>
            <w:tcW w:w="1362" w:type="dxa"/>
            <w:tcBorders>
              <w:tl2br w:val="nil"/>
              <w:tr2bl w:val="nil"/>
            </w:tcBorders>
            <w:vAlign w:val="top"/>
          </w:tcPr>
          <w:p w14:paraId="09EF077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≤5W</w:t>
            </w:r>
          </w:p>
        </w:tc>
        <w:tc>
          <w:tcPr>
            <w:tcW w:w="704" w:type="dxa"/>
            <w:tcBorders>
              <w:tl2br w:val="nil"/>
              <w:tr2bl w:val="nil"/>
            </w:tcBorders>
            <w:vAlign w:val="top"/>
          </w:tcPr>
          <w:p w14:paraId="64B19AD6">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c>
          <w:tcPr>
            <w:tcW w:w="4423" w:type="dxa"/>
            <w:tcBorders>
              <w:tl2br w:val="nil"/>
              <w:tr2bl w:val="nil"/>
            </w:tcBorders>
            <w:vAlign w:val="top"/>
          </w:tcPr>
          <w:p w14:paraId="1D8086DE">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5C7B1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41" w:type="dxa"/>
            <w:tcBorders>
              <w:tl2br w:val="nil"/>
              <w:tr2bl w:val="nil"/>
            </w:tcBorders>
            <w:vAlign w:val="top"/>
          </w:tcPr>
          <w:p w14:paraId="4A75C96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11</w:t>
            </w:r>
          </w:p>
        </w:tc>
        <w:tc>
          <w:tcPr>
            <w:tcW w:w="1891" w:type="dxa"/>
            <w:tcBorders>
              <w:tl2br w:val="nil"/>
              <w:tr2bl w:val="nil"/>
            </w:tcBorders>
            <w:vAlign w:val="top"/>
          </w:tcPr>
          <w:p w14:paraId="495566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电压精度</w:t>
            </w:r>
          </w:p>
        </w:tc>
        <w:tc>
          <w:tcPr>
            <w:tcW w:w="1362" w:type="dxa"/>
            <w:tcBorders>
              <w:tl2br w:val="nil"/>
              <w:tr2bl w:val="nil"/>
            </w:tcBorders>
            <w:vAlign w:val="top"/>
          </w:tcPr>
          <w:p w14:paraId="5AD88BC4">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w:t>
            </w:r>
          </w:p>
        </w:tc>
        <w:tc>
          <w:tcPr>
            <w:tcW w:w="704" w:type="dxa"/>
            <w:tcBorders>
              <w:tl2br w:val="nil"/>
              <w:tr2bl w:val="nil"/>
            </w:tcBorders>
            <w:vAlign w:val="top"/>
          </w:tcPr>
          <w:p w14:paraId="5DC2EB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w:t>
            </w:r>
          </w:p>
        </w:tc>
        <w:tc>
          <w:tcPr>
            <w:tcW w:w="4423" w:type="dxa"/>
            <w:tcBorders>
              <w:tl2br w:val="nil"/>
              <w:tr2bl w:val="nil"/>
            </w:tcBorders>
            <w:vAlign w:val="top"/>
          </w:tcPr>
          <w:p w14:paraId="45D0B997">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rPr>
            </w:pPr>
          </w:p>
        </w:tc>
      </w:tr>
      <w:tr w14:paraId="0CFD9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1" w:type="dxa"/>
            <w:tcBorders>
              <w:tl2br w:val="nil"/>
              <w:tr2bl w:val="nil"/>
            </w:tcBorders>
            <w:vAlign w:val="top"/>
          </w:tcPr>
          <w:p w14:paraId="5941E382">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12</w:t>
            </w:r>
          </w:p>
        </w:tc>
        <w:tc>
          <w:tcPr>
            <w:tcW w:w="1891" w:type="dxa"/>
            <w:tcBorders>
              <w:tl2br w:val="nil"/>
              <w:tr2bl w:val="nil"/>
            </w:tcBorders>
            <w:vAlign w:val="top"/>
          </w:tcPr>
          <w:p w14:paraId="28A17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恒流精度</w:t>
            </w:r>
          </w:p>
        </w:tc>
        <w:tc>
          <w:tcPr>
            <w:tcW w:w="1362" w:type="dxa"/>
            <w:tcBorders>
              <w:tl2br w:val="nil"/>
              <w:tr2bl w:val="nil"/>
            </w:tcBorders>
            <w:vAlign w:val="top"/>
          </w:tcPr>
          <w:p w14:paraId="31F7417B">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5</w:t>
            </w:r>
          </w:p>
        </w:tc>
        <w:tc>
          <w:tcPr>
            <w:tcW w:w="704" w:type="dxa"/>
            <w:tcBorders>
              <w:tl2br w:val="nil"/>
              <w:tr2bl w:val="nil"/>
            </w:tcBorders>
            <w:vAlign w:val="top"/>
          </w:tcPr>
          <w:p w14:paraId="156A74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w:t>
            </w:r>
          </w:p>
        </w:tc>
        <w:tc>
          <w:tcPr>
            <w:tcW w:w="4423" w:type="dxa"/>
            <w:tcBorders>
              <w:tl2br w:val="nil"/>
              <w:tr2bl w:val="nil"/>
            </w:tcBorders>
            <w:vAlign w:val="top"/>
          </w:tcPr>
          <w:p w14:paraId="0AB2A7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lang w:val="en-US"/>
              </w:rPr>
            </w:pPr>
            <w:r>
              <w:rPr>
                <w:rFonts w:hint="eastAsia" w:ascii="仿宋" w:hAnsi="仿宋" w:eastAsia="仿宋" w:cs="仿宋"/>
                <w:color w:val="000000"/>
                <w:kern w:val="0"/>
                <w:sz w:val="22"/>
                <w:szCs w:val="22"/>
                <w:highlight w:val="none"/>
                <w:lang w:val="en-US" w:eastAsia="zh-CN" w:bidi="ar"/>
              </w:rPr>
              <w:t>额定48V输出</w:t>
            </w:r>
          </w:p>
        </w:tc>
      </w:tr>
      <w:tr w14:paraId="59917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1" w:type="dxa"/>
            <w:tcBorders>
              <w:tl2br w:val="nil"/>
              <w:tr2bl w:val="nil"/>
            </w:tcBorders>
            <w:vAlign w:val="top"/>
          </w:tcPr>
          <w:p w14:paraId="23F8821C">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13</w:t>
            </w:r>
          </w:p>
        </w:tc>
        <w:tc>
          <w:tcPr>
            <w:tcW w:w="1891" w:type="dxa"/>
            <w:tcBorders>
              <w:tl2br w:val="nil"/>
              <w:tr2bl w:val="nil"/>
            </w:tcBorders>
            <w:vAlign w:val="top"/>
          </w:tcPr>
          <w:p w14:paraId="54DB09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p>
          <w:p w14:paraId="179AC7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过冲电压</w:t>
            </w:r>
          </w:p>
        </w:tc>
        <w:tc>
          <w:tcPr>
            <w:tcW w:w="1362" w:type="dxa"/>
            <w:tcBorders>
              <w:tl2br w:val="nil"/>
              <w:tr2bl w:val="nil"/>
            </w:tcBorders>
            <w:vAlign w:val="top"/>
          </w:tcPr>
          <w:p w14:paraId="2DE3F2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p>
          <w:p w14:paraId="2F4B6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Vout+6.8V</w:t>
            </w:r>
          </w:p>
        </w:tc>
        <w:tc>
          <w:tcPr>
            <w:tcW w:w="704" w:type="dxa"/>
            <w:tcBorders>
              <w:tl2br w:val="nil"/>
              <w:tr2bl w:val="nil"/>
            </w:tcBorders>
            <w:vAlign w:val="top"/>
          </w:tcPr>
          <w:p w14:paraId="240462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p>
          <w:p w14:paraId="2A920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V</w:t>
            </w:r>
          </w:p>
        </w:tc>
        <w:tc>
          <w:tcPr>
            <w:tcW w:w="4423" w:type="dxa"/>
            <w:tcBorders>
              <w:tl2br w:val="nil"/>
              <w:tr2bl w:val="nil"/>
            </w:tcBorders>
            <w:vAlign w:val="top"/>
          </w:tcPr>
          <w:p w14:paraId="5A171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lang w:val="en-US" w:eastAsia="zh-CN" w:bidi="ar"/>
              </w:rPr>
              <w:t>开关机或加卸载时，输出最大过冲</w:t>
            </w:r>
          </w:p>
          <w:p w14:paraId="6FD104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电压不超过 6.8V输出电压。</w:t>
            </w:r>
          </w:p>
        </w:tc>
      </w:tr>
      <w:tr w14:paraId="47621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1" w:type="dxa"/>
            <w:tcBorders>
              <w:tl2br w:val="nil"/>
              <w:tr2bl w:val="nil"/>
            </w:tcBorders>
            <w:vAlign w:val="top"/>
          </w:tcPr>
          <w:p w14:paraId="731633E3">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color w:val="000000"/>
                <w:kern w:val="0"/>
                <w:sz w:val="22"/>
                <w:szCs w:val="22"/>
                <w:highlight w:val="none"/>
                <w:lang w:val="en-US" w:eastAsia="zh-CN" w:bidi="ar"/>
              </w:rPr>
              <w:t>14</w:t>
            </w:r>
          </w:p>
        </w:tc>
        <w:tc>
          <w:tcPr>
            <w:tcW w:w="1891" w:type="dxa"/>
            <w:tcBorders>
              <w:tl2br w:val="nil"/>
              <w:tr2bl w:val="nil"/>
            </w:tcBorders>
            <w:vAlign w:val="top"/>
          </w:tcPr>
          <w:p w14:paraId="3200E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过冲电流</w:t>
            </w:r>
          </w:p>
        </w:tc>
        <w:tc>
          <w:tcPr>
            <w:tcW w:w="1362" w:type="dxa"/>
            <w:tcBorders>
              <w:tl2br w:val="nil"/>
              <w:tr2bl w:val="nil"/>
            </w:tcBorders>
            <w:vAlign w:val="top"/>
          </w:tcPr>
          <w:p w14:paraId="2668AD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20%Iout</w:t>
            </w:r>
          </w:p>
        </w:tc>
        <w:tc>
          <w:tcPr>
            <w:tcW w:w="704" w:type="dxa"/>
            <w:tcBorders>
              <w:tl2br w:val="nil"/>
              <w:tr2bl w:val="nil"/>
            </w:tcBorders>
            <w:vAlign w:val="top"/>
          </w:tcPr>
          <w:p w14:paraId="16FDA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A</w:t>
            </w:r>
          </w:p>
        </w:tc>
        <w:tc>
          <w:tcPr>
            <w:tcW w:w="4423" w:type="dxa"/>
            <w:tcBorders>
              <w:tl2br w:val="nil"/>
              <w:tr2bl w:val="nil"/>
            </w:tcBorders>
            <w:vAlign w:val="top"/>
          </w:tcPr>
          <w:p w14:paraId="6CAF50E4">
            <w:pPr>
              <w:keepNext w:val="0"/>
              <w:keepLines w:val="0"/>
              <w:pageBreakBefore w:val="0"/>
              <w:widowControl/>
              <w:suppressLineNumbers w:val="0"/>
              <w:kinsoku/>
              <w:wordWrap/>
              <w:overflowPunct/>
              <w:topLinePunct w:val="0"/>
              <w:autoSpaceDE/>
              <w:autoSpaceDN/>
              <w:bidi w:val="0"/>
              <w:adjustRightInd/>
              <w:snapToGrid/>
              <w:spacing w:line="240" w:lineRule="auto"/>
              <w:ind w:firstLine="220" w:firstLineChars="100"/>
              <w:jc w:val="center"/>
              <w:textAlignment w:val="auto"/>
              <w:outlineLvl w:val="9"/>
              <w:rPr>
                <w:rFonts w:hint="eastAsia" w:ascii="仿宋" w:hAnsi="仿宋" w:eastAsia="仿宋" w:cs="仿宋"/>
                <w:kern w:val="0"/>
                <w:sz w:val="22"/>
                <w:szCs w:val="22"/>
                <w:highlight w:val="none"/>
              </w:rPr>
            </w:pPr>
            <w:r>
              <w:rPr>
                <w:rFonts w:hint="eastAsia" w:ascii="仿宋" w:hAnsi="仿宋" w:eastAsia="仿宋" w:cs="仿宋"/>
                <w:color w:val="000000"/>
                <w:kern w:val="0"/>
                <w:sz w:val="22"/>
                <w:szCs w:val="22"/>
                <w:highlight w:val="none"/>
                <w:lang w:val="en-US" w:eastAsia="zh-CN" w:bidi="ar"/>
              </w:rPr>
              <w:t>最大过冲电流不超过输出电流的20%</w:t>
            </w:r>
          </w:p>
        </w:tc>
      </w:tr>
      <w:tr w14:paraId="2F671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1" w:type="dxa"/>
            <w:tcBorders>
              <w:tl2br w:val="nil"/>
              <w:tr2bl w:val="nil"/>
            </w:tcBorders>
            <w:vAlign w:val="top"/>
          </w:tcPr>
          <w:p w14:paraId="6D2EBDA8">
            <w:pPr>
              <w:keepNext w:val="0"/>
              <w:keepLines w:val="0"/>
              <w:pageBreakBefore w:val="0"/>
              <w:kinsoku/>
              <w:wordWrap/>
              <w:overflowPunct/>
              <w:topLinePunct w:val="0"/>
              <w:autoSpaceDE/>
              <w:autoSpaceDN/>
              <w:bidi w:val="0"/>
              <w:adjustRightInd/>
              <w:snapToGrid/>
              <w:spacing w:before="163" w:after="163" w:line="240" w:lineRule="auto"/>
              <w:jc w:val="center"/>
              <w:textAlignment w:val="auto"/>
              <w:outlineLvl w:val="9"/>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15</w:t>
            </w:r>
          </w:p>
        </w:tc>
        <w:tc>
          <w:tcPr>
            <w:tcW w:w="1891" w:type="dxa"/>
            <w:tcBorders>
              <w:tl2br w:val="nil"/>
              <w:tr2bl w:val="nil"/>
            </w:tcBorders>
            <w:vAlign w:val="top"/>
          </w:tcPr>
          <w:p w14:paraId="54FD7A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噪音</w:t>
            </w:r>
          </w:p>
        </w:tc>
        <w:tc>
          <w:tcPr>
            <w:tcW w:w="1362" w:type="dxa"/>
            <w:tcBorders>
              <w:tl2br w:val="nil"/>
              <w:tr2bl w:val="nil"/>
            </w:tcBorders>
            <w:vAlign w:val="top"/>
          </w:tcPr>
          <w:p w14:paraId="72C4AE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60</w:t>
            </w:r>
          </w:p>
        </w:tc>
        <w:tc>
          <w:tcPr>
            <w:tcW w:w="704" w:type="dxa"/>
            <w:tcBorders>
              <w:tl2br w:val="nil"/>
              <w:tr2bl w:val="nil"/>
            </w:tcBorders>
            <w:vAlign w:val="top"/>
          </w:tcPr>
          <w:p w14:paraId="5079D4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dB</w:t>
            </w:r>
          </w:p>
        </w:tc>
        <w:tc>
          <w:tcPr>
            <w:tcW w:w="4423" w:type="dxa"/>
            <w:tcBorders>
              <w:tl2br w:val="nil"/>
              <w:tr2bl w:val="nil"/>
            </w:tcBorders>
            <w:vAlign w:val="top"/>
          </w:tcPr>
          <w:p w14:paraId="60FF5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距离设备1米范围</w:t>
            </w:r>
          </w:p>
        </w:tc>
      </w:tr>
    </w:tbl>
    <w:p w14:paraId="77DEB438">
      <w:pPr>
        <w:pageBreakBefore w:val="0"/>
        <w:kinsoku/>
        <w:wordWrap/>
        <w:overflowPunct/>
        <w:topLinePunct w:val="0"/>
        <w:bidi w:val="0"/>
        <w:snapToGrid/>
        <w:spacing w:line="240" w:lineRule="auto"/>
        <w:jc w:val="left"/>
        <w:rPr>
          <w:rFonts w:hint="eastAsia" w:ascii="仿宋" w:hAnsi="仿宋" w:eastAsia="仿宋" w:cs="仿宋"/>
          <w:sz w:val="22"/>
          <w:szCs w:val="22"/>
          <w:highlight w:val="none"/>
        </w:rPr>
      </w:pPr>
    </w:p>
    <w:p w14:paraId="5301F4FC">
      <w:pPr>
        <w:pageBreakBefore w:val="0"/>
        <w:kinsoku/>
        <w:overflowPunct/>
        <w:topLinePunct w:val="0"/>
        <w:bidi w:val="0"/>
        <w:spacing w:line="240" w:lineRule="auto"/>
        <w:rPr>
          <w:rFonts w:hint="eastAsia"/>
          <w:highlight w:val="none"/>
          <w:lang w:val="en-US" w:eastAsia="zh-CN"/>
        </w:rPr>
      </w:pPr>
      <w:r>
        <w:rPr>
          <w:sz w:val="28"/>
          <w:szCs w:val="22"/>
          <w:highlight w:val="none"/>
        </w:rPr>
        <w:drawing>
          <wp:inline distT="0" distB="0" distL="114300" distR="114300">
            <wp:extent cx="5271135" cy="2256155"/>
            <wp:effectExtent l="0" t="0" r="571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1135" cy="2256155"/>
                    </a:xfrm>
                    <a:prstGeom prst="rect">
                      <a:avLst/>
                    </a:prstGeom>
                    <a:noFill/>
                    <a:ln>
                      <a:noFill/>
                    </a:ln>
                  </pic:spPr>
                </pic:pic>
              </a:graphicData>
            </a:graphic>
          </wp:inline>
        </w:drawing>
      </w:r>
    </w:p>
    <w:p w14:paraId="502DBF05">
      <w:pPr>
        <w:pageBreakBefore w:val="0"/>
        <w:kinsoku/>
        <w:overflowPunct/>
        <w:topLinePunct w:val="0"/>
        <w:bidi w:val="0"/>
        <w:spacing w:line="240" w:lineRule="auto"/>
        <w:rPr>
          <w:rFonts w:hint="eastAsia"/>
          <w:highlight w:val="none"/>
          <w:lang w:val="en-US" w:eastAsia="zh-CN"/>
        </w:rPr>
      </w:pPr>
    </w:p>
    <w:p w14:paraId="5070C727">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充换电柜中的充电电源，通过有效的控制充电方案，保证电池寿命延长。</w:t>
      </w:r>
    </w:p>
    <w:p w14:paraId="557CDB95">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①恒流-限压充电阶段(T1):电池组已经历放电过程，连接有充电设备，此阶段中充电电流保持恒定，电压逐步升高，当至电池组端电压等于规定的电压值后，结束此阶段充电:</w:t>
      </w:r>
    </w:p>
    <w:p w14:paraId="225E801C">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②恒压-限流充电阶段(T2):经过T1阶段，连接有充电设备，此阶段电池充电电压不变充电电流自动减小，直至涓流充电至充电截止电流值(0.02LA)，判断电池充电完成，停止充电;</w:t>
      </w:r>
    </w:p>
    <w:p w14:paraId="197C506E">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③电池组开路静置阶段(T3):电池组经历T1、T2阶段后，电池组由BMS控制充电回路关闭，同时充电设备停止充电;</w:t>
      </w:r>
    </w:p>
    <w:p w14:paraId="05665B3C">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drawing>
          <wp:anchor distT="0" distB="0" distL="114300" distR="114300" simplePos="0" relativeHeight="251659264" behindDoc="0" locked="0" layoutInCell="1" allowOverlap="1">
            <wp:simplePos x="0" y="0"/>
            <wp:positionH relativeFrom="column">
              <wp:posOffset>74295</wp:posOffset>
            </wp:positionH>
            <wp:positionV relativeFrom="paragraph">
              <wp:posOffset>607060</wp:posOffset>
            </wp:positionV>
            <wp:extent cx="5217160" cy="2317115"/>
            <wp:effectExtent l="0" t="0" r="2540" b="6985"/>
            <wp:wrapTopAndBottom/>
            <wp:docPr id="5" name="图片 5" descr="fc2b39fb57d46ba7e2723f617778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c2b39fb57d46ba7e2723f61777860e"/>
                    <pic:cNvPicPr>
                      <a:picLocks noChangeAspect="1"/>
                    </pic:cNvPicPr>
                  </pic:nvPicPr>
                  <pic:blipFill>
                    <a:blip r:embed="rId7"/>
                    <a:stretch>
                      <a:fillRect/>
                    </a:stretch>
                  </pic:blipFill>
                  <pic:spPr>
                    <a:xfrm>
                      <a:off x="0" y="0"/>
                      <a:ext cx="5217160" cy="2317115"/>
                    </a:xfrm>
                    <a:prstGeom prst="rect">
                      <a:avLst/>
                    </a:prstGeom>
                  </pic:spPr>
                </pic:pic>
              </a:graphicData>
            </a:graphic>
          </wp:anchor>
        </w:drawing>
      </w:r>
      <w:r>
        <w:rPr>
          <w:rFonts w:hint="eastAsia" w:ascii="仿宋" w:hAnsi="仿宋" w:eastAsia="仿宋" w:cs="仿宋"/>
          <w:kern w:val="0"/>
          <w:sz w:val="24"/>
          <w:szCs w:val="24"/>
          <w:highlight w:val="none"/>
          <w:lang w:val="en-US" w:eastAsia="zh-CN"/>
        </w:rPr>
        <w:t>④间歇式补充电阶段(T4):连接有充电设备，容量低于该电池组充电完全容量的80%SOC时，BMS打开电池组充电回路，进入补充电状态，补充电方式也经历T1和T2两个阶段。</w:t>
      </w:r>
    </w:p>
    <w:p w14:paraId="77BE19D5">
      <w:pPr>
        <w:pageBreakBefore w:val="0"/>
        <w:kinsoku/>
        <w:wordWrap/>
        <w:overflowPunct/>
        <w:topLinePunct w:val="0"/>
        <w:bidi w:val="0"/>
        <w:snapToGrid/>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电气保护</w:t>
      </w:r>
    </w:p>
    <w:tbl>
      <w:tblPr>
        <w:tblStyle w:val="28"/>
        <w:tblW w:w="84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450"/>
      </w:tblGrid>
      <w:tr w14:paraId="096DC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84" w:type="dxa"/>
            <w:tcBorders>
              <w:tl2br w:val="nil"/>
              <w:tr2bl w:val="nil"/>
            </w:tcBorders>
          </w:tcPr>
          <w:p w14:paraId="1051B02E">
            <w:pPr>
              <w:keepNext w:val="0"/>
              <w:keepLines w:val="0"/>
              <w:pageBreakBefore w:val="0"/>
              <w:widowControl/>
              <w:suppressLineNumbers w:val="0"/>
              <w:kinsoku/>
              <w:wordWrap/>
              <w:overflowPunct/>
              <w:topLinePunct w:val="0"/>
              <w:bidi w:val="0"/>
              <w:snapToGrid/>
              <w:spacing w:line="240" w:lineRule="auto"/>
              <w:jc w:val="left"/>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保护功能</w:t>
            </w:r>
          </w:p>
        </w:tc>
        <w:tc>
          <w:tcPr>
            <w:tcW w:w="6450" w:type="dxa"/>
            <w:tcBorders>
              <w:tl2br w:val="nil"/>
              <w:tr2bl w:val="nil"/>
            </w:tcBorders>
          </w:tcPr>
          <w:p w14:paraId="5F5E2142">
            <w:pPr>
              <w:keepNext w:val="0"/>
              <w:keepLines w:val="0"/>
              <w:pageBreakBefore w:val="0"/>
              <w:widowControl/>
              <w:suppressLineNumbers w:val="0"/>
              <w:kinsoku/>
              <w:wordWrap/>
              <w:overflowPunct/>
              <w:topLinePunct w:val="0"/>
              <w:bidi w:val="0"/>
              <w:snapToGrid/>
              <w:spacing w:line="240" w:lineRule="auto"/>
              <w:jc w:val="left"/>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功能说明</w:t>
            </w:r>
          </w:p>
        </w:tc>
      </w:tr>
      <w:tr w14:paraId="395F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84" w:type="dxa"/>
            <w:tcBorders>
              <w:tl2br w:val="nil"/>
              <w:tr2bl w:val="nil"/>
            </w:tcBorders>
          </w:tcPr>
          <w:p w14:paraId="32661A0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过温保护</w:t>
            </w:r>
          </w:p>
        </w:tc>
        <w:tc>
          <w:tcPr>
            <w:tcW w:w="6450" w:type="dxa"/>
            <w:tcBorders>
              <w:tl2br w:val="nil"/>
              <w:tr2bl w:val="nil"/>
            </w:tcBorders>
          </w:tcPr>
          <w:p w14:paraId="18C4C7F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电源自动检测器件温度， 温度超高时电源会自动降额，温度降低后电源功率会恢复。</w:t>
            </w:r>
          </w:p>
        </w:tc>
      </w:tr>
      <w:tr w14:paraId="240F9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84" w:type="dxa"/>
            <w:tcBorders>
              <w:tl2br w:val="nil"/>
              <w:tr2bl w:val="nil"/>
            </w:tcBorders>
          </w:tcPr>
          <w:p w14:paraId="76BDA36A">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电池反接保护</w:t>
            </w:r>
          </w:p>
        </w:tc>
        <w:tc>
          <w:tcPr>
            <w:tcW w:w="6450" w:type="dxa"/>
            <w:tcBorders>
              <w:tl2br w:val="nil"/>
              <w:tr2bl w:val="nil"/>
            </w:tcBorders>
          </w:tcPr>
          <w:p w14:paraId="3DABCF5B">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电池反接，电源不开机。</w:t>
            </w:r>
          </w:p>
        </w:tc>
      </w:tr>
      <w:tr w14:paraId="6AF02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4" w:type="dxa"/>
            <w:tcBorders>
              <w:tl2br w:val="nil"/>
              <w:tr2bl w:val="nil"/>
            </w:tcBorders>
          </w:tcPr>
          <w:p w14:paraId="01FCDA8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通讯中断</w:t>
            </w:r>
          </w:p>
        </w:tc>
        <w:tc>
          <w:tcPr>
            <w:tcW w:w="6450" w:type="dxa"/>
            <w:tcBorders>
              <w:tl2br w:val="nil"/>
              <w:tr2bl w:val="nil"/>
            </w:tcBorders>
          </w:tcPr>
          <w:p w14:paraId="2C9E5F0F">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充电器120S内，没有收到主控命令，自动关机。</w:t>
            </w:r>
          </w:p>
        </w:tc>
      </w:tr>
      <w:tr w14:paraId="274CC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l2br w:val="nil"/>
              <w:tr2bl w:val="nil"/>
            </w:tcBorders>
          </w:tcPr>
          <w:p w14:paraId="6AB10DF8">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NTC 故障</w:t>
            </w:r>
          </w:p>
          <w:p w14:paraId="738B2D0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p>
        </w:tc>
        <w:tc>
          <w:tcPr>
            <w:tcW w:w="6450" w:type="dxa"/>
            <w:tcBorders>
              <w:tl2br w:val="nil"/>
              <w:tr2bl w:val="nil"/>
            </w:tcBorders>
          </w:tcPr>
          <w:p w14:paraId="531552B7">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 xml:space="preserve">NTC 故障 </w:t>
            </w:r>
          </w:p>
          <w:p w14:paraId="5AE23B1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 xml:space="preserve">1）温度&lt;-30℃（NTC 开路可能）， 持续超过 5 分钟关机。 </w:t>
            </w:r>
          </w:p>
          <w:p w14:paraId="4B38B6AF">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2）温度&gt;125℃（NTC 短路可能）， 15 秒关机。</w:t>
            </w:r>
          </w:p>
        </w:tc>
      </w:tr>
      <w:tr w14:paraId="0630B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84" w:type="dxa"/>
            <w:tcBorders>
              <w:tl2br w:val="nil"/>
              <w:tr2bl w:val="nil"/>
            </w:tcBorders>
          </w:tcPr>
          <w:p w14:paraId="5F50A786">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充电超时</w:t>
            </w:r>
          </w:p>
        </w:tc>
        <w:tc>
          <w:tcPr>
            <w:tcW w:w="6450" w:type="dxa"/>
            <w:tcBorders>
              <w:tl2br w:val="nil"/>
              <w:tr2bl w:val="nil"/>
            </w:tcBorders>
          </w:tcPr>
          <w:p w14:paraId="480EEFBC">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充电器120S内，没有收到主控命令，自动关机。</w:t>
            </w:r>
          </w:p>
        </w:tc>
      </w:tr>
    </w:tbl>
    <w:p w14:paraId="4CEDE3B5">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5.2.3其他功能</w:t>
      </w:r>
    </w:p>
    <w:tbl>
      <w:tblPr>
        <w:tblStyle w:val="28"/>
        <w:tblW w:w="83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5724"/>
      </w:tblGrid>
      <w:tr w14:paraId="1EBBA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l2br w:val="nil"/>
              <w:tr2bl w:val="nil"/>
            </w:tcBorders>
          </w:tcPr>
          <w:p w14:paraId="4423AA47">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5724" w:type="dxa"/>
            <w:tcBorders>
              <w:tl2br w:val="nil"/>
              <w:tr2bl w:val="nil"/>
            </w:tcBorders>
          </w:tcPr>
          <w:p w14:paraId="06359BAA">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tc>
      </w:tr>
      <w:tr w14:paraId="29774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663" w:type="dxa"/>
            <w:tcBorders>
              <w:tl2br w:val="nil"/>
              <w:tr2bl w:val="nil"/>
            </w:tcBorders>
          </w:tcPr>
          <w:p w14:paraId="6DED3F9C">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输入交流电压上报，原边PFC 电压上报</w:t>
            </w:r>
          </w:p>
        </w:tc>
        <w:tc>
          <w:tcPr>
            <w:tcW w:w="5724" w:type="dxa"/>
            <w:tcBorders>
              <w:tl2br w:val="nil"/>
              <w:tr2bl w:val="nil"/>
            </w:tcBorders>
          </w:tcPr>
          <w:p w14:paraId="7A62CF83">
            <w:pPr>
              <w:pageBreakBefore w:val="0"/>
              <w:kinsoku/>
              <w:wordWrap/>
              <w:overflowPunct/>
              <w:topLinePunct w:val="0"/>
              <w:bidi w:val="0"/>
              <w:snapToGrid/>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485 上报</w:t>
            </w:r>
          </w:p>
          <w:p w14:paraId="40893A05">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p>
        </w:tc>
      </w:tr>
      <w:tr w14:paraId="2CB84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63" w:type="dxa"/>
            <w:tcBorders>
              <w:tl2br w:val="nil"/>
              <w:tr2bl w:val="nil"/>
            </w:tcBorders>
          </w:tcPr>
          <w:p w14:paraId="097DCDB5">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输出防打火</w:t>
            </w:r>
          </w:p>
        </w:tc>
        <w:tc>
          <w:tcPr>
            <w:tcW w:w="5724" w:type="dxa"/>
            <w:tcBorders>
              <w:tl2br w:val="nil"/>
              <w:tr2bl w:val="nil"/>
            </w:tcBorders>
          </w:tcPr>
          <w:p w14:paraId="0C0B95A1">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输出有继电器，当继电器两侧电压相近时才吸合继电器，防止输出端打火。</w:t>
            </w:r>
          </w:p>
        </w:tc>
      </w:tr>
      <w:tr w14:paraId="57237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63" w:type="dxa"/>
            <w:tcBorders>
              <w:tl2br w:val="nil"/>
              <w:tr2bl w:val="nil"/>
            </w:tcBorders>
          </w:tcPr>
          <w:p w14:paraId="71326359">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无电流关机</w:t>
            </w:r>
          </w:p>
        </w:tc>
        <w:tc>
          <w:tcPr>
            <w:tcW w:w="5724" w:type="dxa"/>
            <w:tcBorders>
              <w:tl2br w:val="nil"/>
              <w:tr2bl w:val="nil"/>
            </w:tcBorders>
          </w:tcPr>
          <w:p w14:paraId="2113B5A7">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开机无电流，10 分钟后自动关机，开机后有电流，然后无电流 20 分钟后自动关机。</w:t>
            </w:r>
          </w:p>
        </w:tc>
      </w:tr>
      <w:tr w14:paraId="6A389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l2br w:val="nil"/>
              <w:tr2bl w:val="nil"/>
            </w:tcBorders>
          </w:tcPr>
          <w:p w14:paraId="6E46093F">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充满提示和关机</w:t>
            </w:r>
          </w:p>
        </w:tc>
        <w:tc>
          <w:tcPr>
            <w:tcW w:w="5724" w:type="dxa"/>
            <w:tcBorders>
              <w:tl2br w:val="nil"/>
              <w:tr2bl w:val="nil"/>
            </w:tcBorders>
          </w:tcPr>
          <w:p w14:paraId="2423338B">
            <w:pPr>
              <w:pageBreakBefore w:val="0"/>
              <w:kinsoku/>
              <w:wordWrap/>
              <w:overflowPunct/>
              <w:topLinePunct w:val="0"/>
              <w:bidi w:val="0"/>
              <w:snapToGrid/>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A）充电电流&lt;1.8A，持续 64 秒，提示充满，转为恒流浮充。 </w:t>
            </w:r>
          </w:p>
          <w:p w14:paraId="1B5D2A5F">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B）120 分钟后，或者无电流 20 分钟后，执行关机。</w:t>
            </w:r>
          </w:p>
        </w:tc>
      </w:tr>
    </w:tbl>
    <w:p w14:paraId="50136AFF">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5.2.4绝缘与安全规格</w:t>
      </w:r>
    </w:p>
    <w:tbl>
      <w:tblPr>
        <w:tblStyle w:val="28"/>
        <w:tblW w:w="87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3404"/>
        <w:gridCol w:w="2966"/>
      </w:tblGrid>
      <w:tr w14:paraId="0011F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1" w:type="dxa"/>
            <w:tcBorders>
              <w:tl2br w:val="nil"/>
              <w:tr2bl w:val="nil"/>
            </w:tcBorders>
          </w:tcPr>
          <w:p w14:paraId="0454BD9A">
            <w:pPr>
              <w:pageBreakBefore w:val="0"/>
              <w:kinsoku/>
              <w:wordWrap/>
              <w:overflowPunct/>
              <w:topLinePunct w:val="0"/>
              <w:bidi w:val="0"/>
              <w:snapToGrid/>
              <w:spacing w:line="24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w:t>
            </w:r>
          </w:p>
        </w:tc>
        <w:tc>
          <w:tcPr>
            <w:tcW w:w="3404" w:type="dxa"/>
            <w:tcBorders>
              <w:tl2br w:val="nil"/>
              <w:tr2bl w:val="nil"/>
            </w:tcBorders>
          </w:tcPr>
          <w:p w14:paraId="11876C12">
            <w:pPr>
              <w:pageBreakBefore w:val="0"/>
              <w:kinsoku/>
              <w:wordWrap/>
              <w:overflowPunct/>
              <w:topLinePunct w:val="0"/>
              <w:bidi w:val="0"/>
              <w:snapToGrid/>
              <w:spacing w:line="24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标准</w:t>
            </w:r>
          </w:p>
        </w:tc>
        <w:tc>
          <w:tcPr>
            <w:tcW w:w="2966" w:type="dxa"/>
            <w:tcBorders>
              <w:tl2br w:val="nil"/>
              <w:tr2bl w:val="nil"/>
            </w:tcBorders>
          </w:tcPr>
          <w:p w14:paraId="143FCD2B">
            <w:pPr>
              <w:pageBreakBefore w:val="0"/>
              <w:kinsoku/>
              <w:wordWrap/>
              <w:overflowPunct/>
              <w:topLinePunct w:val="0"/>
              <w:bidi w:val="0"/>
              <w:snapToGrid/>
              <w:spacing w:line="24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14:paraId="5CB0E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421" w:type="dxa"/>
            <w:tcBorders>
              <w:tl2br w:val="nil"/>
              <w:tr2bl w:val="nil"/>
            </w:tcBorders>
          </w:tcPr>
          <w:p w14:paraId="1E09D671">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抗电强度输入与输出</w:t>
            </w:r>
          </w:p>
        </w:tc>
        <w:tc>
          <w:tcPr>
            <w:tcW w:w="3404" w:type="dxa"/>
            <w:tcBorders>
              <w:tl2br w:val="nil"/>
              <w:tr2bl w:val="nil"/>
            </w:tcBorders>
          </w:tcPr>
          <w:p w14:paraId="0E42CB85">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3000Vac(4240Vdc)/10mA/1min</w:t>
            </w:r>
          </w:p>
        </w:tc>
        <w:tc>
          <w:tcPr>
            <w:tcW w:w="2966" w:type="dxa"/>
            <w:tcBorders>
              <w:tl2br w:val="nil"/>
              <w:tr2bl w:val="nil"/>
            </w:tcBorders>
          </w:tcPr>
          <w:p w14:paraId="3B289CEA">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无飞弧、无击穿</w:t>
            </w:r>
          </w:p>
        </w:tc>
      </w:tr>
      <w:tr w14:paraId="326EC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21" w:type="dxa"/>
            <w:tcBorders>
              <w:tl2br w:val="nil"/>
              <w:tr2bl w:val="nil"/>
            </w:tcBorders>
          </w:tcPr>
          <w:p w14:paraId="66483F7F">
            <w:pPr>
              <w:pageBreakBefore w:val="0"/>
              <w:kinsoku/>
              <w:wordWrap/>
              <w:overflowPunct/>
              <w:topLinePunct w:val="0"/>
              <w:bidi w:val="0"/>
              <w:snapToGrid/>
              <w:spacing w:line="240" w:lineRule="auto"/>
              <w:rPr>
                <w:rFonts w:hint="eastAsia" w:ascii="仿宋" w:hAnsi="仿宋" w:eastAsia="仿宋" w:cs="仿宋"/>
                <w:sz w:val="22"/>
                <w:szCs w:val="22"/>
                <w:highlight w:val="none"/>
                <w:lang w:val="en-US"/>
              </w:rPr>
            </w:pPr>
            <w:r>
              <w:rPr>
                <w:rFonts w:hint="eastAsia" w:ascii="仿宋" w:hAnsi="仿宋" w:eastAsia="仿宋" w:cs="仿宋"/>
                <w:sz w:val="22"/>
                <w:szCs w:val="22"/>
                <w:highlight w:val="none"/>
                <w:lang w:val="en-US" w:eastAsia="zh-CN"/>
              </w:rPr>
              <w:t>抗电强度输入与大地</w:t>
            </w:r>
          </w:p>
        </w:tc>
        <w:tc>
          <w:tcPr>
            <w:tcW w:w="3404" w:type="dxa"/>
            <w:tcBorders>
              <w:tl2br w:val="nil"/>
              <w:tr2bl w:val="nil"/>
            </w:tcBorders>
          </w:tcPr>
          <w:p w14:paraId="77FE016B">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1500Vac(2120Vdc)/10mA/1min</w:t>
            </w:r>
          </w:p>
        </w:tc>
        <w:tc>
          <w:tcPr>
            <w:tcW w:w="2966" w:type="dxa"/>
            <w:tcBorders>
              <w:tl2br w:val="nil"/>
              <w:tr2bl w:val="nil"/>
            </w:tcBorders>
          </w:tcPr>
          <w:p w14:paraId="5E17E047">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无飞弧、无击穿</w:t>
            </w:r>
          </w:p>
        </w:tc>
      </w:tr>
      <w:tr w14:paraId="17E29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1" w:type="dxa"/>
            <w:tcBorders>
              <w:tl2br w:val="nil"/>
              <w:tr2bl w:val="nil"/>
            </w:tcBorders>
          </w:tcPr>
          <w:p w14:paraId="3C3F3BA9">
            <w:pPr>
              <w:pageBreakBefore w:val="0"/>
              <w:kinsoku/>
              <w:wordWrap/>
              <w:overflowPunct/>
              <w:topLinePunct w:val="0"/>
              <w:bidi w:val="0"/>
              <w:snapToGrid/>
              <w:spacing w:line="240" w:lineRule="auto"/>
              <w:rPr>
                <w:rFonts w:hint="eastAsia" w:ascii="仿宋" w:hAnsi="仿宋" w:eastAsia="仿宋" w:cs="仿宋"/>
                <w:sz w:val="22"/>
                <w:szCs w:val="22"/>
                <w:highlight w:val="none"/>
                <w:lang w:val="en-US"/>
              </w:rPr>
            </w:pPr>
            <w:r>
              <w:rPr>
                <w:rFonts w:hint="eastAsia" w:ascii="仿宋" w:hAnsi="仿宋" w:eastAsia="仿宋" w:cs="仿宋"/>
                <w:sz w:val="22"/>
                <w:szCs w:val="22"/>
                <w:highlight w:val="none"/>
                <w:lang w:val="en-US" w:eastAsia="zh-CN"/>
              </w:rPr>
              <w:t>抗电强度输出与大地</w:t>
            </w:r>
          </w:p>
        </w:tc>
        <w:tc>
          <w:tcPr>
            <w:tcW w:w="3404" w:type="dxa"/>
            <w:tcBorders>
              <w:tl2br w:val="nil"/>
              <w:tr2bl w:val="nil"/>
            </w:tcBorders>
          </w:tcPr>
          <w:p w14:paraId="49E21AD6">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500Vac(700Vdc)/10mA/1min</w:t>
            </w:r>
          </w:p>
        </w:tc>
        <w:tc>
          <w:tcPr>
            <w:tcW w:w="2966" w:type="dxa"/>
            <w:tcBorders>
              <w:tl2br w:val="nil"/>
              <w:tr2bl w:val="nil"/>
            </w:tcBorders>
          </w:tcPr>
          <w:p w14:paraId="78F3A20B">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无飞弧、无击穿</w:t>
            </w:r>
          </w:p>
        </w:tc>
      </w:tr>
      <w:tr w14:paraId="0B185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1" w:type="dxa"/>
            <w:tcBorders>
              <w:tl2br w:val="nil"/>
              <w:tr2bl w:val="nil"/>
            </w:tcBorders>
          </w:tcPr>
          <w:p w14:paraId="3226EEA9">
            <w:pPr>
              <w:pageBreakBefore w:val="0"/>
              <w:kinsoku/>
              <w:wordWrap/>
              <w:overflowPunct/>
              <w:topLinePunct w:val="0"/>
              <w:bidi w:val="0"/>
              <w:snapToGrid/>
              <w:spacing w:line="24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绝缘电阻输入与输出</w:t>
            </w:r>
          </w:p>
        </w:tc>
        <w:tc>
          <w:tcPr>
            <w:tcW w:w="3404" w:type="dxa"/>
            <w:tcBorders>
              <w:tl2br w:val="nil"/>
              <w:tr2bl w:val="nil"/>
            </w:tcBorders>
          </w:tcPr>
          <w:p w14:paraId="53B661F4">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≥50MΩ@500Vdc</w:t>
            </w:r>
          </w:p>
          <w:p w14:paraId="09D75E26">
            <w:pPr>
              <w:pageBreakBefore w:val="0"/>
              <w:kinsoku/>
              <w:wordWrap/>
              <w:overflowPunct/>
              <w:topLinePunct w:val="0"/>
              <w:bidi w:val="0"/>
              <w:snapToGrid/>
              <w:spacing w:line="240" w:lineRule="auto"/>
              <w:rPr>
                <w:rFonts w:hint="eastAsia" w:ascii="仿宋" w:hAnsi="仿宋" w:eastAsia="仿宋" w:cs="仿宋"/>
                <w:sz w:val="22"/>
                <w:szCs w:val="22"/>
                <w:highlight w:val="none"/>
              </w:rPr>
            </w:pPr>
          </w:p>
        </w:tc>
        <w:tc>
          <w:tcPr>
            <w:tcW w:w="2966" w:type="dxa"/>
            <w:tcBorders>
              <w:tl2br w:val="nil"/>
              <w:tr2bl w:val="nil"/>
            </w:tcBorders>
          </w:tcPr>
          <w:p w14:paraId="2199826C">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在环境温度为15-35℃，相对湿度为≤90%</w:t>
            </w:r>
          </w:p>
        </w:tc>
      </w:tr>
      <w:tr w14:paraId="45A8A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1" w:type="dxa"/>
            <w:tcBorders>
              <w:tl2br w:val="nil"/>
              <w:tr2bl w:val="nil"/>
            </w:tcBorders>
          </w:tcPr>
          <w:p w14:paraId="2F74C3F6">
            <w:pPr>
              <w:pageBreakBefore w:val="0"/>
              <w:kinsoku/>
              <w:wordWrap/>
              <w:overflowPunct/>
              <w:topLinePunct w:val="0"/>
              <w:bidi w:val="0"/>
              <w:snapToGrid/>
              <w:spacing w:line="24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绝缘电阻输入与大地</w:t>
            </w:r>
          </w:p>
        </w:tc>
        <w:tc>
          <w:tcPr>
            <w:tcW w:w="3404" w:type="dxa"/>
            <w:tcBorders>
              <w:tl2br w:val="nil"/>
              <w:tr2bl w:val="nil"/>
            </w:tcBorders>
          </w:tcPr>
          <w:p w14:paraId="54D8C3E2">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≥50MΩ@500Vdc</w:t>
            </w:r>
          </w:p>
          <w:p w14:paraId="0B0E0D5C">
            <w:pPr>
              <w:pageBreakBefore w:val="0"/>
              <w:kinsoku/>
              <w:wordWrap/>
              <w:overflowPunct/>
              <w:topLinePunct w:val="0"/>
              <w:bidi w:val="0"/>
              <w:snapToGrid/>
              <w:spacing w:line="240" w:lineRule="auto"/>
              <w:rPr>
                <w:rFonts w:hint="eastAsia" w:ascii="仿宋" w:hAnsi="仿宋" w:eastAsia="仿宋" w:cs="仿宋"/>
                <w:sz w:val="22"/>
                <w:szCs w:val="22"/>
                <w:highlight w:val="none"/>
              </w:rPr>
            </w:pPr>
          </w:p>
        </w:tc>
        <w:tc>
          <w:tcPr>
            <w:tcW w:w="2966" w:type="dxa"/>
            <w:tcBorders>
              <w:tl2br w:val="nil"/>
              <w:tr2bl w:val="nil"/>
            </w:tcBorders>
          </w:tcPr>
          <w:p w14:paraId="546B476B">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在环境温度15—35℃，相对湿度为≤90%</w:t>
            </w:r>
          </w:p>
        </w:tc>
      </w:tr>
      <w:tr w14:paraId="5AD3B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1" w:type="dxa"/>
            <w:tcBorders>
              <w:tl2br w:val="nil"/>
              <w:tr2bl w:val="nil"/>
            </w:tcBorders>
          </w:tcPr>
          <w:p w14:paraId="2343AE99">
            <w:pPr>
              <w:pageBreakBefore w:val="0"/>
              <w:kinsoku/>
              <w:wordWrap/>
              <w:overflowPunct/>
              <w:topLinePunct w:val="0"/>
              <w:bidi w:val="0"/>
              <w:snapToGrid/>
              <w:spacing w:line="24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绝缘电阻输出与大地</w:t>
            </w:r>
          </w:p>
        </w:tc>
        <w:tc>
          <w:tcPr>
            <w:tcW w:w="3404" w:type="dxa"/>
            <w:tcBorders>
              <w:tl2br w:val="nil"/>
              <w:tr2bl w:val="nil"/>
            </w:tcBorders>
          </w:tcPr>
          <w:p w14:paraId="165DB7D1">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≥50MΩ@500Vdc</w:t>
            </w:r>
          </w:p>
          <w:p w14:paraId="605FBFCD">
            <w:pPr>
              <w:pageBreakBefore w:val="0"/>
              <w:kinsoku/>
              <w:wordWrap/>
              <w:overflowPunct/>
              <w:topLinePunct w:val="0"/>
              <w:bidi w:val="0"/>
              <w:snapToGrid/>
              <w:spacing w:line="240" w:lineRule="auto"/>
              <w:rPr>
                <w:rFonts w:hint="eastAsia" w:ascii="仿宋" w:hAnsi="仿宋" w:eastAsia="仿宋" w:cs="仿宋"/>
                <w:sz w:val="22"/>
                <w:szCs w:val="22"/>
                <w:highlight w:val="none"/>
              </w:rPr>
            </w:pPr>
          </w:p>
        </w:tc>
        <w:tc>
          <w:tcPr>
            <w:tcW w:w="2966" w:type="dxa"/>
            <w:tcBorders>
              <w:tl2br w:val="nil"/>
              <w:tr2bl w:val="nil"/>
            </w:tcBorders>
          </w:tcPr>
          <w:p w14:paraId="576C1427">
            <w:pPr>
              <w:pageBreakBefore w:val="0"/>
              <w:kinsoku/>
              <w:wordWrap/>
              <w:overflowPunct/>
              <w:topLinePunct w:val="0"/>
              <w:bidi w:val="0"/>
              <w:snapToGrid/>
              <w:spacing w:line="240" w:lineRule="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在环境温度为15-35℃，相对湿度为≤90%</w:t>
            </w:r>
          </w:p>
        </w:tc>
      </w:tr>
    </w:tbl>
    <w:p w14:paraId="0F520E65">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5.2.5EMC 要求</w:t>
      </w:r>
    </w:p>
    <w:p w14:paraId="760341C9">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性能判据： </w:t>
      </w:r>
    </w:p>
    <w:p w14:paraId="7B5E8E95">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（1）电源在整个测试过程中，性能没有任何降低，完全和电源规格书中规定的指标相同。 </w:t>
      </w:r>
    </w:p>
    <w:p w14:paraId="027F78AA">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（2）测试过程中，电源的性能允许暂时降低，但测试结束后能够恢复正常。测试过程中不能掉电、复位。</w:t>
      </w:r>
    </w:p>
    <w:p w14:paraId="1CC3476B">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（3）允许出现短时的功能丧失，但测试结束能够自动或者人工干预下恢复正常。 </w:t>
      </w:r>
    </w:p>
    <w:p w14:paraId="7B6085AB">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drawing>
          <wp:anchor distT="0" distB="0" distL="114300" distR="114300" simplePos="0" relativeHeight="251660288" behindDoc="0" locked="0" layoutInCell="1" allowOverlap="1">
            <wp:simplePos x="0" y="0"/>
            <wp:positionH relativeFrom="column">
              <wp:posOffset>-24765</wp:posOffset>
            </wp:positionH>
            <wp:positionV relativeFrom="paragraph">
              <wp:posOffset>358775</wp:posOffset>
            </wp:positionV>
            <wp:extent cx="4931410" cy="2736215"/>
            <wp:effectExtent l="0" t="0" r="2540" b="6985"/>
            <wp:wrapTopAndBottom/>
            <wp:docPr id="6" name="图片 6" descr="5e4a29da066a75f3a8ebee46f776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4a29da066a75f3a8ebee46f776e15"/>
                    <pic:cNvPicPr>
                      <a:picLocks noChangeAspect="1"/>
                    </pic:cNvPicPr>
                  </pic:nvPicPr>
                  <pic:blipFill>
                    <a:blip r:embed="rId8"/>
                    <a:stretch>
                      <a:fillRect/>
                    </a:stretch>
                  </pic:blipFill>
                  <pic:spPr>
                    <a:xfrm>
                      <a:off x="0" y="0"/>
                      <a:ext cx="4931410" cy="2736215"/>
                    </a:xfrm>
                    <a:prstGeom prst="rect">
                      <a:avLst/>
                    </a:prstGeom>
                  </pic:spPr>
                </pic:pic>
              </a:graphicData>
            </a:graphic>
          </wp:anchor>
        </w:drawing>
      </w:r>
      <w:r>
        <w:rPr>
          <w:rFonts w:hint="eastAsia" w:ascii="仿宋" w:hAnsi="仿宋" w:eastAsia="仿宋" w:cs="仿宋"/>
          <w:kern w:val="0"/>
          <w:sz w:val="24"/>
          <w:szCs w:val="24"/>
          <w:highlight w:val="none"/>
          <w:lang w:val="en-US" w:eastAsia="zh-CN"/>
        </w:rPr>
        <w:t>（4）测试过程中不允许出现除保险器件外其它器件的损坏。</w:t>
      </w:r>
    </w:p>
    <w:p w14:paraId="61EE7A5F">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5.2.6电源可靠性要求</w:t>
      </w:r>
    </w:p>
    <w:tbl>
      <w:tblPr>
        <w:tblStyle w:val="28"/>
        <w:tblW w:w="85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28"/>
        <w:gridCol w:w="1009"/>
        <w:gridCol w:w="1046"/>
        <w:gridCol w:w="1019"/>
        <w:gridCol w:w="3441"/>
      </w:tblGrid>
      <w:tr w14:paraId="6976F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73" w:type="dxa"/>
            <w:tcBorders>
              <w:tl2br w:val="nil"/>
              <w:tr2bl w:val="nil"/>
            </w:tcBorders>
          </w:tcPr>
          <w:p w14:paraId="78FA62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728" w:type="dxa"/>
            <w:tcBorders>
              <w:tl2br w:val="nil"/>
              <w:tr2bl w:val="nil"/>
            </w:tcBorders>
          </w:tcPr>
          <w:p w14:paraId="7C21B4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009" w:type="dxa"/>
            <w:tcBorders>
              <w:tl2br w:val="nil"/>
              <w:tr2bl w:val="nil"/>
            </w:tcBorders>
          </w:tcPr>
          <w:p w14:paraId="621BF1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最小值</w:t>
            </w:r>
          </w:p>
        </w:tc>
        <w:tc>
          <w:tcPr>
            <w:tcW w:w="1046" w:type="dxa"/>
            <w:tcBorders>
              <w:tl2br w:val="nil"/>
              <w:tr2bl w:val="nil"/>
            </w:tcBorders>
          </w:tcPr>
          <w:p w14:paraId="7D512C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典型值</w:t>
            </w:r>
          </w:p>
        </w:tc>
        <w:tc>
          <w:tcPr>
            <w:tcW w:w="1019" w:type="dxa"/>
            <w:tcBorders>
              <w:tl2br w:val="nil"/>
              <w:tr2bl w:val="nil"/>
            </w:tcBorders>
          </w:tcPr>
          <w:p w14:paraId="6ED4E7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最大值</w:t>
            </w:r>
          </w:p>
        </w:tc>
        <w:tc>
          <w:tcPr>
            <w:tcW w:w="3441" w:type="dxa"/>
            <w:tcBorders>
              <w:tl2br w:val="nil"/>
              <w:tr2bl w:val="nil"/>
            </w:tcBorders>
          </w:tcPr>
          <w:p w14:paraId="22155F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5C345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3" w:type="dxa"/>
            <w:tcBorders>
              <w:tl2br w:val="nil"/>
              <w:tr2bl w:val="nil"/>
            </w:tcBorders>
          </w:tcPr>
          <w:p w14:paraId="035324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工作温度</w:t>
            </w:r>
          </w:p>
        </w:tc>
        <w:tc>
          <w:tcPr>
            <w:tcW w:w="728" w:type="dxa"/>
            <w:tcBorders>
              <w:tl2br w:val="nil"/>
              <w:tr2bl w:val="nil"/>
            </w:tcBorders>
          </w:tcPr>
          <w:p w14:paraId="70D73B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009" w:type="dxa"/>
            <w:tcBorders>
              <w:tl2br w:val="nil"/>
              <w:tr2bl w:val="nil"/>
            </w:tcBorders>
          </w:tcPr>
          <w:p w14:paraId="7D8B9E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p>
        </w:tc>
        <w:tc>
          <w:tcPr>
            <w:tcW w:w="1046" w:type="dxa"/>
            <w:tcBorders>
              <w:tl2br w:val="nil"/>
              <w:tr2bl w:val="nil"/>
            </w:tcBorders>
          </w:tcPr>
          <w:p w14:paraId="09D54D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1019" w:type="dxa"/>
            <w:tcBorders>
              <w:tl2br w:val="nil"/>
              <w:tr2bl w:val="nil"/>
            </w:tcBorders>
          </w:tcPr>
          <w:p w14:paraId="261934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c>
          <w:tcPr>
            <w:tcW w:w="3441" w:type="dxa"/>
            <w:tcBorders>
              <w:tl2br w:val="nil"/>
              <w:tr2bl w:val="nil"/>
            </w:tcBorders>
          </w:tcPr>
          <w:p w14:paraId="531243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50℃以上，电源会根据内部器件温度自动降容运行。</w:t>
            </w:r>
          </w:p>
        </w:tc>
      </w:tr>
      <w:tr w14:paraId="1BF7F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3" w:type="dxa"/>
            <w:tcBorders>
              <w:tl2br w:val="nil"/>
              <w:tr2bl w:val="nil"/>
            </w:tcBorders>
          </w:tcPr>
          <w:p w14:paraId="7D25F0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储存温度</w:t>
            </w:r>
          </w:p>
        </w:tc>
        <w:tc>
          <w:tcPr>
            <w:tcW w:w="728" w:type="dxa"/>
            <w:tcBorders>
              <w:tl2br w:val="nil"/>
              <w:tr2bl w:val="nil"/>
            </w:tcBorders>
          </w:tcPr>
          <w:p w14:paraId="0E9381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009" w:type="dxa"/>
            <w:tcBorders>
              <w:tl2br w:val="nil"/>
              <w:tr2bl w:val="nil"/>
            </w:tcBorders>
          </w:tcPr>
          <w:p w14:paraId="154BF2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w:t>
            </w:r>
          </w:p>
        </w:tc>
        <w:tc>
          <w:tcPr>
            <w:tcW w:w="1046" w:type="dxa"/>
            <w:tcBorders>
              <w:tl2br w:val="nil"/>
              <w:tr2bl w:val="nil"/>
            </w:tcBorders>
          </w:tcPr>
          <w:p w14:paraId="7DD06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1019" w:type="dxa"/>
            <w:tcBorders>
              <w:tl2br w:val="nil"/>
              <w:tr2bl w:val="nil"/>
            </w:tcBorders>
          </w:tcPr>
          <w:p w14:paraId="43D96E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85</w:t>
            </w:r>
          </w:p>
        </w:tc>
        <w:tc>
          <w:tcPr>
            <w:tcW w:w="3441" w:type="dxa"/>
            <w:tcBorders>
              <w:tl2br w:val="nil"/>
              <w:tr2bl w:val="nil"/>
            </w:tcBorders>
          </w:tcPr>
          <w:p w14:paraId="48E626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电源不上电。</w:t>
            </w:r>
          </w:p>
        </w:tc>
      </w:tr>
      <w:tr w14:paraId="4A399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73" w:type="dxa"/>
            <w:tcBorders>
              <w:tl2br w:val="nil"/>
              <w:tr2bl w:val="nil"/>
            </w:tcBorders>
          </w:tcPr>
          <w:p w14:paraId="6DA3CD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相对湿度</w:t>
            </w:r>
          </w:p>
        </w:tc>
        <w:tc>
          <w:tcPr>
            <w:tcW w:w="728" w:type="dxa"/>
            <w:tcBorders>
              <w:tl2br w:val="nil"/>
              <w:tr2bl w:val="nil"/>
            </w:tcBorders>
          </w:tcPr>
          <w:p w14:paraId="754D64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1009" w:type="dxa"/>
            <w:tcBorders>
              <w:tl2br w:val="nil"/>
              <w:tr2bl w:val="nil"/>
            </w:tcBorders>
          </w:tcPr>
          <w:p w14:paraId="737BC0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046" w:type="dxa"/>
            <w:tcBorders>
              <w:tl2br w:val="nil"/>
              <w:tr2bl w:val="nil"/>
            </w:tcBorders>
          </w:tcPr>
          <w:p w14:paraId="10420E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p>
        </w:tc>
        <w:tc>
          <w:tcPr>
            <w:tcW w:w="1019" w:type="dxa"/>
            <w:tcBorders>
              <w:tl2br w:val="nil"/>
              <w:tr2bl w:val="nil"/>
            </w:tcBorders>
          </w:tcPr>
          <w:p w14:paraId="0B8743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95</w:t>
            </w:r>
          </w:p>
        </w:tc>
        <w:tc>
          <w:tcPr>
            <w:tcW w:w="3441" w:type="dxa"/>
            <w:tcBorders>
              <w:tl2br w:val="nil"/>
              <w:tr2bl w:val="nil"/>
            </w:tcBorders>
          </w:tcPr>
          <w:p w14:paraId="050B5D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正常工作时，无冷凝。</w:t>
            </w:r>
          </w:p>
        </w:tc>
      </w:tr>
    </w:tbl>
    <w:p w14:paraId="3F3A1E50">
      <w:pPr>
        <w:pageBreakBefore w:val="0"/>
        <w:kinsoku/>
        <w:overflowPunct/>
        <w:topLinePunct w:val="0"/>
        <w:bidi w:val="0"/>
        <w:spacing w:line="240" w:lineRule="auto"/>
        <w:rPr>
          <w:rFonts w:hint="eastAsia"/>
          <w:sz w:val="28"/>
          <w:szCs w:val="22"/>
          <w:highlight w:val="none"/>
          <w:lang w:val="en-US" w:eastAsia="zh-CN"/>
        </w:rPr>
      </w:pPr>
    </w:p>
    <w:p w14:paraId="7B961C57">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08" w:name="_Toc13211"/>
      <w:r>
        <w:rPr>
          <w:rFonts w:hint="eastAsia" w:ascii="仿宋" w:hAnsi="仿宋" w:eastAsia="仿宋" w:cs="仿宋"/>
          <w:sz w:val="24"/>
          <w:szCs w:val="24"/>
          <w:highlight w:val="none"/>
          <w:lang w:val="en-US" w:eastAsia="zh-CN"/>
        </w:rPr>
        <w:t>5.3锁控板规格和技术指标</w:t>
      </w:r>
      <w:bookmarkEnd w:id="108"/>
    </w:p>
    <w:p w14:paraId="2323C8B1">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5.3.1概述 </w:t>
      </w:r>
    </w:p>
    <w:p w14:paraId="6F2552E0">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本锁板拥有两路独立的采集控制通道，和一路级联RS485通信接口，主要应用于智能柜、电控锁控制等场景使用。每路采集控制通道均可进行：4路RS485数据采集、锁控制、照明控制、RGB控制、接近传感器采集以及额外支持用户可自由支配的输入和输出控制。</w:t>
      </w:r>
    </w:p>
    <w:p w14:paraId="425EE0DE">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5.3.2锁控板参数说明</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FA61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48853AB8">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电源输入</w:t>
            </w:r>
          </w:p>
        </w:tc>
        <w:tc>
          <w:tcPr>
            <w:tcW w:w="4261" w:type="dxa"/>
            <w:tcBorders>
              <w:tl2br w:val="nil"/>
              <w:tr2bl w:val="nil"/>
            </w:tcBorders>
          </w:tcPr>
          <w:p w14:paraId="0D25DC9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DC12V，2A</w:t>
            </w:r>
          </w:p>
        </w:tc>
      </w:tr>
      <w:tr w14:paraId="0D11D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61FE79B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工作温度</w:t>
            </w:r>
          </w:p>
        </w:tc>
        <w:tc>
          <w:tcPr>
            <w:tcW w:w="4261" w:type="dxa"/>
            <w:tcBorders>
              <w:tl2br w:val="nil"/>
              <w:tr2bl w:val="nil"/>
            </w:tcBorders>
          </w:tcPr>
          <w:p w14:paraId="7D2621A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-10 度~60 度</w:t>
            </w:r>
          </w:p>
        </w:tc>
      </w:tr>
      <w:tr w14:paraId="35AEA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4AE7E746">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储存温度</w:t>
            </w:r>
          </w:p>
        </w:tc>
        <w:tc>
          <w:tcPr>
            <w:tcW w:w="4261" w:type="dxa"/>
            <w:tcBorders>
              <w:tl2br w:val="nil"/>
              <w:tr2bl w:val="nil"/>
            </w:tcBorders>
          </w:tcPr>
          <w:p w14:paraId="165EB751">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-20 度~70 度</w:t>
            </w:r>
          </w:p>
        </w:tc>
      </w:tr>
      <w:tr w14:paraId="7DC36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695A22AF">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相对湿度</w:t>
            </w:r>
          </w:p>
        </w:tc>
        <w:tc>
          <w:tcPr>
            <w:tcW w:w="4261" w:type="dxa"/>
            <w:tcBorders>
              <w:tl2br w:val="nil"/>
              <w:tr2bl w:val="nil"/>
            </w:tcBorders>
          </w:tcPr>
          <w:p w14:paraId="030617C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20%-80%</w:t>
            </w:r>
          </w:p>
        </w:tc>
      </w:tr>
      <w:tr w14:paraId="6F063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164191BD">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独立通道数量</w:t>
            </w:r>
          </w:p>
        </w:tc>
        <w:tc>
          <w:tcPr>
            <w:tcW w:w="4261" w:type="dxa"/>
            <w:tcBorders>
              <w:tl2br w:val="nil"/>
              <w:tr2bl w:val="nil"/>
            </w:tcBorders>
          </w:tcPr>
          <w:p w14:paraId="617A2F1F">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2路</w:t>
            </w:r>
          </w:p>
        </w:tc>
      </w:tr>
      <w:tr w14:paraId="539AB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4DE6346C">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单通道锁控</w:t>
            </w:r>
          </w:p>
        </w:tc>
        <w:tc>
          <w:tcPr>
            <w:tcW w:w="4261" w:type="dxa"/>
            <w:tcBorders>
              <w:tl2br w:val="nil"/>
              <w:tr2bl w:val="nil"/>
            </w:tcBorders>
          </w:tcPr>
          <w:p w14:paraId="5D61AB8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12V，1路，带反馈</w:t>
            </w:r>
          </w:p>
        </w:tc>
      </w:tr>
      <w:tr w14:paraId="5B6B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5D2F5C07">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单通道指示灯</w:t>
            </w:r>
          </w:p>
        </w:tc>
        <w:tc>
          <w:tcPr>
            <w:tcW w:w="4261" w:type="dxa"/>
            <w:tcBorders>
              <w:tl2br w:val="nil"/>
              <w:tr2bl w:val="nil"/>
            </w:tcBorders>
          </w:tcPr>
          <w:p w14:paraId="57F2385A">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RGB，3色</w:t>
            </w:r>
          </w:p>
        </w:tc>
      </w:tr>
      <w:tr w14:paraId="6D8EC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47CB7FDD">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单通道照明灯</w:t>
            </w:r>
          </w:p>
        </w:tc>
        <w:tc>
          <w:tcPr>
            <w:tcW w:w="4261" w:type="dxa"/>
            <w:tcBorders>
              <w:tl2br w:val="nil"/>
              <w:tr2bl w:val="nil"/>
            </w:tcBorders>
          </w:tcPr>
          <w:p w14:paraId="2BFD9ED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DC12V 500mA</w:t>
            </w:r>
          </w:p>
        </w:tc>
      </w:tr>
      <w:tr w14:paraId="0525D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3667F12A">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单通道下属传感器接口</w:t>
            </w:r>
          </w:p>
        </w:tc>
        <w:tc>
          <w:tcPr>
            <w:tcW w:w="4261" w:type="dxa"/>
            <w:tcBorders>
              <w:tl2br w:val="nil"/>
              <w:tr2bl w:val="nil"/>
            </w:tcBorders>
          </w:tcPr>
          <w:p w14:paraId="51B6DE9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RS485、开关量</w:t>
            </w:r>
          </w:p>
        </w:tc>
      </w:tr>
      <w:tr w14:paraId="09C04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56A48B5A">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单通道地址设置</w:t>
            </w:r>
          </w:p>
        </w:tc>
        <w:tc>
          <w:tcPr>
            <w:tcW w:w="4261" w:type="dxa"/>
            <w:tcBorders>
              <w:tl2br w:val="nil"/>
              <w:tr2bl w:val="nil"/>
            </w:tcBorders>
          </w:tcPr>
          <w:p w14:paraId="7C483330">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支持拨码设置（0-63）</w:t>
            </w:r>
          </w:p>
        </w:tc>
      </w:tr>
      <w:tr w14:paraId="02752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28A755F9">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单通道输出</w:t>
            </w:r>
          </w:p>
        </w:tc>
        <w:tc>
          <w:tcPr>
            <w:tcW w:w="4261" w:type="dxa"/>
            <w:tcBorders>
              <w:tl2br w:val="nil"/>
              <w:tr2bl w:val="nil"/>
            </w:tcBorders>
          </w:tcPr>
          <w:p w14:paraId="52E7FE77">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DC12V 500mA</w:t>
            </w:r>
          </w:p>
        </w:tc>
      </w:tr>
      <w:tr w14:paraId="74BFD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l2br w:val="nil"/>
              <w:tr2bl w:val="nil"/>
            </w:tcBorders>
          </w:tcPr>
          <w:p w14:paraId="41E68374">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单通道输入</w:t>
            </w:r>
          </w:p>
        </w:tc>
        <w:tc>
          <w:tcPr>
            <w:tcW w:w="4261" w:type="dxa"/>
            <w:tcBorders>
              <w:tl2br w:val="nil"/>
              <w:tr2bl w:val="nil"/>
            </w:tcBorders>
          </w:tcPr>
          <w:p w14:paraId="2D561642">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开关量输入</w:t>
            </w:r>
          </w:p>
        </w:tc>
      </w:tr>
    </w:tbl>
    <w:p w14:paraId="689346A6">
      <w:pPr>
        <w:pStyle w:val="72"/>
        <w:pageBreakBefore w:val="0"/>
        <w:tabs>
          <w:tab w:val="center" w:pos="4201"/>
          <w:tab w:val="right" w:leader="dot" w:pos="9298"/>
        </w:tabs>
        <w:kinsoku/>
        <w:wordWrap/>
        <w:overflowPunct/>
        <w:topLinePunct w:val="0"/>
        <w:bidi w:val="0"/>
        <w:snapToGrid/>
        <w:spacing w:line="240" w:lineRule="auto"/>
        <w:ind w:firstLine="480"/>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5.3.3安装注意事项</w:t>
      </w:r>
    </w:p>
    <w:p w14:paraId="2BDB68CB">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8"/>
          <w:szCs w:val="22"/>
          <w:highlight w:val="none"/>
        </w:rPr>
      </w:pPr>
      <w:r>
        <w:rPr>
          <w:rFonts w:hint="eastAsia" w:ascii="仿宋" w:hAnsi="仿宋" w:eastAsia="仿宋" w:cs="仿宋"/>
          <w:color w:val="000000"/>
          <w:kern w:val="0"/>
          <w:sz w:val="24"/>
          <w:szCs w:val="24"/>
          <w:highlight w:val="none"/>
          <w:lang w:val="en-US" w:eastAsia="zh-CN" w:bidi="ar"/>
        </w:rPr>
        <w:t xml:space="preserve"> （1）请注意供电电压不得大于DC12V，供电电流不得小于2A。 </w:t>
      </w:r>
    </w:p>
    <w:p w14:paraId="0AA490BC">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8"/>
          <w:szCs w:val="22"/>
          <w:highlight w:val="none"/>
        </w:rPr>
      </w:pPr>
      <w:r>
        <w:rPr>
          <w:rFonts w:hint="eastAsia" w:ascii="仿宋" w:hAnsi="仿宋" w:eastAsia="仿宋" w:cs="仿宋"/>
          <w:color w:val="000000"/>
          <w:kern w:val="0"/>
          <w:sz w:val="24"/>
          <w:szCs w:val="24"/>
          <w:highlight w:val="none"/>
          <w:lang w:val="en-US" w:eastAsia="zh-CN" w:bidi="ar"/>
        </w:rPr>
        <w:t> （2）对于充换电柜项目，锁板下属 RS485 传感器请设置：</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5A43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840" w:type="dxa"/>
            <w:tcBorders>
              <w:tl2br w:val="nil"/>
              <w:tr2bl w:val="nil"/>
            </w:tcBorders>
          </w:tcPr>
          <w:p w14:paraId="37BA672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w:t>
            </w:r>
          </w:p>
        </w:tc>
        <w:tc>
          <w:tcPr>
            <w:tcW w:w="2841" w:type="dxa"/>
            <w:tcBorders>
              <w:tl2br w:val="nil"/>
              <w:tr2bl w:val="nil"/>
            </w:tcBorders>
          </w:tcPr>
          <w:p w14:paraId="065238FB">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波特率</w:t>
            </w:r>
          </w:p>
        </w:tc>
        <w:tc>
          <w:tcPr>
            <w:tcW w:w="2841" w:type="dxa"/>
            <w:tcBorders>
              <w:tl2br w:val="nil"/>
              <w:tr2bl w:val="nil"/>
            </w:tcBorders>
          </w:tcPr>
          <w:p w14:paraId="32402A72">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地址</w:t>
            </w:r>
          </w:p>
        </w:tc>
      </w:tr>
      <w:tr w14:paraId="27922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tcPr>
          <w:p w14:paraId="74BF82ED">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电池</w:t>
            </w:r>
          </w:p>
        </w:tc>
        <w:tc>
          <w:tcPr>
            <w:tcW w:w="2841" w:type="dxa"/>
            <w:tcBorders>
              <w:tl2br w:val="nil"/>
              <w:tr2bl w:val="nil"/>
            </w:tcBorders>
          </w:tcPr>
          <w:p w14:paraId="4899E00B">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9600</w:t>
            </w:r>
          </w:p>
        </w:tc>
        <w:tc>
          <w:tcPr>
            <w:tcW w:w="2841" w:type="dxa"/>
            <w:tcBorders>
              <w:tl2br w:val="nil"/>
              <w:tr2bl w:val="nil"/>
            </w:tcBorders>
          </w:tcPr>
          <w:p w14:paraId="34A48357">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r>
      <w:tr w14:paraId="6DB7A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tcPr>
          <w:p w14:paraId="5C195CA3">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充电器</w:t>
            </w:r>
          </w:p>
        </w:tc>
        <w:tc>
          <w:tcPr>
            <w:tcW w:w="2841" w:type="dxa"/>
            <w:tcBorders>
              <w:tl2br w:val="nil"/>
              <w:tr2bl w:val="nil"/>
            </w:tcBorders>
          </w:tcPr>
          <w:p w14:paraId="2DE06B90">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9600</w:t>
            </w:r>
          </w:p>
        </w:tc>
        <w:tc>
          <w:tcPr>
            <w:tcW w:w="2841" w:type="dxa"/>
            <w:tcBorders>
              <w:tl2br w:val="nil"/>
              <w:tr2bl w:val="nil"/>
            </w:tcBorders>
          </w:tcPr>
          <w:p w14:paraId="4B68C03B">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r>
      <w:tr w14:paraId="3168B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tcPr>
          <w:p w14:paraId="729C73AD">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烟感</w:t>
            </w:r>
          </w:p>
        </w:tc>
        <w:tc>
          <w:tcPr>
            <w:tcW w:w="2841" w:type="dxa"/>
            <w:tcBorders>
              <w:tl2br w:val="nil"/>
              <w:tr2bl w:val="nil"/>
            </w:tcBorders>
          </w:tcPr>
          <w:p w14:paraId="1CE6315A">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9600</w:t>
            </w:r>
          </w:p>
        </w:tc>
        <w:tc>
          <w:tcPr>
            <w:tcW w:w="2841" w:type="dxa"/>
            <w:tcBorders>
              <w:tl2br w:val="nil"/>
              <w:tr2bl w:val="nil"/>
            </w:tcBorders>
          </w:tcPr>
          <w:p w14:paraId="241EF5DA">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r>
      <w:tr w14:paraId="0BF59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tcPr>
          <w:p w14:paraId="7DC7977A">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温湿度</w:t>
            </w:r>
          </w:p>
        </w:tc>
        <w:tc>
          <w:tcPr>
            <w:tcW w:w="2841" w:type="dxa"/>
            <w:tcBorders>
              <w:tl2br w:val="nil"/>
              <w:tr2bl w:val="nil"/>
            </w:tcBorders>
          </w:tcPr>
          <w:p w14:paraId="1E030D78">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9600</w:t>
            </w:r>
          </w:p>
        </w:tc>
        <w:tc>
          <w:tcPr>
            <w:tcW w:w="2841" w:type="dxa"/>
            <w:tcBorders>
              <w:tl2br w:val="nil"/>
              <w:tr2bl w:val="nil"/>
            </w:tcBorders>
          </w:tcPr>
          <w:p w14:paraId="4B6ACFCC">
            <w:pPr>
              <w:keepNext w:val="0"/>
              <w:keepLines w:val="0"/>
              <w:pageBreakBefore w:val="0"/>
              <w:widowControl/>
              <w:numPr>
                <w:ilvl w:val="0"/>
                <w:numId w:val="0"/>
              </w:numPr>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r>
    </w:tbl>
    <w:p w14:paraId="27E2A316">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09" w:name="_Toc19636"/>
      <w:r>
        <w:rPr>
          <w:rFonts w:hint="eastAsia" w:ascii="仿宋" w:hAnsi="仿宋" w:eastAsia="仿宋" w:cs="仿宋"/>
          <w:sz w:val="24"/>
          <w:szCs w:val="24"/>
          <w:highlight w:val="none"/>
          <w:lang w:val="en-US" w:eastAsia="zh-CN"/>
        </w:rPr>
        <w:t>5.4网关主控制板技术参数</w:t>
      </w:r>
      <w:bookmarkEnd w:id="109"/>
    </w:p>
    <w:p w14:paraId="0193830B">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5.4.1概述 </w:t>
      </w:r>
    </w:p>
    <w:p w14:paraId="7A453DF7">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本网关配备1路RS485锁控制接口，集成1路以太网接口、1路供电接口、1路 RTC、1路4G网卡以及多路定制的传感器及通信接口。可应用于充换电柜中，以网关的角色，对各路锁板进行信息汇总，并通过4G网卡将数据上报，并转发服务器的命令至其接的各路锁板。</w:t>
      </w:r>
    </w:p>
    <w:p w14:paraId="473F596F">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5.4.2网关参数特性</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591"/>
      </w:tblGrid>
      <w:tr w14:paraId="04D0B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424CAD9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电源输入</w:t>
            </w:r>
          </w:p>
        </w:tc>
        <w:tc>
          <w:tcPr>
            <w:tcW w:w="6591" w:type="dxa"/>
            <w:tcBorders>
              <w:tl2br w:val="nil"/>
              <w:tr2bl w:val="nil"/>
            </w:tcBorders>
          </w:tcPr>
          <w:p w14:paraId="23D3F9C8">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DC12V，2A</w:t>
            </w:r>
          </w:p>
        </w:tc>
      </w:tr>
      <w:tr w14:paraId="53CE0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64B59D3D">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工作温度</w:t>
            </w:r>
          </w:p>
        </w:tc>
        <w:tc>
          <w:tcPr>
            <w:tcW w:w="6591" w:type="dxa"/>
            <w:tcBorders>
              <w:tl2br w:val="nil"/>
              <w:tr2bl w:val="nil"/>
            </w:tcBorders>
          </w:tcPr>
          <w:p w14:paraId="3193170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 xml:space="preserve">-10 度~60 度 </w:t>
            </w:r>
          </w:p>
        </w:tc>
      </w:tr>
      <w:tr w14:paraId="48B25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0EECEBE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储存温度</w:t>
            </w:r>
          </w:p>
        </w:tc>
        <w:tc>
          <w:tcPr>
            <w:tcW w:w="6591" w:type="dxa"/>
            <w:tcBorders>
              <w:tl2br w:val="nil"/>
              <w:tr2bl w:val="nil"/>
            </w:tcBorders>
          </w:tcPr>
          <w:p w14:paraId="095C74A5">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-20 度~70 度</w:t>
            </w:r>
          </w:p>
        </w:tc>
      </w:tr>
      <w:tr w14:paraId="76BA9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10AE25D3">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 xml:space="preserve">相对湿度 </w:t>
            </w:r>
          </w:p>
        </w:tc>
        <w:tc>
          <w:tcPr>
            <w:tcW w:w="6591" w:type="dxa"/>
            <w:tcBorders>
              <w:tl2br w:val="nil"/>
              <w:tr2bl w:val="nil"/>
            </w:tcBorders>
          </w:tcPr>
          <w:p w14:paraId="33945B0A">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20%-80%</w:t>
            </w:r>
          </w:p>
        </w:tc>
      </w:tr>
      <w:tr w14:paraId="09449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55E4E00B">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锁板接口</w:t>
            </w:r>
          </w:p>
        </w:tc>
        <w:tc>
          <w:tcPr>
            <w:tcW w:w="6591" w:type="dxa"/>
            <w:tcBorders>
              <w:tl2br w:val="nil"/>
              <w:tr2bl w:val="nil"/>
            </w:tcBorders>
          </w:tcPr>
          <w:p w14:paraId="221F5B5D">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 xml:space="preserve">RS485x1 </w:t>
            </w:r>
          </w:p>
        </w:tc>
      </w:tr>
      <w:tr w14:paraId="27F44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181E1281">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通信接口</w:t>
            </w:r>
          </w:p>
        </w:tc>
        <w:tc>
          <w:tcPr>
            <w:tcW w:w="6591" w:type="dxa"/>
            <w:tcBorders>
              <w:tl2br w:val="nil"/>
              <w:tr2bl w:val="nil"/>
            </w:tcBorders>
          </w:tcPr>
          <w:p w14:paraId="3669F12E">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 xml:space="preserve">RJ45x1、4Gx1、USBx2 </w:t>
            </w:r>
          </w:p>
        </w:tc>
      </w:tr>
      <w:tr w14:paraId="74C9B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30970618">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RTC</w:t>
            </w:r>
          </w:p>
        </w:tc>
        <w:tc>
          <w:tcPr>
            <w:tcW w:w="6591" w:type="dxa"/>
            <w:tcBorders>
              <w:tl2br w:val="nil"/>
              <w:tr2bl w:val="nil"/>
            </w:tcBorders>
          </w:tcPr>
          <w:p w14:paraId="20FE57D7">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 xml:space="preserve">1 路 </w:t>
            </w:r>
          </w:p>
        </w:tc>
      </w:tr>
      <w:tr w14:paraId="4CFB1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tcBorders>
              <w:tl2br w:val="nil"/>
              <w:tr2bl w:val="nil"/>
            </w:tcBorders>
          </w:tcPr>
          <w:p w14:paraId="4B05A90F">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color w:val="000000"/>
                <w:kern w:val="0"/>
                <w:sz w:val="24"/>
                <w:szCs w:val="24"/>
                <w:highlight w:val="none"/>
                <w:lang w:val="en-US" w:eastAsia="zh-CN" w:bidi="ar"/>
              </w:rPr>
              <w:t xml:space="preserve">供电接口 </w:t>
            </w:r>
          </w:p>
        </w:tc>
        <w:tc>
          <w:tcPr>
            <w:tcW w:w="6591" w:type="dxa"/>
            <w:tcBorders>
              <w:tl2br w:val="nil"/>
              <w:tr2bl w:val="nil"/>
            </w:tcBorders>
          </w:tcPr>
          <w:p w14:paraId="7D0FFF4D">
            <w:pPr>
              <w:keepNext w:val="0"/>
              <w:keepLines w:val="0"/>
              <w:pageBreakBefore w:val="0"/>
              <w:widowControl/>
              <w:suppressLineNumbers w:val="0"/>
              <w:kinsoku/>
              <w:wordWrap/>
              <w:overflowPunct/>
              <w:topLinePunct w:val="0"/>
              <w:bidi w:val="0"/>
              <w:snapToGrid/>
              <w:spacing w:line="240" w:lineRule="auto"/>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DC5521</w:t>
            </w:r>
          </w:p>
        </w:tc>
      </w:tr>
    </w:tbl>
    <w:p w14:paraId="27A7EF42">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10" w:name="_Toc10244"/>
      <w:r>
        <w:rPr>
          <w:rFonts w:hint="eastAsia" w:ascii="仿宋" w:hAnsi="仿宋" w:eastAsia="仿宋" w:cs="仿宋"/>
          <w:sz w:val="24"/>
          <w:szCs w:val="24"/>
          <w:highlight w:val="none"/>
          <w:lang w:val="en-US" w:eastAsia="zh-CN"/>
        </w:rPr>
        <w:t>5.5气溶胶参数指标</w:t>
      </w:r>
      <w:bookmarkEnd w:id="110"/>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992"/>
        <w:gridCol w:w="4368"/>
      </w:tblGrid>
      <w:tr w14:paraId="26D53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456F582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992" w:type="dxa"/>
            <w:tcBorders>
              <w:tl2br w:val="nil"/>
              <w:tr2bl w:val="nil"/>
            </w:tcBorders>
            <w:vAlign w:val="top"/>
          </w:tcPr>
          <w:p w14:paraId="5F8F3134">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w:t>
            </w:r>
          </w:p>
        </w:tc>
        <w:tc>
          <w:tcPr>
            <w:tcW w:w="4368" w:type="dxa"/>
            <w:tcBorders>
              <w:tl2br w:val="nil"/>
              <w:tr2bl w:val="nil"/>
            </w:tcBorders>
            <w:vAlign w:val="top"/>
          </w:tcPr>
          <w:p w14:paraId="3D6C712A">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要求</w:t>
            </w:r>
          </w:p>
        </w:tc>
      </w:tr>
      <w:tr w14:paraId="77D07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6BFC6556">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92" w:type="dxa"/>
            <w:tcBorders>
              <w:tl2br w:val="nil"/>
              <w:tr2bl w:val="nil"/>
            </w:tcBorders>
            <w:vAlign w:val="top"/>
          </w:tcPr>
          <w:p w14:paraId="4526B5C3">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工作环境温度范围</w:t>
            </w:r>
          </w:p>
        </w:tc>
        <w:tc>
          <w:tcPr>
            <w:tcW w:w="4368" w:type="dxa"/>
            <w:tcBorders>
              <w:tl2br w:val="nil"/>
              <w:tr2bl w:val="nil"/>
            </w:tcBorders>
            <w:vAlign w:val="top"/>
          </w:tcPr>
          <w:p w14:paraId="024E9713">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-40℃～+85℃</w:t>
            </w:r>
          </w:p>
        </w:tc>
      </w:tr>
      <w:tr w14:paraId="41DD8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42611DF2">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92" w:type="dxa"/>
            <w:tcBorders>
              <w:tl2br w:val="nil"/>
              <w:tr2bl w:val="nil"/>
            </w:tcBorders>
            <w:vAlign w:val="top"/>
          </w:tcPr>
          <w:p w14:paraId="3195207C">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启动方式</w:t>
            </w:r>
          </w:p>
        </w:tc>
        <w:tc>
          <w:tcPr>
            <w:tcW w:w="4368" w:type="dxa"/>
            <w:tcBorders>
              <w:tl2br w:val="nil"/>
              <w:tr2bl w:val="nil"/>
            </w:tcBorders>
            <w:vAlign w:val="top"/>
          </w:tcPr>
          <w:p w14:paraId="6C54437D">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具备热敏线</w:t>
            </w:r>
          </w:p>
        </w:tc>
      </w:tr>
      <w:tr w14:paraId="14DF0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37F6A6FC">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992" w:type="dxa"/>
            <w:tcBorders>
              <w:tl2br w:val="nil"/>
              <w:tr2bl w:val="nil"/>
            </w:tcBorders>
            <w:vAlign w:val="top"/>
          </w:tcPr>
          <w:p w14:paraId="1CA73EC7">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热敏线动作温度</w:t>
            </w:r>
          </w:p>
        </w:tc>
        <w:tc>
          <w:tcPr>
            <w:tcW w:w="4368" w:type="dxa"/>
            <w:tcBorders>
              <w:tl2br w:val="nil"/>
              <w:tr2bl w:val="nil"/>
            </w:tcBorders>
            <w:vAlign w:val="top"/>
          </w:tcPr>
          <w:p w14:paraId="1185F8D7">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170℃±10℃</w:t>
            </w:r>
          </w:p>
        </w:tc>
      </w:tr>
      <w:tr w14:paraId="2CA16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21B9812C">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2992" w:type="dxa"/>
            <w:tcBorders>
              <w:tl2br w:val="nil"/>
              <w:tr2bl w:val="nil"/>
            </w:tcBorders>
            <w:vAlign w:val="top"/>
          </w:tcPr>
          <w:p w14:paraId="52E467E2">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装置释放后表面温度</w:t>
            </w:r>
          </w:p>
        </w:tc>
        <w:tc>
          <w:tcPr>
            <w:tcW w:w="4368" w:type="dxa"/>
            <w:tcBorders>
              <w:tl2br w:val="nil"/>
              <w:tr2bl w:val="nil"/>
            </w:tcBorders>
            <w:vAlign w:val="top"/>
          </w:tcPr>
          <w:p w14:paraId="2A12EBAB">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w:t>
            </w:r>
          </w:p>
        </w:tc>
      </w:tr>
      <w:tr w14:paraId="3C5B6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03E0D398">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2992" w:type="dxa"/>
            <w:tcBorders>
              <w:tl2br w:val="nil"/>
              <w:tr2bl w:val="nil"/>
            </w:tcBorders>
            <w:vAlign w:val="top"/>
          </w:tcPr>
          <w:p w14:paraId="6C54406E">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外形尺寸</w:t>
            </w:r>
          </w:p>
        </w:tc>
        <w:tc>
          <w:tcPr>
            <w:tcW w:w="4368" w:type="dxa"/>
            <w:tcBorders>
              <w:tl2br w:val="nil"/>
              <w:tr2bl w:val="nil"/>
            </w:tcBorders>
            <w:vAlign w:val="top"/>
          </w:tcPr>
          <w:p w14:paraId="72BAA19B">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直径≤75mm，高度≤40mm</w:t>
            </w:r>
          </w:p>
        </w:tc>
      </w:tr>
      <w:tr w14:paraId="19A7A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35A3CD45">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2992" w:type="dxa"/>
            <w:tcBorders>
              <w:tl2br w:val="nil"/>
              <w:tr2bl w:val="nil"/>
            </w:tcBorders>
            <w:vAlign w:val="top"/>
          </w:tcPr>
          <w:p w14:paraId="03B16C4D">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b w:val="0"/>
                <w:bCs w:val="0"/>
                <w:kern w:val="0"/>
                <w:sz w:val="24"/>
                <w:szCs w:val="24"/>
                <w:highlight w:val="none"/>
              </w:rPr>
              <w:t>药剂重量</w:t>
            </w:r>
          </w:p>
        </w:tc>
        <w:tc>
          <w:tcPr>
            <w:tcW w:w="4368" w:type="dxa"/>
            <w:tcBorders>
              <w:tl2br w:val="nil"/>
              <w:tr2bl w:val="nil"/>
            </w:tcBorders>
            <w:vAlign w:val="top"/>
          </w:tcPr>
          <w:p w14:paraId="05F631D2">
            <w:pPr>
              <w:pageBreakBefore w:val="0"/>
              <w:kinsoku/>
              <w:wordWrap/>
              <w:overflowPunct/>
              <w:topLinePunct w:val="0"/>
              <w:bidi w:val="0"/>
              <w:snapToGrid/>
              <w:spacing w:before="120" w:after="120" w:line="240" w:lineRule="auto"/>
              <w:jc w:val="both"/>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0g</w:t>
            </w:r>
            <w:r>
              <w:rPr>
                <w:rFonts w:hint="eastAsia" w:ascii="仿宋" w:hAnsi="仿宋" w:eastAsia="仿宋" w:cs="仿宋"/>
                <w:kern w:val="0"/>
                <w:sz w:val="24"/>
                <w:szCs w:val="24"/>
                <w:highlight w:val="none"/>
                <w:lang w:val="en-US" w:eastAsia="zh-CN"/>
              </w:rPr>
              <w:t>（单仓），</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g</w:t>
            </w:r>
            <w:r>
              <w:rPr>
                <w:rFonts w:hint="eastAsia" w:ascii="仿宋" w:hAnsi="仿宋" w:eastAsia="仿宋" w:cs="仿宋"/>
                <w:kern w:val="0"/>
                <w:sz w:val="24"/>
                <w:szCs w:val="24"/>
                <w:highlight w:val="none"/>
                <w:lang w:val="en-US" w:eastAsia="zh-CN"/>
              </w:rPr>
              <w:t>（电器仓）</w:t>
            </w:r>
          </w:p>
        </w:tc>
      </w:tr>
      <w:tr w14:paraId="0DFE1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664983A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2992" w:type="dxa"/>
            <w:tcBorders>
              <w:tl2br w:val="nil"/>
              <w:tr2bl w:val="nil"/>
            </w:tcBorders>
            <w:vAlign w:val="top"/>
          </w:tcPr>
          <w:p w14:paraId="3E534B7E">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灭火浓度</w:t>
            </w:r>
          </w:p>
        </w:tc>
        <w:tc>
          <w:tcPr>
            <w:tcW w:w="4368" w:type="dxa"/>
            <w:tcBorders>
              <w:tl2br w:val="nil"/>
              <w:tr2bl w:val="nil"/>
            </w:tcBorders>
            <w:vAlign w:val="top"/>
          </w:tcPr>
          <w:p w14:paraId="1A8E4BE1">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100g/m3</w:t>
            </w:r>
          </w:p>
        </w:tc>
      </w:tr>
      <w:tr w14:paraId="2083F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728E0F03">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2992" w:type="dxa"/>
            <w:tcBorders>
              <w:tl2br w:val="nil"/>
              <w:tr2bl w:val="nil"/>
            </w:tcBorders>
            <w:vAlign w:val="top"/>
          </w:tcPr>
          <w:p w14:paraId="0D68144E">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装置保护体积</w:t>
            </w:r>
          </w:p>
        </w:tc>
        <w:tc>
          <w:tcPr>
            <w:tcW w:w="4368" w:type="dxa"/>
            <w:tcBorders>
              <w:tl2br w:val="nil"/>
              <w:tr2bl w:val="nil"/>
            </w:tcBorders>
            <w:vAlign w:val="top"/>
          </w:tcPr>
          <w:p w14:paraId="5AFC2E30">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m3</w:t>
            </w:r>
            <w:r>
              <w:rPr>
                <w:rFonts w:hint="eastAsia" w:ascii="仿宋" w:hAnsi="仿宋" w:eastAsia="仿宋" w:cs="仿宋"/>
                <w:kern w:val="0"/>
                <w:sz w:val="24"/>
                <w:szCs w:val="24"/>
                <w:highlight w:val="none"/>
                <w:lang w:val="en-US" w:eastAsia="zh-CN"/>
              </w:rPr>
              <w:t>（单仓），</w:t>
            </w:r>
            <w:r>
              <w:rPr>
                <w:rFonts w:hint="eastAsia" w:ascii="仿宋" w:hAnsi="仿宋" w:eastAsia="仿宋" w:cs="仿宋"/>
                <w:kern w:val="0"/>
                <w:sz w:val="24"/>
                <w:szCs w:val="24"/>
                <w:highlight w:val="none"/>
              </w:rPr>
              <w:t>≥0.3m3</w:t>
            </w:r>
            <w:r>
              <w:rPr>
                <w:rFonts w:hint="eastAsia" w:ascii="仿宋" w:hAnsi="仿宋" w:eastAsia="仿宋" w:cs="仿宋"/>
                <w:kern w:val="0"/>
                <w:sz w:val="24"/>
                <w:szCs w:val="24"/>
                <w:highlight w:val="none"/>
                <w:lang w:val="en-US" w:eastAsia="zh-CN"/>
              </w:rPr>
              <w:t>（电器仓）</w:t>
            </w:r>
          </w:p>
        </w:tc>
      </w:tr>
      <w:tr w14:paraId="34DD0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2BE1FF3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p>
        </w:tc>
        <w:tc>
          <w:tcPr>
            <w:tcW w:w="2992" w:type="dxa"/>
            <w:tcBorders>
              <w:tl2br w:val="nil"/>
              <w:tr2bl w:val="nil"/>
            </w:tcBorders>
            <w:vAlign w:val="top"/>
          </w:tcPr>
          <w:p w14:paraId="0A71D738">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喷射时间</w:t>
            </w:r>
          </w:p>
        </w:tc>
        <w:tc>
          <w:tcPr>
            <w:tcW w:w="4368" w:type="dxa"/>
            <w:tcBorders>
              <w:tl2br w:val="nil"/>
              <w:tr2bl w:val="nil"/>
            </w:tcBorders>
            <w:vAlign w:val="top"/>
          </w:tcPr>
          <w:p w14:paraId="3354D7EB">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≤3.5s</w:t>
            </w:r>
          </w:p>
        </w:tc>
      </w:tr>
      <w:tr w14:paraId="3300C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70FA2C7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c>
          <w:tcPr>
            <w:tcW w:w="2992" w:type="dxa"/>
            <w:tcBorders>
              <w:tl2br w:val="nil"/>
              <w:tr2bl w:val="nil"/>
            </w:tcBorders>
            <w:vAlign w:val="top"/>
          </w:tcPr>
          <w:p w14:paraId="3CE4DBEC">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喷射滞后时间</w:t>
            </w:r>
          </w:p>
        </w:tc>
        <w:tc>
          <w:tcPr>
            <w:tcW w:w="4368" w:type="dxa"/>
            <w:tcBorders>
              <w:tl2br w:val="nil"/>
              <w:tr2bl w:val="nil"/>
            </w:tcBorders>
            <w:vAlign w:val="top"/>
          </w:tcPr>
          <w:p w14:paraId="2A8354DA">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≤1s</w:t>
            </w:r>
          </w:p>
        </w:tc>
      </w:tr>
      <w:tr w14:paraId="4B3C8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7A6897B0">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2992" w:type="dxa"/>
            <w:tcBorders>
              <w:tl2br w:val="nil"/>
              <w:tr2bl w:val="nil"/>
            </w:tcBorders>
            <w:vAlign w:val="top"/>
          </w:tcPr>
          <w:p w14:paraId="68BCA40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发生剂含水率</w:t>
            </w:r>
          </w:p>
        </w:tc>
        <w:tc>
          <w:tcPr>
            <w:tcW w:w="4368" w:type="dxa"/>
            <w:tcBorders>
              <w:tl2br w:val="nil"/>
              <w:tr2bl w:val="nil"/>
            </w:tcBorders>
            <w:vAlign w:val="top"/>
          </w:tcPr>
          <w:p w14:paraId="0DE4DBD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≤0.21%</w:t>
            </w:r>
          </w:p>
        </w:tc>
      </w:tr>
      <w:tr w14:paraId="7B669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27677998">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p>
        </w:tc>
        <w:tc>
          <w:tcPr>
            <w:tcW w:w="2992" w:type="dxa"/>
            <w:tcBorders>
              <w:tl2br w:val="nil"/>
              <w:tr2bl w:val="nil"/>
            </w:tcBorders>
            <w:vAlign w:val="top"/>
          </w:tcPr>
          <w:p w14:paraId="5A4FA75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发生剂吸湿率</w:t>
            </w:r>
          </w:p>
        </w:tc>
        <w:tc>
          <w:tcPr>
            <w:tcW w:w="4368" w:type="dxa"/>
            <w:tcBorders>
              <w:tl2br w:val="nil"/>
              <w:tr2bl w:val="nil"/>
            </w:tcBorders>
            <w:vAlign w:val="top"/>
          </w:tcPr>
          <w:p w14:paraId="1A46F3A6">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≤0.85%</w:t>
            </w:r>
          </w:p>
        </w:tc>
      </w:tr>
      <w:tr w14:paraId="03D80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07955BB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w:t>
            </w:r>
          </w:p>
        </w:tc>
        <w:tc>
          <w:tcPr>
            <w:tcW w:w="2992" w:type="dxa"/>
            <w:tcBorders>
              <w:tl2br w:val="nil"/>
              <w:tr2bl w:val="nil"/>
            </w:tcBorders>
            <w:vAlign w:val="top"/>
          </w:tcPr>
          <w:p w14:paraId="7F2917B2">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发生剂发气量</w:t>
            </w:r>
          </w:p>
        </w:tc>
        <w:tc>
          <w:tcPr>
            <w:tcW w:w="4368" w:type="dxa"/>
            <w:tcBorders>
              <w:tl2br w:val="nil"/>
              <w:tr2bl w:val="nil"/>
            </w:tcBorders>
            <w:vAlign w:val="top"/>
          </w:tcPr>
          <w:p w14:paraId="58266815">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≥350ml/g</w:t>
            </w:r>
          </w:p>
        </w:tc>
      </w:tr>
      <w:tr w14:paraId="7B4BB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3E2608B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c>
          <w:tcPr>
            <w:tcW w:w="2992" w:type="dxa"/>
            <w:tcBorders>
              <w:tl2br w:val="nil"/>
              <w:tr2bl w:val="nil"/>
            </w:tcBorders>
            <w:vAlign w:val="top"/>
          </w:tcPr>
          <w:p w14:paraId="2810188E">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降尘率</w:t>
            </w:r>
          </w:p>
        </w:tc>
        <w:tc>
          <w:tcPr>
            <w:tcW w:w="4368" w:type="dxa"/>
            <w:tcBorders>
              <w:tl2br w:val="nil"/>
              <w:tr2bl w:val="nil"/>
            </w:tcBorders>
            <w:vAlign w:val="top"/>
          </w:tcPr>
          <w:p w14:paraId="26F90D3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≤0.8g/m3</w:t>
            </w:r>
          </w:p>
        </w:tc>
      </w:tr>
      <w:tr w14:paraId="2AF04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6BE0ADD3">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c>
          <w:tcPr>
            <w:tcW w:w="2992" w:type="dxa"/>
            <w:tcBorders>
              <w:tl2br w:val="nil"/>
              <w:tr2bl w:val="nil"/>
            </w:tcBorders>
            <w:vAlign w:val="top"/>
          </w:tcPr>
          <w:p w14:paraId="2CD8DCA4">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固态降尘物绝缘强度</w:t>
            </w:r>
          </w:p>
        </w:tc>
        <w:tc>
          <w:tcPr>
            <w:tcW w:w="4368" w:type="dxa"/>
            <w:tcBorders>
              <w:tl2br w:val="nil"/>
              <w:tr2bl w:val="nil"/>
            </w:tcBorders>
            <w:vAlign w:val="top"/>
          </w:tcPr>
          <w:p w14:paraId="767BEFB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≥130M Q</w:t>
            </w:r>
          </w:p>
        </w:tc>
      </w:tr>
      <w:tr w14:paraId="10409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27A0E574">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w:t>
            </w:r>
          </w:p>
        </w:tc>
        <w:tc>
          <w:tcPr>
            <w:tcW w:w="2992" w:type="dxa"/>
            <w:tcBorders>
              <w:tl2br w:val="nil"/>
              <w:tr2bl w:val="nil"/>
            </w:tcBorders>
            <w:vAlign w:val="top"/>
          </w:tcPr>
          <w:p w14:paraId="251455F5">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水溶液PH值</w:t>
            </w:r>
          </w:p>
        </w:tc>
        <w:tc>
          <w:tcPr>
            <w:tcW w:w="4368" w:type="dxa"/>
            <w:tcBorders>
              <w:tl2br w:val="nil"/>
              <w:tr2bl w:val="nil"/>
            </w:tcBorders>
            <w:vAlign w:val="top"/>
          </w:tcPr>
          <w:p w14:paraId="43CFF6E0">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6.5～8.5</w:t>
            </w:r>
          </w:p>
        </w:tc>
      </w:tr>
      <w:tr w14:paraId="4E5BC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7CD688DC">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p>
        </w:tc>
        <w:tc>
          <w:tcPr>
            <w:tcW w:w="2992" w:type="dxa"/>
            <w:tcBorders>
              <w:tl2br w:val="nil"/>
              <w:tr2bl w:val="nil"/>
            </w:tcBorders>
            <w:vAlign w:val="top"/>
          </w:tcPr>
          <w:p w14:paraId="764E7FE9">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启动电流</w:t>
            </w:r>
          </w:p>
        </w:tc>
        <w:tc>
          <w:tcPr>
            <w:tcW w:w="4368" w:type="dxa"/>
            <w:tcBorders>
              <w:tl2br w:val="nil"/>
              <w:tr2bl w:val="nil"/>
            </w:tcBorders>
            <w:vAlign w:val="top"/>
          </w:tcPr>
          <w:p w14:paraId="4A13A404">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≥700mA</w:t>
            </w:r>
          </w:p>
        </w:tc>
      </w:tr>
      <w:tr w14:paraId="00360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5516802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w:t>
            </w:r>
          </w:p>
        </w:tc>
        <w:tc>
          <w:tcPr>
            <w:tcW w:w="2992" w:type="dxa"/>
            <w:tcBorders>
              <w:tl2br w:val="nil"/>
              <w:tr2bl w:val="nil"/>
            </w:tcBorders>
            <w:vAlign w:val="top"/>
          </w:tcPr>
          <w:p w14:paraId="5B610D55">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安全电流</w:t>
            </w:r>
          </w:p>
        </w:tc>
        <w:tc>
          <w:tcPr>
            <w:tcW w:w="4368" w:type="dxa"/>
            <w:tcBorders>
              <w:tl2br w:val="nil"/>
              <w:tr2bl w:val="nil"/>
            </w:tcBorders>
            <w:vAlign w:val="top"/>
          </w:tcPr>
          <w:p w14:paraId="7E846F94">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≤150mA</w:t>
            </w:r>
          </w:p>
        </w:tc>
      </w:tr>
      <w:tr w14:paraId="061EE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317BEE96">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w:t>
            </w:r>
          </w:p>
        </w:tc>
        <w:tc>
          <w:tcPr>
            <w:tcW w:w="2992" w:type="dxa"/>
            <w:tcBorders>
              <w:tl2br w:val="nil"/>
              <w:tr2bl w:val="nil"/>
            </w:tcBorders>
            <w:vAlign w:val="top"/>
          </w:tcPr>
          <w:p w14:paraId="59E5267B">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热敏线长度</w:t>
            </w:r>
          </w:p>
        </w:tc>
        <w:tc>
          <w:tcPr>
            <w:tcW w:w="4368" w:type="dxa"/>
            <w:tcBorders>
              <w:tl2br w:val="nil"/>
              <w:tr2bl w:val="nil"/>
            </w:tcBorders>
            <w:vAlign w:val="top"/>
          </w:tcPr>
          <w:p w14:paraId="1855B71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20cm</w:t>
            </w:r>
          </w:p>
        </w:tc>
      </w:tr>
      <w:tr w14:paraId="60FEC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090ED0AF">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2992" w:type="dxa"/>
            <w:tcBorders>
              <w:tl2br w:val="nil"/>
              <w:tr2bl w:val="nil"/>
            </w:tcBorders>
            <w:vAlign w:val="top"/>
          </w:tcPr>
          <w:p w14:paraId="2B6B7F67">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热引发器燃烧速度</w:t>
            </w:r>
          </w:p>
        </w:tc>
        <w:tc>
          <w:tcPr>
            <w:tcW w:w="4368" w:type="dxa"/>
            <w:tcBorders>
              <w:tl2br w:val="nil"/>
              <w:tr2bl w:val="nil"/>
            </w:tcBorders>
            <w:vAlign w:val="top"/>
          </w:tcPr>
          <w:p w14:paraId="25E30E36">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≥7.1s/m</w:t>
            </w:r>
          </w:p>
        </w:tc>
      </w:tr>
      <w:tr w14:paraId="091D9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65165BE5">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2992" w:type="dxa"/>
            <w:tcBorders>
              <w:tl2br w:val="nil"/>
              <w:tr2bl w:val="nil"/>
            </w:tcBorders>
            <w:vAlign w:val="top"/>
          </w:tcPr>
          <w:p w14:paraId="288DA791">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电绝缘性</w:t>
            </w:r>
          </w:p>
        </w:tc>
        <w:tc>
          <w:tcPr>
            <w:tcW w:w="4368" w:type="dxa"/>
            <w:tcBorders>
              <w:tl2br w:val="nil"/>
              <w:tr2bl w:val="nil"/>
            </w:tcBorders>
            <w:vAlign w:val="top"/>
          </w:tcPr>
          <w:p w14:paraId="62BF39E1">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≥3KV</w:t>
            </w:r>
          </w:p>
        </w:tc>
      </w:tr>
      <w:tr w14:paraId="02E57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2" w:type="dxa"/>
            <w:tcBorders>
              <w:tl2br w:val="nil"/>
              <w:tr2bl w:val="nil"/>
            </w:tcBorders>
            <w:vAlign w:val="top"/>
          </w:tcPr>
          <w:p w14:paraId="3CAD39E0">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p>
        </w:tc>
        <w:tc>
          <w:tcPr>
            <w:tcW w:w="2992" w:type="dxa"/>
            <w:tcBorders>
              <w:tl2br w:val="nil"/>
              <w:tr2bl w:val="nil"/>
            </w:tcBorders>
            <w:vAlign w:val="top"/>
          </w:tcPr>
          <w:p w14:paraId="1359FC77">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使用年限</w:t>
            </w:r>
          </w:p>
        </w:tc>
        <w:tc>
          <w:tcPr>
            <w:tcW w:w="4368" w:type="dxa"/>
            <w:tcBorders>
              <w:tl2br w:val="nil"/>
              <w:tr2bl w:val="nil"/>
            </w:tcBorders>
            <w:vAlign w:val="top"/>
          </w:tcPr>
          <w:p w14:paraId="6D4FF3B8">
            <w:pPr>
              <w:pageBreakBefore w:val="0"/>
              <w:kinsoku/>
              <w:wordWrap/>
              <w:overflowPunct/>
              <w:topLinePunct w:val="0"/>
              <w:bidi w:val="0"/>
              <w:snapToGrid/>
              <w:spacing w:before="120" w:after="120" w:line="24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≥8年</w:t>
            </w:r>
          </w:p>
        </w:tc>
      </w:tr>
    </w:tbl>
    <w:p w14:paraId="60D998CA">
      <w:pPr>
        <w:pStyle w:val="59"/>
        <w:pageBreakBefore w:val="0"/>
        <w:kinsoku/>
        <w:wordWrap/>
        <w:overflowPunct/>
        <w:topLinePunct w:val="0"/>
        <w:bidi w:val="0"/>
        <w:snapToGrid/>
        <w:spacing w:line="240" w:lineRule="auto"/>
        <w:ind w:left="0" w:leftChars="0" w:firstLine="0" w:firstLineChars="0"/>
        <w:rPr>
          <w:rFonts w:hint="eastAsia" w:ascii="仿宋" w:hAnsi="仿宋" w:eastAsia="仿宋" w:cs="仿宋"/>
          <w:sz w:val="18"/>
          <w:szCs w:val="18"/>
          <w:highlight w:val="none"/>
        </w:rPr>
      </w:pPr>
    </w:p>
    <w:p w14:paraId="535AA42B">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11" w:name="_Toc1353"/>
      <w:r>
        <w:rPr>
          <w:rFonts w:hint="eastAsia" w:ascii="仿宋" w:hAnsi="仿宋" w:eastAsia="仿宋" w:cs="仿宋"/>
          <w:sz w:val="24"/>
          <w:szCs w:val="24"/>
          <w:highlight w:val="none"/>
          <w:lang w:val="en-US" w:eastAsia="zh-CN"/>
        </w:rPr>
        <w:t>5.6</w:t>
      </w:r>
      <w:bookmarkStart w:id="112" w:name="_Toc26655"/>
      <w:bookmarkStart w:id="113" w:name="_Toc6037"/>
      <w:r>
        <w:rPr>
          <w:rFonts w:hint="eastAsia" w:ascii="仿宋" w:hAnsi="仿宋" w:eastAsia="仿宋" w:cs="仿宋"/>
          <w:sz w:val="24"/>
          <w:szCs w:val="24"/>
          <w:highlight w:val="none"/>
          <w:lang w:val="en-US" w:eastAsia="zh-CN"/>
        </w:rPr>
        <w:t>温湿度烟雾传感器</w:t>
      </w:r>
      <w:bookmarkEnd w:id="111"/>
    </w:p>
    <w:bookmarkEnd w:id="112"/>
    <w:bookmarkEnd w:id="113"/>
    <w:p w14:paraId="6E9A6015">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bookmarkStart w:id="114" w:name="1.2功能特点"/>
      <w:bookmarkEnd w:id="114"/>
      <w:bookmarkStart w:id="115" w:name="_Toc28279"/>
      <w:r>
        <w:rPr>
          <w:rFonts w:hint="eastAsia" w:ascii="仿宋" w:hAnsi="仿宋" w:eastAsia="仿宋" w:cs="仿宋"/>
          <w:kern w:val="0"/>
          <w:sz w:val="24"/>
          <w:szCs w:val="24"/>
          <w:highlight w:val="none"/>
          <w:lang w:val="en-US" w:eastAsia="zh-CN"/>
        </w:rPr>
        <w:t xml:space="preserve">5.6.1概述 </w:t>
      </w:r>
    </w:p>
    <w:p w14:paraId="7C6053DD">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通过性能优良的光电探测器来检测火灾产生的烟雾进而产生火灾报警。光电式检测具有稳定度高，鉴定灵敏等特点。传感器内置指示灯与蜂鸣器，预警后可以发出强烈声响。同时传感器采用标准的485信号输出，对于我们充换电柜来说能及时查询仓内的温度并上报主机，如有烟雾能及时的报警并上报主机果断处理。</w:t>
      </w:r>
      <w:bookmarkEnd w:id="115"/>
      <w:bookmarkStart w:id="116" w:name="1.3主要参数"/>
      <w:bookmarkEnd w:id="116"/>
      <w:bookmarkStart w:id="117" w:name="_Toc13679"/>
    </w:p>
    <w:bookmarkEnd w:id="117"/>
    <w:p w14:paraId="41311754">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bookmarkStart w:id="118" w:name="1.5温度参数（-S20型）"/>
      <w:bookmarkEnd w:id="118"/>
      <w:r>
        <w:rPr>
          <w:rFonts w:hint="eastAsia" w:ascii="仿宋" w:hAnsi="仿宋" w:eastAsia="仿宋" w:cs="仿宋"/>
          <w:kern w:val="0"/>
          <w:sz w:val="24"/>
          <w:szCs w:val="24"/>
          <w:highlight w:val="none"/>
          <w:lang w:val="en-US" w:eastAsia="zh-CN"/>
        </w:rPr>
        <w:t>5.6.2主要参数</w:t>
      </w:r>
    </w:p>
    <w:p w14:paraId="32E086E8">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供电电源：10~30V DC            静态功耗：0.12W</w:t>
      </w:r>
    </w:p>
    <w:p w14:paraId="5D4E3DD2">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报警功耗：0.7W                 报警声响：≥80dB</w:t>
      </w:r>
    </w:p>
    <w:p w14:paraId="01B79C89">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信号输出：RS485                通信协议：ModBus-RTU</w:t>
      </w:r>
    </w:p>
    <w:p w14:paraId="3D5B0F32">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烟雾灵敏度：1.06±.26%ＦＴ      符合标准：GB4715-2005</w:t>
      </w:r>
    </w:p>
    <w:p w14:paraId="2A72C2A1">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工作环境：-10℃~50℃，≤95%，无凝露</w:t>
      </w:r>
    </w:p>
    <w:p w14:paraId="5BDD78F2">
      <w:pPr>
        <w:pStyle w:val="4"/>
        <w:keepNext/>
        <w:keepLines/>
        <w:pageBreakBefore w:val="0"/>
        <w:widowControl w:val="0"/>
        <w:numPr>
          <w:ilvl w:val="2"/>
          <w:numId w:val="0"/>
        </w:numPr>
        <w:kinsoku/>
        <w:wordWrap/>
        <w:overflowPunct/>
        <w:topLinePunct w:val="0"/>
        <w:autoSpaceDE/>
        <w:autoSpaceDN/>
        <w:bidi w:val="0"/>
        <w:adjustRightInd w:val="0"/>
        <w:snapToGrid w:val="0"/>
        <w:spacing w:before="144" w:beforeLines="50" w:after="144" w:afterLines="50" w:line="240" w:lineRule="auto"/>
        <w:ind w:leftChars="200"/>
        <w:textAlignment w:val="auto"/>
        <w:rPr>
          <w:rFonts w:hint="eastAsia" w:ascii="仿宋" w:hAnsi="仿宋" w:eastAsia="仿宋" w:cs="仿宋"/>
          <w:sz w:val="24"/>
          <w:szCs w:val="24"/>
          <w:highlight w:val="none"/>
          <w:lang w:val="en-US" w:eastAsia="zh-CN"/>
        </w:rPr>
      </w:pPr>
      <w:bookmarkStart w:id="119" w:name="_Toc23661"/>
      <w:r>
        <w:rPr>
          <w:rFonts w:hint="eastAsia" w:ascii="仿宋" w:hAnsi="仿宋" w:eastAsia="仿宋" w:cs="仿宋"/>
          <w:sz w:val="24"/>
          <w:szCs w:val="24"/>
          <w:highlight w:val="none"/>
          <w:lang w:val="en-US" w:eastAsia="zh-CN"/>
        </w:rPr>
        <w:t>5.7光电接近传感器技术参数</w:t>
      </w:r>
      <w:bookmarkEnd w:id="119"/>
    </w:p>
    <w:tbl>
      <w:tblPr>
        <w:tblStyle w:val="28"/>
        <w:tblpPr w:leftFromText="180" w:rightFromText="180" w:vertAnchor="text" w:horzAnchor="page" w:tblpX="1804" w:tblpY="54"/>
        <w:tblOverlap w:val="never"/>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4FAA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07DD20A8">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静态电流</w:t>
            </w:r>
          </w:p>
        </w:tc>
        <w:tc>
          <w:tcPr>
            <w:tcW w:w="2130" w:type="dxa"/>
            <w:tcBorders>
              <w:tl2br w:val="nil"/>
              <w:tr2bl w:val="nil"/>
            </w:tcBorders>
          </w:tcPr>
          <w:p w14:paraId="18EFFD9D">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3mA</w:t>
            </w:r>
          </w:p>
        </w:tc>
        <w:tc>
          <w:tcPr>
            <w:tcW w:w="2131" w:type="dxa"/>
            <w:tcBorders>
              <w:tl2br w:val="nil"/>
              <w:tr2bl w:val="nil"/>
            </w:tcBorders>
          </w:tcPr>
          <w:p w14:paraId="5DEC3D55">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输入电压</w:t>
            </w:r>
          </w:p>
        </w:tc>
        <w:tc>
          <w:tcPr>
            <w:tcW w:w="2131" w:type="dxa"/>
            <w:tcBorders>
              <w:tl2br w:val="nil"/>
              <w:tr2bl w:val="nil"/>
            </w:tcBorders>
          </w:tcPr>
          <w:p w14:paraId="31C98950">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DC12v</w:t>
            </w:r>
          </w:p>
        </w:tc>
      </w:tr>
      <w:tr w14:paraId="4B1B8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623886D5">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输出方式</w:t>
            </w:r>
          </w:p>
        </w:tc>
        <w:tc>
          <w:tcPr>
            <w:tcW w:w="2130" w:type="dxa"/>
            <w:tcBorders>
              <w:tl2br w:val="nil"/>
              <w:tr2bl w:val="nil"/>
            </w:tcBorders>
          </w:tcPr>
          <w:p w14:paraId="16AA0B42">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继电器NO/NC</w:t>
            </w:r>
          </w:p>
        </w:tc>
        <w:tc>
          <w:tcPr>
            <w:tcW w:w="2131" w:type="dxa"/>
            <w:tcBorders>
              <w:tl2br w:val="nil"/>
              <w:tr2bl w:val="nil"/>
            </w:tcBorders>
          </w:tcPr>
          <w:p w14:paraId="4E10B323">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负载电流</w:t>
            </w:r>
          </w:p>
        </w:tc>
        <w:tc>
          <w:tcPr>
            <w:tcW w:w="2131" w:type="dxa"/>
            <w:tcBorders>
              <w:tl2br w:val="nil"/>
              <w:tr2bl w:val="nil"/>
            </w:tcBorders>
          </w:tcPr>
          <w:p w14:paraId="7B9FA646">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2A</w:t>
            </w:r>
          </w:p>
        </w:tc>
      </w:tr>
      <w:tr w14:paraId="5CDB6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65FD743C">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感应距离</w:t>
            </w:r>
          </w:p>
        </w:tc>
        <w:tc>
          <w:tcPr>
            <w:tcW w:w="2130" w:type="dxa"/>
            <w:tcBorders>
              <w:tl2br w:val="nil"/>
              <w:tr2bl w:val="nil"/>
            </w:tcBorders>
          </w:tcPr>
          <w:p w14:paraId="51D930C6">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5~30cm</w:t>
            </w:r>
          </w:p>
        </w:tc>
        <w:tc>
          <w:tcPr>
            <w:tcW w:w="2131" w:type="dxa"/>
            <w:tcBorders>
              <w:tl2br w:val="nil"/>
              <w:tr2bl w:val="nil"/>
            </w:tcBorders>
          </w:tcPr>
          <w:p w14:paraId="156A9622">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感应方式</w:t>
            </w:r>
          </w:p>
        </w:tc>
        <w:tc>
          <w:tcPr>
            <w:tcW w:w="2131" w:type="dxa"/>
            <w:tcBorders>
              <w:tl2br w:val="nil"/>
              <w:tr2bl w:val="nil"/>
            </w:tcBorders>
          </w:tcPr>
          <w:p w14:paraId="660733AC">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慢反射</w:t>
            </w:r>
          </w:p>
        </w:tc>
      </w:tr>
      <w:tr w14:paraId="72ED5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2F320233">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响应时间</w:t>
            </w:r>
          </w:p>
        </w:tc>
        <w:tc>
          <w:tcPr>
            <w:tcW w:w="2130" w:type="dxa"/>
            <w:tcBorders>
              <w:tl2br w:val="nil"/>
              <w:tr2bl w:val="nil"/>
            </w:tcBorders>
          </w:tcPr>
          <w:p w14:paraId="527158EB">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300ms</w:t>
            </w:r>
          </w:p>
        </w:tc>
        <w:tc>
          <w:tcPr>
            <w:tcW w:w="2131" w:type="dxa"/>
            <w:tcBorders>
              <w:tl2br w:val="nil"/>
              <w:tr2bl w:val="nil"/>
            </w:tcBorders>
          </w:tcPr>
          <w:p w14:paraId="6FE96B55">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工作温度</w:t>
            </w:r>
          </w:p>
        </w:tc>
        <w:tc>
          <w:tcPr>
            <w:tcW w:w="2131" w:type="dxa"/>
            <w:tcBorders>
              <w:tl2br w:val="nil"/>
              <w:tr2bl w:val="nil"/>
            </w:tcBorders>
          </w:tcPr>
          <w:p w14:paraId="7436A060">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-20~85度</w:t>
            </w:r>
          </w:p>
        </w:tc>
      </w:tr>
      <w:tr w14:paraId="24FC7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01539284">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感应角度</w:t>
            </w:r>
          </w:p>
        </w:tc>
        <w:tc>
          <w:tcPr>
            <w:tcW w:w="2130" w:type="dxa"/>
            <w:tcBorders>
              <w:tl2br w:val="nil"/>
              <w:tr2bl w:val="nil"/>
            </w:tcBorders>
          </w:tcPr>
          <w:p w14:paraId="70D912AF">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40度圆锥角</w:t>
            </w:r>
          </w:p>
        </w:tc>
        <w:tc>
          <w:tcPr>
            <w:tcW w:w="2131" w:type="dxa"/>
            <w:tcBorders>
              <w:tl2br w:val="nil"/>
              <w:tr2bl w:val="nil"/>
            </w:tcBorders>
          </w:tcPr>
          <w:p w14:paraId="0634D6F7">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存储温度</w:t>
            </w:r>
          </w:p>
        </w:tc>
        <w:tc>
          <w:tcPr>
            <w:tcW w:w="2131" w:type="dxa"/>
            <w:tcBorders>
              <w:tl2br w:val="nil"/>
              <w:tr2bl w:val="nil"/>
            </w:tcBorders>
          </w:tcPr>
          <w:p w14:paraId="12DFB0F3">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-20~85度</w:t>
            </w:r>
          </w:p>
        </w:tc>
      </w:tr>
      <w:tr w14:paraId="14A26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5B627E44">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防水</w:t>
            </w:r>
          </w:p>
        </w:tc>
        <w:tc>
          <w:tcPr>
            <w:tcW w:w="2130" w:type="dxa"/>
            <w:tcBorders>
              <w:tl2br w:val="nil"/>
              <w:tr2bl w:val="nil"/>
            </w:tcBorders>
          </w:tcPr>
          <w:p w14:paraId="7FD57C3A">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IP67</w:t>
            </w:r>
          </w:p>
        </w:tc>
        <w:tc>
          <w:tcPr>
            <w:tcW w:w="2131" w:type="dxa"/>
            <w:tcBorders>
              <w:tl2br w:val="nil"/>
              <w:tr2bl w:val="nil"/>
            </w:tcBorders>
          </w:tcPr>
          <w:p w14:paraId="42BEAC28">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材质</w:t>
            </w:r>
          </w:p>
        </w:tc>
        <w:tc>
          <w:tcPr>
            <w:tcW w:w="2131" w:type="dxa"/>
            <w:tcBorders>
              <w:tl2br w:val="nil"/>
              <w:tr2bl w:val="nil"/>
            </w:tcBorders>
          </w:tcPr>
          <w:p w14:paraId="46B6F98D">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PC VO 防火料</w:t>
            </w:r>
          </w:p>
        </w:tc>
      </w:tr>
      <w:tr w14:paraId="06188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tcPr>
          <w:p w14:paraId="55E7E2F4">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环保等级</w:t>
            </w:r>
          </w:p>
        </w:tc>
        <w:tc>
          <w:tcPr>
            <w:tcW w:w="2130" w:type="dxa"/>
            <w:tcBorders>
              <w:tl2br w:val="nil"/>
              <w:tr2bl w:val="nil"/>
            </w:tcBorders>
          </w:tcPr>
          <w:p w14:paraId="5CBB3E4F">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ROHS-2.0</w:t>
            </w:r>
          </w:p>
        </w:tc>
        <w:tc>
          <w:tcPr>
            <w:tcW w:w="2131" w:type="dxa"/>
            <w:tcBorders>
              <w:tl2br w:val="nil"/>
              <w:tr2bl w:val="nil"/>
            </w:tcBorders>
          </w:tcPr>
          <w:p w14:paraId="3E1CBD1D">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安全认证</w:t>
            </w:r>
          </w:p>
        </w:tc>
        <w:tc>
          <w:tcPr>
            <w:tcW w:w="2131" w:type="dxa"/>
            <w:tcBorders>
              <w:tl2br w:val="nil"/>
              <w:tr2bl w:val="nil"/>
            </w:tcBorders>
          </w:tcPr>
          <w:p w14:paraId="2652563E">
            <w:pPr>
              <w:pStyle w:val="59"/>
              <w:pageBreakBefore w:val="0"/>
              <w:kinsoku/>
              <w:wordWrap/>
              <w:overflowPunct/>
              <w:topLinePunct w:val="0"/>
              <w:bidi w:val="0"/>
              <w:snapToGrid/>
              <w:spacing w:line="24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CE</w:t>
            </w:r>
          </w:p>
        </w:tc>
      </w:tr>
    </w:tbl>
    <w:p w14:paraId="1F45FBB3">
      <w:pPr>
        <w:pageBreakBefore w:val="0"/>
        <w:kinsoku/>
        <w:wordWrap/>
        <w:overflowPunct/>
        <w:topLinePunct w:val="0"/>
        <w:bidi w:val="0"/>
        <w:snapToGrid/>
        <w:spacing w:line="240" w:lineRule="auto"/>
        <w:rPr>
          <w:rFonts w:hint="eastAsia" w:ascii="仿宋" w:hAnsi="仿宋" w:eastAsia="仿宋" w:cs="仿宋"/>
          <w:sz w:val="24"/>
          <w:szCs w:val="24"/>
          <w:highlight w:val="none"/>
        </w:rPr>
      </w:pPr>
    </w:p>
    <w:p w14:paraId="431BCB68">
      <w:pPr>
        <w:pStyle w:val="3"/>
        <w:keepNext/>
        <w:keepLines/>
        <w:pageBreakBefore w:val="0"/>
        <w:widowControl w:val="0"/>
        <w:kinsoku/>
        <w:wordWrap/>
        <w:overflowPunct/>
        <w:topLinePunct w:val="0"/>
        <w:autoSpaceDE/>
        <w:autoSpaceDN/>
        <w:bidi w:val="0"/>
        <w:adjustRightInd w:val="0"/>
        <w:snapToGrid w:val="0"/>
        <w:spacing w:before="144" w:beforeLines="50" w:after="144" w:afterLines="50" w:line="24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6.客户服务与支持</w:t>
      </w:r>
    </w:p>
    <w:p w14:paraId="043EBC8A">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技术培训与支持：‌为客户提供产品的使用培训，‌确保能够正确、‌高效地使用产品。用户在使用过程中遇到任何问题，可随时拨打客服热线或访问官方网站，专业技术人员将提供专业的技术支持和解答。</w:t>
      </w:r>
    </w:p>
    <w:p w14:paraId="0B39835E">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维修服务：对于非人为损坏的充换电柜故障，需提供免费的维修服务。用户可通过官方渠道申请维修，并享受便捷的维修流程。</w:t>
      </w:r>
    </w:p>
    <w:p w14:paraId="005B2A75">
      <w:pPr>
        <w:pStyle w:val="72"/>
        <w:pageBreakBefore w:val="0"/>
        <w:tabs>
          <w:tab w:val="center" w:pos="4201"/>
          <w:tab w:val="right" w:leader="dot" w:pos="9298"/>
        </w:tabs>
        <w:kinsoku/>
        <w:wordWrap/>
        <w:overflowPunct/>
        <w:topLinePunct w:val="0"/>
        <w:bidi w:val="0"/>
        <w:snapToGrid/>
        <w:spacing w:line="360" w:lineRule="auto"/>
        <w:ind w:firstLine="48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售后保障：‌对于产品出现的问题或缺陷，需‌提供修复或更换服务，‌确保产品的正常运作。</w:t>
      </w:r>
      <w:r>
        <w:rPr>
          <w:rFonts w:hint="eastAsia" w:ascii="仿宋" w:hAnsi="仿宋" w:eastAsia="仿宋" w:cs="仿宋"/>
          <w:sz w:val="24"/>
          <w:szCs w:val="24"/>
          <w:highlight w:val="none"/>
        </w:rPr>
        <w:t>‌</w:t>
      </w:r>
    </w:p>
    <w:p w14:paraId="5A8DDFFA">
      <w:pPr>
        <w:pageBreakBefore w:val="0"/>
        <w:kinsoku/>
        <w:wordWrap/>
        <w:overflowPunct/>
        <w:topLinePunct w:val="0"/>
        <w:bidi w:val="0"/>
        <w:snapToGrid/>
        <w:spacing w:line="24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附件1</w:t>
      </w:r>
    </w:p>
    <w:p w14:paraId="02E0150D">
      <w:pPr>
        <w:pStyle w:val="4"/>
        <w:pageBreakBefore w:val="0"/>
        <w:numPr>
          <w:ilvl w:val="2"/>
          <w:numId w:val="0"/>
        </w:numPr>
        <w:kinsoku/>
        <w:wordWrap/>
        <w:overflowPunct/>
        <w:topLinePunct w:val="0"/>
        <w:bidi w:val="0"/>
        <w:snapToGrid/>
        <w:spacing w:line="240" w:lineRule="auto"/>
        <w:ind w:left="180" w:leftChars="0"/>
        <w:jc w:val="center"/>
        <w:rPr>
          <w:rFonts w:hint="eastAsia" w:ascii="仿宋" w:hAnsi="仿宋" w:eastAsia="仿宋" w:cs="仿宋"/>
          <w:b w:val="0"/>
          <w:bCs/>
          <w:sz w:val="28"/>
          <w:szCs w:val="28"/>
          <w:highlight w:val="none"/>
          <w:lang w:val="en-US" w:eastAsia="zh-CN"/>
        </w:rPr>
      </w:pPr>
      <w:bookmarkStart w:id="120" w:name="_Toc32266"/>
      <w:r>
        <w:rPr>
          <w:rFonts w:hint="eastAsia" w:ascii="仿宋" w:hAnsi="仿宋" w:eastAsia="仿宋" w:cs="仿宋"/>
          <w:sz w:val="28"/>
          <w:szCs w:val="28"/>
          <w:highlight w:val="none"/>
          <w:lang w:val="en-US" w:eastAsia="zh-CN"/>
        </w:rPr>
        <w:t>维保方案</w:t>
      </w:r>
      <w:bookmarkEnd w:id="120"/>
    </w:p>
    <w:tbl>
      <w:tblPr>
        <w:tblStyle w:val="27"/>
        <w:tblW w:w="9306" w:type="dxa"/>
        <w:tblInd w:w="-27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127"/>
        <w:gridCol w:w="1425"/>
        <w:gridCol w:w="808"/>
        <w:gridCol w:w="784"/>
        <w:gridCol w:w="3162"/>
      </w:tblGrid>
      <w:tr w14:paraId="0377B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3127" w:type="dxa"/>
            <w:vMerge w:val="restart"/>
            <w:tcBorders>
              <w:tl2br w:val="nil"/>
              <w:tr2bl w:val="nil"/>
            </w:tcBorders>
            <w:shd w:val="clear" w:color="auto" w:fill="auto"/>
            <w:vAlign w:val="center"/>
          </w:tcPr>
          <w:p w14:paraId="7D1388B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425" w:type="dxa"/>
            <w:vMerge w:val="restart"/>
            <w:tcBorders>
              <w:tl2br w:val="nil"/>
              <w:tr2bl w:val="nil"/>
            </w:tcBorders>
            <w:shd w:val="clear" w:color="auto" w:fill="auto"/>
            <w:vAlign w:val="center"/>
          </w:tcPr>
          <w:p w14:paraId="38ADC8F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质保时间</w:t>
            </w:r>
          </w:p>
        </w:tc>
        <w:tc>
          <w:tcPr>
            <w:tcW w:w="808" w:type="dxa"/>
            <w:vMerge w:val="restart"/>
            <w:tcBorders>
              <w:tl2br w:val="nil"/>
              <w:tr2bl w:val="nil"/>
            </w:tcBorders>
            <w:shd w:val="clear" w:color="auto" w:fill="auto"/>
            <w:vAlign w:val="center"/>
          </w:tcPr>
          <w:p w14:paraId="7520C7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维修</w:t>
            </w:r>
          </w:p>
        </w:tc>
        <w:tc>
          <w:tcPr>
            <w:tcW w:w="784" w:type="dxa"/>
            <w:vMerge w:val="restart"/>
            <w:tcBorders>
              <w:tl2br w:val="nil"/>
              <w:tr2bl w:val="nil"/>
            </w:tcBorders>
            <w:shd w:val="clear" w:color="auto" w:fill="auto"/>
            <w:vAlign w:val="center"/>
          </w:tcPr>
          <w:p w14:paraId="3E92063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更换</w:t>
            </w:r>
          </w:p>
        </w:tc>
        <w:tc>
          <w:tcPr>
            <w:tcW w:w="3162" w:type="dxa"/>
            <w:vMerge w:val="restart"/>
            <w:tcBorders>
              <w:tl2br w:val="nil"/>
              <w:tr2bl w:val="nil"/>
            </w:tcBorders>
            <w:shd w:val="clear" w:color="auto" w:fill="auto"/>
            <w:vAlign w:val="center"/>
          </w:tcPr>
          <w:p w14:paraId="645417A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4F26B7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3127" w:type="dxa"/>
            <w:vMerge w:val="continue"/>
            <w:tcBorders>
              <w:tl2br w:val="nil"/>
              <w:tr2bl w:val="nil"/>
            </w:tcBorders>
            <w:shd w:val="clear" w:color="auto" w:fill="auto"/>
            <w:vAlign w:val="center"/>
          </w:tcPr>
          <w:p w14:paraId="676C8D8C">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1425" w:type="dxa"/>
            <w:vMerge w:val="continue"/>
            <w:tcBorders>
              <w:tl2br w:val="nil"/>
              <w:tr2bl w:val="nil"/>
            </w:tcBorders>
            <w:shd w:val="clear" w:color="auto" w:fill="auto"/>
            <w:vAlign w:val="center"/>
          </w:tcPr>
          <w:p w14:paraId="588B32B1">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5506129E">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40397B2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398C66D3">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7E4EB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5625D33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浪涌保护器</w:t>
            </w:r>
          </w:p>
        </w:tc>
        <w:tc>
          <w:tcPr>
            <w:tcW w:w="1425" w:type="dxa"/>
            <w:vMerge w:val="restart"/>
            <w:tcBorders>
              <w:tl2br w:val="nil"/>
              <w:tr2bl w:val="nil"/>
            </w:tcBorders>
            <w:shd w:val="clear" w:color="auto" w:fill="auto"/>
            <w:vAlign w:val="center"/>
          </w:tcPr>
          <w:p w14:paraId="6D7F710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vMerge w:val="restart"/>
            <w:tcBorders>
              <w:tl2br w:val="nil"/>
              <w:tr2bl w:val="nil"/>
            </w:tcBorders>
            <w:shd w:val="clear" w:color="auto" w:fill="auto"/>
            <w:vAlign w:val="center"/>
          </w:tcPr>
          <w:p w14:paraId="3DED605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vMerge w:val="restart"/>
            <w:tcBorders>
              <w:tl2br w:val="nil"/>
              <w:tr2bl w:val="nil"/>
            </w:tcBorders>
            <w:shd w:val="clear" w:color="auto" w:fill="auto"/>
            <w:vAlign w:val="center"/>
          </w:tcPr>
          <w:p w14:paraId="6A76E0B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vMerge w:val="restart"/>
            <w:tcBorders>
              <w:tl2br w:val="nil"/>
              <w:tr2bl w:val="nil"/>
            </w:tcBorders>
            <w:shd w:val="clear" w:color="auto" w:fill="auto"/>
            <w:vAlign w:val="center"/>
          </w:tcPr>
          <w:p w14:paraId="28E63835">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3B828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01ACD42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小型漏电断路器</w:t>
            </w:r>
          </w:p>
        </w:tc>
        <w:tc>
          <w:tcPr>
            <w:tcW w:w="1425" w:type="dxa"/>
            <w:vMerge w:val="continue"/>
            <w:tcBorders>
              <w:tl2br w:val="nil"/>
              <w:tr2bl w:val="nil"/>
            </w:tcBorders>
            <w:shd w:val="clear" w:color="auto" w:fill="auto"/>
            <w:vAlign w:val="center"/>
          </w:tcPr>
          <w:p w14:paraId="6495BBF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7F86BBDD">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4DFB402F">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4C6D27EC">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16E82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359FA13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自复式过欠压保护器</w:t>
            </w:r>
          </w:p>
        </w:tc>
        <w:tc>
          <w:tcPr>
            <w:tcW w:w="1425" w:type="dxa"/>
            <w:vMerge w:val="continue"/>
            <w:tcBorders>
              <w:tl2br w:val="nil"/>
              <w:tr2bl w:val="nil"/>
            </w:tcBorders>
            <w:shd w:val="clear" w:color="auto" w:fill="auto"/>
            <w:vAlign w:val="center"/>
          </w:tcPr>
          <w:p w14:paraId="55CA7F35">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119CC5B7">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50D4D326">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7830572A">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626643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5892368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小型漏电断路器</w:t>
            </w:r>
          </w:p>
        </w:tc>
        <w:tc>
          <w:tcPr>
            <w:tcW w:w="1425" w:type="dxa"/>
            <w:vMerge w:val="continue"/>
            <w:tcBorders>
              <w:tl2br w:val="nil"/>
              <w:tr2bl w:val="nil"/>
            </w:tcBorders>
            <w:shd w:val="clear" w:color="auto" w:fill="auto"/>
            <w:vAlign w:val="center"/>
          </w:tcPr>
          <w:p w14:paraId="13C2EE22">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30B59789">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129C628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7A9FD923">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0ABE7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748C222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模数化插座-五孔</w:t>
            </w:r>
          </w:p>
        </w:tc>
        <w:tc>
          <w:tcPr>
            <w:tcW w:w="1425" w:type="dxa"/>
            <w:vMerge w:val="continue"/>
            <w:tcBorders>
              <w:tl2br w:val="nil"/>
              <w:tr2bl w:val="nil"/>
            </w:tcBorders>
            <w:shd w:val="clear" w:color="auto" w:fill="auto"/>
            <w:vAlign w:val="center"/>
          </w:tcPr>
          <w:p w14:paraId="186ED6FF">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53F2640E">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22304BC8">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5EB95543">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79AC21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730B46D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智能-小型断路器</w:t>
            </w:r>
          </w:p>
        </w:tc>
        <w:tc>
          <w:tcPr>
            <w:tcW w:w="1425" w:type="dxa"/>
            <w:vMerge w:val="continue"/>
            <w:tcBorders>
              <w:tl2br w:val="nil"/>
              <w:tr2bl w:val="nil"/>
            </w:tcBorders>
            <w:shd w:val="clear" w:color="auto" w:fill="auto"/>
            <w:vAlign w:val="center"/>
          </w:tcPr>
          <w:p w14:paraId="392FA2D1">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75DB6D23">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153FBD8A">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103954ED">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68945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6" w:hRule="atLeast"/>
        </w:trPr>
        <w:tc>
          <w:tcPr>
            <w:tcW w:w="3127" w:type="dxa"/>
            <w:tcBorders>
              <w:tl2br w:val="nil"/>
              <w:tr2bl w:val="nil"/>
            </w:tcBorders>
            <w:shd w:val="clear" w:color="auto" w:fill="auto"/>
            <w:vAlign w:val="center"/>
          </w:tcPr>
          <w:p w14:paraId="0CCC0DF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小型断路器</w:t>
            </w:r>
          </w:p>
        </w:tc>
        <w:tc>
          <w:tcPr>
            <w:tcW w:w="1425" w:type="dxa"/>
            <w:vMerge w:val="continue"/>
            <w:tcBorders>
              <w:tl2br w:val="nil"/>
              <w:tr2bl w:val="nil"/>
            </w:tcBorders>
            <w:shd w:val="clear" w:color="auto" w:fill="auto"/>
            <w:vAlign w:val="center"/>
          </w:tcPr>
          <w:p w14:paraId="0D44E300">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7718F7F1">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0A53984F">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3F176CB2">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4B25A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3127" w:type="dxa"/>
            <w:tcBorders>
              <w:tl2br w:val="nil"/>
              <w:tr2bl w:val="nil"/>
            </w:tcBorders>
            <w:shd w:val="clear" w:color="auto" w:fill="auto"/>
            <w:vAlign w:val="center"/>
          </w:tcPr>
          <w:p w14:paraId="16E0B2B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红外传感器</w:t>
            </w:r>
          </w:p>
        </w:tc>
        <w:tc>
          <w:tcPr>
            <w:tcW w:w="1425" w:type="dxa"/>
            <w:tcBorders>
              <w:tl2br w:val="nil"/>
              <w:tr2bl w:val="nil"/>
            </w:tcBorders>
            <w:shd w:val="clear" w:color="auto" w:fill="auto"/>
            <w:vAlign w:val="center"/>
          </w:tcPr>
          <w:p w14:paraId="5B14D66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0BD33EB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417409C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79A33D6F">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6A7050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trPr>
        <w:tc>
          <w:tcPr>
            <w:tcW w:w="3127" w:type="dxa"/>
            <w:tcBorders>
              <w:tl2br w:val="nil"/>
              <w:tr2bl w:val="nil"/>
            </w:tcBorders>
            <w:shd w:val="clear" w:color="auto" w:fill="auto"/>
            <w:vAlign w:val="center"/>
          </w:tcPr>
          <w:p w14:paraId="74C49E5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烟雾温湿度传感器</w:t>
            </w:r>
          </w:p>
        </w:tc>
        <w:tc>
          <w:tcPr>
            <w:tcW w:w="1425" w:type="dxa"/>
            <w:tcBorders>
              <w:tl2br w:val="nil"/>
              <w:tr2bl w:val="nil"/>
            </w:tcBorders>
            <w:shd w:val="clear" w:color="auto" w:fill="auto"/>
            <w:vAlign w:val="center"/>
          </w:tcPr>
          <w:p w14:paraId="5CC2370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46E7D4B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75A6C1B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3F585A29">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5B5DE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53C4CBF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气溶胶灭火器</w:t>
            </w:r>
          </w:p>
        </w:tc>
        <w:tc>
          <w:tcPr>
            <w:tcW w:w="1425" w:type="dxa"/>
            <w:tcBorders>
              <w:tl2br w:val="nil"/>
              <w:tr2bl w:val="nil"/>
            </w:tcBorders>
            <w:shd w:val="clear" w:color="auto" w:fill="auto"/>
            <w:vAlign w:val="center"/>
          </w:tcPr>
          <w:p w14:paraId="742A5E3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5年</w:t>
            </w:r>
          </w:p>
        </w:tc>
        <w:tc>
          <w:tcPr>
            <w:tcW w:w="808" w:type="dxa"/>
            <w:tcBorders>
              <w:tl2br w:val="nil"/>
              <w:tr2bl w:val="nil"/>
            </w:tcBorders>
            <w:shd w:val="clear" w:color="auto" w:fill="auto"/>
            <w:vAlign w:val="center"/>
          </w:tcPr>
          <w:p w14:paraId="3FBF219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7B17EAC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44F37DCD">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气溶胶灭火器触发后只进行更换不进行维修</w:t>
            </w:r>
          </w:p>
        </w:tc>
      </w:tr>
      <w:tr w14:paraId="60032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 w:hRule="atLeast"/>
        </w:trPr>
        <w:tc>
          <w:tcPr>
            <w:tcW w:w="3127" w:type="dxa"/>
            <w:tcBorders>
              <w:tl2br w:val="nil"/>
              <w:tr2bl w:val="nil"/>
            </w:tcBorders>
            <w:shd w:val="clear" w:color="auto" w:fill="auto"/>
            <w:vAlign w:val="center"/>
          </w:tcPr>
          <w:p w14:paraId="306F888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排风扇</w:t>
            </w:r>
          </w:p>
        </w:tc>
        <w:tc>
          <w:tcPr>
            <w:tcW w:w="1425" w:type="dxa"/>
            <w:tcBorders>
              <w:tl2br w:val="nil"/>
              <w:tr2bl w:val="nil"/>
            </w:tcBorders>
            <w:shd w:val="clear" w:color="auto" w:fill="auto"/>
            <w:vAlign w:val="center"/>
          </w:tcPr>
          <w:p w14:paraId="3743124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6BD9B9E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6A12E5A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473719AC">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75F770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 w:hRule="atLeast"/>
        </w:trPr>
        <w:tc>
          <w:tcPr>
            <w:tcW w:w="3127" w:type="dxa"/>
            <w:tcBorders>
              <w:tl2br w:val="nil"/>
              <w:tr2bl w:val="nil"/>
            </w:tcBorders>
            <w:shd w:val="clear" w:color="auto" w:fill="auto"/>
            <w:vAlign w:val="center"/>
          </w:tcPr>
          <w:p w14:paraId="289FC03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进水传感器</w:t>
            </w:r>
          </w:p>
        </w:tc>
        <w:tc>
          <w:tcPr>
            <w:tcW w:w="1425" w:type="dxa"/>
            <w:tcBorders>
              <w:tl2br w:val="nil"/>
              <w:tr2bl w:val="nil"/>
            </w:tcBorders>
            <w:shd w:val="clear" w:color="auto" w:fill="auto"/>
            <w:vAlign w:val="center"/>
          </w:tcPr>
          <w:p w14:paraId="0E52C96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36F7986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4D1B7E6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65D3AEAC">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542EE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2" w:hRule="atLeast"/>
        </w:trPr>
        <w:tc>
          <w:tcPr>
            <w:tcW w:w="3127" w:type="dxa"/>
            <w:tcBorders>
              <w:tl2br w:val="nil"/>
              <w:tr2bl w:val="nil"/>
            </w:tcBorders>
            <w:shd w:val="clear" w:color="auto" w:fill="auto"/>
            <w:vAlign w:val="center"/>
          </w:tcPr>
          <w:p w14:paraId="715ACF8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充电电源</w:t>
            </w:r>
          </w:p>
        </w:tc>
        <w:tc>
          <w:tcPr>
            <w:tcW w:w="1425" w:type="dxa"/>
            <w:tcBorders>
              <w:tl2br w:val="nil"/>
              <w:tr2bl w:val="nil"/>
            </w:tcBorders>
            <w:shd w:val="clear" w:color="auto" w:fill="auto"/>
            <w:vAlign w:val="center"/>
          </w:tcPr>
          <w:p w14:paraId="075B5F0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337EB23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522D195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24951F02">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359FE3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39DF498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主控制板</w:t>
            </w:r>
          </w:p>
        </w:tc>
        <w:tc>
          <w:tcPr>
            <w:tcW w:w="1425" w:type="dxa"/>
            <w:vMerge w:val="restart"/>
            <w:tcBorders>
              <w:tl2br w:val="nil"/>
              <w:tr2bl w:val="nil"/>
            </w:tcBorders>
            <w:shd w:val="clear" w:color="auto" w:fill="auto"/>
            <w:vAlign w:val="center"/>
          </w:tcPr>
          <w:p w14:paraId="66D1A12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vMerge w:val="restart"/>
            <w:tcBorders>
              <w:tl2br w:val="nil"/>
              <w:tr2bl w:val="nil"/>
            </w:tcBorders>
            <w:shd w:val="clear" w:color="auto" w:fill="auto"/>
            <w:vAlign w:val="center"/>
          </w:tcPr>
          <w:p w14:paraId="3220BB3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vMerge w:val="restart"/>
            <w:tcBorders>
              <w:tl2br w:val="nil"/>
              <w:tr2bl w:val="nil"/>
            </w:tcBorders>
            <w:shd w:val="clear" w:color="auto" w:fill="auto"/>
            <w:vAlign w:val="center"/>
          </w:tcPr>
          <w:p w14:paraId="1762789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vMerge w:val="restart"/>
            <w:tcBorders>
              <w:tl2br w:val="nil"/>
              <w:tr2bl w:val="nil"/>
            </w:tcBorders>
            <w:shd w:val="clear" w:color="auto" w:fill="auto"/>
            <w:vAlign w:val="center"/>
          </w:tcPr>
          <w:p w14:paraId="1AB3C773">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393F8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4442228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从控制板</w:t>
            </w:r>
          </w:p>
        </w:tc>
        <w:tc>
          <w:tcPr>
            <w:tcW w:w="1425" w:type="dxa"/>
            <w:vMerge w:val="continue"/>
            <w:tcBorders>
              <w:tl2br w:val="nil"/>
              <w:tr2bl w:val="nil"/>
            </w:tcBorders>
            <w:shd w:val="clear" w:color="auto" w:fill="auto"/>
            <w:vAlign w:val="center"/>
          </w:tcPr>
          <w:p w14:paraId="3EFB528A">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808" w:type="dxa"/>
            <w:vMerge w:val="continue"/>
            <w:tcBorders>
              <w:tl2br w:val="nil"/>
              <w:tr2bl w:val="nil"/>
            </w:tcBorders>
            <w:shd w:val="clear" w:color="auto" w:fill="auto"/>
            <w:vAlign w:val="center"/>
          </w:tcPr>
          <w:p w14:paraId="641080B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784" w:type="dxa"/>
            <w:vMerge w:val="continue"/>
            <w:tcBorders>
              <w:tl2br w:val="nil"/>
              <w:tr2bl w:val="nil"/>
            </w:tcBorders>
            <w:shd w:val="clear" w:color="auto" w:fill="auto"/>
            <w:vAlign w:val="center"/>
          </w:tcPr>
          <w:p w14:paraId="702430CB">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c>
          <w:tcPr>
            <w:tcW w:w="3162" w:type="dxa"/>
            <w:vMerge w:val="continue"/>
            <w:tcBorders>
              <w:tl2br w:val="nil"/>
              <w:tr2bl w:val="nil"/>
            </w:tcBorders>
            <w:shd w:val="clear" w:color="auto" w:fill="auto"/>
            <w:vAlign w:val="center"/>
          </w:tcPr>
          <w:p w14:paraId="72815552">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3A55A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01B4E3E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门锁</w:t>
            </w:r>
          </w:p>
        </w:tc>
        <w:tc>
          <w:tcPr>
            <w:tcW w:w="1425" w:type="dxa"/>
            <w:tcBorders>
              <w:tl2br w:val="nil"/>
              <w:tr2bl w:val="nil"/>
            </w:tcBorders>
            <w:shd w:val="clear" w:color="auto" w:fill="auto"/>
            <w:vAlign w:val="center"/>
          </w:tcPr>
          <w:p w14:paraId="6E14424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7CF92FA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41647B9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62EE77F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6F003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FFFFFF" w:themeFill="background1"/>
            <w:vAlign w:val="center"/>
          </w:tcPr>
          <w:p w14:paraId="7B58B8A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UPS不间断电源</w:t>
            </w:r>
          </w:p>
        </w:tc>
        <w:tc>
          <w:tcPr>
            <w:tcW w:w="1425" w:type="dxa"/>
            <w:tcBorders>
              <w:tl2br w:val="nil"/>
              <w:tr2bl w:val="nil"/>
            </w:tcBorders>
            <w:shd w:val="clear" w:color="auto" w:fill="FFFFFF" w:themeFill="background1"/>
            <w:vAlign w:val="center"/>
          </w:tcPr>
          <w:p w14:paraId="479C308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FFFFFF" w:themeFill="background1"/>
            <w:vAlign w:val="center"/>
          </w:tcPr>
          <w:p w14:paraId="2D910FA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FFFFFF" w:themeFill="background1"/>
            <w:vAlign w:val="center"/>
          </w:tcPr>
          <w:p w14:paraId="18D7D75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FFFFFF" w:themeFill="background1"/>
            <w:vAlign w:val="center"/>
          </w:tcPr>
          <w:p w14:paraId="7391E089">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21F63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20FD5E9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充电插头</w:t>
            </w:r>
          </w:p>
        </w:tc>
        <w:tc>
          <w:tcPr>
            <w:tcW w:w="1425" w:type="dxa"/>
            <w:tcBorders>
              <w:tl2br w:val="nil"/>
              <w:tr2bl w:val="nil"/>
            </w:tcBorders>
            <w:shd w:val="clear" w:color="auto" w:fill="auto"/>
            <w:vAlign w:val="center"/>
          </w:tcPr>
          <w:p w14:paraId="0716F5E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5E13BA2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604846E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06E85B2D">
            <w:pPr>
              <w:pageBreakBefore w:val="0"/>
              <w:kinsoku/>
              <w:wordWrap/>
              <w:overflowPunct/>
              <w:topLinePunct w:val="0"/>
              <w:bidi w:val="0"/>
              <w:snapToGrid/>
              <w:spacing w:line="240" w:lineRule="auto"/>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包含接线和法兰接头</w:t>
            </w:r>
          </w:p>
        </w:tc>
      </w:tr>
      <w:tr w14:paraId="49973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27BD055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电能表（485通讯）</w:t>
            </w:r>
          </w:p>
        </w:tc>
        <w:tc>
          <w:tcPr>
            <w:tcW w:w="1425" w:type="dxa"/>
            <w:tcBorders>
              <w:tl2br w:val="nil"/>
              <w:tr2bl w:val="nil"/>
            </w:tcBorders>
            <w:shd w:val="clear" w:color="auto" w:fill="auto"/>
            <w:vAlign w:val="center"/>
          </w:tcPr>
          <w:p w14:paraId="27CC2D2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0228EFA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17C9A05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17A628F8">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4213E5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77CDC0D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喇叭</w:t>
            </w:r>
          </w:p>
        </w:tc>
        <w:tc>
          <w:tcPr>
            <w:tcW w:w="1425" w:type="dxa"/>
            <w:tcBorders>
              <w:tl2br w:val="nil"/>
              <w:tr2bl w:val="nil"/>
            </w:tcBorders>
            <w:shd w:val="clear" w:color="auto" w:fill="auto"/>
            <w:vAlign w:val="center"/>
          </w:tcPr>
          <w:p w14:paraId="1D5669D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48DDFF7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346A0D0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2F725C6A">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0B1592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13FB5C19">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照明灯、三色灯、led灯</w:t>
            </w:r>
          </w:p>
        </w:tc>
        <w:tc>
          <w:tcPr>
            <w:tcW w:w="1425" w:type="dxa"/>
            <w:tcBorders>
              <w:tl2br w:val="nil"/>
              <w:tr2bl w:val="nil"/>
            </w:tcBorders>
            <w:shd w:val="clear" w:color="auto" w:fill="auto"/>
            <w:vAlign w:val="center"/>
          </w:tcPr>
          <w:p w14:paraId="7637697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1CF6984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72123E8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37DEF26E">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27F061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 w:hRule="atLeast"/>
        </w:trPr>
        <w:tc>
          <w:tcPr>
            <w:tcW w:w="3127" w:type="dxa"/>
            <w:tcBorders>
              <w:tl2br w:val="nil"/>
              <w:tr2bl w:val="nil"/>
            </w:tcBorders>
            <w:shd w:val="clear" w:color="auto" w:fill="auto"/>
            <w:vAlign w:val="center"/>
          </w:tcPr>
          <w:p w14:paraId="1B96794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485温湿度传感器</w:t>
            </w:r>
          </w:p>
        </w:tc>
        <w:tc>
          <w:tcPr>
            <w:tcW w:w="1425" w:type="dxa"/>
            <w:tcBorders>
              <w:tl2br w:val="nil"/>
              <w:tr2bl w:val="nil"/>
            </w:tcBorders>
            <w:shd w:val="clear" w:color="auto" w:fill="auto"/>
            <w:vAlign w:val="center"/>
          </w:tcPr>
          <w:p w14:paraId="701DB03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31E9434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2910F0A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284B3452">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p>
        </w:tc>
      </w:tr>
      <w:tr w14:paraId="118493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6" w:hRule="atLeast"/>
        </w:trPr>
        <w:tc>
          <w:tcPr>
            <w:tcW w:w="3127" w:type="dxa"/>
            <w:tcBorders>
              <w:tl2br w:val="nil"/>
              <w:tr2bl w:val="nil"/>
            </w:tcBorders>
            <w:shd w:val="clear" w:color="auto" w:fill="auto"/>
            <w:vAlign w:val="center"/>
          </w:tcPr>
          <w:p w14:paraId="405F945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仓门</w:t>
            </w:r>
          </w:p>
        </w:tc>
        <w:tc>
          <w:tcPr>
            <w:tcW w:w="1425" w:type="dxa"/>
            <w:tcBorders>
              <w:tl2br w:val="nil"/>
              <w:tr2bl w:val="nil"/>
            </w:tcBorders>
            <w:shd w:val="clear" w:color="auto" w:fill="auto"/>
            <w:vAlign w:val="center"/>
          </w:tcPr>
          <w:p w14:paraId="5C729A5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3年</w:t>
            </w:r>
          </w:p>
        </w:tc>
        <w:tc>
          <w:tcPr>
            <w:tcW w:w="808" w:type="dxa"/>
            <w:tcBorders>
              <w:tl2br w:val="nil"/>
              <w:tr2bl w:val="nil"/>
            </w:tcBorders>
            <w:shd w:val="clear" w:color="auto" w:fill="auto"/>
            <w:vAlign w:val="center"/>
          </w:tcPr>
          <w:p w14:paraId="23F880F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784" w:type="dxa"/>
            <w:tcBorders>
              <w:tl2br w:val="nil"/>
              <w:tr2bl w:val="nil"/>
            </w:tcBorders>
            <w:shd w:val="clear" w:color="auto" w:fill="auto"/>
            <w:vAlign w:val="center"/>
          </w:tcPr>
          <w:p w14:paraId="29EEEB9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3162" w:type="dxa"/>
            <w:tcBorders>
              <w:tl2br w:val="nil"/>
              <w:tr2bl w:val="nil"/>
            </w:tcBorders>
            <w:shd w:val="clear" w:color="auto" w:fill="auto"/>
            <w:vAlign w:val="center"/>
          </w:tcPr>
          <w:p w14:paraId="67FEF034">
            <w:pPr>
              <w:pageBreakBefore w:val="0"/>
              <w:kinsoku/>
              <w:wordWrap/>
              <w:overflowPunct/>
              <w:topLinePunct w:val="0"/>
              <w:bidi w:val="0"/>
              <w:snapToGrid/>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仓门变形后选择更换</w:t>
            </w:r>
          </w:p>
        </w:tc>
      </w:tr>
    </w:tbl>
    <w:p w14:paraId="12310DBD">
      <w:pPr>
        <w:pageBreakBefore w:val="0"/>
        <w:kinsoku/>
        <w:wordWrap/>
        <w:overflowPunct/>
        <w:topLinePunct w:val="0"/>
        <w:bidi w:val="0"/>
        <w:snapToGrid/>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注：各项设备质保维修费用请与我司商务详谈，此处仅作为维保方案的展示。</w:t>
      </w:r>
    </w:p>
    <w:p w14:paraId="30198298">
      <w:pPr>
        <w:rPr>
          <w:highlight w:val="none"/>
        </w:rPr>
      </w:pPr>
    </w:p>
    <w:p w14:paraId="77F170DC">
      <w:pPr>
        <w:bidi w:val="0"/>
        <w:rPr>
          <w:rFonts w:hint="eastAsia"/>
          <w:highlight w:val="none"/>
        </w:rPr>
      </w:pPr>
    </w:p>
    <w:p w14:paraId="4B712A71">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57E84086">
      <w:pPr>
        <w:wordWrap w:val="0"/>
        <w:spacing w:line="360" w:lineRule="auto"/>
        <w:jc w:val="center"/>
        <w:outlineLvl w:val="0"/>
        <w:rPr>
          <w:rFonts w:hint="eastAsia" w:ascii="仿宋" w:hAnsi="仿宋" w:eastAsia="仿宋" w:cs="仿宋"/>
          <w:b/>
          <w:bCs/>
          <w:color w:val="auto"/>
          <w:sz w:val="32"/>
          <w:szCs w:val="32"/>
          <w:highlight w:val="none"/>
        </w:rPr>
      </w:pPr>
      <w:bookmarkStart w:id="121" w:name="_Toc22296"/>
      <w:r>
        <w:rPr>
          <w:rFonts w:hint="eastAsia" w:ascii="仿宋" w:hAnsi="仿宋" w:eastAsia="仿宋" w:cs="仿宋"/>
          <w:b/>
          <w:bCs/>
          <w:color w:val="auto"/>
          <w:sz w:val="32"/>
          <w:szCs w:val="32"/>
          <w:highlight w:val="none"/>
        </w:rPr>
        <w:t>第四部分  应价文件格式</w:t>
      </w:r>
      <w:bookmarkEnd w:id="65"/>
      <w:bookmarkEnd w:id="66"/>
      <w:bookmarkEnd w:id="67"/>
      <w:bookmarkEnd w:id="68"/>
      <w:bookmarkEnd w:id="69"/>
      <w:bookmarkEnd w:id="70"/>
      <w:bookmarkEnd w:id="121"/>
    </w:p>
    <w:p w14:paraId="22112E62">
      <w:pPr>
        <w:wordWrap w:val="0"/>
        <w:adjustRightInd w:val="0"/>
        <w:snapToGrid w:val="0"/>
        <w:spacing w:line="360" w:lineRule="auto"/>
        <w:rPr>
          <w:rFonts w:hint="eastAsia" w:ascii="仿宋" w:hAnsi="仿宋" w:eastAsia="仿宋" w:cs="仿宋"/>
          <w:color w:val="auto"/>
          <w:sz w:val="24"/>
          <w:highlight w:val="none"/>
        </w:rPr>
      </w:pPr>
      <w:bookmarkStart w:id="122" w:name="_Toc14491"/>
    </w:p>
    <w:p w14:paraId="17ADC9E5">
      <w:pPr>
        <w:wordWrap w:val="0"/>
        <w:adjustRightInd w:val="0"/>
        <w:snapToGrid w:val="0"/>
        <w:spacing w:line="360" w:lineRule="auto"/>
        <w:outlineLvl w:val="1"/>
        <w:rPr>
          <w:rFonts w:hint="eastAsia" w:ascii="仿宋" w:hAnsi="仿宋" w:eastAsia="仿宋" w:cs="仿宋"/>
          <w:color w:val="auto"/>
          <w:sz w:val="24"/>
          <w:highlight w:val="none"/>
        </w:rPr>
      </w:pPr>
      <w:bookmarkStart w:id="123" w:name="_Toc28864"/>
      <w:r>
        <w:rPr>
          <w:rFonts w:hint="eastAsia" w:ascii="仿宋" w:hAnsi="仿宋" w:eastAsia="仿宋" w:cs="仿宋"/>
          <w:color w:val="auto"/>
          <w:sz w:val="24"/>
          <w:highlight w:val="none"/>
        </w:rPr>
        <w:t>附1-封面</w:t>
      </w:r>
      <w:bookmarkEnd w:id="122"/>
      <w:bookmarkEnd w:id="123"/>
    </w:p>
    <w:p w14:paraId="3D4635D7">
      <w:pPr>
        <w:wordWrap w:val="0"/>
        <w:autoSpaceDE w:val="0"/>
        <w:autoSpaceDN w:val="0"/>
        <w:adjustRightInd w:val="0"/>
        <w:snapToGrid w:val="0"/>
        <w:spacing w:line="360" w:lineRule="auto"/>
        <w:jc w:val="center"/>
        <w:rPr>
          <w:rFonts w:hint="eastAsia" w:ascii="仿宋" w:hAnsi="仿宋" w:eastAsia="仿宋" w:cs="仿宋"/>
          <w:color w:val="auto"/>
          <w:kern w:val="0"/>
          <w:sz w:val="24"/>
          <w:highlight w:val="none"/>
          <w:u w:val="single"/>
        </w:rPr>
      </w:pPr>
    </w:p>
    <w:p w14:paraId="46EB648A">
      <w:pPr>
        <w:wordWrap w:val="0"/>
        <w:ind w:left="420" w:leftChars="200" w:right="420" w:right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杭州市新能源投资发展有限公司</w:t>
      </w:r>
    </w:p>
    <w:p w14:paraId="258FA76B">
      <w:pPr>
        <w:wordWrap w:val="0"/>
        <w:adjustRightInd w:val="0"/>
        <w:snapToGrid w:val="0"/>
        <w:spacing w:line="360" w:lineRule="auto"/>
        <w:ind w:left="-210" w:leftChars="-100" w:right="-210" w:rightChars="-10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sz w:val="36"/>
          <w:szCs w:val="36"/>
          <w:highlight w:val="none"/>
        </w:rPr>
        <w:t>杭州市电动自行车街面充（换）电设备项目--换电柜样品采购安装</w:t>
      </w:r>
    </w:p>
    <w:p w14:paraId="4EC09983">
      <w:pPr>
        <w:wordWrap w:val="0"/>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p>
    <w:p w14:paraId="17FFA234">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632D2BF4">
      <w:pPr>
        <w:wordWrap w:val="0"/>
        <w:adjustRightInd w:val="0"/>
        <w:snapToGrid w:val="0"/>
        <w:spacing w:line="360" w:lineRule="auto"/>
        <w:ind w:firstLine="480" w:firstLineChars="200"/>
        <w:jc w:val="center"/>
        <w:rPr>
          <w:rFonts w:hint="eastAsia" w:ascii="仿宋" w:hAnsi="仿宋" w:eastAsia="仿宋" w:cs="仿宋"/>
          <w:color w:val="auto"/>
          <w:sz w:val="24"/>
          <w:highlight w:val="none"/>
        </w:rPr>
      </w:pPr>
    </w:p>
    <w:p w14:paraId="170E35FA">
      <w:pPr>
        <w:wordWrap w:val="0"/>
        <w:adjustRightInd w:val="0"/>
        <w:snapToGrid w:val="0"/>
        <w:spacing w:line="360" w:lineRule="auto"/>
        <w:rPr>
          <w:rFonts w:hint="eastAsia" w:ascii="仿宋" w:hAnsi="仿宋" w:eastAsia="仿宋" w:cs="仿宋"/>
          <w:color w:val="auto"/>
          <w:sz w:val="24"/>
          <w:highlight w:val="none"/>
        </w:rPr>
      </w:pPr>
    </w:p>
    <w:p w14:paraId="3A88A90B">
      <w:pPr>
        <w:wordWrap w:val="0"/>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应 价 文 件</w:t>
      </w:r>
    </w:p>
    <w:p w14:paraId="3B034F2F">
      <w:pPr>
        <w:wordWrap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A37C9D9">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793E35FE">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357D84A2">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6FFFC2FB">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7A9F3639">
      <w:pPr>
        <w:wordWrap w:val="0"/>
        <w:adjustRightInd w:val="0"/>
        <w:snapToGrid w:val="0"/>
        <w:spacing w:line="360" w:lineRule="auto"/>
        <w:ind w:firstLine="480" w:firstLineChars="200"/>
        <w:rPr>
          <w:rFonts w:hint="eastAsia" w:ascii="仿宋" w:hAnsi="仿宋" w:eastAsia="仿宋" w:cs="仿宋"/>
          <w:color w:val="auto"/>
          <w:sz w:val="24"/>
          <w:highlight w:val="none"/>
        </w:rPr>
      </w:pPr>
    </w:p>
    <w:p w14:paraId="763B587E">
      <w:pPr>
        <w:wordWrap w:val="0"/>
        <w:adjustRightInd w:val="0"/>
        <w:snapToGrid w:val="0"/>
        <w:spacing w:line="360" w:lineRule="auto"/>
        <w:ind w:firstLine="480" w:firstLineChars="200"/>
        <w:jc w:val="center"/>
        <w:rPr>
          <w:rFonts w:hint="eastAsia" w:ascii="仿宋" w:hAnsi="仿宋" w:eastAsia="仿宋" w:cs="仿宋"/>
          <w:color w:val="auto"/>
          <w:sz w:val="24"/>
          <w:highlight w:val="none"/>
        </w:rPr>
      </w:pPr>
    </w:p>
    <w:p w14:paraId="23B5B39D">
      <w:pPr>
        <w:wordWrap w:val="0"/>
        <w:adjustRightInd w:val="0"/>
        <w:snapToGrid w:val="0"/>
        <w:spacing w:line="360" w:lineRule="auto"/>
        <w:ind w:firstLine="480" w:firstLineChars="200"/>
        <w:jc w:val="center"/>
        <w:rPr>
          <w:rFonts w:hint="eastAsia" w:ascii="仿宋" w:hAnsi="仿宋" w:eastAsia="仿宋" w:cs="仿宋"/>
          <w:color w:val="auto"/>
          <w:sz w:val="24"/>
          <w:highlight w:val="none"/>
        </w:rPr>
      </w:pPr>
    </w:p>
    <w:p w14:paraId="7985C8EC">
      <w:pPr>
        <w:wordWrap w:val="0"/>
        <w:adjustRightInd w:val="0"/>
        <w:snapToGrid w:val="0"/>
        <w:spacing w:line="360" w:lineRule="auto"/>
        <w:ind w:firstLine="480" w:firstLineChars="200"/>
        <w:jc w:val="center"/>
        <w:rPr>
          <w:rFonts w:hint="eastAsia" w:ascii="仿宋" w:hAnsi="仿宋" w:eastAsia="仿宋" w:cs="仿宋"/>
          <w:color w:val="auto"/>
          <w:sz w:val="24"/>
          <w:highlight w:val="none"/>
        </w:rPr>
      </w:pPr>
    </w:p>
    <w:p w14:paraId="18A77702">
      <w:pPr>
        <w:wordWrap w:val="0"/>
        <w:adjustRightInd w:val="0"/>
        <w:snapToGrid w:val="0"/>
        <w:spacing w:line="360" w:lineRule="auto"/>
        <w:ind w:firstLine="1200" w:firstLineChars="5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应价人：</w:t>
      </w:r>
      <w:r>
        <w:rPr>
          <w:rFonts w:hint="eastAsia" w:ascii="仿宋" w:hAnsi="仿宋" w:eastAsia="仿宋" w:cs="仿宋"/>
          <w:snapToGrid w:val="0"/>
          <w:color w:val="auto"/>
          <w:kern w:val="0"/>
          <w:sz w:val="24"/>
          <w:highlight w:val="none"/>
          <w:u w:val="single"/>
        </w:rPr>
        <w:t xml:space="preserve">                     （盖单位公章）</w:t>
      </w:r>
    </w:p>
    <w:p w14:paraId="60C4373C">
      <w:pPr>
        <w:wordWrap w:val="0"/>
        <w:adjustRightInd w:val="0"/>
        <w:snapToGrid w:val="0"/>
        <w:spacing w:line="360" w:lineRule="auto"/>
        <w:ind w:firstLine="1200" w:firstLineChars="5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w:t>
      </w:r>
      <w:bookmarkStart w:id="124" w:name="_Hlk73276977"/>
      <w:r>
        <w:rPr>
          <w:rFonts w:hint="eastAsia" w:ascii="仿宋" w:hAnsi="仿宋" w:eastAsia="仿宋" w:cs="仿宋"/>
          <w:snapToGrid w:val="0"/>
          <w:color w:val="auto"/>
          <w:kern w:val="0"/>
          <w:sz w:val="24"/>
          <w:highlight w:val="none"/>
        </w:rPr>
        <w:t>或其委托代理人</w:t>
      </w:r>
      <w:bookmarkEnd w:id="124"/>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u w:val="single"/>
        </w:rPr>
        <w:t xml:space="preserve">         （签字或盖印章）</w:t>
      </w:r>
    </w:p>
    <w:p w14:paraId="63A6FCF0">
      <w:pPr>
        <w:wordWrap w:val="0"/>
        <w:adjustRightInd w:val="0"/>
        <w:snapToGrid w:val="0"/>
        <w:spacing w:line="360" w:lineRule="auto"/>
        <w:ind w:firstLine="1200" w:firstLineChars="5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  期：</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7A23A823">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p>
    <w:p w14:paraId="016A1681">
      <w:pPr>
        <w:wordWrap w:val="0"/>
        <w:adjustRightInd w:val="0"/>
        <w:snapToGrid w:val="0"/>
        <w:spacing w:line="360" w:lineRule="auto"/>
        <w:jc w:val="left"/>
        <w:outlineLvl w:val="1"/>
        <w:rPr>
          <w:rFonts w:hint="eastAsia" w:ascii="仿宋" w:hAnsi="仿宋" w:eastAsia="仿宋" w:cs="仿宋"/>
          <w:color w:val="auto"/>
          <w:sz w:val="24"/>
          <w:highlight w:val="none"/>
        </w:rPr>
      </w:pPr>
      <w:bookmarkStart w:id="125" w:name="_Toc19712"/>
      <w:bookmarkStart w:id="126" w:name="_Toc21804"/>
      <w:r>
        <w:rPr>
          <w:rFonts w:hint="eastAsia" w:ascii="仿宋" w:hAnsi="仿宋" w:eastAsia="仿宋" w:cs="仿宋"/>
          <w:color w:val="auto"/>
          <w:sz w:val="24"/>
          <w:highlight w:val="none"/>
        </w:rPr>
        <w:t>附2-报价函</w:t>
      </w:r>
      <w:bookmarkEnd w:id="125"/>
      <w:bookmarkEnd w:id="126"/>
      <w:r>
        <w:rPr>
          <w:rFonts w:hint="eastAsia" w:ascii="仿宋" w:hAnsi="仿宋" w:eastAsia="仿宋" w:cs="仿宋"/>
          <w:color w:val="auto"/>
          <w:sz w:val="24"/>
          <w:highlight w:val="none"/>
        </w:rPr>
        <w:t>及报价明细清单</w:t>
      </w:r>
    </w:p>
    <w:p w14:paraId="786FA39E">
      <w:pPr>
        <w:wordWrap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 价 函</w:t>
      </w:r>
    </w:p>
    <w:p w14:paraId="0CF4482E">
      <w:pPr>
        <w:wordWrap w:val="0"/>
        <w:spacing w:line="360" w:lineRule="auto"/>
        <w:rPr>
          <w:rFonts w:hint="eastAsia" w:ascii="仿宋" w:hAnsi="仿宋" w:eastAsia="仿宋" w:cs="仿宋"/>
          <w:color w:val="auto"/>
          <w:sz w:val="24"/>
          <w:highlight w:val="none"/>
        </w:rPr>
      </w:pPr>
    </w:p>
    <w:p w14:paraId="4F9486E6">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杭州市新能源投资发展有限公司：</w:t>
      </w:r>
    </w:p>
    <w:p w14:paraId="62D00B63">
      <w:pPr>
        <w:wordWrap w:val="0"/>
        <w:ind w:left="420" w:leftChars="200" w:right="420" w:right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杭州市新能源投资发展有限公司杭州市电动自行车街面充（换）电设备项目--换电柜样品采购安装报价如下：</w:t>
      </w:r>
    </w:p>
    <w:tbl>
      <w:tblPr>
        <w:tblStyle w:val="27"/>
        <w:tblW w:w="9481" w:type="dxa"/>
        <w:jc w:val="center"/>
        <w:tblLayout w:type="fixed"/>
        <w:tblCellMar>
          <w:top w:w="0" w:type="dxa"/>
          <w:left w:w="108" w:type="dxa"/>
          <w:bottom w:w="0" w:type="dxa"/>
          <w:right w:w="108" w:type="dxa"/>
        </w:tblCellMar>
      </w:tblPr>
      <w:tblGrid>
        <w:gridCol w:w="457"/>
        <w:gridCol w:w="1107"/>
        <w:gridCol w:w="1477"/>
        <w:gridCol w:w="1018"/>
        <w:gridCol w:w="601"/>
        <w:gridCol w:w="1611"/>
        <w:gridCol w:w="1605"/>
        <w:gridCol w:w="1605"/>
      </w:tblGrid>
      <w:tr w14:paraId="413DDDDF">
        <w:tblPrEx>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ACC">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5D5">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设备名称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9149">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所投品牌及型号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0F51">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暂估数量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A33F">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单位</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C82D">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综合单价（元）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36B">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合价（元）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BAD">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备注</w:t>
            </w:r>
          </w:p>
        </w:tc>
      </w:tr>
      <w:tr w14:paraId="4A1EDC3E">
        <w:tblPrEx>
          <w:tblCellMar>
            <w:top w:w="0" w:type="dxa"/>
            <w:left w:w="108" w:type="dxa"/>
            <w:bottom w:w="0" w:type="dxa"/>
            <w:right w:w="108" w:type="dxa"/>
          </w:tblCellMar>
        </w:tblPrEx>
        <w:trPr>
          <w:trHeight w:val="7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9C4B">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923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en-US" w:eastAsia="zh-CN" w:bidi="ar"/>
              </w:rPr>
              <w:t>换电柜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BA5">
            <w:pPr>
              <w:widowControl/>
              <w:jc w:val="center"/>
              <w:textAlignment w:val="center"/>
              <w:rPr>
                <w:rFonts w:hint="eastAsia" w:ascii="仿宋" w:hAnsi="仿宋" w:eastAsia="仿宋" w:cs="仿宋"/>
                <w:color w:val="auto"/>
                <w:sz w:val="24"/>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3813">
            <w:pPr>
              <w:widowControl/>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51E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套</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3837">
            <w:pPr>
              <w:widowControl/>
              <w:jc w:val="center"/>
              <w:textAlignment w:val="center"/>
              <w:rPr>
                <w:rFonts w:hint="eastAsia" w:ascii="仿宋" w:hAnsi="仿宋" w:eastAsia="仿宋" w:cs="仿宋"/>
                <w:color w:val="auto"/>
                <w:sz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BA6">
            <w:pPr>
              <w:widowControl/>
              <w:jc w:val="center"/>
              <w:textAlignment w:val="center"/>
              <w:rPr>
                <w:rFonts w:hint="eastAsia" w:ascii="仿宋" w:hAnsi="仿宋" w:eastAsia="仿宋" w:cs="仿宋"/>
                <w:color w:val="auto"/>
                <w:sz w:val="24"/>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3693">
            <w:pPr>
              <w:widowControl/>
              <w:jc w:val="center"/>
              <w:textAlignment w:val="center"/>
              <w:rPr>
                <w:rFonts w:hint="eastAsia" w:ascii="仿宋" w:hAnsi="仿宋" w:eastAsia="仿宋" w:cs="仿宋"/>
                <w:color w:val="auto"/>
                <w:sz w:val="24"/>
                <w:highlight w:val="none"/>
              </w:rPr>
            </w:pPr>
          </w:p>
        </w:tc>
      </w:tr>
      <w:tr w14:paraId="1D3DA5CC">
        <w:tblPrEx>
          <w:tblCellMar>
            <w:top w:w="0" w:type="dxa"/>
            <w:left w:w="108" w:type="dxa"/>
            <w:bottom w:w="0" w:type="dxa"/>
            <w:right w:w="108" w:type="dxa"/>
          </w:tblCellMar>
        </w:tblPrEx>
        <w:trPr>
          <w:trHeight w:val="794" w:hRule="atLeast"/>
          <w:jc w:val="center"/>
        </w:trPr>
        <w:tc>
          <w:tcPr>
            <w:tcW w:w="6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826D3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合计=响应报价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CF0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7FD7089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E0C0">
            <w:pPr>
              <w:widowControl/>
              <w:jc w:val="center"/>
              <w:textAlignment w:val="center"/>
              <w:rPr>
                <w:rFonts w:hint="eastAsia" w:ascii="仿宋" w:hAnsi="仿宋" w:eastAsia="仿宋" w:cs="仿宋"/>
                <w:color w:val="auto"/>
                <w:sz w:val="24"/>
                <w:highlight w:val="none"/>
              </w:rPr>
            </w:pPr>
          </w:p>
        </w:tc>
      </w:tr>
    </w:tbl>
    <w:p w14:paraId="1A8C6A4C">
      <w:pPr>
        <w:tabs>
          <w:tab w:val="left" w:pos="0"/>
        </w:tabs>
        <w:spacing w:line="360" w:lineRule="auto"/>
        <w:ind w:firstLine="480"/>
        <w:rPr>
          <w:rFonts w:hint="eastAsia" w:ascii="仿宋" w:hAnsi="仿宋" w:eastAsia="仿宋" w:cs="仿宋"/>
          <w:color w:val="auto"/>
          <w:sz w:val="24"/>
          <w:highlight w:val="none"/>
        </w:rPr>
      </w:pPr>
    </w:p>
    <w:p w14:paraId="2CE21D0C">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1.报价应包括项目涉及的一切相关费用。若供应商根据以上列明的采购内容需对货物价格及出厂检验费、包装费、运输费、装卸费、保险费、安装费、调试费、验收费、质保期所需相关的服务费、卖方应负担一切税费以及合同明示或暗示的所有责任义务和风险的一切费用等进行分项明细报价，请另行以附件形式提供，格式自拟。</w:t>
      </w:r>
    </w:p>
    <w:p w14:paraId="171DB1D6">
      <w:pPr>
        <w:wordWrap w:val="0"/>
        <w:spacing w:line="360" w:lineRule="auto"/>
        <w:rPr>
          <w:rFonts w:hint="eastAsia" w:ascii="仿宋" w:hAnsi="仿宋" w:eastAsia="仿宋" w:cs="仿宋"/>
          <w:color w:val="auto"/>
          <w:sz w:val="24"/>
          <w:highlight w:val="none"/>
        </w:rPr>
      </w:pPr>
    </w:p>
    <w:p w14:paraId="11337EA2">
      <w:pPr>
        <w:wordWrap w:val="0"/>
        <w:spacing w:line="360" w:lineRule="auto"/>
        <w:ind w:firstLine="3120" w:firstLineChars="1300"/>
        <w:rPr>
          <w:rFonts w:hint="eastAsia" w:ascii="仿宋" w:hAnsi="仿宋" w:eastAsia="仿宋" w:cs="仿宋"/>
          <w:color w:val="auto"/>
          <w:sz w:val="24"/>
          <w:highlight w:val="none"/>
        </w:rPr>
      </w:pPr>
    </w:p>
    <w:p w14:paraId="6D575CDE">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45793D16">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日期：2024年   月   日</w:t>
      </w:r>
    </w:p>
    <w:p w14:paraId="2D5CA0B5">
      <w:pPr>
        <w:wordWrap w:val="0"/>
        <w:rPr>
          <w:rFonts w:hint="eastAsia" w:ascii="仿宋" w:hAnsi="仿宋" w:eastAsia="仿宋" w:cs="仿宋"/>
          <w:b/>
          <w:color w:val="auto"/>
          <w:sz w:val="32"/>
          <w:highlight w:val="none"/>
        </w:rPr>
      </w:pPr>
    </w:p>
    <w:p w14:paraId="4C5C5DE8">
      <w:pPr>
        <w:rPr>
          <w:rFonts w:hint="eastAsia" w:ascii="仿宋" w:hAnsi="仿宋" w:eastAsia="仿宋" w:cs="仿宋"/>
          <w:b/>
          <w:color w:val="auto"/>
          <w:sz w:val="36"/>
          <w:szCs w:val="36"/>
          <w:highlight w:val="none"/>
        </w:rPr>
        <w:sectPr>
          <w:footerReference r:id="rId3" w:type="default"/>
          <w:pgSz w:w="11906" w:h="16838"/>
          <w:pgMar w:top="1440" w:right="1474" w:bottom="1440" w:left="1519" w:header="851" w:footer="992" w:gutter="0"/>
          <w:cols w:space="425" w:num="1"/>
          <w:docGrid w:type="lines" w:linePitch="312" w:charSpace="0"/>
        </w:sectPr>
      </w:pPr>
      <w:r>
        <w:rPr>
          <w:rFonts w:hint="eastAsia" w:ascii="仿宋" w:hAnsi="仿宋" w:eastAsia="仿宋" w:cs="仿宋"/>
          <w:b/>
          <w:color w:val="auto"/>
          <w:sz w:val="36"/>
          <w:szCs w:val="36"/>
          <w:highlight w:val="none"/>
        </w:rPr>
        <w:br w:type="page"/>
      </w:r>
    </w:p>
    <w:p w14:paraId="60799775">
      <w:pPr>
        <w:pStyle w:val="14"/>
        <w:wordWrap w:val="0"/>
        <w:spacing w:line="360" w:lineRule="auto"/>
        <w:rPr>
          <w:rFonts w:hint="eastAsia" w:ascii="仿宋" w:hAnsi="仿宋" w:eastAsia="仿宋" w:cs="仿宋"/>
          <w:b/>
          <w:color w:val="auto"/>
          <w:sz w:val="32"/>
          <w:highlight w:val="none"/>
        </w:rPr>
      </w:pPr>
    </w:p>
    <w:p w14:paraId="297E9D1B">
      <w:pPr>
        <w:wordWrap w:val="0"/>
        <w:jc w:val="center"/>
        <w:outlineLvl w:val="1"/>
        <w:rPr>
          <w:rFonts w:hint="eastAsia" w:ascii="仿宋" w:hAnsi="仿宋" w:eastAsia="仿宋" w:cs="仿宋"/>
          <w:b/>
          <w:bCs/>
          <w:color w:val="auto"/>
          <w:sz w:val="24"/>
          <w:highlight w:val="none"/>
        </w:rPr>
      </w:pPr>
      <w:bookmarkStart w:id="127" w:name="_Toc32520"/>
      <w:r>
        <w:rPr>
          <w:rFonts w:hint="eastAsia" w:ascii="仿宋" w:hAnsi="仿宋" w:eastAsia="仿宋" w:cs="仿宋"/>
          <w:b/>
          <w:bCs/>
          <w:color w:val="auto"/>
          <w:sz w:val="24"/>
          <w:highlight w:val="none"/>
        </w:rPr>
        <w:t>随机专用工具及备品备件明细表</w:t>
      </w:r>
      <w:bookmarkEnd w:id="127"/>
      <w:r>
        <w:rPr>
          <w:rFonts w:hint="eastAsia" w:ascii="仿宋" w:hAnsi="仿宋" w:eastAsia="仿宋" w:cs="仿宋"/>
          <w:b/>
          <w:bCs/>
          <w:color w:val="auto"/>
          <w:sz w:val="24"/>
          <w:highlight w:val="none"/>
        </w:rPr>
        <w:t>（如有）</w:t>
      </w:r>
    </w:p>
    <w:p w14:paraId="6A4AE1B6">
      <w:pPr>
        <w:pStyle w:val="14"/>
        <w:wordWrap w:val="0"/>
        <w:spacing w:line="360" w:lineRule="auto"/>
        <w:jc w:val="left"/>
        <w:rPr>
          <w:rFonts w:hint="eastAsia" w:ascii="仿宋" w:hAnsi="仿宋" w:eastAsia="仿宋" w:cs="仿宋"/>
          <w:color w:val="auto"/>
          <w:sz w:val="24"/>
          <w:highlight w:val="none"/>
        </w:rPr>
      </w:pPr>
      <w:r>
        <w:rPr>
          <w:rStyle w:val="33"/>
          <w:rFonts w:hint="eastAsia" w:ascii="仿宋" w:hAnsi="仿宋" w:eastAsia="仿宋" w:cs="仿宋"/>
          <w:color w:val="auto"/>
          <w:sz w:val="24"/>
          <w:highlight w:val="none"/>
          <w:u w:val="single"/>
        </w:rPr>
        <w:t xml:space="preserve">项目名称：  </w:t>
      </w:r>
    </w:p>
    <w:p w14:paraId="4F9F4128">
      <w:pPr>
        <w:pStyle w:val="14"/>
        <w:wordWrap w:val="0"/>
        <w:spacing w:line="360" w:lineRule="auto"/>
        <w:jc w:val="right"/>
        <w:rPr>
          <w:rFonts w:hint="eastAsia" w:ascii="仿宋" w:hAnsi="仿宋" w:eastAsia="仿宋" w:cs="仿宋"/>
          <w:color w:val="auto"/>
          <w:sz w:val="28"/>
          <w:szCs w:val="20"/>
          <w:highlight w:val="none"/>
        </w:rPr>
      </w:pPr>
      <w:r>
        <w:rPr>
          <w:rFonts w:hint="eastAsia" w:ascii="仿宋" w:hAnsi="仿宋" w:eastAsia="仿宋" w:cs="仿宋"/>
          <w:color w:val="auto"/>
          <w:sz w:val="24"/>
          <w:highlight w:val="none"/>
        </w:rPr>
        <w:t>单位：人民币元</w:t>
      </w:r>
    </w:p>
    <w:tbl>
      <w:tblPr>
        <w:tblStyle w:val="27"/>
        <w:tblW w:w="91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48"/>
        <w:gridCol w:w="1755"/>
        <w:gridCol w:w="1123"/>
        <w:gridCol w:w="1100"/>
        <w:gridCol w:w="1502"/>
        <w:gridCol w:w="1431"/>
        <w:gridCol w:w="665"/>
      </w:tblGrid>
      <w:tr w14:paraId="596B63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3303" w:type="dxa"/>
            <w:gridSpan w:val="2"/>
            <w:vMerge w:val="restart"/>
            <w:vAlign w:val="center"/>
          </w:tcPr>
          <w:p w14:paraId="500C37A0">
            <w:pPr>
              <w:tabs>
                <w:tab w:val="left" w:pos="1530"/>
              </w:tabs>
              <w:wordWrap w:val="0"/>
              <w:rPr>
                <w:rStyle w:val="54"/>
                <w:rFonts w:hint="eastAsia" w:ascii="仿宋" w:eastAsia="仿宋" w:cs="仿宋"/>
                <w:b w:val="0"/>
                <w:bCs w:val="0"/>
                <w:color w:val="auto"/>
                <w:sz w:val="24"/>
                <w:szCs w:val="24"/>
                <w:highlight w:val="none"/>
              </w:rPr>
            </w:pPr>
            <w:bookmarkStart w:id="128" w:name="_Toc25532"/>
            <w:r>
              <w:rPr>
                <w:rStyle w:val="54"/>
                <w:rFonts w:hint="eastAsia" w:ascii="仿宋" w:eastAsia="仿宋" w:cs="仿宋"/>
                <w:b w:val="0"/>
                <w:bCs w:val="0"/>
                <w:color w:val="auto"/>
                <w:sz w:val="24"/>
                <w:szCs w:val="24"/>
                <w:highlight w:val="none"/>
              </w:rPr>
              <w:t>名称</w:t>
            </w:r>
          </w:p>
          <w:bookmarkEnd w:id="128"/>
        </w:tc>
        <w:tc>
          <w:tcPr>
            <w:tcW w:w="1123" w:type="dxa"/>
            <w:vMerge w:val="restart"/>
            <w:vAlign w:val="center"/>
          </w:tcPr>
          <w:p w14:paraId="6725F733">
            <w:pPr>
              <w:tabs>
                <w:tab w:val="left" w:pos="1530"/>
              </w:tabs>
              <w:wordWrap w:val="0"/>
              <w:jc w:val="center"/>
              <w:rPr>
                <w:rStyle w:val="54"/>
                <w:rFonts w:hint="eastAsia" w:ascii="仿宋" w:eastAsia="仿宋" w:cs="仿宋"/>
                <w:b w:val="0"/>
                <w:bCs w:val="0"/>
                <w:color w:val="auto"/>
                <w:sz w:val="24"/>
                <w:szCs w:val="24"/>
                <w:highlight w:val="none"/>
              </w:rPr>
            </w:pPr>
            <w:bookmarkStart w:id="129" w:name="_Toc21131"/>
            <w:r>
              <w:rPr>
                <w:rStyle w:val="54"/>
                <w:rFonts w:hint="eastAsia" w:ascii="仿宋" w:eastAsia="仿宋" w:cs="仿宋"/>
                <w:b w:val="0"/>
                <w:bCs w:val="0"/>
                <w:color w:val="auto"/>
                <w:sz w:val="24"/>
                <w:szCs w:val="24"/>
                <w:highlight w:val="none"/>
              </w:rPr>
              <w:t>数量</w:t>
            </w:r>
          </w:p>
          <w:bookmarkEnd w:id="129"/>
        </w:tc>
        <w:tc>
          <w:tcPr>
            <w:tcW w:w="1100" w:type="dxa"/>
            <w:vMerge w:val="restart"/>
            <w:vAlign w:val="center"/>
          </w:tcPr>
          <w:p w14:paraId="33DD3518">
            <w:pPr>
              <w:tabs>
                <w:tab w:val="left" w:pos="1530"/>
              </w:tabs>
              <w:wordWrap w:val="0"/>
              <w:rPr>
                <w:rStyle w:val="54"/>
                <w:rFonts w:hint="eastAsia" w:ascii="仿宋" w:eastAsia="仿宋" w:cs="仿宋"/>
                <w:b w:val="0"/>
                <w:bCs w:val="0"/>
                <w:color w:val="auto"/>
                <w:sz w:val="24"/>
                <w:szCs w:val="24"/>
                <w:highlight w:val="none"/>
              </w:rPr>
            </w:pPr>
            <w:bookmarkStart w:id="130" w:name="_Toc21708"/>
            <w:r>
              <w:rPr>
                <w:rStyle w:val="54"/>
                <w:rFonts w:hint="eastAsia" w:ascii="仿宋" w:eastAsia="仿宋" w:cs="仿宋"/>
                <w:b w:val="0"/>
                <w:bCs w:val="0"/>
                <w:color w:val="auto"/>
                <w:sz w:val="24"/>
                <w:szCs w:val="24"/>
                <w:highlight w:val="none"/>
              </w:rPr>
              <w:t>单位</w:t>
            </w:r>
          </w:p>
          <w:bookmarkEnd w:id="130"/>
        </w:tc>
        <w:tc>
          <w:tcPr>
            <w:tcW w:w="2933" w:type="dxa"/>
            <w:gridSpan w:val="2"/>
            <w:vAlign w:val="center"/>
          </w:tcPr>
          <w:p w14:paraId="51D5F736">
            <w:pPr>
              <w:tabs>
                <w:tab w:val="left" w:pos="1530"/>
              </w:tabs>
              <w:wordWrap w:val="0"/>
              <w:jc w:val="center"/>
              <w:rPr>
                <w:rStyle w:val="54"/>
                <w:rFonts w:hint="eastAsia" w:ascii="仿宋" w:eastAsia="仿宋" w:cs="仿宋"/>
                <w:b w:val="0"/>
                <w:bCs w:val="0"/>
                <w:color w:val="auto"/>
                <w:sz w:val="24"/>
                <w:szCs w:val="24"/>
                <w:highlight w:val="none"/>
              </w:rPr>
            </w:pPr>
            <w:bookmarkStart w:id="131" w:name="_Toc12713"/>
            <w:r>
              <w:rPr>
                <w:rStyle w:val="54"/>
                <w:rFonts w:hint="eastAsia" w:ascii="仿宋" w:eastAsia="仿宋" w:cs="仿宋"/>
                <w:b w:val="0"/>
                <w:bCs w:val="0"/>
                <w:color w:val="auto"/>
                <w:sz w:val="24"/>
                <w:szCs w:val="24"/>
                <w:highlight w:val="none"/>
              </w:rPr>
              <w:t>价格（元）</w:t>
            </w:r>
          </w:p>
          <w:bookmarkEnd w:id="131"/>
        </w:tc>
        <w:tc>
          <w:tcPr>
            <w:tcW w:w="665" w:type="dxa"/>
            <w:vMerge w:val="restart"/>
            <w:vAlign w:val="center"/>
          </w:tcPr>
          <w:p w14:paraId="4ED6D9FD">
            <w:pPr>
              <w:tabs>
                <w:tab w:val="left" w:pos="1530"/>
              </w:tabs>
              <w:wordWrap w:val="0"/>
              <w:rPr>
                <w:rStyle w:val="54"/>
                <w:rFonts w:hint="eastAsia" w:ascii="仿宋" w:eastAsia="仿宋" w:cs="仿宋"/>
                <w:b w:val="0"/>
                <w:bCs w:val="0"/>
                <w:color w:val="auto"/>
                <w:sz w:val="24"/>
                <w:szCs w:val="24"/>
                <w:highlight w:val="none"/>
              </w:rPr>
            </w:pPr>
            <w:bookmarkStart w:id="132" w:name="_Toc16677"/>
            <w:r>
              <w:rPr>
                <w:rStyle w:val="54"/>
                <w:rFonts w:hint="eastAsia" w:ascii="仿宋" w:eastAsia="仿宋" w:cs="仿宋"/>
                <w:b w:val="0"/>
                <w:bCs w:val="0"/>
                <w:color w:val="auto"/>
                <w:sz w:val="24"/>
                <w:szCs w:val="24"/>
                <w:highlight w:val="none"/>
              </w:rPr>
              <w:t>备注</w:t>
            </w:r>
          </w:p>
          <w:bookmarkEnd w:id="132"/>
        </w:tc>
      </w:tr>
      <w:tr w14:paraId="74BEE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3303" w:type="dxa"/>
            <w:gridSpan w:val="2"/>
            <w:vMerge w:val="continue"/>
            <w:vAlign w:val="center"/>
          </w:tcPr>
          <w:p w14:paraId="1FBD7937">
            <w:pPr>
              <w:tabs>
                <w:tab w:val="left" w:pos="1530"/>
              </w:tabs>
              <w:wordWrap w:val="0"/>
              <w:rPr>
                <w:rStyle w:val="54"/>
                <w:rFonts w:hint="eastAsia" w:ascii="仿宋" w:eastAsia="仿宋" w:cs="仿宋"/>
                <w:b w:val="0"/>
                <w:bCs w:val="0"/>
                <w:color w:val="auto"/>
                <w:sz w:val="24"/>
                <w:szCs w:val="24"/>
                <w:highlight w:val="none"/>
              </w:rPr>
            </w:pPr>
          </w:p>
        </w:tc>
        <w:tc>
          <w:tcPr>
            <w:tcW w:w="1123" w:type="dxa"/>
            <w:vMerge w:val="continue"/>
            <w:vAlign w:val="center"/>
          </w:tcPr>
          <w:p w14:paraId="08186E9A">
            <w:pPr>
              <w:tabs>
                <w:tab w:val="left" w:pos="1530"/>
              </w:tabs>
              <w:wordWrap w:val="0"/>
              <w:rPr>
                <w:rStyle w:val="54"/>
                <w:rFonts w:hint="eastAsia" w:ascii="仿宋" w:eastAsia="仿宋" w:cs="仿宋"/>
                <w:b w:val="0"/>
                <w:bCs w:val="0"/>
                <w:color w:val="auto"/>
                <w:sz w:val="24"/>
                <w:szCs w:val="24"/>
                <w:highlight w:val="none"/>
              </w:rPr>
            </w:pPr>
          </w:p>
        </w:tc>
        <w:tc>
          <w:tcPr>
            <w:tcW w:w="1100" w:type="dxa"/>
            <w:vMerge w:val="continue"/>
            <w:vAlign w:val="center"/>
          </w:tcPr>
          <w:p w14:paraId="4CB0966D">
            <w:pPr>
              <w:tabs>
                <w:tab w:val="left" w:pos="1530"/>
              </w:tabs>
              <w:wordWrap w:val="0"/>
              <w:rPr>
                <w:rStyle w:val="54"/>
                <w:rFonts w:hint="eastAsia" w:ascii="仿宋" w:eastAsia="仿宋" w:cs="仿宋"/>
                <w:b w:val="0"/>
                <w:bCs w:val="0"/>
                <w:color w:val="auto"/>
                <w:sz w:val="24"/>
                <w:szCs w:val="24"/>
                <w:highlight w:val="none"/>
              </w:rPr>
            </w:pPr>
          </w:p>
        </w:tc>
        <w:tc>
          <w:tcPr>
            <w:tcW w:w="1502" w:type="dxa"/>
            <w:vAlign w:val="center"/>
          </w:tcPr>
          <w:p w14:paraId="37E83612">
            <w:pPr>
              <w:tabs>
                <w:tab w:val="left" w:pos="1530"/>
              </w:tabs>
              <w:wordWrap w:val="0"/>
              <w:jc w:val="center"/>
              <w:rPr>
                <w:rStyle w:val="54"/>
                <w:rFonts w:hint="eastAsia" w:ascii="仿宋" w:eastAsia="仿宋" w:cs="仿宋"/>
                <w:b w:val="0"/>
                <w:bCs w:val="0"/>
                <w:color w:val="auto"/>
                <w:sz w:val="24"/>
                <w:szCs w:val="24"/>
                <w:highlight w:val="none"/>
              </w:rPr>
            </w:pPr>
            <w:bookmarkStart w:id="133" w:name="_Toc28075"/>
            <w:r>
              <w:rPr>
                <w:rStyle w:val="54"/>
                <w:rFonts w:hint="eastAsia" w:ascii="仿宋" w:eastAsia="仿宋" w:cs="仿宋"/>
                <w:b w:val="0"/>
                <w:bCs w:val="0"/>
                <w:color w:val="auto"/>
                <w:sz w:val="24"/>
                <w:szCs w:val="24"/>
                <w:highlight w:val="none"/>
              </w:rPr>
              <w:t>单价</w:t>
            </w:r>
          </w:p>
          <w:bookmarkEnd w:id="133"/>
        </w:tc>
        <w:tc>
          <w:tcPr>
            <w:tcW w:w="1431" w:type="dxa"/>
            <w:vAlign w:val="center"/>
          </w:tcPr>
          <w:p w14:paraId="029E67A4">
            <w:pPr>
              <w:tabs>
                <w:tab w:val="left" w:pos="1530"/>
              </w:tabs>
              <w:wordWrap w:val="0"/>
              <w:rPr>
                <w:rStyle w:val="54"/>
                <w:rFonts w:hint="eastAsia" w:ascii="仿宋" w:eastAsia="仿宋" w:cs="仿宋"/>
                <w:b w:val="0"/>
                <w:bCs w:val="0"/>
                <w:color w:val="auto"/>
                <w:sz w:val="24"/>
                <w:szCs w:val="24"/>
                <w:highlight w:val="none"/>
              </w:rPr>
            </w:pPr>
            <w:bookmarkStart w:id="134" w:name="_Toc12183"/>
            <w:r>
              <w:rPr>
                <w:rStyle w:val="54"/>
                <w:rFonts w:hint="eastAsia" w:ascii="仿宋" w:eastAsia="仿宋" w:cs="仿宋"/>
                <w:b w:val="0"/>
                <w:bCs w:val="0"/>
                <w:color w:val="auto"/>
                <w:sz w:val="24"/>
                <w:szCs w:val="24"/>
                <w:highlight w:val="none"/>
              </w:rPr>
              <w:t>总价</w:t>
            </w:r>
          </w:p>
          <w:bookmarkEnd w:id="134"/>
        </w:tc>
        <w:tc>
          <w:tcPr>
            <w:tcW w:w="665" w:type="dxa"/>
            <w:vMerge w:val="continue"/>
            <w:vAlign w:val="center"/>
          </w:tcPr>
          <w:p w14:paraId="283D10D5">
            <w:pPr>
              <w:tabs>
                <w:tab w:val="left" w:pos="1530"/>
              </w:tabs>
              <w:wordWrap w:val="0"/>
              <w:rPr>
                <w:rStyle w:val="54"/>
                <w:rFonts w:hint="eastAsia" w:ascii="仿宋" w:eastAsia="仿宋" w:cs="仿宋"/>
                <w:b w:val="0"/>
                <w:bCs w:val="0"/>
                <w:color w:val="auto"/>
                <w:sz w:val="24"/>
                <w:szCs w:val="24"/>
                <w:highlight w:val="none"/>
              </w:rPr>
            </w:pPr>
          </w:p>
        </w:tc>
      </w:tr>
      <w:tr w14:paraId="55586A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restart"/>
            <w:vAlign w:val="center"/>
          </w:tcPr>
          <w:p w14:paraId="142F206A">
            <w:pPr>
              <w:tabs>
                <w:tab w:val="left" w:pos="1530"/>
              </w:tabs>
              <w:wordWrap w:val="0"/>
              <w:rPr>
                <w:rStyle w:val="54"/>
                <w:rFonts w:hint="eastAsia" w:ascii="仿宋" w:eastAsia="仿宋" w:cs="仿宋"/>
                <w:b w:val="0"/>
                <w:bCs w:val="0"/>
                <w:color w:val="auto"/>
                <w:sz w:val="24"/>
                <w:szCs w:val="24"/>
                <w:highlight w:val="none"/>
              </w:rPr>
            </w:pPr>
            <w:bookmarkStart w:id="135" w:name="_Toc18954"/>
            <w:r>
              <w:rPr>
                <w:rStyle w:val="54"/>
                <w:rFonts w:hint="eastAsia" w:ascii="仿宋" w:eastAsia="仿宋" w:cs="仿宋"/>
                <w:b w:val="0"/>
                <w:bCs w:val="0"/>
                <w:color w:val="auto"/>
                <w:sz w:val="24"/>
                <w:szCs w:val="24"/>
                <w:highlight w:val="none"/>
              </w:rPr>
              <w:t>专用工具</w:t>
            </w:r>
          </w:p>
          <w:bookmarkEnd w:id="135"/>
        </w:tc>
        <w:tc>
          <w:tcPr>
            <w:tcW w:w="1755" w:type="dxa"/>
            <w:vAlign w:val="center"/>
          </w:tcPr>
          <w:p w14:paraId="22D3BE08">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51CC229E">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0A3F8A38">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61FDAC4A">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0B433548">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0231BA20">
            <w:pPr>
              <w:tabs>
                <w:tab w:val="left" w:pos="1530"/>
              </w:tabs>
              <w:wordWrap w:val="0"/>
              <w:rPr>
                <w:rStyle w:val="54"/>
                <w:rFonts w:hint="eastAsia" w:ascii="仿宋" w:eastAsia="仿宋" w:cs="仿宋"/>
                <w:b w:val="0"/>
                <w:bCs w:val="0"/>
                <w:color w:val="auto"/>
                <w:sz w:val="24"/>
                <w:szCs w:val="24"/>
                <w:highlight w:val="none"/>
              </w:rPr>
            </w:pPr>
          </w:p>
        </w:tc>
      </w:tr>
      <w:tr w14:paraId="7430D4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5DE61FBA">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07D12AE7">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4DA24BEF">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5408A0ED">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1C088698">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692A20FD">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14DCF2B6">
            <w:pPr>
              <w:tabs>
                <w:tab w:val="left" w:pos="1530"/>
              </w:tabs>
              <w:wordWrap w:val="0"/>
              <w:rPr>
                <w:rStyle w:val="54"/>
                <w:rFonts w:hint="eastAsia" w:ascii="仿宋" w:eastAsia="仿宋" w:cs="仿宋"/>
                <w:b w:val="0"/>
                <w:bCs w:val="0"/>
                <w:color w:val="auto"/>
                <w:sz w:val="24"/>
                <w:szCs w:val="24"/>
                <w:highlight w:val="none"/>
              </w:rPr>
            </w:pPr>
          </w:p>
        </w:tc>
      </w:tr>
      <w:tr w14:paraId="15425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3DA83679">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590077C5">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0A326316">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6C135BF5">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6CD06E63">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71ACEE78">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140ED8BA">
            <w:pPr>
              <w:tabs>
                <w:tab w:val="left" w:pos="1530"/>
              </w:tabs>
              <w:wordWrap w:val="0"/>
              <w:rPr>
                <w:rStyle w:val="54"/>
                <w:rFonts w:hint="eastAsia" w:ascii="仿宋" w:eastAsia="仿宋" w:cs="仿宋"/>
                <w:b w:val="0"/>
                <w:bCs w:val="0"/>
                <w:color w:val="auto"/>
                <w:sz w:val="24"/>
                <w:szCs w:val="24"/>
                <w:highlight w:val="none"/>
              </w:rPr>
            </w:pPr>
          </w:p>
        </w:tc>
      </w:tr>
      <w:tr w14:paraId="7C7C09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1863084E">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48C76CD0">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3BA700B5">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36E9FB4C">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008613C8">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03E19148">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7C893821">
            <w:pPr>
              <w:tabs>
                <w:tab w:val="left" w:pos="1530"/>
              </w:tabs>
              <w:wordWrap w:val="0"/>
              <w:rPr>
                <w:rStyle w:val="54"/>
                <w:rFonts w:hint="eastAsia" w:ascii="仿宋" w:eastAsia="仿宋" w:cs="仿宋"/>
                <w:b w:val="0"/>
                <w:bCs w:val="0"/>
                <w:color w:val="auto"/>
                <w:sz w:val="24"/>
                <w:szCs w:val="24"/>
                <w:highlight w:val="none"/>
              </w:rPr>
            </w:pPr>
          </w:p>
        </w:tc>
      </w:tr>
      <w:tr w14:paraId="1607DF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restart"/>
            <w:vAlign w:val="center"/>
          </w:tcPr>
          <w:p w14:paraId="531D8BA9">
            <w:pPr>
              <w:tabs>
                <w:tab w:val="left" w:pos="1530"/>
              </w:tabs>
              <w:wordWrap w:val="0"/>
              <w:rPr>
                <w:rStyle w:val="54"/>
                <w:rFonts w:hint="eastAsia" w:ascii="仿宋" w:eastAsia="仿宋" w:cs="仿宋"/>
                <w:b w:val="0"/>
                <w:bCs w:val="0"/>
                <w:color w:val="auto"/>
                <w:sz w:val="24"/>
                <w:szCs w:val="24"/>
                <w:highlight w:val="none"/>
              </w:rPr>
            </w:pPr>
            <w:bookmarkStart w:id="136" w:name="_Toc30206"/>
            <w:r>
              <w:rPr>
                <w:rStyle w:val="54"/>
                <w:rFonts w:hint="eastAsia" w:ascii="仿宋" w:eastAsia="仿宋" w:cs="仿宋"/>
                <w:b w:val="0"/>
                <w:bCs w:val="0"/>
                <w:color w:val="auto"/>
                <w:sz w:val="24"/>
                <w:szCs w:val="24"/>
                <w:highlight w:val="none"/>
              </w:rPr>
              <w:t>备品备件</w:t>
            </w:r>
          </w:p>
          <w:bookmarkEnd w:id="136"/>
        </w:tc>
        <w:tc>
          <w:tcPr>
            <w:tcW w:w="1755" w:type="dxa"/>
            <w:vAlign w:val="center"/>
          </w:tcPr>
          <w:p w14:paraId="12082C0E">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3FA1741B">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1AE26AE5">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6D1C9D91">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5179834F">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662E4EEE">
            <w:pPr>
              <w:tabs>
                <w:tab w:val="left" w:pos="1530"/>
              </w:tabs>
              <w:wordWrap w:val="0"/>
              <w:rPr>
                <w:rStyle w:val="54"/>
                <w:rFonts w:hint="eastAsia" w:ascii="仿宋" w:eastAsia="仿宋" w:cs="仿宋"/>
                <w:b w:val="0"/>
                <w:bCs w:val="0"/>
                <w:color w:val="auto"/>
                <w:sz w:val="24"/>
                <w:szCs w:val="24"/>
                <w:highlight w:val="none"/>
              </w:rPr>
            </w:pPr>
          </w:p>
        </w:tc>
      </w:tr>
      <w:tr w14:paraId="755EB8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35CEF1DB">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45932346">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5164F644">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3647FB1E">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6FC6E004">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610FB5C0">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661E3A01">
            <w:pPr>
              <w:tabs>
                <w:tab w:val="left" w:pos="1530"/>
              </w:tabs>
              <w:wordWrap w:val="0"/>
              <w:rPr>
                <w:rStyle w:val="54"/>
                <w:rFonts w:hint="eastAsia" w:ascii="仿宋" w:eastAsia="仿宋" w:cs="仿宋"/>
                <w:b w:val="0"/>
                <w:bCs w:val="0"/>
                <w:color w:val="auto"/>
                <w:sz w:val="24"/>
                <w:szCs w:val="24"/>
                <w:highlight w:val="none"/>
              </w:rPr>
            </w:pPr>
          </w:p>
        </w:tc>
      </w:tr>
      <w:tr w14:paraId="028EDE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148D429E">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301A4BFA">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43A3F098">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44303414">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2A99AF5A">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31F8C493">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3D1AD7C2">
            <w:pPr>
              <w:tabs>
                <w:tab w:val="left" w:pos="1530"/>
              </w:tabs>
              <w:wordWrap w:val="0"/>
              <w:rPr>
                <w:rStyle w:val="54"/>
                <w:rFonts w:hint="eastAsia" w:ascii="仿宋" w:eastAsia="仿宋" w:cs="仿宋"/>
                <w:b w:val="0"/>
                <w:bCs w:val="0"/>
                <w:color w:val="auto"/>
                <w:sz w:val="24"/>
                <w:szCs w:val="24"/>
                <w:highlight w:val="none"/>
              </w:rPr>
            </w:pPr>
          </w:p>
        </w:tc>
      </w:tr>
      <w:tr w14:paraId="602B72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6" w:hRule="atLeast"/>
          <w:jc w:val="center"/>
        </w:trPr>
        <w:tc>
          <w:tcPr>
            <w:tcW w:w="1548" w:type="dxa"/>
            <w:vMerge w:val="continue"/>
            <w:vAlign w:val="center"/>
          </w:tcPr>
          <w:p w14:paraId="45C1C2DD">
            <w:pPr>
              <w:tabs>
                <w:tab w:val="left" w:pos="1530"/>
              </w:tabs>
              <w:wordWrap w:val="0"/>
              <w:rPr>
                <w:rStyle w:val="54"/>
                <w:rFonts w:hint="eastAsia" w:ascii="仿宋" w:eastAsia="仿宋" w:cs="仿宋"/>
                <w:b w:val="0"/>
                <w:bCs w:val="0"/>
                <w:color w:val="auto"/>
                <w:sz w:val="24"/>
                <w:szCs w:val="24"/>
                <w:highlight w:val="none"/>
              </w:rPr>
            </w:pPr>
          </w:p>
        </w:tc>
        <w:tc>
          <w:tcPr>
            <w:tcW w:w="1755" w:type="dxa"/>
            <w:vAlign w:val="center"/>
          </w:tcPr>
          <w:p w14:paraId="64721326">
            <w:pPr>
              <w:tabs>
                <w:tab w:val="left" w:pos="1530"/>
              </w:tabs>
              <w:wordWrap w:val="0"/>
              <w:rPr>
                <w:rStyle w:val="54"/>
                <w:rFonts w:hint="eastAsia" w:ascii="仿宋" w:eastAsia="仿宋" w:cs="仿宋"/>
                <w:b w:val="0"/>
                <w:bCs w:val="0"/>
                <w:color w:val="auto"/>
                <w:sz w:val="24"/>
                <w:szCs w:val="24"/>
                <w:highlight w:val="none"/>
              </w:rPr>
            </w:pPr>
          </w:p>
        </w:tc>
        <w:tc>
          <w:tcPr>
            <w:tcW w:w="1123" w:type="dxa"/>
            <w:vAlign w:val="center"/>
          </w:tcPr>
          <w:p w14:paraId="7D0042B6">
            <w:pPr>
              <w:tabs>
                <w:tab w:val="left" w:pos="1530"/>
              </w:tabs>
              <w:wordWrap w:val="0"/>
              <w:rPr>
                <w:rStyle w:val="54"/>
                <w:rFonts w:hint="eastAsia" w:ascii="仿宋" w:eastAsia="仿宋" w:cs="仿宋"/>
                <w:b w:val="0"/>
                <w:bCs w:val="0"/>
                <w:color w:val="auto"/>
                <w:sz w:val="24"/>
                <w:szCs w:val="24"/>
                <w:highlight w:val="none"/>
              </w:rPr>
            </w:pPr>
          </w:p>
        </w:tc>
        <w:tc>
          <w:tcPr>
            <w:tcW w:w="1100" w:type="dxa"/>
            <w:vAlign w:val="center"/>
          </w:tcPr>
          <w:p w14:paraId="0B689C6A">
            <w:pPr>
              <w:tabs>
                <w:tab w:val="left" w:pos="1530"/>
              </w:tabs>
              <w:wordWrap w:val="0"/>
              <w:rPr>
                <w:rStyle w:val="54"/>
                <w:rFonts w:hint="eastAsia" w:ascii="仿宋" w:eastAsia="仿宋" w:cs="仿宋"/>
                <w:b w:val="0"/>
                <w:bCs w:val="0"/>
                <w:color w:val="auto"/>
                <w:sz w:val="24"/>
                <w:szCs w:val="24"/>
                <w:highlight w:val="none"/>
              </w:rPr>
            </w:pPr>
          </w:p>
        </w:tc>
        <w:tc>
          <w:tcPr>
            <w:tcW w:w="1502" w:type="dxa"/>
            <w:tcBorders>
              <w:right w:val="single" w:color="auto" w:sz="4" w:space="0"/>
            </w:tcBorders>
            <w:vAlign w:val="center"/>
          </w:tcPr>
          <w:p w14:paraId="582B0D7B">
            <w:pPr>
              <w:tabs>
                <w:tab w:val="left" w:pos="1530"/>
              </w:tabs>
              <w:wordWrap w:val="0"/>
              <w:rPr>
                <w:rStyle w:val="54"/>
                <w:rFonts w:hint="eastAsia" w:ascii="仿宋" w:eastAsia="仿宋" w:cs="仿宋"/>
                <w:b w:val="0"/>
                <w:bCs w:val="0"/>
                <w:color w:val="auto"/>
                <w:sz w:val="24"/>
                <w:szCs w:val="24"/>
                <w:highlight w:val="none"/>
              </w:rPr>
            </w:pPr>
          </w:p>
        </w:tc>
        <w:tc>
          <w:tcPr>
            <w:tcW w:w="1431" w:type="dxa"/>
            <w:tcBorders>
              <w:left w:val="single" w:color="auto" w:sz="4" w:space="0"/>
            </w:tcBorders>
            <w:vAlign w:val="center"/>
          </w:tcPr>
          <w:p w14:paraId="3502A3C7">
            <w:pPr>
              <w:tabs>
                <w:tab w:val="left" w:pos="1530"/>
              </w:tabs>
              <w:wordWrap w:val="0"/>
              <w:rPr>
                <w:rStyle w:val="54"/>
                <w:rFonts w:hint="eastAsia" w:ascii="仿宋" w:eastAsia="仿宋" w:cs="仿宋"/>
                <w:b w:val="0"/>
                <w:bCs w:val="0"/>
                <w:color w:val="auto"/>
                <w:sz w:val="24"/>
                <w:szCs w:val="24"/>
                <w:highlight w:val="none"/>
              </w:rPr>
            </w:pPr>
          </w:p>
        </w:tc>
        <w:tc>
          <w:tcPr>
            <w:tcW w:w="665" w:type="dxa"/>
            <w:vAlign w:val="center"/>
          </w:tcPr>
          <w:p w14:paraId="4C1F59F4">
            <w:pPr>
              <w:tabs>
                <w:tab w:val="left" w:pos="1530"/>
              </w:tabs>
              <w:wordWrap w:val="0"/>
              <w:rPr>
                <w:rStyle w:val="54"/>
                <w:rFonts w:hint="eastAsia" w:ascii="仿宋" w:eastAsia="仿宋" w:cs="仿宋"/>
                <w:b w:val="0"/>
                <w:bCs w:val="0"/>
                <w:color w:val="auto"/>
                <w:sz w:val="24"/>
                <w:szCs w:val="24"/>
                <w:highlight w:val="none"/>
              </w:rPr>
            </w:pPr>
          </w:p>
        </w:tc>
      </w:tr>
    </w:tbl>
    <w:p w14:paraId="4BC03D63">
      <w:pPr>
        <w:tabs>
          <w:tab w:val="left" w:pos="1530"/>
        </w:tabs>
        <w:wordWrap w:val="0"/>
        <w:rPr>
          <w:rStyle w:val="54"/>
          <w:rFonts w:hint="eastAsia" w:ascii="仿宋" w:eastAsia="仿宋" w:cs="仿宋"/>
          <w:b w:val="0"/>
          <w:bCs w:val="0"/>
          <w:color w:val="auto"/>
          <w:sz w:val="24"/>
          <w:szCs w:val="24"/>
          <w:highlight w:val="none"/>
        </w:rPr>
      </w:pPr>
    </w:p>
    <w:p w14:paraId="7F595CEA">
      <w:pPr>
        <w:tabs>
          <w:tab w:val="left" w:pos="1530"/>
        </w:tabs>
        <w:wordWrap w:val="0"/>
        <w:rPr>
          <w:rStyle w:val="54"/>
          <w:rFonts w:hint="eastAsia" w:ascii="仿宋" w:eastAsia="仿宋" w:cs="仿宋"/>
          <w:b w:val="0"/>
          <w:bCs w:val="0"/>
          <w:color w:val="auto"/>
          <w:sz w:val="24"/>
          <w:szCs w:val="24"/>
          <w:highlight w:val="none"/>
        </w:rPr>
      </w:pPr>
      <w:bookmarkStart w:id="137" w:name="_Toc27753"/>
      <w:r>
        <w:rPr>
          <w:rStyle w:val="54"/>
          <w:rFonts w:hint="eastAsia" w:ascii="仿宋" w:eastAsia="仿宋" w:cs="仿宋"/>
          <w:b w:val="0"/>
          <w:bCs w:val="0"/>
          <w:color w:val="auto"/>
          <w:sz w:val="24"/>
          <w:szCs w:val="24"/>
          <w:highlight w:val="none"/>
        </w:rPr>
        <w:t>注：本表所列项目已包含在</w:t>
      </w:r>
      <w:r>
        <w:rPr>
          <w:rStyle w:val="54"/>
          <w:rFonts w:hint="eastAsia" w:ascii="仿宋" w:eastAsia="仿宋" w:cs="仿宋"/>
          <w:b w:val="0"/>
          <w:bCs w:val="0"/>
          <w:color w:val="auto"/>
          <w:sz w:val="24"/>
          <w:szCs w:val="24"/>
          <w:highlight w:val="none"/>
          <w:lang w:val="en-US"/>
        </w:rPr>
        <w:t>报</w:t>
      </w:r>
      <w:r>
        <w:rPr>
          <w:rStyle w:val="54"/>
          <w:rFonts w:hint="eastAsia" w:ascii="仿宋" w:eastAsia="仿宋" w:cs="仿宋"/>
          <w:b w:val="0"/>
          <w:bCs w:val="0"/>
          <w:color w:val="auto"/>
          <w:sz w:val="24"/>
          <w:szCs w:val="24"/>
          <w:highlight w:val="none"/>
        </w:rPr>
        <w:t>价内。</w:t>
      </w:r>
      <w:bookmarkEnd w:id="137"/>
      <w:bookmarkStart w:id="138" w:name="_Toc5568"/>
      <w:r>
        <w:rPr>
          <w:rStyle w:val="54"/>
          <w:rFonts w:hint="eastAsia" w:ascii="仿宋" w:eastAsia="仿宋" w:cs="仿宋"/>
          <w:b w:val="0"/>
          <w:bCs w:val="0"/>
          <w:color w:val="auto"/>
          <w:sz w:val="24"/>
          <w:szCs w:val="24"/>
          <w:highlight w:val="none"/>
        </w:rPr>
        <w:t>本表中所列备品备件随设备到货。</w:t>
      </w:r>
      <w:bookmarkEnd w:id="138"/>
      <w:bookmarkStart w:id="139" w:name="_Toc16805"/>
    </w:p>
    <w:bookmarkEnd w:id="139"/>
    <w:p w14:paraId="52AD52DA">
      <w:pPr>
        <w:wordWrap w:val="0"/>
        <w:spacing w:line="360" w:lineRule="auto"/>
        <w:ind w:firstLine="3120" w:firstLineChars="1300"/>
        <w:rPr>
          <w:rFonts w:hint="eastAsia" w:ascii="仿宋" w:hAnsi="仿宋" w:eastAsia="仿宋" w:cs="仿宋"/>
          <w:color w:val="auto"/>
          <w:sz w:val="24"/>
          <w:highlight w:val="none"/>
        </w:rPr>
      </w:pPr>
    </w:p>
    <w:p w14:paraId="16972F8F">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502F2BBE">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日期：2024年   月   日</w:t>
      </w:r>
    </w:p>
    <w:p w14:paraId="574A748A">
      <w:pPr>
        <w:wordWrap w:val="0"/>
        <w:jc w:val="center"/>
        <w:rPr>
          <w:rFonts w:hint="eastAsia" w:ascii="仿宋" w:hAnsi="仿宋" w:eastAsia="仿宋" w:cs="仿宋"/>
          <w:b/>
          <w:color w:val="auto"/>
          <w:sz w:val="32"/>
          <w:szCs w:val="32"/>
          <w:highlight w:val="none"/>
        </w:rPr>
      </w:pPr>
    </w:p>
    <w:p w14:paraId="7614D176">
      <w:pPr>
        <w:wordWrap w:val="0"/>
        <w:spacing w:line="360" w:lineRule="auto"/>
        <w:jc w:val="center"/>
        <w:rPr>
          <w:rFonts w:hint="eastAsia" w:ascii="仿宋" w:hAnsi="仿宋" w:eastAsia="仿宋" w:cs="仿宋"/>
          <w:b/>
          <w:bCs/>
          <w:color w:val="auto"/>
          <w:sz w:val="24"/>
          <w:highlight w:val="none"/>
        </w:rPr>
        <w:sectPr>
          <w:type w:val="continuous"/>
          <w:pgSz w:w="11905" w:h="16838"/>
          <w:pgMar w:top="907" w:right="1247" w:bottom="907" w:left="1247" w:header="510" w:footer="510" w:gutter="0"/>
          <w:cols w:space="720" w:num="1"/>
          <w:docGrid w:type="lines" w:linePitch="312" w:charSpace="0"/>
        </w:sectPr>
      </w:pPr>
    </w:p>
    <w:p w14:paraId="34EB267E">
      <w:pPr>
        <w:wordWrap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质保期内保证正常运行所需的备品备件、专用工具清单表</w:t>
      </w:r>
    </w:p>
    <w:p w14:paraId="1EE07403">
      <w:pPr>
        <w:spacing w:line="360" w:lineRule="auto"/>
        <w:ind w:left="945" w:hanging="945"/>
        <w:jc w:val="center"/>
        <w:rPr>
          <w:rFonts w:hint="eastAsia" w:ascii="仿宋" w:hAnsi="仿宋" w:eastAsia="仿宋" w:cs="仿宋"/>
          <w:color w:val="auto"/>
          <w:sz w:val="28"/>
          <w:highlight w:val="none"/>
        </w:rPr>
      </w:pPr>
    </w:p>
    <w:p w14:paraId="5814FA11">
      <w:pPr>
        <w:pStyle w:val="14"/>
        <w:spacing w:line="360" w:lineRule="auto"/>
        <w:ind w:firstLine="1080" w:firstLineChars="450"/>
        <w:rPr>
          <w:rFonts w:hint="eastAsia" w:ascii="仿宋" w:hAnsi="仿宋" w:eastAsia="仿宋" w:cs="仿宋"/>
          <w:color w:val="auto"/>
          <w:sz w:val="24"/>
          <w:szCs w:val="30"/>
          <w:highlight w:val="none"/>
        </w:rPr>
      </w:pPr>
      <w:r>
        <w:rPr>
          <w:rFonts w:hint="eastAsia" w:ascii="仿宋" w:hAnsi="仿宋" w:eastAsia="仿宋" w:cs="仿宋"/>
          <w:color w:val="auto"/>
          <w:sz w:val="24"/>
          <w:highlight w:val="none"/>
        </w:rPr>
        <w:t xml:space="preserve">项目名称：                                   项目编号：                            单位：人民币元  </w:t>
      </w:r>
    </w:p>
    <w:p w14:paraId="1B135CAA">
      <w:pPr>
        <w:pStyle w:val="14"/>
        <w:spacing w:line="360" w:lineRule="auto"/>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p w14:paraId="7313F1BB">
      <w:pPr>
        <w:spacing w:line="360" w:lineRule="auto"/>
        <w:ind w:left="496" w:leftChars="17" w:hanging="460" w:hangingChars="192"/>
        <w:rPr>
          <w:rFonts w:hint="eastAsia" w:ascii="仿宋" w:hAnsi="仿宋" w:eastAsia="仿宋" w:cs="仿宋"/>
          <w:color w:val="auto"/>
          <w:sz w:val="24"/>
          <w:highlight w:val="none"/>
        </w:rPr>
      </w:pPr>
    </w:p>
    <w:tbl>
      <w:tblPr>
        <w:tblStyle w:val="27"/>
        <w:tblW w:w="1389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372"/>
        <w:gridCol w:w="1700"/>
        <w:gridCol w:w="1187"/>
        <w:gridCol w:w="2033"/>
        <w:gridCol w:w="1015"/>
        <w:gridCol w:w="1355"/>
        <w:gridCol w:w="1864"/>
        <w:gridCol w:w="1526"/>
      </w:tblGrid>
      <w:tr w14:paraId="6855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42" w:type="dxa"/>
            <w:vMerge w:val="restart"/>
            <w:vAlign w:val="center"/>
          </w:tcPr>
          <w:p w14:paraId="493DA5E4">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72" w:type="dxa"/>
            <w:vMerge w:val="restart"/>
            <w:vAlign w:val="center"/>
          </w:tcPr>
          <w:p w14:paraId="7EEB056F">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1700" w:type="dxa"/>
            <w:vMerge w:val="restart"/>
            <w:vAlign w:val="center"/>
          </w:tcPr>
          <w:p w14:paraId="26AB025B">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原产地和制造商名称</w:t>
            </w:r>
          </w:p>
        </w:tc>
        <w:tc>
          <w:tcPr>
            <w:tcW w:w="1187" w:type="dxa"/>
            <w:vMerge w:val="restart"/>
            <w:vAlign w:val="center"/>
          </w:tcPr>
          <w:p w14:paraId="3A91C604">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2033" w:type="dxa"/>
            <w:vMerge w:val="restart"/>
            <w:vAlign w:val="center"/>
          </w:tcPr>
          <w:p w14:paraId="3E6F40E8">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型号及规格</w:t>
            </w:r>
          </w:p>
        </w:tc>
        <w:tc>
          <w:tcPr>
            <w:tcW w:w="1015" w:type="dxa"/>
            <w:vMerge w:val="restart"/>
            <w:vAlign w:val="center"/>
          </w:tcPr>
          <w:p w14:paraId="44C888B7">
            <w:pPr>
              <w:spacing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数量</w:t>
            </w:r>
          </w:p>
        </w:tc>
        <w:tc>
          <w:tcPr>
            <w:tcW w:w="1355" w:type="dxa"/>
            <w:vMerge w:val="restart"/>
            <w:vAlign w:val="center"/>
          </w:tcPr>
          <w:p w14:paraId="5E11779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864" w:type="dxa"/>
            <w:vMerge w:val="restart"/>
            <w:vAlign w:val="center"/>
          </w:tcPr>
          <w:p w14:paraId="27870A2A">
            <w:pPr>
              <w:spacing w:before="60" w:after="6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526" w:type="dxa"/>
            <w:vMerge w:val="restart"/>
            <w:vAlign w:val="center"/>
          </w:tcPr>
          <w:p w14:paraId="402F1668">
            <w:pPr>
              <w:spacing w:before="60" w:after="60" w:line="360" w:lineRule="auto"/>
              <w:ind w:right="-48" w:rightChars="-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CCE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842" w:type="dxa"/>
            <w:vMerge w:val="continue"/>
            <w:vAlign w:val="center"/>
          </w:tcPr>
          <w:p w14:paraId="4C183B9D">
            <w:pPr>
              <w:spacing w:before="60" w:after="60" w:line="360" w:lineRule="auto"/>
              <w:jc w:val="center"/>
              <w:rPr>
                <w:rFonts w:hint="eastAsia" w:ascii="仿宋" w:hAnsi="仿宋" w:eastAsia="仿宋" w:cs="仿宋"/>
                <w:color w:val="auto"/>
                <w:sz w:val="24"/>
                <w:highlight w:val="none"/>
              </w:rPr>
            </w:pPr>
          </w:p>
        </w:tc>
        <w:tc>
          <w:tcPr>
            <w:tcW w:w="2372" w:type="dxa"/>
            <w:vMerge w:val="continue"/>
            <w:vAlign w:val="center"/>
          </w:tcPr>
          <w:p w14:paraId="08FA1A05">
            <w:pPr>
              <w:spacing w:before="60" w:after="60" w:line="360" w:lineRule="auto"/>
              <w:ind w:firstLine="480" w:firstLineChars="200"/>
              <w:rPr>
                <w:rFonts w:hint="eastAsia" w:ascii="仿宋" w:hAnsi="仿宋" w:eastAsia="仿宋" w:cs="仿宋"/>
                <w:color w:val="auto"/>
                <w:sz w:val="24"/>
                <w:highlight w:val="none"/>
              </w:rPr>
            </w:pPr>
          </w:p>
        </w:tc>
        <w:tc>
          <w:tcPr>
            <w:tcW w:w="1700" w:type="dxa"/>
            <w:vMerge w:val="continue"/>
            <w:vAlign w:val="center"/>
          </w:tcPr>
          <w:p w14:paraId="06FB4CDB">
            <w:pPr>
              <w:spacing w:before="60" w:after="60" w:line="360" w:lineRule="auto"/>
              <w:jc w:val="center"/>
              <w:rPr>
                <w:rFonts w:hint="eastAsia" w:ascii="仿宋" w:hAnsi="仿宋" w:eastAsia="仿宋" w:cs="仿宋"/>
                <w:color w:val="auto"/>
                <w:sz w:val="24"/>
                <w:highlight w:val="none"/>
              </w:rPr>
            </w:pPr>
          </w:p>
        </w:tc>
        <w:tc>
          <w:tcPr>
            <w:tcW w:w="1187" w:type="dxa"/>
            <w:vMerge w:val="continue"/>
            <w:vAlign w:val="center"/>
          </w:tcPr>
          <w:p w14:paraId="2A20D9E4">
            <w:pPr>
              <w:autoSpaceDE w:val="0"/>
              <w:autoSpaceDN w:val="0"/>
              <w:spacing w:line="360" w:lineRule="auto"/>
              <w:jc w:val="center"/>
              <w:textAlignment w:val="bottom"/>
              <w:rPr>
                <w:rFonts w:hint="eastAsia" w:ascii="仿宋" w:hAnsi="仿宋" w:eastAsia="仿宋" w:cs="仿宋"/>
                <w:color w:val="auto"/>
                <w:sz w:val="24"/>
                <w:highlight w:val="none"/>
              </w:rPr>
            </w:pPr>
          </w:p>
        </w:tc>
        <w:tc>
          <w:tcPr>
            <w:tcW w:w="2033" w:type="dxa"/>
            <w:vMerge w:val="continue"/>
            <w:vAlign w:val="center"/>
          </w:tcPr>
          <w:p w14:paraId="59BD41BA">
            <w:pPr>
              <w:autoSpaceDE w:val="0"/>
              <w:autoSpaceDN w:val="0"/>
              <w:spacing w:line="360" w:lineRule="auto"/>
              <w:jc w:val="center"/>
              <w:textAlignment w:val="bottom"/>
              <w:rPr>
                <w:rFonts w:hint="eastAsia" w:ascii="仿宋" w:hAnsi="仿宋" w:eastAsia="仿宋" w:cs="仿宋"/>
                <w:color w:val="auto"/>
                <w:sz w:val="24"/>
                <w:highlight w:val="none"/>
              </w:rPr>
            </w:pPr>
          </w:p>
        </w:tc>
        <w:tc>
          <w:tcPr>
            <w:tcW w:w="1015" w:type="dxa"/>
            <w:vMerge w:val="continue"/>
            <w:vAlign w:val="center"/>
          </w:tcPr>
          <w:p w14:paraId="5EC2CE01">
            <w:pPr>
              <w:spacing w:line="360" w:lineRule="auto"/>
              <w:rPr>
                <w:rFonts w:hint="eastAsia" w:ascii="仿宋" w:hAnsi="仿宋" w:eastAsia="仿宋" w:cs="仿宋"/>
                <w:color w:val="auto"/>
                <w:sz w:val="24"/>
                <w:highlight w:val="none"/>
              </w:rPr>
            </w:pPr>
          </w:p>
        </w:tc>
        <w:tc>
          <w:tcPr>
            <w:tcW w:w="1355" w:type="dxa"/>
            <w:vMerge w:val="continue"/>
            <w:vAlign w:val="center"/>
          </w:tcPr>
          <w:p w14:paraId="4009CB5C">
            <w:pPr>
              <w:spacing w:line="360" w:lineRule="auto"/>
              <w:rPr>
                <w:rFonts w:hint="eastAsia" w:ascii="仿宋" w:hAnsi="仿宋" w:eastAsia="仿宋" w:cs="仿宋"/>
                <w:color w:val="auto"/>
                <w:sz w:val="24"/>
                <w:highlight w:val="none"/>
              </w:rPr>
            </w:pPr>
          </w:p>
        </w:tc>
        <w:tc>
          <w:tcPr>
            <w:tcW w:w="1864" w:type="dxa"/>
            <w:vMerge w:val="continue"/>
            <w:vAlign w:val="center"/>
          </w:tcPr>
          <w:p w14:paraId="1BADD8F0">
            <w:pPr>
              <w:spacing w:before="60" w:after="60" w:line="360" w:lineRule="auto"/>
              <w:rPr>
                <w:rFonts w:hint="eastAsia" w:ascii="仿宋" w:hAnsi="仿宋" w:eastAsia="仿宋" w:cs="仿宋"/>
                <w:color w:val="auto"/>
                <w:sz w:val="24"/>
                <w:highlight w:val="none"/>
              </w:rPr>
            </w:pPr>
          </w:p>
        </w:tc>
        <w:tc>
          <w:tcPr>
            <w:tcW w:w="1526" w:type="dxa"/>
            <w:vMerge w:val="continue"/>
            <w:vAlign w:val="center"/>
          </w:tcPr>
          <w:p w14:paraId="195653E3">
            <w:pPr>
              <w:spacing w:before="60" w:after="60" w:line="360" w:lineRule="auto"/>
              <w:rPr>
                <w:rFonts w:hint="eastAsia" w:ascii="仿宋" w:hAnsi="仿宋" w:eastAsia="仿宋" w:cs="仿宋"/>
                <w:color w:val="auto"/>
                <w:sz w:val="24"/>
                <w:highlight w:val="none"/>
              </w:rPr>
            </w:pPr>
          </w:p>
        </w:tc>
      </w:tr>
      <w:tr w14:paraId="00C4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378745F4">
            <w:pPr>
              <w:spacing w:before="60" w:after="60" w:line="360" w:lineRule="auto"/>
              <w:rPr>
                <w:rFonts w:hint="eastAsia" w:ascii="仿宋" w:hAnsi="仿宋" w:eastAsia="仿宋" w:cs="仿宋"/>
                <w:color w:val="auto"/>
                <w:sz w:val="24"/>
                <w:highlight w:val="none"/>
              </w:rPr>
            </w:pPr>
          </w:p>
        </w:tc>
        <w:tc>
          <w:tcPr>
            <w:tcW w:w="2372" w:type="dxa"/>
          </w:tcPr>
          <w:p w14:paraId="0457F79C">
            <w:pPr>
              <w:spacing w:before="60" w:after="60" w:line="360" w:lineRule="auto"/>
              <w:rPr>
                <w:rFonts w:hint="eastAsia" w:ascii="仿宋" w:hAnsi="仿宋" w:eastAsia="仿宋" w:cs="仿宋"/>
                <w:color w:val="auto"/>
                <w:sz w:val="24"/>
                <w:highlight w:val="none"/>
              </w:rPr>
            </w:pPr>
          </w:p>
        </w:tc>
        <w:tc>
          <w:tcPr>
            <w:tcW w:w="1700" w:type="dxa"/>
          </w:tcPr>
          <w:p w14:paraId="7C91533C">
            <w:pPr>
              <w:spacing w:before="60" w:after="60" w:line="360" w:lineRule="auto"/>
              <w:rPr>
                <w:rFonts w:hint="eastAsia" w:ascii="仿宋" w:hAnsi="仿宋" w:eastAsia="仿宋" w:cs="仿宋"/>
                <w:color w:val="auto"/>
                <w:sz w:val="24"/>
                <w:highlight w:val="none"/>
              </w:rPr>
            </w:pPr>
          </w:p>
        </w:tc>
        <w:tc>
          <w:tcPr>
            <w:tcW w:w="1187" w:type="dxa"/>
          </w:tcPr>
          <w:p w14:paraId="58BFD0D0">
            <w:pPr>
              <w:spacing w:before="60" w:after="60" w:line="360" w:lineRule="auto"/>
              <w:rPr>
                <w:rFonts w:hint="eastAsia" w:ascii="仿宋" w:hAnsi="仿宋" w:eastAsia="仿宋" w:cs="仿宋"/>
                <w:color w:val="auto"/>
                <w:sz w:val="24"/>
                <w:highlight w:val="none"/>
              </w:rPr>
            </w:pPr>
          </w:p>
        </w:tc>
        <w:tc>
          <w:tcPr>
            <w:tcW w:w="2033" w:type="dxa"/>
          </w:tcPr>
          <w:p w14:paraId="2B5C4238">
            <w:pPr>
              <w:spacing w:before="60" w:after="60" w:line="360" w:lineRule="auto"/>
              <w:rPr>
                <w:rFonts w:hint="eastAsia" w:ascii="仿宋" w:hAnsi="仿宋" w:eastAsia="仿宋" w:cs="仿宋"/>
                <w:color w:val="auto"/>
                <w:sz w:val="24"/>
                <w:highlight w:val="none"/>
              </w:rPr>
            </w:pPr>
          </w:p>
        </w:tc>
        <w:tc>
          <w:tcPr>
            <w:tcW w:w="1015" w:type="dxa"/>
          </w:tcPr>
          <w:p w14:paraId="214AE0AC">
            <w:pPr>
              <w:spacing w:before="60" w:after="60" w:line="360" w:lineRule="auto"/>
              <w:rPr>
                <w:rFonts w:hint="eastAsia" w:ascii="仿宋" w:hAnsi="仿宋" w:eastAsia="仿宋" w:cs="仿宋"/>
                <w:color w:val="auto"/>
                <w:sz w:val="24"/>
                <w:highlight w:val="none"/>
              </w:rPr>
            </w:pPr>
          </w:p>
        </w:tc>
        <w:tc>
          <w:tcPr>
            <w:tcW w:w="1355" w:type="dxa"/>
          </w:tcPr>
          <w:p w14:paraId="0A4B21DD">
            <w:pPr>
              <w:spacing w:before="60" w:after="60" w:line="360" w:lineRule="auto"/>
              <w:rPr>
                <w:rFonts w:hint="eastAsia" w:ascii="仿宋" w:hAnsi="仿宋" w:eastAsia="仿宋" w:cs="仿宋"/>
                <w:color w:val="auto"/>
                <w:sz w:val="24"/>
                <w:highlight w:val="none"/>
              </w:rPr>
            </w:pPr>
          </w:p>
        </w:tc>
        <w:tc>
          <w:tcPr>
            <w:tcW w:w="1864" w:type="dxa"/>
          </w:tcPr>
          <w:p w14:paraId="414AB115">
            <w:pPr>
              <w:spacing w:line="360" w:lineRule="auto"/>
              <w:rPr>
                <w:rFonts w:hint="eastAsia" w:ascii="仿宋" w:hAnsi="仿宋" w:eastAsia="仿宋" w:cs="仿宋"/>
                <w:color w:val="auto"/>
                <w:sz w:val="24"/>
                <w:highlight w:val="none"/>
              </w:rPr>
            </w:pPr>
          </w:p>
        </w:tc>
        <w:tc>
          <w:tcPr>
            <w:tcW w:w="1526" w:type="dxa"/>
          </w:tcPr>
          <w:p w14:paraId="11C8C575">
            <w:pPr>
              <w:spacing w:before="60" w:after="60" w:line="360" w:lineRule="auto"/>
              <w:rPr>
                <w:rFonts w:hint="eastAsia" w:ascii="仿宋" w:hAnsi="仿宋" w:eastAsia="仿宋" w:cs="仿宋"/>
                <w:color w:val="auto"/>
                <w:sz w:val="24"/>
                <w:highlight w:val="none"/>
              </w:rPr>
            </w:pPr>
          </w:p>
        </w:tc>
      </w:tr>
      <w:tr w14:paraId="637A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6C601D7A">
            <w:pPr>
              <w:spacing w:before="60" w:after="60" w:line="360" w:lineRule="auto"/>
              <w:rPr>
                <w:rFonts w:hint="eastAsia" w:ascii="仿宋" w:hAnsi="仿宋" w:eastAsia="仿宋" w:cs="仿宋"/>
                <w:color w:val="auto"/>
                <w:sz w:val="24"/>
                <w:highlight w:val="none"/>
              </w:rPr>
            </w:pPr>
          </w:p>
        </w:tc>
        <w:tc>
          <w:tcPr>
            <w:tcW w:w="2372" w:type="dxa"/>
          </w:tcPr>
          <w:p w14:paraId="6C9DE77B">
            <w:pPr>
              <w:spacing w:before="60" w:after="60" w:line="360" w:lineRule="auto"/>
              <w:rPr>
                <w:rFonts w:hint="eastAsia" w:ascii="仿宋" w:hAnsi="仿宋" w:eastAsia="仿宋" w:cs="仿宋"/>
                <w:color w:val="auto"/>
                <w:sz w:val="24"/>
                <w:highlight w:val="none"/>
              </w:rPr>
            </w:pPr>
          </w:p>
        </w:tc>
        <w:tc>
          <w:tcPr>
            <w:tcW w:w="1700" w:type="dxa"/>
          </w:tcPr>
          <w:p w14:paraId="0B21743E">
            <w:pPr>
              <w:spacing w:before="60" w:after="60" w:line="360" w:lineRule="auto"/>
              <w:rPr>
                <w:rFonts w:hint="eastAsia" w:ascii="仿宋" w:hAnsi="仿宋" w:eastAsia="仿宋" w:cs="仿宋"/>
                <w:color w:val="auto"/>
                <w:sz w:val="24"/>
                <w:highlight w:val="none"/>
              </w:rPr>
            </w:pPr>
          </w:p>
        </w:tc>
        <w:tc>
          <w:tcPr>
            <w:tcW w:w="1187" w:type="dxa"/>
          </w:tcPr>
          <w:p w14:paraId="56877FB1">
            <w:pPr>
              <w:spacing w:before="60" w:after="60" w:line="360" w:lineRule="auto"/>
              <w:rPr>
                <w:rFonts w:hint="eastAsia" w:ascii="仿宋" w:hAnsi="仿宋" w:eastAsia="仿宋" w:cs="仿宋"/>
                <w:color w:val="auto"/>
                <w:sz w:val="24"/>
                <w:highlight w:val="none"/>
              </w:rPr>
            </w:pPr>
          </w:p>
        </w:tc>
        <w:tc>
          <w:tcPr>
            <w:tcW w:w="2033" w:type="dxa"/>
          </w:tcPr>
          <w:p w14:paraId="69E02E29">
            <w:pPr>
              <w:spacing w:before="60" w:after="60" w:line="360" w:lineRule="auto"/>
              <w:rPr>
                <w:rFonts w:hint="eastAsia" w:ascii="仿宋" w:hAnsi="仿宋" w:eastAsia="仿宋" w:cs="仿宋"/>
                <w:color w:val="auto"/>
                <w:sz w:val="24"/>
                <w:highlight w:val="none"/>
              </w:rPr>
            </w:pPr>
          </w:p>
        </w:tc>
        <w:tc>
          <w:tcPr>
            <w:tcW w:w="1015" w:type="dxa"/>
          </w:tcPr>
          <w:p w14:paraId="0E8844A8">
            <w:pPr>
              <w:spacing w:before="60" w:after="60" w:line="360" w:lineRule="auto"/>
              <w:rPr>
                <w:rFonts w:hint="eastAsia" w:ascii="仿宋" w:hAnsi="仿宋" w:eastAsia="仿宋" w:cs="仿宋"/>
                <w:color w:val="auto"/>
                <w:sz w:val="24"/>
                <w:highlight w:val="none"/>
              </w:rPr>
            </w:pPr>
          </w:p>
        </w:tc>
        <w:tc>
          <w:tcPr>
            <w:tcW w:w="1355" w:type="dxa"/>
          </w:tcPr>
          <w:p w14:paraId="05BDBD5C">
            <w:pPr>
              <w:spacing w:before="60" w:after="60" w:line="360" w:lineRule="auto"/>
              <w:rPr>
                <w:rFonts w:hint="eastAsia" w:ascii="仿宋" w:hAnsi="仿宋" w:eastAsia="仿宋" w:cs="仿宋"/>
                <w:color w:val="auto"/>
                <w:sz w:val="24"/>
                <w:highlight w:val="none"/>
              </w:rPr>
            </w:pPr>
          </w:p>
        </w:tc>
        <w:tc>
          <w:tcPr>
            <w:tcW w:w="1864" w:type="dxa"/>
          </w:tcPr>
          <w:p w14:paraId="0C5ADF18">
            <w:pPr>
              <w:spacing w:before="60" w:after="60" w:line="360" w:lineRule="auto"/>
              <w:rPr>
                <w:rFonts w:hint="eastAsia" w:ascii="仿宋" w:hAnsi="仿宋" w:eastAsia="仿宋" w:cs="仿宋"/>
                <w:color w:val="auto"/>
                <w:sz w:val="24"/>
                <w:highlight w:val="none"/>
              </w:rPr>
            </w:pPr>
          </w:p>
        </w:tc>
        <w:tc>
          <w:tcPr>
            <w:tcW w:w="1526" w:type="dxa"/>
          </w:tcPr>
          <w:p w14:paraId="7C55CE05">
            <w:pPr>
              <w:spacing w:before="60" w:after="60" w:line="360" w:lineRule="auto"/>
              <w:rPr>
                <w:rFonts w:hint="eastAsia" w:ascii="仿宋" w:hAnsi="仿宋" w:eastAsia="仿宋" w:cs="仿宋"/>
                <w:color w:val="auto"/>
                <w:sz w:val="24"/>
                <w:highlight w:val="none"/>
              </w:rPr>
            </w:pPr>
          </w:p>
        </w:tc>
      </w:tr>
      <w:tr w14:paraId="585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42" w:type="dxa"/>
          </w:tcPr>
          <w:p w14:paraId="78D4C513">
            <w:pPr>
              <w:spacing w:before="60" w:after="60" w:line="360" w:lineRule="auto"/>
              <w:rPr>
                <w:rFonts w:hint="eastAsia" w:ascii="仿宋" w:hAnsi="仿宋" w:eastAsia="仿宋" w:cs="仿宋"/>
                <w:color w:val="auto"/>
                <w:sz w:val="24"/>
                <w:highlight w:val="none"/>
              </w:rPr>
            </w:pPr>
          </w:p>
        </w:tc>
        <w:tc>
          <w:tcPr>
            <w:tcW w:w="2372" w:type="dxa"/>
          </w:tcPr>
          <w:p w14:paraId="6457A591">
            <w:pPr>
              <w:spacing w:before="60" w:after="60" w:line="360" w:lineRule="auto"/>
              <w:rPr>
                <w:rFonts w:hint="eastAsia" w:ascii="仿宋" w:hAnsi="仿宋" w:eastAsia="仿宋" w:cs="仿宋"/>
                <w:color w:val="auto"/>
                <w:sz w:val="24"/>
                <w:highlight w:val="none"/>
              </w:rPr>
            </w:pPr>
          </w:p>
        </w:tc>
        <w:tc>
          <w:tcPr>
            <w:tcW w:w="1700" w:type="dxa"/>
          </w:tcPr>
          <w:p w14:paraId="265D29C4">
            <w:pPr>
              <w:spacing w:before="60" w:after="60" w:line="360" w:lineRule="auto"/>
              <w:rPr>
                <w:rFonts w:hint="eastAsia" w:ascii="仿宋" w:hAnsi="仿宋" w:eastAsia="仿宋" w:cs="仿宋"/>
                <w:color w:val="auto"/>
                <w:sz w:val="24"/>
                <w:highlight w:val="none"/>
              </w:rPr>
            </w:pPr>
          </w:p>
        </w:tc>
        <w:tc>
          <w:tcPr>
            <w:tcW w:w="1187" w:type="dxa"/>
          </w:tcPr>
          <w:p w14:paraId="49FE7BA7">
            <w:pPr>
              <w:spacing w:before="60" w:after="60" w:line="360" w:lineRule="auto"/>
              <w:rPr>
                <w:rFonts w:hint="eastAsia" w:ascii="仿宋" w:hAnsi="仿宋" w:eastAsia="仿宋" w:cs="仿宋"/>
                <w:color w:val="auto"/>
                <w:sz w:val="24"/>
                <w:highlight w:val="none"/>
              </w:rPr>
            </w:pPr>
          </w:p>
        </w:tc>
        <w:tc>
          <w:tcPr>
            <w:tcW w:w="2033" w:type="dxa"/>
          </w:tcPr>
          <w:p w14:paraId="0A64F0F2">
            <w:pPr>
              <w:spacing w:before="60" w:after="60" w:line="360" w:lineRule="auto"/>
              <w:rPr>
                <w:rFonts w:hint="eastAsia" w:ascii="仿宋" w:hAnsi="仿宋" w:eastAsia="仿宋" w:cs="仿宋"/>
                <w:color w:val="auto"/>
                <w:sz w:val="24"/>
                <w:highlight w:val="none"/>
              </w:rPr>
            </w:pPr>
          </w:p>
        </w:tc>
        <w:tc>
          <w:tcPr>
            <w:tcW w:w="1015" w:type="dxa"/>
          </w:tcPr>
          <w:p w14:paraId="4F8AA915">
            <w:pPr>
              <w:spacing w:before="60" w:after="60" w:line="360" w:lineRule="auto"/>
              <w:rPr>
                <w:rFonts w:hint="eastAsia" w:ascii="仿宋" w:hAnsi="仿宋" w:eastAsia="仿宋" w:cs="仿宋"/>
                <w:color w:val="auto"/>
                <w:sz w:val="24"/>
                <w:highlight w:val="none"/>
              </w:rPr>
            </w:pPr>
          </w:p>
        </w:tc>
        <w:tc>
          <w:tcPr>
            <w:tcW w:w="1355" w:type="dxa"/>
          </w:tcPr>
          <w:p w14:paraId="216C6975">
            <w:pPr>
              <w:spacing w:before="60" w:after="60" w:line="360" w:lineRule="auto"/>
              <w:rPr>
                <w:rFonts w:hint="eastAsia" w:ascii="仿宋" w:hAnsi="仿宋" w:eastAsia="仿宋" w:cs="仿宋"/>
                <w:color w:val="auto"/>
                <w:sz w:val="24"/>
                <w:highlight w:val="none"/>
              </w:rPr>
            </w:pPr>
          </w:p>
        </w:tc>
        <w:tc>
          <w:tcPr>
            <w:tcW w:w="1864" w:type="dxa"/>
          </w:tcPr>
          <w:p w14:paraId="2A3BD972">
            <w:pPr>
              <w:spacing w:before="60" w:after="60" w:line="360" w:lineRule="auto"/>
              <w:rPr>
                <w:rFonts w:hint="eastAsia" w:ascii="仿宋" w:hAnsi="仿宋" w:eastAsia="仿宋" w:cs="仿宋"/>
                <w:color w:val="auto"/>
                <w:sz w:val="24"/>
                <w:highlight w:val="none"/>
              </w:rPr>
            </w:pPr>
          </w:p>
        </w:tc>
        <w:tc>
          <w:tcPr>
            <w:tcW w:w="1526" w:type="dxa"/>
          </w:tcPr>
          <w:p w14:paraId="32F38F8B">
            <w:pPr>
              <w:spacing w:before="60" w:after="60" w:line="360" w:lineRule="auto"/>
              <w:rPr>
                <w:rFonts w:hint="eastAsia" w:ascii="仿宋" w:hAnsi="仿宋" w:eastAsia="仿宋" w:cs="仿宋"/>
                <w:color w:val="auto"/>
                <w:sz w:val="24"/>
                <w:highlight w:val="none"/>
              </w:rPr>
            </w:pPr>
          </w:p>
        </w:tc>
      </w:tr>
      <w:tr w14:paraId="004E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42" w:type="dxa"/>
          </w:tcPr>
          <w:p w14:paraId="48C53461">
            <w:pPr>
              <w:spacing w:before="60" w:after="60" w:line="360" w:lineRule="auto"/>
              <w:rPr>
                <w:rFonts w:hint="eastAsia" w:ascii="仿宋" w:hAnsi="仿宋" w:eastAsia="仿宋" w:cs="仿宋"/>
                <w:color w:val="auto"/>
                <w:sz w:val="24"/>
                <w:highlight w:val="none"/>
              </w:rPr>
            </w:pPr>
          </w:p>
        </w:tc>
        <w:tc>
          <w:tcPr>
            <w:tcW w:w="2372" w:type="dxa"/>
          </w:tcPr>
          <w:p w14:paraId="7E3C2C54">
            <w:pPr>
              <w:spacing w:before="60" w:after="60" w:line="360" w:lineRule="auto"/>
              <w:rPr>
                <w:rFonts w:hint="eastAsia" w:ascii="仿宋" w:hAnsi="仿宋" w:eastAsia="仿宋" w:cs="仿宋"/>
                <w:color w:val="auto"/>
                <w:sz w:val="24"/>
                <w:highlight w:val="none"/>
              </w:rPr>
            </w:pPr>
          </w:p>
        </w:tc>
        <w:tc>
          <w:tcPr>
            <w:tcW w:w="1700" w:type="dxa"/>
          </w:tcPr>
          <w:p w14:paraId="6029035E">
            <w:pPr>
              <w:spacing w:before="60" w:after="60" w:line="360" w:lineRule="auto"/>
              <w:rPr>
                <w:rFonts w:hint="eastAsia" w:ascii="仿宋" w:hAnsi="仿宋" w:eastAsia="仿宋" w:cs="仿宋"/>
                <w:color w:val="auto"/>
                <w:sz w:val="24"/>
                <w:highlight w:val="none"/>
              </w:rPr>
            </w:pPr>
          </w:p>
        </w:tc>
        <w:tc>
          <w:tcPr>
            <w:tcW w:w="1187" w:type="dxa"/>
          </w:tcPr>
          <w:p w14:paraId="79FD6FEC">
            <w:pPr>
              <w:spacing w:before="60" w:after="60" w:line="360" w:lineRule="auto"/>
              <w:rPr>
                <w:rFonts w:hint="eastAsia" w:ascii="仿宋" w:hAnsi="仿宋" w:eastAsia="仿宋" w:cs="仿宋"/>
                <w:color w:val="auto"/>
                <w:sz w:val="24"/>
                <w:highlight w:val="none"/>
              </w:rPr>
            </w:pPr>
          </w:p>
        </w:tc>
        <w:tc>
          <w:tcPr>
            <w:tcW w:w="2033" w:type="dxa"/>
          </w:tcPr>
          <w:p w14:paraId="72E8F87D">
            <w:pPr>
              <w:spacing w:before="60" w:after="60" w:line="360" w:lineRule="auto"/>
              <w:rPr>
                <w:rFonts w:hint="eastAsia" w:ascii="仿宋" w:hAnsi="仿宋" w:eastAsia="仿宋" w:cs="仿宋"/>
                <w:color w:val="auto"/>
                <w:sz w:val="24"/>
                <w:highlight w:val="none"/>
              </w:rPr>
            </w:pPr>
          </w:p>
        </w:tc>
        <w:tc>
          <w:tcPr>
            <w:tcW w:w="1015" w:type="dxa"/>
          </w:tcPr>
          <w:p w14:paraId="2D3BAD97">
            <w:pPr>
              <w:spacing w:before="60" w:after="60" w:line="360" w:lineRule="auto"/>
              <w:rPr>
                <w:rFonts w:hint="eastAsia" w:ascii="仿宋" w:hAnsi="仿宋" w:eastAsia="仿宋" w:cs="仿宋"/>
                <w:color w:val="auto"/>
                <w:sz w:val="24"/>
                <w:highlight w:val="none"/>
              </w:rPr>
            </w:pPr>
          </w:p>
        </w:tc>
        <w:tc>
          <w:tcPr>
            <w:tcW w:w="1355" w:type="dxa"/>
          </w:tcPr>
          <w:p w14:paraId="0468298E">
            <w:pPr>
              <w:spacing w:before="60" w:after="60" w:line="360" w:lineRule="auto"/>
              <w:rPr>
                <w:rFonts w:hint="eastAsia" w:ascii="仿宋" w:hAnsi="仿宋" w:eastAsia="仿宋" w:cs="仿宋"/>
                <w:color w:val="auto"/>
                <w:sz w:val="24"/>
                <w:highlight w:val="none"/>
              </w:rPr>
            </w:pPr>
          </w:p>
        </w:tc>
        <w:tc>
          <w:tcPr>
            <w:tcW w:w="1864" w:type="dxa"/>
          </w:tcPr>
          <w:p w14:paraId="65201D87">
            <w:pPr>
              <w:spacing w:before="60" w:after="60" w:line="360" w:lineRule="auto"/>
              <w:rPr>
                <w:rFonts w:hint="eastAsia" w:ascii="仿宋" w:hAnsi="仿宋" w:eastAsia="仿宋" w:cs="仿宋"/>
                <w:color w:val="auto"/>
                <w:sz w:val="24"/>
                <w:highlight w:val="none"/>
              </w:rPr>
            </w:pPr>
          </w:p>
        </w:tc>
        <w:tc>
          <w:tcPr>
            <w:tcW w:w="1526" w:type="dxa"/>
          </w:tcPr>
          <w:p w14:paraId="3CB68BA6">
            <w:pPr>
              <w:spacing w:before="60" w:after="60" w:line="360" w:lineRule="auto"/>
              <w:rPr>
                <w:rFonts w:hint="eastAsia" w:ascii="仿宋" w:hAnsi="仿宋" w:eastAsia="仿宋" w:cs="仿宋"/>
                <w:color w:val="auto"/>
                <w:sz w:val="24"/>
                <w:highlight w:val="none"/>
              </w:rPr>
            </w:pPr>
          </w:p>
        </w:tc>
      </w:tr>
    </w:tbl>
    <w:p w14:paraId="6F73856E">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备注：单价包括了出厂价、运输、卸货等费用。质保期内若清单表中数量不够正常运行，成交单位须再提供，费用不再增加。</w:t>
      </w:r>
    </w:p>
    <w:p w14:paraId="3E5092E4">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3C68E07E">
      <w:pPr>
        <w:wordWrap w:val="0"/>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日期：2024年   月   日</w:t>
      </w:r>
    </w:p>
    <w:p w14:paraId="6AA3620C">
      <w:pPr>
        <w:spacing w:line="360" w:lineRule="auto"/>
        <w:ind w:left="422" w:leftChars="201" w:firstLine="720" w:firstLineChars="300"/>
        <w:rPr>
          <w:rFonts w:hint="eastAsia" w:ascii="仿宋" w:hAnsi="仿宋" w:eastAsia="仿宋" w:cs="仿宋"/>
          <w:color w:val="auto"/>
          <w:sz w:val="24"/>
          <w:highlight w:val="none"/>
        </w:rPr>
      </w:pPr>
    </w:p>
    <w:p w14:paraId="71F12C05">
      <w:pPr>
        <w:pStyle w:val="14"/>
        <w:spacing w:line="360" w:lineRule="auto"/>
        <w:ind w:firstLine="720" w:firstLineChars="300"/>
        <w:rPr>
          <w:rFonts w:hint="eastAsia" w:ascii="仿宋" w:hAnsi="仿宋" w:eastAsia="仿宋" w:cs="仿宋"/>
          <w:color w:val="auto"/>
          <w:sz w:val="24"/>
          <w:highlight w:val="none"/>
        </w:rPr>
      </w:pPr>
    </w:p>
    <w:p w14:paraId="6299CAAA">
      <w:pPr>
        <w:rPr>
          <w:rFonts w:hint="eastAsia" w:ascii="仿宋" w:hAnsi="仿宋" w:eastAsia="仿宋" w:cs="仿宋"/>
          <w:color w:val="auto"/>
          <w:highlight w:val="none"/>
        </w:rPr>
        <w:sectPr>
          <w:pgSz w:w="16838" w:h="11905" w:orient="landscape"/>
          <w:pgMar w:top="1247" w:right="907" w:bottom="1247" w:left="907" w:header="510" w:footer="510" w:gutter="0"/>
          <w:cols w:space="720" w:num="1"/>
          <w:docGrid w:type="lines" w:linePitch="312" w:charSpace="0"/>
        </w:sectPr>
      </w:pPr>
    </w:p>
    <w:p w14:paraId="5824341D">
      <w:pPr>
        <w:wordWrap w:val="0"/>
        <w:jc w:val="left"/>
        <w:rPr>
          <w:rFonts w:hint="eastAsia" w:ascii="仿宋" w:hAnsi="仿宋" w:eastAsia="仿宋" w:cs="仿宋"/>
          <w:color w:val="auto"/>
          <w:sz w:val="24"/>
          <w:highlight w:val="none"/>
        </w:rPr>
      </w:pPr>
      <w:bookmarkStart w:id="140" w:name="_Toc15398"/>
      <w:bookmarkStart w:id="141" w:name="_Toc10284"/>
      <w:r>
        <w:rPr>
          <w:rFonts w:hint="eastAsia" w:ascii="仿宋" w:hAnsi="仿宋" w:eastAsia="仿宋" w:cs="仿宋"/>
          <w:color w:val="auto"/>
          <w:sz w:val="24"/>
          <w:highlight w:val="none"/>
        </w:rPr>
        <w:t>附3-法定代表人身份证明和法定代表人授权委托书</w:t>
      </w:r>
      <w:bookmarkEnd w:id="140"/>
      <w:bookmarkEnd w:id="141"/>
    </w:p>
    <w:p w14:paraId="70948E1C">
      <w:pPr>
        <w:wordWrap w:val="0"/>
        <w:spacing w:line="360" w:lineRule="auto"/>
        <w:jc w:val="center"/>
        <w:rPr>
          <w:rFonts w:hint="eastAsia" w:ascii="仿宋" w:hAnsi="仿宋" w:eastAsia="仿宋" w:cs="仿宋"/>
          <w:b/>
          <w:color w:val="auto"/>
          <w:sz w:val="24"/>
          <w:highlight w:val="none"/>
        </w:rPr>
      </w:pPr>
    </w:p>
    <w:p w14:paraId="5E25DF0B">
      <w:pPr>
        <w:wordWrap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法定代表人身份证明</w:t>
      </w:r>
    </w:p>
    <w:p w14:paraId="06B35A8B">
      <w:pPr>
        <w:wordWrap w:val="0"/>
        <w:snapToGrid w:val="0"/>
        <w:spacing w:line="360" w:lineRule="auto"/>
        <w:rPr>
          <w:rFonts w:hint="eastAsia" w:ascii="仿宋" w:hAnsi="仿宋" w:eastAsia="仿宋" w:cs="仿宋"/>
          <w:color w:val="auto"/>
          <w:sz w:val="24"/>
          <w:highlight w:val="none"/>
        </w:rPr>
      </w:pPr>
    </w:p>
    <w:p w14:paraId="6FF86F9A">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32FDC999">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14:paraId="7FE255F6">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653585C3">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0300774">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14:paraId="113A0533">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290E085F">
      <w:pPr>
        <w:wordWrap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p>
    <w:p w14:paraId="48DAB100">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w:t>
      </w:r>
    </w:p>
    <w:p w14:paraId="15BD69B7">
      <w:pPr>
        <w:wordWrap w:val="0"/>
        <w:snapToGrid w:val="0"/>
        <w:spacing w:line="360" w:lineRule="auto"/>
        <w:ind w:firstLine="560"/>
        <w:rPr>
          <w:rFonts w:hint="eastAsia" w:ascii="仿宋" w:hAnsi="仿宋" w:eastAsia="仿宋" w:cs="仿宋"/>
          <w:color w:val="auto"/>
          <w:sz w:val="24"/>
          <w:highlight w:val="none"/>
        </w:rPr>
      </w:pPr>
    </w:p>
    <w:p w14:paraId="4877E004">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2D37681">
      <w:pPr>
        <w:pStyle w:val="14"/>
        <w:wordWrap w:val="0"/>
        <w:rPr>
          <w:rFonts w:hint="eastAsia" w:ascii="仿宋" w:hAnsi="仿宋" w:eastAsia="仿宋" w:cs="仿宋"/>
          <w:color w:val="auto"/>
          <w:highlight w:val="none"/>
        </w:rPr>
      </w:pPr>
    </w:p>
    <w:p w14:paraId="6D48EF48">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附：法定代表人身份证复印件</w:t>
      </w:r>
    </w:p>
    <w:p w14:paraId="2725603A">
      <w:pPr>
        <w:wordWrap w:val="0"/>
        <w:snapToGrid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供应商：（盖单位公章） </w:t>
      </w:r>
    </w:p>
    <w:p w14:paraId="02BBEAD5">
      <w:pPr>
        <w:wordWrap w:val="0"/>
        <w:snapToGrid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7"/>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45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0894E7B2">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法定代表人身份证复印件粘贴处（正、反面）</w:t>
            </w:r>
          </w:p>
        </w:tc>
      </w:tr>
    </w:tbl>
    <w:p w14:paraId="4D2E005A">
      <w:pPr>
        <w:wordWrap w:val="0"/>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法定代表人</w:t>
      </w:r>
      <w:r>
        <w:rPr>
          <w:rFonts w:hint="eastAsia" w:ascii="仿宋" w:hAnsi="仿宋" w:eastAsia="仿宋" w:cs="仿宋"/>
          <w:b/>
          <w:color w:val="auto"/>
          <w:sz w:val="24"/>
          <w:highlight w:val="none"/>
        </w:rPr>
        <w:t>授权委托书</w:t>
      </w:r>
    </w:p>
    <w:p w14:paraId="53E966FF">
      <w:pPr>
        <w:wordWrap w:val="0"/>
        <w:spacing w:line="440" w:lineRule="exact"/>
        <w:ind w:firstLine="480" w:firstLineChars="200"/>
        <w:rPr>
          <w:rFonts w:hint="eastAsia" w:ascii="仿宋" w:hAnsi="仿宋" w:eastAsia="仿宋" w:cs="仿宋"/>
          <w:color w:val="auto"/>
          <w:sz w:val="24"/>
          <w:highlight w:val="none"/>
        </w:rPr>
      </w:pPr>
    </w:p>
    <w:p w14:paraId="14E20D54">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（供应商名称）</w:t>
      </w:r>
      <w:r>
        <w:rPr>
          <w:rFonts w:hint="eastAsia" w:ascii="仿宋" w:hAnsi="仿宋" w:eastAsia="仿宋" w:cs="仿宋"/>
          <w:color w:val="auto"/>
          <w:sz w:val="24"/>
          <w:highlight w:val="none"/>
        </w:rPr>
        <w:t>的法定代表人，现委托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理人根据授权，以我方名义签署、澄清、说明、补正、递交、撤回、修改杭州市新能源投资发展有限公司杭州市电动自行车街面充（换）电设备项目--换电柜样品采购安装应价文件、签订合同和处理有关事宜，其法律后果由我方承担。</w:t>
      </w:r>
    </w:p>
    <w:p w14:paraId="6B79283D">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14:paraId="1EC399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附：委托代理人身份证复印件、在应价单位的社保缴纳证明</w:t>
      </w:r>
    </w:p>
    <w:p w14:paraId="1A07A7B6">
      <w:pPr>
        <w:wordWrap w:val="0"/>
        <w:spacing w:line="440" w:lineRule="exact"/>
        <w:rPr>
          <w:rFonts w:hint="eastAsia" w:ascii="仿宋" w:hAnsi="仿宋" w:eastAsia="仿宋" w:cs="仿宋"/>
          <w:color w:val="auto"/>
          <w:sz w:val="24"/>
          <w:highlight w:val="none"/>
        </w:rPr>
      </w:pPr>
    </w:p>
    <w:p w14:paraId="1A1F3152">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供应商：（盖单位公章）</w:t>
      </w:r>
    </w:p>
    <w:p w14:paraId="6CC5EDCF">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C3FC83D">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0E5BA84C">
      <w:pPr>
        <w:wordWrap w:val="0"/>
        <w:spacing w:line="440" w:lineRule="exact"/>
        <w:rPr>
          <w:rFonts w:hint="eastAsia" w:ascii="仿宋" w:hAnsi="仿宋" w:eastAsia="仿宋" w:cs="仿宋"/>
          <w:color w:val="auto"/>
          <w:sz w:val="24"/>
          <w:highlight w:val="none"/>
        </w:rPr>
      </w:pPr>
    </w:p>
    <w:p w14:paraId="43837E74">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委托的代理人：（签字或盖章）</w:t>
      </w:r>
    </w:p>
    <w:p w14:paraId="00EBC78E">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5554CE58">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7"/>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3FB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2335964">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委托代理人身份证复印件粘贴处（正、反面）</w:t>
            </w:r>
          </w:p>
        </w:tc>
      </w:tr>
    </w:tbl>
    <w:p w14:paraId="577A2F80">
      <w:pPr>
        <w:wordWrap w:val="0"/>
        <w:snapToGrid w:val="0"/>
        <w:spacing w:line="440" w:lineRule="exact"/>
        <w:rPr>
          <w:rFonts w:hint="eastAsia" w:ascii="仿宋" w:hAnsi="仿宋" w:eastAsia="仿宋" w:cs="仿宋"/>
          <w:color w:val="auto"/>
          <w:sz w:val="24"/>
          <w:highlight w:val="none"/>
        </w:rPr>
      </w:pPr>
    </w:p>
    <w:p w14:paraId="505E5675">
      <w:pPr>
        <w:wordWrap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注：如应价文件由委托代理人签字或盖章的，应价文件必须附此授权委托书和法定代表人身份证明。</w:t>
      </w:r>
    </w:p>
    <w:p w14:paraId="3703FD59">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br w:type="page"/>
      </w:r>
    </w:p>
    <w:p w14:paraId="6DAA52E5">
      <w:pPr>
        <w:wordWrap w:val="0"/>
        <w:spacing w:line="360" w:lineRule="auto"/>
        <w:jc w:val="left"/>
        <w:outlineLvl w:val="1"/>
        <w:rPr>
          <w:rFonts w:hint="eastAsia" w:ascii="仿宋" w:hAnsi="仿宋" w:eastAsia="仿宋" w:cs="仿宋"/>
          <w:color w:val="auto"/>
          <w:sz w:val="24"/>
          <w:highlight w:val="none"/>
        </w:rPr>
      </w:pPr>
      <w:bookmarkStart w:id="142" w:name="_Toc15588"/>
      <w:bookmarkStart w:id="143" w:name="_Toc21729"/>
      <w:r>
        <w:rPr>
          <w:rFonts w:hint="eastAsia" w:ascii="仿宋" w:hAnsi="仿宋" w:eastAsia="仿宋" w:cs="仿宋"/>
          <w:color w:val="auto"/>
          <w:sz w:val="24"/>
          <w:highlight w:val="none"/>
        </w:rPr>
        <w:t>附4-企业营业执照副本复印件</w:t>
      </w:r>
      <w:bookmarkEnd w:id="142"/>
    </w:p>
    <w:p w14:paraId="34F4D866">
      <w:pPr>
        <w:wordWrap w:val="0"/>
        <w:spacing w:line="360" w:lineRule="auto"/>
        <w:jc w:val="center"/>
        <w:rPr>
          <w:rFonts w:hint="eastAsia" w:ascii="仿宋" w:hAnsi="仿宋" w:eastAsia="仿宋" w:cs="仿宋"/>
          <w:b/>
          <w:bCs/>
          <w:color w:val="auto"/>
          <w:sz w:val="24"/>
          <w:highlight w:val="none"/>
        </w:rPr>
      </w:pPr>
      <w:bookmarkStart w:id="144" w:name="_Toc29234"/>
      <w:r>
        <w:rPr>
          <w:rFonts w:hint="eastAsia" w:ascii="仿宋" w:hAnsi="仿宋" w:eastAsia="仿宋" w:cs="仿宋"/>
          <w:b/>
          <w:bCs/>
          <w:color w:val="auto"/>
          <w:sz w:val="24"/>
          <w:highlight w:val="none"/>
        </w:rPr>
        <w:t>企业营业执照副本复印件（加盖单位公章）</w:t>
      </w:r>
      <w:bookmarkEnd w:id="144"/>
    </w:p>
    <w:p w14:paraId="1F068A8E">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888E94A">
      <w:pPr>
        <w:wordWrap w:val="0"/>
        <w:spacing w:line="360" w:lineRule="auto"/>
        <w:jc w:val="left"/>
        <w:outlineLvl w:val="1"/>
        <w:rPr>
          <w:rFonts w:hint="eastAsia" w:ascii="仿宋" w:hAnsi="仿宋" w:eastAsia="仿宋" w:cs="仿宋"/>
          <w:color w:val="auto"/>
          <w:sz w:val="24"/>
          <w:highlight w:val="none"/>
        </w:rPr>
      </w:pPr>
      <w:bookmarkStart w:id="145" w:name="_Toc31186"/>
      <w:r>
        <w:rPr>
          <w:rFonts w:hint="eastAsia" w:ascii="仿宋" w:hAnsi="仿宋" w:eastAsia="仿宋" w:cs="仿宋"/>
          <w:color w:val="auto"/>
          <w:sz w:val="24"/>
          <w:highlight w:val="none"/>
        </w:rPr>
        <w:t>附5-声明函</w:t>
      </w:r>
      <w:bookmarkEnd w:id="145"/>
    </w:p>
    <w:p w14:paraId="2F51B29E">
      <w:pPr>
        <w:pStyle w:val="14"/>
        <w:wordWrap w:val="0"/>
        <w:topLinePunct/>
        <w:spacing w:line="360" w:lineRule="auto"/>
        <w:jc w:val="center"/>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声明函</w:t>
      </w:r>
    </w:p>
    <w:p w14:paraId="5335B7C5">
      <w:pPr>
        <w:pStyle w:val="14"/>
        <w:wordWrap w:val="0"/>
        <w:topLinePunct/>
        <w:spacing w:line="360" w:lineRule="auto"/>
        <w:rPr>
          <w:rFonts w:hint="eastAsia" w:ascii="仿宋" w:hAnsi="仿宋" w:eastAsia="仿宋" w:cs="仿宋"/>
          <w:color w:val="auto"/>
          <w:sz w:val="24"/>
          <w:highlight w:val="none"/>
          <w:u w:val="single"/>
        </w:rPr>
      </w:pPr>
    </w:p>
    <w:p w14:paraId="32007007">
      <w:pPr>
        <w:wordWrap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杭州市新能源投资发展有限公司：</w:t>
      </w:r>
    </w:p>
    <w:p w14:paraId="4021CC88">
      <w:pPr>
        <w:wordWrap w:val="0"/>
        <w:ind w:left="0" w:leftChars="0" w:right="420" w:rightChars="20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自愿参加杭州市新能源投资发展有限公司杭州市电动自行车街面充（换）电设备项目--换电柜样品采购安装的应价，并保证应价文件中所列举的应价报价文件及相关资料和公司基本情况资料是真实的、合法的。为此，我方就本次应价有关事项郑重声明如下：</w:t>
      </w:r>
    </w:p>
    <w:p w14:paraId="44D20490">
      <w:pPr>
        <w:numPr>
          <w:ilvl w:val="0"/>
          <w:numId w:val="6"/>
        </w:numPr>
        <w:wordWrap w:val="0"/>
        <w:topLinePunct/>
        <w:snapToGrid w:val="0"/>
        <w:spacing w:line="39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我单位具有独立承担民事责任的能力、具有良好的商业信誉和健全的财务会计制度、具有履行合同所必需的设备和专业技术能力、 有依法缴纳税收和社会保障资金的良好记录。</w:t>
      </w:r>
    </w:p>
    <w:p w14:paraId="1EE47099">
      <w:pPr>
        <w:numPr>
          <w:ilvl w:val="0"/>
          <w:numId w:val="6"/>
        </w:numPr>
        <w:wordWrap w:val="0"/>
        <w:topLinePunct/>
        <w:snapToGrid w:val="0"/>
        <w:spacing w:line="39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30BAB13E">
      <w:pPr>
        <w:wordWrap w:val="0"/>
        <w:topLinePunct/>
        <w:snapToGrid w:val="0"/>
        <w:spacing w:line="39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三、不存在单位负责人为同一人或者存在直接控股、管理关系的不同供应商参加同一合同项下的采购活动的。</w:t>
      </w:r>
    </w:p>
    <w:p w14:paraId="302C8726">
      <w:pPr>
        <w:wordWrap w:val="0"/>
        <w:topLinePunct/>
        <w:snapToGrid w:val="0"/>
        <w:spacing w:line="39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如有虚假或隐瞒，我方愿意承担一切后果，并不再寻求任何旨在减轻或免除法律责任的辩解。</w:t>
      </w:r>
    </w:p>
    <w:p w14:paraId="245FB9CA">
      <w:pPr>
        <w:wordWrap w:val="0"/>
        <w:snapToGrid w:val="0"/>
        <w:spacing w:line="48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49CC464D">
      <w:pPr>
        <w:wordWrap w:val="0"/>
        <w:snapToGrid w:val="0"/>
        <w:spacing w:line="48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日期：2024年  月  日</w:t>
      </w:r>
    </w:p>
    <w:p w14:paraId="17392972">
      <w:pPr>
        <w:wordWrap w:val="0"/>
        <w:topLinePunct/>
        <w:snapToGrid w:val="0"/>
        <w:spacing w:line="390" w:lineRule="exact"/>
        <w:ind w:firstLine="480" w:firstLineChars="200"/>
        <w:rPr>
          <w:rFonts w:hint="eastAsia" w:ascii="仿宋" w:hAnsi="仿宋" w:eastAsia="仿宋" w:cs="仿宋"/>
          <w:color w:val="auto"/>
          <w:sz w:val="24"/>
          <w:highlight w:val="none"/>
        </w:rPr>
      </w:pPr>
    </w:p>
    <w:p w14:paraId="117085D5">
      <w:pPr>
        <w:wordWrap w:val="0"/>
        <w:jc w:val="left"/>
        <w:rPr>
          <w:rFonts w:hint="eastAsia" w:ascii="仿宋" w:hAnsi="仿宋" w:eastAsia="仿宋" w:cs="仿宋"/>
          <w:color w:val="auto"/>
          <w:highlight w:val="none"/>
        </w:rPr>
      </w:pPr>
    </w:p>
    <w:p w14:paraId="7861FFCF">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00F0EE3">
      <w:pPr>
        <w:rPr>
          <w:rFonts w:hint="eastAsia" w:ascii="仿宋" w:hAnsi="仿宋" w:eastAsia="仿宋" w:cs="仿宋"/>
          <w:color w:val="auto"/>
          <w:sz w:val="24"/>
          <w:highlight w:val="none"/>
        </w:rPr>
      </w:pPr>
      <w:bookmarkStart w:id="146" w:name="_Toc9865"/>
    </w:p>
    <w:p w14:paraId="62AA5942">
      <w:pPr>
        <w:rPr>
          <w:rFonts w:hint="eastAsia" w:ascii="仿宋" w:hAnsi="仿宋" w:eastAsia="仿宋" w:cs="仿宋"/>
          <w:color w:val="auto"/>
          <w:sz w:val="24"/>
          <w:highlight w:val="none"/>
        </w:rPr>
      </w:pPr>
    </w:p>
    <w:p w14:paraId="79D4F8A3">
      <w:pPr>
        <w:rPr>
          <w:rFonts w:hint="eastAsia" w:ascii="仿宋" w:hAnsi="仿宋" w:eastAsia="仿宋" w:cs="仿宋"/>
          <w:color w:val="auto"/>
          <w:sz w:val="24"/>
          <w:highlight w:val="none"/>
        </w:rPr>
      </w:pPr>
    </w:p>
    <w:p w14:paraId="5836C5D7">
      <w:pPr>
        <w:rPr>
          <w:rFonts w:hint="eastAsia" w:ascii="仿宋" w:hAnsi="仿宋" w:eastAsia="仿宋" w:cs="仿宋"/>
          <w:color w:val="auto"/>
          <w:sz w:val="24"/>
          <w:highlight w:val="none"/>
        </w:rPr>
      </w:pPr>
    </w:p>
    <w:p w14:paraId="0D953A46">
      <w:pPr>
        <w:rPr>
          <w:rFonts w:hint="eastAsia" w:ascii="仿宋" w:hAnsi="仿宋" w:eastAsia="仿宋" w:cs="仿宋"/>
          <w:color w:val="auto"/>
          <w:sz w:val="24"/>
          <w:highlight w:val="none"/>
        </w:rPr>
      </w:pPr>
    </w:p>
    <w:p w14:paraId="079E420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rPr>
        <w:t>-商务、技术偏离表</w:t>
      </w:r>
      <w:bookmarkEnd w:id="143"/>
      <w:bookmarkEnd w:id="146"/>
    </w:p>
    <w:p w14:paraId="3CF337EC">
      <w:pPr>
        <w:wordWrap w:val="0"/>
        <w:spacing w:line="360" w:lineRule="auto"/>
        <w:jc w:val="center"/>
        <w:outlineLvl w:val="1"/>
        <w:rPr>
          <w:rFonts w:hint="eastAsia" w:ascii="仿宋" w:hAnsi="仿宋" w:eastAsia="仿宋" w:cs="仿宋"/>
          <w:b/>
          <w:bCs/>
          <w:color w:val="auto"/>
          <w:sz w:val="24"/>
          <w:highlight w:val="none"/>
        </w:rPr>
      </w:pPr>
      <w:bookmarkStart w:id="147" w:name="_Toc26385"/>
      <w:r>
        <w:rPr>
          <w:rFonts w:hint="eastAsia" w:ascii="仿宋" w:hAnsi="仿宋" w:eastAsia="仿宋" w:cs="仿宋"/>
          <w:b/>
          <w:bCs/>
          <w:color w:val="auto"/>
          <w:sz w:val="24"/>
          <w:highlight w:val="none"/>
        </w:rPr>
        <w:t>商务偏离表</w:t>
      </w:r>
      <w:bookmarkEnd w:id="147"/>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03"/>
        <w:gridCol w:w="3773"/>
        <w:gridCol w:w="1276"/>
        <w:gridCol w:w="1403"/>
      </w:tblGrid>
      <w:tr w14:paraId="727D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 w:type="dxa"/>
            <w:vAlign w:val="center"/>
          </w:tcPr>
          <w:p w14:paraId="685985A4">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03" w:type="dxa"/>
            <w:vAlign w:val="center"/>
          </w:tcPr>
          <w:p w14:paraId="631FEAB1">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3773" w:type="dxa"/>
            <w:vAlign w:val="center"/>
          </w:tcPr>
          <w:p w14:paraId="130D33E8">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采购要求</w:t>
            </w:r>
          </w:p>
        </w:tc>
        <w:tc>
          <w:tcPr>
            <w:tcW w:w="1276" w:type="dxa"/>
            <w:vAlign w:val="center"/>
          </w:tcPr>
          <w:p w14:paraId="37E52885">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供应商响应内容</w:t>
            </w:r>
          </w:p>
        </w:tc>
        <w:tc>
          <w:tcPr>
            <w:tcW w:w="1403" w:type="dxa"/>
            <w:vAlign w:val="center"/>
          </w:tcPr>
          <w:p w14:paraId="675E1C3B">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r>
      <w:tr w14:paraId="5D14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09E2627D">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5EB39A61">
            <w:pPr>
              <w:widowControl/>
              <w:wordWrap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最高限价</w:t>
            </w:r>
          </w:p>
        </w:tc>
        <w:tc>
          <w:tcPr>
            <w:tcW w:w="3773" w:type="dxa"/>
            <w:vAlign w:val="center"/>
          </w:tcPr>
          <w:p w14:paraId="761F0CB2">
            <w:pPr>
              <w:widowControl/>
              <w:wordWrap w:val="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详见公告。</w:t>
            </w:r>
          </w:p>
        </w:tc>
        <w:tc>
          <w:tcPr>
            <w:tcW w:w="1276" w:type="dxa"/>
            <w:vAlign w:val="center"/>
          </w:tcPr>
          <w:p w14:paraId="4E73179B">
            <w:pPr>
              <w:wordWrap w:val="0"/>
              <w:jc w:val="center"/>
              <w:rPr>
                <w:rFonts w:hint="eastAsia" w:ascii="仿宋" w:hAnsi="仿宋" w:eastAsia="仿宋" w:cs="仿宋"/>
                <w:color w:val="auto"/>
                <w:sz w:val="24"/>
                <w:highlight w:val="none"/>
              </w:rPr>
            </w:pPr>
          </w:p>
        </w:tc>
        <w:tc>
          <w:tcPr>
            <w:tcW w:w="1403" w:type="dxa"/>
            <w:vAlign w:val="center"/>
          </w:tcPr>
          <w:p w14:paraId="0CCC6731">
            <w:pPr>
              <w:wordWrap w:val="0"/>
              <w:jc w:val="center"/>
              <w:rPr>
                <w:rFonts w:hint="eastAsia" w:ascii="仿宋" w:hAnsi="仿宋" w:eastAsia="仿宋" w:cs="仿宋"/>
                <w:color w:val="auto"/>
                <w:sz w:val="24"/>
                <w:highlight w:val="none"/>
              </w:rPr>
            </w:pPr>
          </w:p>
        </w:tc>
      </w:tr>
      <w:tr w14:paraId="080D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2AB48B92">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6DF60BDA">
            <w:pPr>
              <w:widowControl/>
              <w:wordWrap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报价要求</w:t>
            </w:r>
          </w:p>
        </w:tc>
        <w:tc>
          <w:tcPr>
            <w:tcW w:w="3773" w:type="dxa"/>
            <w:vAlign w:val="center"/>
          </w:tcPr>
          <w:p w14:paraId="649B5B32">
            <w:pPr>
              <w:widowControl/>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1、人民币报价。</w:t>
            </w:r>
          </w:p>
          <w:p w14:paraId="22CDD059">
            <w:pPr>
              <w:widowControl/>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2、报价包括物价格及出厂检验费、包装费、运输费、装卸费、保险费、安装费、调试费、验收费、质保期所需相关的服务费、卖方应负担一切税费以及合同明示或暗示的所有责任义务和风险的一切费用</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应价人须按报价函中的格式要求填写。</w:t>
            </w:r>
          </w:p>
          <w:p w14:paraId="3D075A63">
            <w:pPr>
              <w:widowControl/>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3、供应商开具增值税专票。</w:t>
            </w:r>
          </w:p>
        </w:tc>
        <w:tc>
          <w:tcPr>
            <w:tcW w:w="1276" w:type="dxa"/>
            <w:vAlign w:val="center"/>
          </w:tcPr>
          <w:p w14:paraId="2FE6D482">
            <w:pPr>
              <w:wordWrap w:val="0"/>
              <w:jc w:val="center"/>
              <w:rPr>
                <w:rFonts w:hint="eastAsia" w:ascii="仿宋" w:hAnsi="仿宋" w:eastAsia="仿宋" w:cs="仿宋"/>
                <w:color w:val="auto"/>
                <w:sz w:val="24"/>
                <w:highlight w:val="none"/>
              </w:rPr>
            </w:pPr>
          </w:p>
        </w:tc>
        <w:tc>
          <w:tcPr>
            <w:tcW w:w="1403" w:type="dxa"/>
            <w:vAlign w:val="center"/>
          </w:tcPr>
          <w:p w14:paraId="53EC76C3">
            <w:pPr>
              <w:wordWrap w:val="0"/>
              <w:jc w:val="center"/>
              <w:rPr>
                <w:rFonts w:hint="eastAsia" w:ascii="仿宋" w:hAnsi="仿宋" w:eastAsia="仿宋" w:cs="仿宋"/>
                <w:color w:val="auto"/>
                <w:sz w:val="24"/>
                <w:highlight w:val="none"/>
              </w:rPr>
            </w:pPr>
          </w:p>
        </w:tc>
      </w:tr>
      <w:tr w14:paraId="3F9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1ABF4605">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5D429E36">
            <w:pPr>
              <w:widowControl/>
              <w:wordWrap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应价保证金</w:t>
            </w:r>
          </w:p>
        </w:tc>
        <w:tc>
          <w:tcPr>
            <w:tcW w:w="3773" w:type="dxa"/>
            <w:vAlign w:val="center"/>
          </w:tcPr>
          <w:p w14:paraId="4B74C7CE">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金额：0元</w:t>
            </w:r>
          </w:p>
        </w:tc>
        <w:tc>
          <w:tcPr>
            <w:tcW w:w="1276" w:type="dxa"/>
            <w:vAlign w:val="center"/>
          </w:tcPr>
          <w:p w14:paraId="2F9DEDB6">
            <w:pPr>
              <w:wordWrap w:val="0"/>
              <w:jc w:val="center"/>
              <w:rPr>
                <w:rFonts w:hint="eastAsia" w:ascii="仿宋" w:hAnsi="仿宋" w:eastAsia="仿宋" w:cs="仿宋"/>
                <w:color w:val="auto"/>
                <w:sz w:val="24"/>
                <w:highlight w:val="none"/>
              </w:rPr>
            </w:pPr>
          </w:p>
        </w:tc>
        <w:tc>
          <w:tcPr>
            <w:tcW w:w="1403" w:type="dxa"/>
            <w:vAlign w:val="center"/>
          </w:tcPr>
          <w:p w14:paraId="736803E3">
            <w:pPr>
              <w:wordWrap w:val="0"/>
              <w:jc w:val="center"/>
              <w:rPr>
                <w:rFonts w:hint="eastAsia" w:ascii="仿宋" w:hAnsi="仿宋" w:eastAsia="仿宋" w:cs="仿宋"/>
                <w:color w:val="auto"/>
                <w:sz w:val="24"/>
                <w:highlight w:val="none"/>
              </w:rPr>
            </w:pPr>
          </w:p>
        </w:tc>
      </w:tr>
      <w:tr w14:paraId="6552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14:paraId="71CC0258">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4C82D4C5">
            <w:pPr>
              <w:widowControl/>
              <w:wordWrap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应价有效期</w:t>
            </w:r>
          </w:p>
        </w:tc>
        <w:tc>
          <w:tcPr>
            <w:tcW w:w="3773" w:type="dxa"/>
            <w:vAlign w:val="center"/>
          </w:tcPr>
          <w:p w14:paraId="0C9E5851">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开启之日起不少于90天。</w:t>
            </w:r>
          </w:p>
        </w:tc>
        <w:tc>
          <w:tcPr>
            <w:tcW w:w="1276" w:type="dxa"/>
            <w:vAlign w:val="center"/>
          </w:tcPr>
          <w:p w14:paraId="5E2D6824">
            <w:pPr>
              <w:wordWrap w:val="0"/>
              <w:jc w:val="center"/>
              <w:rPr>
                <w:rFonts w:hint="eastAsia" w:ascii="仿宋" w:hAnsi="仿宋" w:eastAsia="仿宋" w:cs="仿宋"/>
                <w:color w:val="auto"/>
                <w:sz w:val="24"/>
                <w:highlight w:val="none"/>
              </w:rPr>
            </w:pPr>
          </w:p>
        </w:tc>
        <w:tc>
          <w:tcPr>
            <w:tcW w:w="1403" w:type="dxa"/>
            <w:vAlign w:val="center"/>
          </w:tcPr>
          <w:p w14:paraId="6C8FC6E5">
            <w:pPr>
              <w:wordWrap w:val="0"/>
              <w:jc w:val="center"/>
              <w:rPr>
                <w:rFonts w:hint="eastAsia" w:ascii="仿宋" w:hAnsi="仿宋" w:eastAsia="仿宋" w:cs="仿宋"/>
                <w:color w:val="auto"/>
                <w:sz w:val="24"/>
                <w:highlight w:val="none"/>
              </w:rPr>
            </w:pPr>
          </w:p>
        </w:tc>
      </w:tr>
      <w:tr w14:paraId="26F6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3882342D">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7656F305">
            <w:pPr>
              <w:widowControl/>
              <w:wordWrap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履约保证金</w:t>
            </w:r>
          </w:p>
        </w:tc>
        <w:tc>
          <w:tcPr>
            <w:tcW w:w="3773" w:type="dxa"/>
            <w:vAlign w:val="center"/>
          </w:tcPr>
          <w:p w14:paraId="5FB799B9">
            <w:pPr>
              <w:tabs>
                <w:tab w:val="left" w:pos="0"/>
              </w:tabs>
              <w:wordWrap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签订合同前乙方应向甲方提交履约保证金，保证金为合同价的5%；</w:t>
            </w:r>
          </w:p>
          <w:p w14:paraId="1B767156">
            <w:pPr>
              <w:tabs>
                <w:tab w:val="left" w:pos="0"/>
              </w:tabs>
              <w:wordWrap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提交形式：转账、支票、汇票、本票或者金融机构出具的保函等形式；</w:t>
            </w:r>
          </w:p>
          <w:p w14:paraId="4942683B">
            <w:pPr>
              <w:tabs>
                <w:tab w:val="left" w:pos="0"/>
              </w:tabs>
              <w:wordWrap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退还时间：合同履约完毕后7个工作日内无息退还。</w:t>
            </w:r>
          </w:p>
        </w:tc>
        <w:tc>
          <w:tcPr>
            <w:tcW w:w="1276" w:type="dxa"/>
          </w:tcPr>
          <w:p w14:paraId="04E590A4">
            <w:pPr>
              <w:wordWrap w:val="0"/>
              <w:jc w:val="center"/>
              <w:rPr>
                <w:rFonts w:hint="eastAsia" w:ascii="仿宋" w:hAnsi="仿宋" w:eastAsia="仿宋" w:cs="仿宋"/>
                <w:color w:val="auto"/>
                <w:sz w:val="24"/>
                <w:highlight w:val="none"/>
              </w:rPr>
            </w:pPr>
          </w:p>
        </w:tc>
        <w:tc>
          <w:tcPr>
            <w:tcW w:w="1403" w:type="dxa"/>
          </w:tcPr>
          <w:p w14:paraId="7BD83445">
            <w:pPr>
              <w:wordWrap w:val="0"/>
              <w:jc w:val="center"/>
              <w:rPr>
                <w:rFonts w:hint="eastAsia" w:ascii="仿宋" w:hAnsi="仿宋" w:eastAsia="仿宋" w:cs="仿宋"/>
                <w:color w:val="auto"/>
                <w:sz w:val="24"/>
                <w:highlight w:val="none"/>
              </w:rPr>
            </w:pPr>
          </w:p>
        </w:tc>
      </w:tr>
      <w:tr w14:paraId="0FFF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7CE1367D">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46C95DF1">
            <w:pPr>
              <w:widowControl/>
              <w:wordWrap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3773" w:type="dxa"/>
            <w:vAlign w:val="center"/>
          </w:tcPr>
          <w:p w14:paraId="06C086F6">
            <w:pPr>
              <w:widowControl/>
              <w:autoSpaceDE w:val="0"/>
              <w:snapToGrid w:val="0"/>
              <w:spacing w:line="360" w:lineRule="auto"/>
              <w:jc w:val="left"/>
              <w:outlineLvl w:val="0"/>
              <w:rPr>
                <w:rFonts w:hint="eastAsia" w:ascii="仿宋" w:hAnsi="仿宋" w:eastAsia="仿宋" w:cs="仿宋"/>
                <w:color w:val="auto"/>
                <w:sz w:val="24"/>
                <w:highlight w:val="none"/>
              </w:rPr>
            </w:pPr>
          </w:p>
        </w:tc>
        <w:tc>
          <w:tcPr>
            <w:tcW w:w="1276" w:type="dxa"/>
          </w:tcPr>
          <w:p w14:paraId="1193CBEC">
            <w:pPr>
              <w:wordWrap w:val="0"/>
              <w:jc w:val="center"/>
              <w:rPr>
                <w:rFonts w:hint="eastAsia" w:ascii="仿宋" w:hAnsi="仿宋" w:eastAsia="仿宋" w:cs="仿宋"/>
                <w:color w:val="auto"/>
                <w:sz w:val="24"/>
                <w:highlight w:val="none"/>
              </w:rPr>
            </w:pPr>
          </w:p>
        </w:tc>
        <w:tc>
          <w:tcPr>
            <w:tcW w:w="1403" w:type="dxa"/>
          </w:tcPr>
          <w:p w14:paraId="10C829A3">
            <w:pPr>
              <w:wordWrap w:val="0"/>
              <w:jc w:val="center"/>
              <w:rPr>
                <w:rFonts w:hint="eastAsia" w:ascii="仿宋" w:hAnsi="仿宋" w:eastAsia="仿宋" w:cs="仿宋"/>
                <w:color w:val="auto"/>
                <w:sz w:val="24"/>
                <w:highlight w:val="none"/>
              </w:rPr>
            </w:pPr>
          </w:p>
        </w:tc>
      </w:tr>
      <w:tr w14:paraId="38AC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14:paraId="6F61CFF7">
            <w:pPr>
              <w:numPr>
                <w:ilvl w:val="0"/>
                <w:numId w:val="7"/>
              </w:numPr>
              <w:wordWrap w:val="0"/>
              <w:jc w:val="center"/>
              <w:rPr>
                <w:rFonts w:hint="eastAsia" w:ascii="仿宋" w:hAnsi="仿宋" w:eastAsia="仿宋" w:cs="仿宋"/>
                <w:color w:val="auto"/>
                <w:sz w:val="24"/>
                <w:highlight w:val="none"/>
              </w:rPr>
            </w:pPr>
          </w:p>
        </w:tc>
        <w:tc>
          <w:tcPr>
            <w:tcW w:w="1603" w:type="dxa"/>
            <w:vAlign w:val="center"/>
          </w:tcPr>
          <w:p w14:paraId="659A0A62">
            <w:pPr>
              <w:widowControl/>
              <w:wordWrap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773" w:type="dxa"/>
            <w:vAlign w:val="center"/>
          </w:tcPr>
          <w:p w14:paraId="683C5202">
            <w:pPr>
              <w:tabs>
                <w:tab w:val="left" w:pos="0"/>
              </w:tabs>
              <w:wordWrap w:val="0"/>
              <w:rPr>
                <w:rFonts w:hint="eastAsia" w:ascii="仿宋" w:hAnsi="仿宋" w:eastAsia="仿宋" w:cs="仿宋"/>
                <w:color w:val="auto"/>
                <w:kern w:val="0"/>
                <w:sz w:val="24"/>
                <w:highlight w:val="none"/>
              </w:rPr>
            </w:pPr>
          </w:p>
        </w:tc>
        <w:tc>
          <w:tcPr>
            <w:tcW w:w="1276" w:type="dxa"/>
          </w:tcPr>
          <w:p w14:paraId="71BFFFDA">
            <w:pPr>
              <w:wordWrap w:val="0"/>
              <w:jc w:val="center"/>
              <w:rPr>
                <w:rFonts w:hint="eastAsia" w:ascii="仿宋" w:hAnsi="仿宋" w:eastAsia="仿宋" w:cs="仿宋"/>
                <w:color w:val="auto"/>
                <w:sz w:val="24"/>
                <w:highlight w:val="none"/>
              </w:rPr>
            </w:pPr>
          </w:p>
        </w:tc>
        <w:tc>
          <w:tcPr>
            <w:tcW w:w="1403" w:type="dxa"/>
          </w:tcPr>
          <w:p w14:paraId="0E871352">
            <w:pPr>
              <w:wordWrap w:val="0"/>
              <w:jc w:val="center"/>
              <w:rPr>
                <w:rFonts w:hint="eastAsia" w:ascii="仿宋" w:hAnsi="仿宋" w:eastAsia="仿宋" w:cs="仿宋"/>
                <w:color w:val="auto"/>
                <w:sz w:val="24"/>
                <w:highlight w:val="none"/>
              </w:rPr>
            </w:pPr>
          </w:p>
        </w:tc>
      </w:tr>
    </w:tbl>
    <w:p w14:paraId="3DF07153">
      <w:pPr>
        <w:wordWrap w:val="0"/>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注：1.应价人应根据询价函要求一一对应如实填写偏离表，在“偏离情况”栏注明“正偏离”、“负偏离”或“无偏离”。未按要求填写的，有可能作无效处理。</w:t>
      </w:r>
    </w:p>
    <w:p w14:paraId="7D7073B8">
      <w:pPr>
        <w:wordWrap w:val="0"/>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2.采购要求为最低要求，不得负偏离,否则按无效处理。</w:t>
      </w:r>
    </w:p>
    <w:p w14:paraId="06FE008E">
      <w:pPr>
        <w:wordWrap w:val="0"/>
        <w:snapToGrid w:val="0"/>
        <w:spacing w:line="48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2057D09B">
      <w:pPr>
        <w:wordWrap w:val="0"/>
        <w:snapToGrid w:val="0"/>
        <w:spacing w:line="480" w:lineRule="exact"/>
        <w:ind w:firstLine="4320" w:firstLineChars="18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日期：2024年  月  日</w:t>
      </w:r>
    </w:p>
    <w:p w14:paraId="7BD10F70">
      <w:pPr>
        <w:wordWrap w:val="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08962831">
      <w:pPr>
        <w:rPr>
          <w:rFonts w:hint="eastAsia" w:ascii="仿宋" w:hAnsi="仿宋" w:eastAsia="仿宋" w:cs="仿宋"/>
          <w:b/>
          <w:bCs/>
          <w:color w:val="auto"/>
          <w:sz w:val="24"/>
          <w:highlight w:val="none"/>
        </w:rPr>
      </w:pPr>
      <w:bookmarkStart w:id="148" w:name="_Toc23835"/>
      <w:bookmarkStart w:id="149" w:name="_Toc21678"/>
      <w:bookmarkStart w:id="150" w:name="_Toc10683"/>
      <w:bookmarkStart w:id="151" w:name="_Toc30813"/>
    </w:p>
    <w:p w14:paraId="53D107BA">
      <w:pPr>
        <w:spacing w:line="360" w:lineRule="auto"/>
        <w:ind w:firstLine="3373" w:firstLineChars="14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技术偏离表</w:t>
      </w:r>
      <w:bookmarkEnd w:id="148"/>
      <w:bookmarkEnd w:id="149"/>
      <w:bookmarkEnd w:id="150"/>
      <w:bookmarkEnd w:id="151"/>
    </w:p>
    <w:p w14:paraId="2D6DCB94">
      <w:pPr>
        <w:pStyle w:val="25"/>
        <w:rPr>
          <w:rFonts w:hint="eastAsia" w:ascii="仿宋" w:hAnsi="仿宋" w:eastAsia="仿宋" w:cs="仿宋"/>
          <w:color w:val="auto"/>
          <w:highlight w:val="none"/>
        </w:rPr>
      </w:pPr>
    </w:p>
    <w:tbl>
      <w:tblPr>
        <w:tblStyle w:val="28"/>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746"/>
        <w:gridCol w:w="3898"/>
        <w:gridCol w:w="1007"/>
        <w:gridCol w:w="782"/>
      </w:tblGrid>
      <w:tr w14:paraId="2F2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677D57A8">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6" w:type="dxa"/>
            <w:vAlign w:val="center"/>
          </w:tcPr>
          <w:p w14:paraId="31037BB7">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3898" w:type="dxa"/>
            <w:vAlign w:val="center"/>
          </w:tcPr>
          <w:p w14:paraId="77F6F10F">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采购要求</w:t>
            </w:r>
          </w:p>
        </w:tc>
        <w:tc>
          <w:tcPr>
            <w:tcW w:w="1007" w:type="dxa"/>
            <w:vAlign w:val="center"/>
          </w:tcPr>
          <w:p w14:paraId="47FE2F89">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供应商响应内容</w:t>
            </w:r>
          </w:p>
        </w:tc>
        <w:tc>
          <w:tcPr>
            <w:tcW w:w="782" w:type="dxa"/>
            <w:vAlign w:val="center"/>
          </w:tcPr>
          <w:p w14:paraId="28BB1D01">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r>
      <w:tr w14:paraId="057B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B7EAE3F">
            <w:pPr>
              <w:numPr>
                <w:ilvl w:val="255"/>
                <w:numId w:val="0"/>
              </w:num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p>
        </w:tc>
        <w:tc>
          <w:tcPr>
            <w:tcW w:w="2746" w:type="dxa"/>
            <w:vAlign w:val="center"/>
          </w:tcPr>
          <w:p w14:paraId="16B1324B">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▲设备技术参数要求</w:t>
            </w:r>
          </w:p>
        </w:tc>
        <w:tc>
          <w:tcPr>
            <w:tcW w:w="3898" w:type="dxa"/>
          </w:tcPr>
          <w:p w14:paraId="4A63E7F5">
            <w:pPr>
              <w:spacing w:line="480" w:lineRule="exact"/>
              <w:jc w:val="center"/>
              <w:rPr>
                <w:rFonts w:hint="eastAsia" w:ascii="仿宋" w:hAnsi="仿宋" w:eastAsia="仿宋" w:cs="仿宋"/>
                <w:color w:val="auto"/>
                <w:sz w:val="24"/>
                <w:highlight w:val="none"/>
              </w:rPr>
            </w:pPr>
          </w:p>
        </w:tc>
        <w:tc>
          <w:tcPr>
            <w:tcW w:w="1007" w:type="dxa"/>
          </w:tcPr>
          <w:p w14:paraId="01F8FE67">
            <w:pPr>
              <w:wordWrap w:val="0"/>
              <w:jc w:val="center"/>
              <w:rPr>
                <w:rFonts w:hint="eastAsia" w:ascii="仿宋" w:hAnsi="仿宋" w:eastAsia="仿宋" w:cs="仿宋"/>
                <w:color w:val="auto"/>
                <w:sz w:val="24"/>
                <w:highlight w:val="none"/>
              </w:rPr>
            </w:pPr>
          </w:p>
        </w:tc>
        <w:tc>
          <w:tcPr>
            <w:tcW w:w="782" w:type="dxa"/>
          </w:tcPr>
          <w:p w14:paraId="2A75E8B3">
            <w:pPr>
              <w:wordWrap w:val="0"/>
              <w:jc w:val="center"/>
              <w:rPr>
                <w:rFonts w:hint="eastAsia" w:ascii="仿宋" w:hAnsi="仿宋" w:eastAsia="仿宋" w:cs="仿宋"/>
                <w:color w:val="auto"/>
                <w:sz w:val="24"/>
                <w:highlight w:val="none"/>
              </w:rPr>
            </w:pPr>
          </w:p>
        </w:tc>
      </w:tr>
      <w:tr w14:paraId="078C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4793D0F">
            <w:pPr>
              <w:numPr>
                <w:ilvl w:val="0"/>
                <w:numId w:val="8"/>
              </w:numPr>
              <w:wordWrap w:val="0"/>
              <w:jc w:val="center"/>
              <w:rPr>
                <w:rFonts w:hint="eastAsia" w:ascii="仿宋" w:hAnsi="仿宋" w:eastAsia="仿宋" w:cs="仿宋"/>
                <w:color w:val="auto"/>
                <w:sz w:val="24"/>
                <w:highlight w:val="none"/>
              </w:rPr>
            </w:pPr>
          </w:p>
        </w:tc>
        <w:tc>
          <w:tcPr>
            <w:tcW w:w="2746" w:type="dxa"/>
            <w:vAlign w:val="center"/>
          </w:tcPr>
          <w:p w14:paraId="5C15A67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硬件组成</w:t>
            </w:r>
          </w:p>
        </w:tc>
        <w:tc>
          <w:tcPr>
            <w:tcW w:w="3898" w:type="dxa"/>
            <w:vAlign w:val="center"/>
          </w:tcPr>
          <w:p w14:paraId="7259C925">
            <w:pPr>
              <w:widowControl/>
              <w:jc w:val="center"/>
              <w:textAlignment w:val="center"/>
              <w:rPr>
                <w:rFonts w:hint="eastAsia" w:ascii="仿宋" w:hAnsi="仿宋" w:eastAsia="仿宋" w:cs="仿宋"/>
                <w:color w:val="auto"/>
                <w:sz w:val="24"/>
                <w:highlight w:val="none"/>
              </w:rPr>
            </w:pPr>
          </w:p>
        </w:tc>
        <w:tc>
          <w:tcPr>
            <w:tcW w:w="1007" w:type="dxa"/>
          </w:tcPr>
          <w:p w14:paraId="6AE09452">
            <w:pPr>
              <w:wordWrap w:val="0"/>
              <w:jc w:val="center"/>
              <w:rPr>
                <w:rFonts w:hint="eastAsia" w:ascii="仿宋" w:hAnsi="仿宋" w:eastAsia="仿宋" w:cs="仿宋"/>
                <w:color w:val="auto"/>
                <w:sz w:val="24"/>
                <w:highlight w:val="none"/>
              </w:rPr>
            </w:pPr>
          </w:p>
        </w:tc>
        <w:tc>
          <w:tcPr>
            <w:tcW w:w="782" w:type="dxa"/>
          </w:tcPr>
          <w:p w14:paraId="47663E4A">
            <w:pPr>
              <w:wordWrap w:val="0"/>
              <w:jc w:val="center"/>
              <w:rPr>
                <w:rFonts w:hint="eastAsia" w:ascii="仿宋" w:hAnsi="仿宋" w:eastAsia="仿宋" w:cs="仿宋"/>
                <w:color w:val="auto"/>
                <w:sz w:val="24"/>
                <w:highlight w:val="none"/>
              </w:rPr>
            </w:pPr>
          </w:p>
        </w:tc>
      </w:tr>
      <w:tr w14:paraId="133E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2734A69">
            <w:pPr>
              <w:numPr>
                <w:ilvl w:val="0"/>
                <w:numId w:val="8"/>
              </w:numPr>
              <w:wordWrap w:val="0"/>
              <w:jc w:val="center"/>
              <w:rPr>
                <w:rFonts w:hint="eastAsia" w:ascii="仿宋" w:hAnsi="仿宋" w:eastAsia="仿宋" w:cs="仿宋"/>
                <w:color w:val="auto"/>
                <w:sz w:val="24"/>
                <w:highlight w:val="none"/>
              </w:rPr>
            </w:pPr>
          </w:p>
        </w:tc>
        <w:tc>
          <w:tcPr>
            <w:tcW w:w="2746" w:type="dxa"/>
            <w:vAlign w:val="center"/>
          </w:tcPr>
          <w:p w14:paraId="1608374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电池管理</w:t>
            </w:r>
          </w:p>
        </w:tc>
        <w:tc>
          <w:tcPr>
            <w:tcW w:w="3898" w:type="dxa"/>
            <w:vAlign w:val="center"/>
          </w:tcPr>
          <w:p w14:paraId="427D1D95">
            <w:pPr>
              <w:widowControl/>
              <w:jc w:val="center"/>
              <w:textAlignment w:val="center"/>
              <w:rPr>
                <w:rFonts w:hint="eastAsia" w:ascii="仿宋" w:hAnsi="仿宋" w:eastAsia="仿宋" w:cs="仿宋"/>
                <w:color w:val="auto"/>
                <w:sz w:val="24"/>
                <w:highlight w:val="none"/>
              </w:rPr>
            </w:pPr>
          </w:p>
        </w:tc>
        <w:tc>
          <w:tcPr>
            <w:tcW w:w="1007" w:type="dxa"/>
          </w:tcPr>
          <w:p w14:paraId="7EEC79EF">
            <w:pPr>
              <w:wordWrap w:val="0"/>
              <w:jc w:val="center"/>
              <w:rPr>
                <w:rFonts w:hint="eastAsia" w:ascii="仿宋" w:hAnsi="仿宋" w:eastAsia="仿宋" w:cs="仿宋"/>
                <w:color w:val="auto"/>
                <w:sz w:val="24"/>
                <w:highlight w:val="none"/>
              </w:rPr>
            </w:pPr>
          </w:p>
        </w:tc>
        <w:tc>
          <w:tcPr>
            <w:tcW w:w="782" w:type="dxa"/>
          </w:tcPr>
          <w:p w14:paraId="2D267D97">
            <w:pPr>
              <w:wordWrap w:val="0"/>
              <w:jc w:val="center"/>
              <w:rPr>
                <w:rFonts w:hint="eastAsia" w:ascii="仿宋" w:hAnsi="仿宋" w:eastAsia="仿宋" w:cs="仿宋"/>
                <w:color w:val="auto"/>
                <w:sz w:val="24"/>
                <w:highlight w:val="none"/>
              </w:rPr>
            </w:pPr>
          </w:p>
        </w:tc>
      </w:tr>
      <w:tr w14:paraId="6731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B23E478">
            <w:pPr>
              <w:numPr>
                <w:ilvl w:val="0"/>
                <w:numId w:val="8"/>
              </w:numPr>
              <w:wordWrap w:val="0"/>
              <w:jc w:val="center"/>
              <w:rPr>
                <w:rFonts w:hint="eastAsia" w:ascii="仿宋" w:hAnsi="仿宋" w:eastAsia="仿宋" w:cs="仿宋"/>
                <w:color w:val="auto"/>
                <w:sz w:val="24"/>
                <w:highlight w:val="none"/>
              </w:rPr>
            </w:pPr>
          </w:p>
        </w:tc>
        <w:tc>
          <w:tcPr>
            <w:tcW w:w="2746" w:type="dxa"/>
            <w:vAlign w:val="center"/>
          </w:tcPr>
          <w:p w14:paraId="7401F0A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消防模块  (三级控制）</w:t>
            </w:r>
          </w:p>
        </w:tc>
        <w:tc>
          <w:tcPr>
            <w:tcW w:w="3898" w:type="dxa"/>
            <w:vAlign w:val="center"/>
          </w:tcPr>
          <w:p w14:paraId="4EA3C694">
            <w:pPr>
              <w:widowControl/>
              <w:jc w:val="center"/>
              <w:textAlignment w:val="center"/>
              <w:rPr>
                <w:rFonts w:hint="eastAsia" w:ascii="仿宋" w:hAnsi="仿宋" w:eastAsia="仿宋" w:cs="仿宋"/>
                <w:color w:val="auto"/>
                <w:sz w:val="24"/>
                <w:highlight w:val="none"/>
              </w:rPr>
            </w:pPr>
          </w:p>
        </w:tc>
        <w:tc>
          <w:tcPr>
            <w:tcW w:w="1007" w:type="dxa"/>
          </w:tcPr>
          <w:p w14:paraId="7EEB6062">
            <w:pPr>
              <w:wordWrap w:val="0"/>
              <w:jc w:val="center"/>
              <w:rPr>
                <w:rFonts w:hint="eastAsia" w:ascii="仿宋" w:hAnsi="仿宋" w:eastAsia="仿宋" w:cs="仿宋"/>
                <w:color w:val="auto"/>
                <w:sz w:val="24"/>
                <w:highlight w:val="none"/>
              </w:rPr>
            </w:pPr>
          </w:p>
        </w:tc>
        <w:tc>
          <w:tcPr>
            <w:tcW w:w="782" w:type="dxa"/>
          </w:tcPr>
          <w:p w14:paraId="0383BB74">
            <w:pPr>
              <w:wordWrap w:val="0"/>
              <w:jc w:val="center"/>
              <w:rPr>
                <w:rFonts w:hint="eastAsia" w:ascii="仿宋" w:hAnsi="仿宋" w:eastAsia="仿宋" w:cs="仿宋"/>
                <w:color w:val="auto"/>
                <w:sz w:val="24"/>
                <w:highlight w:val="none"/>
              </w:rPr>
            </w:pPr>
          </w:p>
        </w:tc>
      </w:tr>
      <w:tr w14:paraId="4663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6C43DD7">
            <w:pPr>
              <w:numPr>
                <w:ilvl w:val="255"/>
                <w:numId w:val="0"/>
              </w:numPr>
              <w:wordWrap w:val="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w:t>
            </w:r>
          </w:p>
        </w:tc>
        <w:tc>
          <w:tcPr>
            <w:tcW w:w="2746" w:type="dxa"/>
            <w:vAlign w:val="center"/>
          </w:tcPr>
          <w:p w14:paraId="093FE29A">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3898" w:type="dxa"/>
            <w:vAlign w:val="center"/>
          </w:tcPr>
          <w:p w14:paraId="1FC17DCC">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详见第三部分采购需求及要求，</w:t>
            </w:r>
          </w:p>
        </w:tc>
        <w:tc>
          <w:tcPr>
            <w:tcW w:w="1007" w:type="dxa"/>
          </w:tcPr>
          <w:p w14:paraId="1B3FC1D9">
            <w:pPr>
              <w:wordWrap w:val="0"/>
              <w:jc w:val="center"/>
              <w:rPr>
                <w:rFonts w:hint="eastAsia" w:ascii="仿宋" w:hAnsi="仿宋" w:eastAsia="仿宋" w:cs="仿宋"/>
                <w:color w:val="auto"/>
                <w:sz w:val="24"/>
                <w:highlight w:val="none"/>
              </w:rPr>
            </w:pPr>
          </w:p>
        </w:tc>
        <w:tc>
          <w:tcPr>
            <w:tcW w:w="782" w:type="dxa"/>
          </w:tcPr>
          <w:p w14:paraId="29073D60">
            <w:pPr>
              <w:wordWrap w:val="0"/>
              <w:jc w:val="center"/>
              <w:rPr>
                <w:rFonts w:hint="eastAsia" w:ascii="仿宋" w:hAnsi="仿宋" w:eastAsia="仿宋" w:cs="仿宋"/>
                <w:color w:val="auto"/>
                <w:sz w:val="24"/>
                <w:highlight w:val="none"/>
              </w:rPr>
            </w:pPr>
          </w:p>
        </w:tc>
      </w:tr>
    </w:tbl>
    <w:p w14:paraId="02A7CA17">
      <w:pPr>
        <w:wordWrap w:val="0"/>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注：1.应价人应根据询价函要求一一对应如实填写偏离表，在“偏离情况”栏注明“正偏离”、“负偏离”或“无偏离”。未按要求填写的，有可能作无效处理。</w:t>
      </w:r>
    </w:p>
    <w:p w14:paraId="1790800D">
      <w:pPr>
        <w:numPr>
          <w:ilvl w:val="0"/>
          <w:numId w:val="9"/>
        </w:numPr>
        <w:wordWrap w:val="0"/>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如有相关证明材料的附后。</w:t>
      </w:r>
    </w:p>
    <w:p w14:paraId="46D9320A">
      <w:pPr>
        <w:numPr>
          <w:ilvl w:val="0"/>
          <w:numId w:val="9"/>
        </w:numPr>
        <w:wordWrap w:val="0"/>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打“▲”符号的采购要求为最低要求，不得负偏离,否则按无效处理。</w:t>
      </w:r>
    </w:p>
    <w:p w14:paraId="54B3B46F">
      <w:pPr>
        <w:wordWrap w:val="0"/>
        <w:snapToGrid w:val="0"/>
        <w:spacing w:line="48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应价人（盖单位公章）： </w:t>
      </w:r>
    </w:p>
    <w:p w14:paraId="2E07E5CA">
      <w:pPr>
        <w:wordWrap w:val="0"/>
        <w:snapToGrid w:val="0"/>
        <w:spacing w:line="48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日期：2024年  月  日</w:t>
      </w:r>
    </w:p>
    <w:p w14:paraId="2DB23F4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570A032">
      <w:pPr>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152" w:name="_Toc3702"/>
      <w:bookmarkStart w:id="153" w:name="_Toc7212"/>
      <w:bookmarkStart w:id="154" w:name="_Toc22242"/>
      <w:bookmarkStart w:id="155" w:name="_Toc829"/>
      <w:bookmarkStart w:id="156" w:name="_Toc11912"/>
      <w:bookmarkStart w:id="157" w:name="_Toc15452"/>
      <w:bookmarkStart w:id="158" w:name="_Toc22184"/>
      <w:r>
        <w:rPr>
          <w:rFonts w:hint="eastAsia" w:ascii="仿宋" w:hAnsi="仿宋" w:eastAsia="仿宋" w:cs="仿宋"/>
          <w:b/>
          <w:bCs/>
          <w:color w:val="000000" w:themeColor="text1"/>
          <w:sz w:val="32"/>
          <w:szCs w:val="32"/>
          <w:highlight w:val="none"/>
          <w14:textFill>
            <w14:solidFill>
              <w14:schemeClr w14:val="tx1"/>
            </w14:solidFill>
          </w14:textFill>
        </w:rPr>
        <w:t>第五部分  拟签订的合同文本</w:t>
      </w:r>
      <w:bookmarkEnd w:id="152"/>
      <w:bookmarkEnd w:id="153"/>
      <w:bookmarkEnd w:id="154"/>
      <w:bookmarkEnd w:id="155"/>
      <w:bookmarkEnd w:id="156"/>
    </w:p>
    <w:p w14:paraId="2F882EFB">
      <w:pPr>
        <w:widowControl/>
        <w:tabs>
          <w:tab w:val="left" w:pos="3360"/>
        </w:tabs>
        <w:wordWrap w:val="0"/>
        <w:topLinePunct/>
        <w:spacing w:line="360" w:lineRule="auto"/>
        <w:ind w:firstLine="540"/>
        <w:jc w:val="left"/>
        <w:rPr>
          <w:rFonts w:hint="eastAsia" w:ascii="仿宋" w:hAnsi="仿宋" w:eastAsia="仿宋" w:cs="仿宋"/>
          <w:color w:val="000000" w:themeColor="text1"/>
          <w:sz w:val="24"/>
          <w:highlight w:val="none"/>
          <w14:textFill>
            <w14:solidFill>
              <w14:schemeClr w14:val="tx1"/>
            </w14:solidFill>
          </w14:textFill>
        </w:rPr>
      </w:pPr>
    </w:p>
    <w:bookmarkEnd w:id="157"/>
    <w:bookmarkEnd w:id="158"/>
    <w:p w14:paraId="0599AF46">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项目名称：</w:t>
      </w:r>
      <w:r>
        <w:rPr>
          <w:rFonts w:hint="eastAsia" w:ascii="仿宋" w:hAnsi="仿宋" w:eastAsia="仿宋" w:cs="仿宋"/>
          <w:kern w:val="2"/>
          <w:sz w:val="24"/>
          <w:szCs w:val="24"/>
          <w:highlight w:val="none"/>
          <w:u w:val="single"/>
          <w:lang w:val="en-US" w:eastAsia="zh-CN" w:bidi="ar"/>
        </w:rPr>
        <w:t xml:space="preserve">  杭州市新能源投资发展有限公司换电柜采购安装  </w:t>
      </w:r>
      <w:r>
        <w:rPr>
          <w:rFonts w:hint="eastAsia" w:ascii="仿宋" w:hAnsi="仿宋" w:eastAsia="仿宋" w:cs="仿宋"/>
          <w:kern w:val="2"/>
          <w:sz w:val="24"/>
          <w:szCs w:val="24"/>
          <w:highlight w:val="none"/>
          <w:lang w:val="en-US" w:eastAsia="zh-CN" w:bidi="ar"/>
        </w:rPr>
        <w:t xml:space="preserve"> </w:t>
      </w:r>
    </w:p>
    <w:p w14:paraId="39C4DF00">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招标编号：</w:t>
      </w:r>
      <w:r>
        <w:rPr>
          <w:rFonts w:hint="eastAsia" w:ascii="仿宋" w:hAnsi="仿宋" w:eastAsia="仿宋" w:cs="仿宋"/>
          <w:kern w:val="2"/>
          <w:sz w:val="24"/>
          <w:szCs w:val="24"/>
          <w:highlight w:val="none"/>
          <w:u w:val="single"/>
          <w:lang w:val="en-US" w:eastAsia="zh-CN" w:bidi="ar"/>
        </w:rPr>
        <w:t xml:space="preserve">                        </w:t>
      </w:r>
    </w:p>
    <w:p w14:paraId="6C7F9F41">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2"/>
          <w:sz w:val="24"/>
          <w:szCs w:val="24"/>
          <w:highlight w:val="none"/>
          <w:u w:val="single"/>
        </w:rPr>
      </w:pPr>
      <w:r>
        <w:rPr>
          <w:rFonts w:hint="eastAsia" w:ascii="仿宋" w:hAnsi="仿宋" w:eastAsia="仿宋" w:cs="仿宋"/>
          <w:kern w:val="2"/>
          <w:sz w:val="24"/>
          <w:szCs w:val="24"/>
          <w:highlight w:val="none"/>
          <w:lang w:val="en-US" w:eastAsia="zh-CN" w:bidi="ar"/>
        </w:rPr>
        <w:t>甲方（买方）：</w:t>
      </w:r>
      <w:r>
        <w:rPr>
          <w:rFonts w:hint="eastAsia" w:ascii="仿宋" w:hAnsi="仿宋" w:eastAsia="仿宋" w:cs="仿宋"/>
          <w:kern w:val="2"/>
          <w:sz w:val="24"/>
          <w:szCs w:val="24"/>
          <w:highlight w:val="none"/>
          <w:u w:val="single"/>
          <w:lang w:val="en-US" w:eastAsia="zh-CN" w:bidi="ar"/>
        </w:rPr>
        <w:t xml:space="preserve">  杭州市新能源投资发展有限公司  </w:t>
      </w:r>
    </w:p>
    <w:p w14:paraId="7E6223FF">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2"/>
          <w:sz w:val="24"/>
          <w:szCs w:val="24"/>
          <w:highlight w:val="none"/>
          <w:u w:val="single"/>
          <w:lang w:val="en-US" w:eastAsia="zh-CN" w:bidi="ar"/>
        </w:rPr>
      </w:pPr>
      <w:r>
        <w:rPr>
          <w:rFonts w:hint="eastAsia" w:ascii="仿宋" w:hAnsi="仿宋" w:eastAsia="仿宋" w:cs="仿宋"/>
          <w:kern w:val="2"/>
          <w:sz w:val="24"/>
          <w:szCs w:val="24"/>
          <w:highlight w:val="none"/>
          <w:lang w:val="en-US" w:eastAsia="zh-CN" w:bidi="ar"/>
        </w:rPr>
        <w:t>乙方（卖方）：</w:t>
      </w:r>
      <w:r>
        <w:rPr>
          <w:rFonts w:hint="eastAsia" w:ascii="仿宋" w:hAnsi="仿宋" w:eastAsia="仿宋" w:cs="仿宋"/>
          <w:kern w:val="2"/>
          <w:sz w:val="24"/>
          <w:szCs w:val="24"/>
          <w:highlight w:val="none"/>
          <w:u w:val="single"/>
          <w:lang w:val="en-US" w:eastAsia="zh-CN" w:bidi="ar"/>
        </w:rPr>
        <w:t xml:space="preserve">                            </w:t>
      </w:r>
    </w:p>
    <w:p w14:paraId="44944217">
      <w:pPr>
        <w:keepNext w:val="0"/>
        <w:keepLines w:val="0"/>
        <w:pageBreakBefore w:val="0"/>
        <w:widowControl/>
        <w:suppressLineNumbers w:val="0"/>
        <w:kinsoku/>
        <w:overflowPunct/>
        <w:topLinePunct w:val="0"/>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仿宋" w:hAnsi="仿宋" w:eastAsia="仿宋" w:cs="仿宋"/>
          <w:kern w:val="0"/>
          <w:sz w:val="24"/>
          <w:szCs w:val="24"/>
          <w:highlight w:val="none"/>
        </w:rPr>
      </w:pPr>
      <w:r>
        <w:rPr>
          <w:rFonts w:hint="eastAsia" w:ascii="仿宋" w:hAnsi="仿宋" w:eastAsia="仿宋" w:cs="仿宋"/>
          <w:kern w:val="2"/>
          <w:sz w:val="24"/>
          <w:szCs w:val="24"/>
          <w:highlight w:val="none"/>
          <w:lang w:val="en-US" w:eastAsia="zh-CN" w:bidi="ar"/>
        </w:rPr>
        <w:t>经公开招标确定（中标单位名称）为 (杭州市新能源投资发展有限公司杭州市电动自行车街面充（换）电设备项目--换电柜样品采购安装 的中标单位，由乙方向甲方提供</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sz w:val="24"/>
          <w:szCs w:val="24"/>
          <w:highlight w:val="none"/>
          <w:lang w:val="en-US" w:eastAsia="zh-CN"/>
        </w:rPr>
        <w:t>针对2个投放站点换电柜的深化设计（柜体造型、颜色应按照设计方案，出具深化图纸（含效果图），换电柜设备的供货及安装、接地及整体系统调试，质保期内的保修和维保服务；（2）与服务亭供应商、电源接入施工单位的相关配合工作；</w:t>
      </w:r>
      <w:r>
        <w:rPr>
          <w:rFonts w:hint="eastAsia" w:ascii="仿宋" w:hAnsi="仿宋" w:eastAsia="仿宋" w:cs="仿宋"/>
          <w:sz w:val="24"/>
          <w:szCs w:val="24"/>
          <w:highlight w:val="none"/>
          <w:lang w:val="en-US" w:eastAsia="zh-CN"/>
        </w:rPr>
        <w:t>（3）与后续非样品换电柜及电池供应商的相关配合工作；（4）本次采购的样品需根据招标人的要求对换电柜样品的外观设计等因素进行修改调整。</w:t>
      </w:r>
      <w:r>
        <w:rPr>
          <w:rFonts w:hint="eastAsia" w:ascii="仿宋" w:hAnsi="仿宋" w:eastAsia="仿宋" w:cs="仿宋"/>
          <w:kern w:val="2"/>
          <w:sz w:val="24"/>
          <w:szCs w:val="24"/>
          <w:highlight w:val="none"/>
          <w:lang w:val="en-US" w:eastAsia="zh-CN" w:bidi="ar"/>
        </w:rPr>
        <w:t>。根据《中华人民共和国民法典》及其他适用的法律法规，</w:t>
      </w:r>
      <w:r>
        <w:rPr>
          <w:rFonts w:hint="eastAsia" w:ascii="仿宋" w:hAnsi="仿宋" w:eastAsia="仿宋" w:cs="仿宋"/>
          <w:kern w:val="0"/>
          <w:sz w:val="24"/>
          <w:szCs w:val="24"/>
          <w:highlight w:val="none"/>
          <w:lang w:val="en-US" w:eastAsia="zh-CN" w:bidi="ar"/>
        </w:rPr>
        <w:t>经</w:t>
      </w:r>
      <w:r>
        <w:rPr>
          <w:rFonts w:hint="eastAsia" w:ascii="仿宋" w:hAnsi="仿宋" w:eastAsia="仿宋" w:cs="仿宋"/>
          <w:kern w:val="2"/>
          <w:sz w:val="24"/>
          <w:szCs w:val="24"/>
          <w:highlight w:val="none"/>
          <w:lang w:val="en-US" w:eastAsia="zh-CN" w:bidi="ar"/>
        </w:rPr>
        <w:t>甲乙双方</w:t>
      </w:r>
      <w:r>
        <w:rPr>
          <w:rFonts w:hint="eastAsia" w:ascii="仿宋" w:hAnsi="仿宋" w:eastAsia="仿宋" w:cs="仿宋"/>
          <w:kern w:val="0"/>
          <w:sz w:val="24"/>
          <w:szCs w:val="24"/>
          <w:highlight w:val="none"/>
          <w:lang w:val="en-US" w:eastAsia="zh-CN" w:bidi="ar"/>
        </w:rPr>
        <w:t>协商一致，签订本合同。</w:t>
      </w:r>
    </w:p>
    <w:p w14:paraId="2BF16129">
      <w:pPr>
        <w:keepNext w:val="0"/>
        <w:keepLines w:val="0"/>
        <w:pageBreakBefore w:val="0"/>
        <w:widowControl/>
        <w:numPr>
          <w:ilvl w:val="0"/>
          <w:numId w:val="10"/>
        </w:numPr>
        <w:suppressLineNumbers w:val="0"/>
        <w:kinsoku/>
        <w:overflowPunct/>
        <w:topLinePunct w:val="0"/>
        <w:autoSpaceDE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lang w:val="en-US" w:eastAsia="zh-CN" w:bidi="ar"/>
        </w:rPr>
      </w:pPr>
      <w:bookmarkStart w:id="159" w:name="_Toc7827"/>
      <w:r>
        <w:rPr>
          <w:rFonts w:hint="eastAsia" w:ascii="仿宋" w:hAnsi="仿宋" w:eastAsia="仿宋" w:cs="仿宋"/>
          <w:b/>
          <w:bCs w:val="0"/>
          <w:kern w:val="2"/>
          <w:sz w:val="24"/>
          <w:szCs w:val="24"/>
          <w:highlight w:val="none"/>
          <w:lang w:val="en-US" w:eastAsia="zh-CN" w:bidi="ar"/>
        </w:rPr>
        <w:t>合同文件组成及解释顺序</w:t>
      </w:r>
      <w:bookmarkEnd w:id="159"/>
    </w:p>
    <w:p w14:paraId="095DD09A">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合同补充条款；</w:t>
      </w:r>
    </w:p>
    <w:p w14:paraId="34BF0E88">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本合同条款；</w:t>
      </w:r>
    </w:p>
    <w:p w14:paraId="731A7246">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中标通知书；</w:t>
      </w:r>
    </w:p>
    <w:p w14:paraId="309E5661">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询标记录； </w:t>
      </w:r>
    </w:p>
    <w:p w14:paraId="029D2082">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招标文件（包括招标补充文件及答疑）；</w:t>
      </w:r>
    </w:p>
    <w:p w14:paraId="36867EA4">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投标文件；</w:t>
      </w:r>
    </w:p>
    <w:p w14:paraId="7ADB4734">
      <w:pPr>
        <w:keepNext w:val="0"/>
        <w:keepLines w:val="0"/>
        <w:pageBreakBefore w:val="0"/>
        <w:widowControl w:val="0"/>
        <w:numPr>
          <w:ilvl w:val="0"/>
          <w:numId w:val="11"/>
        </w:numPr>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国家有关规范及技术标准。</w:t>
      </w:r>
    </w:p>
    <w:p w14:paraId="46DA3435">
      <w:pPr>
        <w:keepNext w:val="0"/>
        <w:keepLines w:val="0"/>
        <w:pageBreakBefore w:val="0"/>
        <w:widowControl w:val="0"/>
        <w:suppressLineNumbers w:val="0"/>
        <w:kinsoku/>
        <w:wordWrap w:val="0"/>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合同的条款效力顺序以上述条款的先后顺序为准，甲方拥有最终解释权。</w:t>
      </w:r>
    </w:p>
    <w:p w14:paraId="4B2382D4">
      <w:pPr>
        <w:keepNext w:val="0"/>
        <w:keepLines w:val="0"/>
        <w:pageBreakBefore w:val="0"/>
        <w:widowControl/>
        <w:numPr>
          <w:ilvl w:val="0"/>
          <w:numId w:val="10"/>
        </w:numPr>
        <w:suppressLineNumbers w:val="0"/>
        <w:kinsoku/>
        <w:overflowPunct/>
        <w:topLinePunct w:val="0"/>
        <w:autoSpaceDE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kern w:val="2"/>
          <w:sz w:val="24"/>
          <w:szCs w:val="24"/>
          <w:highlight w:val="none"/>
        </w:rPr>
      </w:pPr>
      <w:bookmarkStart w:id="160" w:name="_Toc6224"/>
      <w:r>
        <w:rPr>
          <w:rFonts w:hint="eastAsia" w:ascii="仿宋" w:hAnsi="仿宋" w:eastAsia="仿宋" w:cs="仿宋"/>
          <w:b/>
          <w:bCs w:val="0"/>
          <w:kern w:val="2"/>
          <w:sz w:val="24"/>
          <w:szCs w:val="24"/>
          <w:highlight w:val="none"/>
          <w:lang w:val="en-US" w:eastAsia="zh-CN" w:bidi="ar"/>
        </w:rPr>
        <w:t>合同标的与供货清单</w:t>
      </w:r>
      <w:bookmarkEnd w:id="160"/>
    </w:p>
    <w:tbl>
      <w:tblPr>
        <w:tblStyle w:val="27"/>
        <w:tblW w:w="9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84"/>
        <w:gridCol w:w="1450"/>
        <w:gridCol w:w="927"/>
        <w:gridCol w:w="878"/>
        <w:gridCol w:w="748"/>
        <w:gridCol w:w="1488"/>
        <w:gridCol w:w="1606"/>
        <w:gridCol w:w="1210"/>
      </w:tblGrid>
      <w:tr w14:paraId="7DE29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383D">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left"/>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序号</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71101EF2">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名称</w:t>
            </w:r>
          </w:p>
        </w:tc>
        <w:tc>
          <w:tcPr>
            <w:tcW w:w="927" w:type="dxa"/>
            <w:tcBorders>
              <w:top w:val="single" w:color="000000" w:sz="4" w:space="0"/>
              <w:left w:val="nil"/>
              <w:bottom w:val="single" w:color="000000" w:sz="4" w:space="0"/>
              <w:right w:val="single" w:color="000000" w:sz="4" w:space="0"/>
            </w:tcBorders>
            <w:shd w:val="clear" w:color="auto" w:fill="auto"/>
            <w:vAlign w:val="center"/>
          </w:tcPr>
          <w:p w14:paraId="510DC72D">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型号、规格</w:t>
            </w:r>
          </w:p>
        </w:tc>
        <w:tc>
          <w:tcPr>
            <w:tcW w:w="878" w:type="dxa"/>
            <w:tcBorders>
              <w:top w:val="single" w:color="000000" w:sz="4" w:space="0"/>
              <w:left w:val="nil"/>
              <w:bottom w:val="single" w:color="000000" w:sz="4" w:space="0"/>
              <w:right w:val="single" w:color="000000" w:sz="4" w:space="0"/>
            </w:tcBorders>
            <w:shd w:val="clear" w:color="auto" w:fill="auto"/>
            <w:vAlign w:val="center"/>
          </w:tcPr>
          <w:p w14:paraId="587A8BBD">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数量</w:t>
            </w:r>
          </w:p>
        </w:tc>
        <w:tc>
          <w:tcPr>
            <w:tcW w:w="748" w:type="dxa"/>
            <w:tcBorders>
              <w:top w:val="single" w:color="000000" w:sz="4" w:space="0"/>
              <w:left w:val="nil"/>
              <w:bottom w:val="single" w:color="000000" w:sz="4" w:space="0"/>
              <w:right w:val="single" w:color="000000" w:sz="4" w:space="0"/>
            </w:tcBorders>
            <w:shd w:val="clear" w:color="auto" w:fill="auto"/>
            <w:vAlign w:val="center"/>
          </w:tcPr>
          <w:p w14:paraId="7354F7A4">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2"/>
                <w:sz w:val="24"/>
                <w:szCs w:val="24"/>
                <w:highlight w:val="none"/>
                <w:lang w:val="en-US" w:eastAsia="zh-CN" w:bidi="ar"/>
              </w:rPr>
              <w:t>单位</w:t>
            </w:r>
          </w:p>
        </w:tc>
        <w:tc>
          <w:tcPr>
            <w:tcW w:w="1488" w:type="dxa"/>
            <w:tcBorders>
              <w:top w:val="single" w:color="000000" w:sz="4" w:space="0"/>
              <w:left w:val="nil"/>
              <w:bottom w:val="single" w:color="000000" w:sz="4" w:space="0"/>
              <w:right w:val="single" w:color="000000" w:sz="4" w:space="0"/>
            </w:tcBorders>
            <w:shd w:val="clear" w:color="auto" w:fill="auto"/>
            <w:vAlign w:val="center"/>
          </w:tcPr>
          <w:p w14:paraId="2AFC2011">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left"/>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不含税综合单价（元）</w:t>
            </w:r>
          </w:p>
        </w:tc>
        <w:tc>
          <w:tcPr>
            <w:tcW w:w="1606" w:type="dxa"/>
            <w:tcBorders>
              <w:top w:val="single" w:color="000000" w:sz="4" w:space="0"/>
              <w:left w:val="nil"/>
              <w:bottom w:val="single" w:color="000000" w:sz="4" w:space="0"/>
              <w:right w:val="single" w:color="000000" w:sz="4" w:space="0"/>
            </w:tcBorders>
            <w:shd w:val="clear" w:color="auto" w:fill="auto"/>
            <w:vAlign w:val="center"/>
          </w:tcPr>
          <w:p w14:paraId="7E55308B">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2"/>
                <w:sz w:val="24"/>
                <w:szCs w:val="24"/>
                <w:highlight w:val="none"/>
                <w:lang w:val="en-US" w:eastAsia="zh-CN" w:bidi="ar"/>
              </w:rPr>
              <w:t>含税综合单价（元）</w:t>
            </w:r>
          </w:p>
        </w:tc>
        <w:tc>
          <w:tcPr>
            <w:tcW w:w="1210" w:type="dxa"/>
            <w:tcBorders>
              <w:top w:val="single" w:color="000000" w:sz="4" w:space="0"/>
              <w:left w:val="nil"/>
              <w:bottom w:val="single" w:color="000000" w:sz="4" w:space="0"/>
              <w:right w:val="single" w:color="000000" w:sz="4" w:space="0"/>
            </w:tcBorders>
            <w:shd w:val="clear" w:color="auto" w:fill="auto"/>
            <w:vAlign w:val="center"/>
          </w:tcPr>
          <w:p w14:paraId="6B003C33">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2"/>
                <w:sz w:val="24"/>
                <w:szCs w:val="24"/>
                <w:highlight w:val="none"/>
                <w:lang w:val="en-US" w:eastAsia="zh-CN" w:bidi="ar"/>
              </w:rPr>
              <w:t>小计（元）</w:t>
            </w:r>
          </w:p>
        </w:tc>
      </w:tr>
      <w:tr w14:paraId="3F57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C721">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2C2541D6">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4C1D6F4B">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3EFF66B7">
            <w:pPr>
              <w:keepNext w:val="0"/>
              <w:keepLines w:val="0"/>
              <w:suppressLineNumbers w:val="0"/>
              <w:snapToGrid w:val="0"/>
              <w:spacing w:before="0" w:beforeAutospacing="0" w:after="0" w:afterAutospacing="0"/>
              <w:ind w:left="0" w:leftChars="0" w:right="0" w:rightChars="0"/>
              <w:jc w:val="center"/>
              <w:textAlignment w:val="baseline"/>
              <w:rPr>
                <w:rFonts w:hint="default" w:ascii="仿宋" w:hAnsi="仿宋" w:eastAsia="仿宋" w:cs="仿宋"/>
                <w:snapToGrid w:val="0"/>
                <w:kern w:val="0"/>
                <w:sz w:val="24"/>
                <w:szCs w:val="24"/>
                <w:highlight w:val="none"/>
                <w:lang w:val="en-US" w:eastAsia="zh-CN" w:bidi="ar-SA"/>
              </w:rPr>
            </w:pPr>
          </w:p>
        </w:tc>
        <w:tc>
          <w:tcPr>
            <w:tcW w:w="748" w:type="dxa"/>
            <w:tcBorders>
              <w:top w:val="single" w:color="000000" w:sz="4" w:space="0"/>
              <w:left w:val="nil"/>
              <w:bottom w:val="single" w:color="000000" w:sz="4" w:space="0"/>
              <w:right w:val="single" w:color="000000" w:sz="4" w:space="0"/>
            </w:tcBorders>
            <w:shd w:val="clear" w:color="auto" w:fill="auto"/>
            <w:vAlign w:val="center"/>
          </w:tcPr>
          <w:p w14:paraId="69CE4243">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1488" w:type="dxa"/>
            <w:tcBorders>
              <w:top w:val="single" w:color="000000" w:sz="4" w:space="0"/>
              <w:left w:val="nil"/>
              <w:bottom w:val="single" w:color="000000" w:sz="4" w:space="0"/>
              <w:right w:val="single" w:color="000000" w:sz="4" w:space="0"/>
            </w:tcBorders>
            <w:shd w:val="clear" w:color="auto" w:fill="auto"/>
            <w:vAlign w:val="center"/>
          </w:tcPr>
          <w:p w14:paraId="654B460F">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606" w:type="dxa"/>
            <w:tcBorders>
              <w:top w:val="single" w:color="000000" w:sz="4" w:space="0"/>
              <w:left w:val="nil"/>
              <w:bottom w:val="single" w:color="000000" w:sz="4" w:space="0"/>
              <w:right w:val="single" w:color="000000" w:sz="4" w:space="0"/>
            </w:tcBorders>
            <w:shd w:val="clear" w:color="auto" w:fill="auto"/>
            <w:vAlign w:val="center"/>
          </w:tcPr>
          <w:p w14:paraId="5059D9B3">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14:paraId="2527B9CD">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r>
      <w:tr w14:paraId="3160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0F7">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66E74FC1">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375C8DD1">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075CE924">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748" w:type="dxa"/>
            <w:tcBorders>
              <w:top w:val="single" w:color="000000" w:sz="4" w:space="0"/>
              <w:left w:val="nil"/>
              <w:bottom w:val="single" w:color="000000" w:sz="4" w:space="0"/>
              <w:right w:val="single" w:color="000000" w:sz="4" w:space="0"/>
            </w:tcBorders>
            <w:shd w:val="clear" w:color="auto" w:fill="auto"/>
            <w:vAlign w:val="center"/>
          </w:tcPr>
          <w:p w14:paraId="6F0027B9">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1488" w:type="dxa"/>
            <w:tcBorders>
              <w:top w:val="single" w:color="000000" w:sz="4" w:space="0"/>
              <w:left w:val="nil"/>
              <w:bottom w:val="single" w:color="000000" w:sz="4" w:space="0"/>
              <w:right w:val="single" w:color="000000" w:sz="4" w:space="0"/>
            </w:tcBorders>
            <w:shd w:val="clear" w:color="auto" w:fill="auto"/>
            <w:vAlign w:val="center"/>
          </w:tcPr>
          <w:p w14:paraId="1A4C8617">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606" w:type="dxa"/>
            <w:tcBorders>
              <w:top w:val="single" w:color="000000" w:sz="4" w:space="0"/>
              <w:left w:val="nil"/>
              <w:bottom w:val="single" w:color="000000" w:sz="4" w:space="0"/>
              <w:right w:val="single" w:color="000000" w:sz="4" w:space="0"/>
            </w:tcBorders>
            <w:shd w:val="clear" w:color="auto" w:fill="auto"/>
            <w:vAlign w:val="center"/>
          </w:tcPr>
          <w:p w14:paraId="1F497F3B">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14:paraId="544859B1">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r>
      <w:tr w14:paraId="258F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851">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right="0"/>
              <w:jc w:val="center"/>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302DA035">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605771BE">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47BDA282">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748" w:type="dxa"/>
            <w:tcBorders>
              <w:top w:val="single" w:color="000000" w:sz="4" w:space="0"/>
              <w:left w:val="nil"/>
              <w:bottom w:val="single" w:color="000000" w:sz="4" w:space="0"/>
              <w:right w:val="single" w:color="000000" w:sz="4" w:space="0"/>
            </w:tcBorders>
            <w:shd w:val="clear" w:color="auto" w:fill="auto"/>
            <w:vAlign w:val="center"/>
          </w:tcPr>
          <w:p w14:paraId="09F8A348">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1488" w:type="dxa"/>
            <w:tcBorders>
              <w:top w:val="single" w:color="000000" w:sz="4" w:space="0"/>
              <w:left w:val="nil"/>
              <w:bottom w:val="single" w:color="000000" w:sz="4" w:space="0"/>
              <w:right w:val="single" w:color="000000" w:sz="4" w:space="0"/>
            </w:tcBorders>
            <w:shd w:val="clear" w:color="auto" w:fill="auto"/>
            <w:vAlign w:val="center"/>
          </w:tcPr>
          <w:p w14:paraId="57ACBA86">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606" w:type="dxa"/>
            <w:tcBorders>
              <w:top w:val="single" w:color="000000" w:sz="4" w:space="0"/>
              <w:left w:val="nil"/>
              <w:bottom w:val="single" w:color="000000" w:sz="4" w:space="0"/>
              <w:right w:val="single" w:color="000000" w:sz="4" w:space="0"/>
            </w:tcBorders>
            <w:shd w:val="clear" w:color="auto" w:fill="auto"/>
            <w:vAlign w:val="center"/>
          </w:tcPr>
          <w:p w14:paraId="0DD9815A">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14:paraId="4598736A">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r>
      <w:tr w14:paraId="360D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41A">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right="0"/>
              <w:jc w:val="center"/>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4</w:t>
            </w:r>
          </w:p>
        </w:tc>
        <w:tc>
          <w:tcPr>
            <w:tcW w:w="1450" w:type="dxa"/>
            <w:tcBorders>
              <w:top w:val="single" w:color="000000" w:sz="4" w:space="0"/>
              <w:left w:val="nil"/>
              <w:bottom w:val="single" w:color="000000" w:sz="4" w:space="0"/>
              <w:right w:val="single" w:color="000000" w:sz="4" w:space="0"/>
            </w:tcBorders>
            <w:shd w:val="clear" w:color="auto" w:fill="auto"/>
            <w:vAlign w:val="center"/>
          </w:tcPr>
          <w:p w14:paraId="0F692571">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53EF367F">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14:paraId="36F55472">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748" w:type="dxa"/>
            <w:tcBorders>
              <w:top w:val="single" w:color="000000" w:sz="4" w:space="0"/>
              <w:left w:val="nil"/>
              <w:bottom w:val="single" w:color="000000" w:sz="4" w:space="0"/>
              <w:right w:val="single" w:color="000000" w:sz="4" w:space="0"/>
            </w:tcBorders>
            <w:shd w:val="clear" w:color="auto" w:fill="auto"/>
            <w:vAlign w:val="center"/>
          </w:tcPr>
          <w:p w14:paraId="67C3FD0C">
            <w:pPr>
              <w:keepNext w:val="0"/>
              <w:keepLines w:val="0"/>
              <w:suppressLineNumbers w:val="0"/>
              <w:snapToGrid w:val="0"/>
              <w:spacing w:before="0" w:beforeAutospacing="0" w:after="0" w:afterAutospacing="0"/>
              <w:ind w:left="0" w:leftChars="0" w:right="0" w:rightChars="0"/>
              <w:jc w:val="center"/>
              <w:textAlignment w:val="baseline"/>
              <w:rPr>
                <w:rFonts w:hint="eastAsia" w:ascii="仿宋" w:hAnsi="仿宋" w:eastAsia="仿宋" w:cs="仿宋"/>
                <w:snapToGrid w:val="0"/>
                <w:kern w:val="0"/>
                <w:sz w:val="24"/>
                <w:szCs w:val="24"/>
                <w:highlight w:val="none"/>
                <w:lang w:val="en-US" w:eastAsia="zh-CN" w:bidi="ar-SA"/>
              </w:rPr>
            </w:pPr>
          </w:p>
        </w:tc>
        <w:tc>
          <w:tcPr>
            <w:tcW w:w="1488" w:type="dxa"/>
            <w:tcBorders>
              <w:top w:val="single" w:color="000000" w:sz="4" w:space="0"/>
              <w:left w:val="nil"/>
              <w:bottom w:val="single" w:color="000000" w:sz="4" w:space="0"/>
              <w:right w:val="single" w:color="000000" w:sz="4" w:space="0"/>
            </w:tcBorders>
            <w:shd w:val="clear" w:color="auto" w:fill="auto"/>
            <w:vAlign w:val="center"/>
          </w:tcPr>
          <w:p w14:paraId="5897A10D">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606" w:type="dxa"/>
            <w:tcBorders>
              <w:top w:val="single" w:color="000000" w:sz="4" w:space="0"/>
              <w:left w:val="nil"/>
              <w:bottom w:val="single" w:color="000000" w:sz="4" w:space="0"/>
              <w:right w:val="single" w:color="000000" w:sz="4" w:space="0"/>
            </w:tcBorders>
            <w:shd w:val="clear" w:color="auto" w:fill="auto"/>
            <w:vAlign w:val="center"/>
          </w:tcPr>
          <w:p w14:paraId="42897FE5">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c>
          <w:tcPr>
            <w:tcW w:w="1210" w:type="dxa"/>
            <w:tcBorders>
              <w:top w:val="single" w:color="000000" w:sz="4" w:space="0"/>
              <w:left w:val="nil"/>
              <w:bottom w:val="single" w:color="000000" w:sz="4" w:space="0"/>
              <w:right w:val="single" w:color="000000" w:sz="4" w:space="0"/>
            </w:tcBorders>
            <w:shd w:val="clear" w:color="auto" w:fill="auto"/>
            <w:vAlign w:val="center"/>
          </w:tcPr>
          <w:p w14:paraId="0B6800F6">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p>
        </w:tc>
      </w:tr>
      <w:tr w14:paraId="32C5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868EBB">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总计：</w:t>
            </w:r>
          </w:p>
        </w:tc>
      </w:tr>
      <w:tr w14:paraId="65B55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3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1BC868">
            <w:pPr>
              <w:pStyle w:val="22"/>
              <w:keepNext w:val="0"/>
              <w:keepLines w:val="0"/>
              <w:pageBreakBefore w:val="0"/>
              <w:widowControl w:val="0"/>
              <w:suppressLineNumbers w:val="0"/>
              <w:kinsoku/>
              <w:overflowPunct/>
              <w:topLinePunct w:val="0"/>
              <w:autoSpaceDN/>
              <w:bidi w:val="0"/>
              <w:adjustRightInd w:val="0"/>
              <w:spacing w:before="0" w:beforeAutospacing="1" w:after="0" w:afterAutospacing="0" w:line="240" w:lineRule="auto"/>
              <w:ind w:left="0" w:leftChars="0" w:right="0" w:firstLine="0" w:firstLineChars="0"/>
              <w:jc w:val="center"/>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大写：</w:t>
            </w:r>
          </w:p>
        </w:tc>
      </w:tr>
    </w:tbl>
    <w:p w14:paraId="5E93E50E">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（说明：合同产品的名称、技术规范和数量应与中标通知书、招标文件及被甲方接受的技术商务规范相一致）</w:t>
      </w:r>
    </w:p>
    <w:p w14:paraId="0A96BE0A">
      <w:pPr>
        <w:pStyle w:val="22"/>
        <w:keepNext w:val="0"/>
        <w:keepLines w:val="0"/>
        <w:pageBreakBefore w:val="0"/>
        <w:widowControl w:val="0"/>
        <w:suppressLineNumbers w:val="0"/>
        <w:kinsoku/>
        <w:overflowPunct/>
        <w:topLinePunct w:val="0"/>
        <w:autoSpaceDE w:val="0"/>
        <w:autoSpaceDN/>
        <w:bidi w:val="0"/>
        <w:spacing w:before="0" w:beforeAutospacing="0" w:after="0" w:afterAutospacing="0" w:line="360" w:lineRule="auto"/>
        <w:ind w:left="0" w:right="0" w:firstLine="48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包括了完成本合同所需的所有费用。综合单价为乙方将产品运至甲方指定的交货地并完成安装调试且经验收合格的价格，包括但不限于合同货物（含随机备品备件、专用工具和检测工具等）出厂价（含所有规费、税费等）、深化设计费、包装费、运杂费、装卸费、验收费（含第三方检验）、保险费（工伤保险、财产保险、 意外伤害保险、运输险等）、风险费、安装、接地、调试、验收、质保期运维、合理损耗、售后服务费、利润、税金及完成本项目需要配合的其他工作等一切费用。</w:t>
      </w:r>
    </w:p>
    <w:p w14:paraId="2A4C9113">
      <w:pPr>
        <w:spacing w:line="360" w:lineRule="auto"/>
        <w:ind w:firstLine="480" w:firstLineChars="200"/>
        <w:jc w:val="both"/>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2、乙方需与</w:t>
      </w:r>
      <w:r>
        <w:rPr>
          <w:rFonts w:hint="eastAsia" w:ascii="仿宋" w:hAnsi="仿宋" w:eastAsia="仿宋" w:cs="仿宋"/>
          <w:b w:val="0"/>
          <w:sz w:val="24"/>
          <w:szCs w:val="24"/>
          <w:highlight w:val="none"/>
          <w:u w:val="single"/>
          <w:lang w:val="zh-CN"/>
        </w:rPr>
        <w:t>服务亭采购安装</w:t>
      </w:r>
      <w:r>
        <w:rPr>
          <w:rFonts w:hint="eastAsia" w:ascii="仿宋" w:hAnsi="仿宋" w:eastAsia="仿宋" w:cs="仿宋"/>
          <w:kern w:val="2"/>
          <w:sz w:val="24"/>
          <w:szCs w:val="24"/>
          <w:highlight w:val="none"/>
          <w:lang w:val="en-US" w:eastAsia="zh-CN" w:bidi="ar"/>
        </w:rPr>
        <w:t>单位、电源接入施工单位等相关单位配合完成整个杭州市电动自行车街面充（换）电设备项目。</w:t>
      </w:r>
    </w:p>
    <w:p w14:paraId="23672B83">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 xml:space="preserve">  三、产品规范及技术要求</w:t>
      </w:r>
    </w:p>
    <w:p w14:paraId="51BEF018">
      <w:pPr>
        <w:pStyle w:val="22"/>
        <w:keepNext w:val="0"/>
        <w:keepLines w:val="0"/>
        <w:pageBreakBefore w:val="0"/>
        <w:widowControl w:val="0"/>
        <w:suppressLineNumbers w:val="0"/>
        <w:kinsoku/>
        <w:overflowPunct/>
        <w:topLinePunct w:val="0"/>
        <w:autoSpaceDE w:val="0"/>
        <w:autoSpaceDN/>
        <w:bidi w:val="0"/>
        <w:spacing w:before="0" w:beforeAutospacing="0" w:after="0" w:afterAutospacing="0" w:line="360" w:lineRule="auto"/>
        <w:ind w:left="0" w:right="0" w:firstLine="48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设备技术要求需满足招标文件第三章用户需求及技术要求中的技术要求。乙方根据甲方要求及需要提供有关设备、图纸、技术资料、计算资料及其详细说明，以及技术服务项目，正常生产所需要的部件、必要的备件和安装、维修专用工具，无论在本技术规格书中是否加以说明，均应提供完备。</w:t>
      </w:r>
    </w:p>
    <w:p w14:paraId="7A22AAFD">
      <w:pPr>
        <w:pStyle w:val="22"/>
        <w:keepNext w:val="0"/>
        <w:keepLines w:val="0"/>
        <w:pageBreakBefore w:val="0"/>
        <w:widowControl w:val="0"/>
        <w:suppressLineNumbers w:val="0"/>
        <w:kinsoku/>
        <w:overflowPunct/>
        <w:topLinePunct w:val="0"/>
        <w:autoSpaceDE w:val="0"/>
        <w:autoSpaceDN/>
        <w:bidi w:val="0"/>
        <w:spacing w:before="0" w:beforeAutospacing="0" w:after="0" w:afterAutospacing="0" w:line="360" w:lineRule="auto"/>
        <w:ind w:left="0" w:right="0" w:firstLine="480"/>
        <w:jc w:val="left"/>
        <w:textAlignment w:val="auto"/>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产品的设计、制造及安装质量均应符合最新国家、部委、行业有关标准、规范及招标文件技术要求。所有产品必须是在中国检验合格，并准许在杭州当地使用。如果在合同履行过程中有新国家或行业（部）标准出台的，则以其中标准较高者为准。</w:t>
      </w:r>
    </w:p>
    <w:p w14:paraId="5E0D5CB6">
      <w:pPr>
        <w:pStyle w:val="22"/>
        <w:keepNext w:val="0"/>
        <w:keepLines w:val="0"/>
        <w:pageBreakBefore w:val="0"/>
        <w:widowControl w:val="0"/>
        <w:suppressLineNumbers w:val="0"/>
        <w:kinsoku/>
        <w:overflowPunct/>
        <w:topLinePunct w:val="0"/>
        <w:autoSpaceDE w:val="0"/>
        <w:autoSpaceDN/>
        <w:bidi w:val="0"/>
        <w:spacing w:before="0" w:beforeAutospacing="0" w:after="0" w:afterAutospacing="0" w:line="360" w:lineRule="auto"/>
        <w:ind w:left="0" w:right="0" w:firstLine="480"/>
        <w:jc w:val="left"/>
        <w:textAlignment w:val="auto"/>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权利保证：乙方应保证甲方及最终用户在使用合同标的物的任何部分不受第三方关于侵犯其所有权及专利权、商标权等一切可能的知识产权侵权的指控。甲方因此而受到的全部损失包括对第三方任何赔偿、补偿、垫付的款项以及应对指控而支出的全部费用，均由乙方承担。</w:t>
      </w:r>
    </w:p>
    <w:p w14:paraId="646757E9">
      <w:pPr>
        <w:pStyle w:val="22"/>
        <w:keepNext w:val="0"/>
        <w:keepLines w:val="0"/>
        <w:pageBreakBefore w:val="0"/>
        <w:widowControl w:val="0"/>
        <w:suppressLineNumbers w:val="0"/>
        <w:kinsoku/>
        <w:overflowPunct/>
        <w:topLinePunct w:val="0"/>
        <w:autoSpaceDE w:val="0"/>
        <w:autoSpaceDN/>
        <w:bidi w:val="0"/>
        <w:spacing w:before="0" w:beforeAutospacing="0" w:after="0" w:afterAutospacing="0" w:line="360" w:lineRule="auto"/>
        <w:ind w:left="0" w:right="0" w:firstLine="48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4、技术要求详见“第三章用户需求及技术要求”，若本合同与“第三章用户需求及技术要求”有不一致的，以“第三章用户需求及技术要求”为准。</w:t>
      </w:r>
    </w:p>
    <w:p w14:paraId="23EE7698">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2"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b/>
          <w:bCs w:val="0"/>
          <w:kern w:val="2"/>
          <w:sz w:val="24"/>
          <w:szCs w:val="24"/>
          <w:highlight w:val="none"/>
          <w:lang w:val="en-US" w:eastAsia="zh-CN" w:bidi="ar"/>
        </w:rPr>
        <w:t>四、供货要求</w:t>
      </w:r>
    </w:p>
    <w:p w14:paraId="7D88D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bCs w:val="0"/>
          <w:kern w:val="2"/>
          <w:sz w:val="24"/>
          <w:szCs w:val="24"/>
          <w:highlight w:val="none"/>
        </w:rPr>
      </w:pPr>
      <w:r>
        <w:rPr>
          <w:rFonts w:hint="eastAsia" w:ascii="仿宋" w:hAnsi="仿宋" w:eastAsia="仿宋" w:cs="仿宋"/>
          <w:kern w:val="2"/>
          <w:sz w:val="24"/>
          <w:szCs w:val="24"/>
          <w:highlight w:val="none"/>
          <w:lang w:val="en-US" w:eastAsia="zh-CN" w:bidi="ar"/>
        </w:rPr>
        <w:t>1、</w:t>
      </w:r>
      <w:r>
        <w:rPr>
          <w:rFonts w:hint="eastAsia" w:ascii="仿宋" w:hAnsi="仿宋" w:eastAsia="仿宋" w:cs="仿宋"/>
          <w:b w:val="0"/>
          <w:bCs/>
          <w:kern w:val="2"/>
          <w:sz w:val="24"/>
          <w:szCs w:val="24"/>
          <w:highlight w:val="none"/>
          <w:lang w:val="en-US" w:eastAsia="zh-CN" w:bidi="ar"/>
        </w:rPr>
        <w:t>供货</w:t>
      </w:r>
      <w:r>
        <w:rPr>
          <w:rFonts w:hint="eastAsia" w:ascii="仿宋" w:hAnsi="仿宋" w:eastAsia="仿宋" w:cs="仿宋"/>
          <w:kern w:val="2"/>
          <w:sz w:val="24"/>
          <w:szCs w:val="24"/>
          <w:highlight w:val="none"/>
          <w:lang w:val="en-US" w:eastAsia="zh-CN" w:bidi="ar"/>
        </w:rPr>
        <w:t>期：</w:t>
      </w:r>
      <w:r>
        <w:rPr>
          <w:rFonts w:hint="eastAsia" w:ascii="仿宋" w:hAnsi="仿宋" w:eastAsia="仿宋" w:cs="仿宋"/>
          <w:sz w:val="24"/>
          <w:szCs w:val="24"/>
          <w:highlight w:val="none"/>
          <w:u w:val="single"/>
          <w:lang w:val="en-US" w:eastAsia="zh-CN"/>
        </w:rPr>
        <w:t xml:space="preserve">确定中标人后15天内完成送货，在招标人要求的时间内完成安装 </w:t>
      </w:r>
      <w:r>
        <w:rPr>
          <w:rFonts w:hint="eastAsia" w:ascii="仿宋" w:hAnsi="仿宋" w:eastAsia="仿宋" w:cs="仿宋"/>
          <w:kern w:val="2"/>
          <w:sz w:val="24"/>
          <w:szCs w:val="24"/>
          <w:highlight w:val="none"/>
          <w:lang w:val="en-US" w:eastAsia="zh-CN" w:bidi="ar"/>
        </w:rPr>
        <w:t>。</w:t>
      </w:r>
    </w:p>
    <w:p w14:paraId="3097A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kern w:val="2"/>
          <w:sz w:val="24"/>
          <w:szCs w:val="24"/>
          <w:highlight w:val="none"/>
          <w:lang w:val="en-US" w:eastAsia="zh-CN" w:bidi="ar"/>
        </w:rPr>
        <w:t>2、</w:t>
      </w:r>
      <w:r>
        <w:rPr>
          <w:rFonts w:hint="eastAsia" w:ascii="仿宋" w:hAnsi="仿宋" w:eastAsia="仿宋" w:cs="仿宋"/>
          <w:b w:val="0"/>
          <w:bCs/>
          <w:kern w:val="2"/>
          <w:sz w:val="24"/>
          <w:szCs w:val="24"/>
          <w:highlight w:val="none"/>
          <w:lang w:val="en-US" w:eastAsia="zh-CN" w:bidi="ar"/>
        </w:rPr>
        <w:t>供货</w:t>
      </w:r>
      <w:r>
        <w:rPr>
          <w:rFonts w:hint="eastAsia" w:ascii="仿宋" w:hAnsi="仿宋" w:eastAsia="仿宋" w:cs="仿宋"/>
          <w:kern w:val="2"/>
          <w:sz w:val="24"/>
          <w:szCs w:val="24"/>
          <w:highlight w:val="none"/>
          <w:lang w:val="en-US" w:eastAsia="zh-CN" w:bidi="ar"/>
        </w:rPr>
        <w:t>地点：</w:t>
      </w:r>
      <w:r>
        <w:rPr>
          <w:rFonts w:hint="eastAsia" w:ascii="仿宋" w:hAnsi="仿宋" w:eastAsia="仿宋" w:cs="仿宋"/>
          <w:kern w:val="2"/>
          <w:sz w:val="24"/>
          <w:szCs w:val="24"/>
          <w:highlight w:val="none"/>
          <w:u w:val="single"/>
          <w:lang w:val="en-US" w:eastAsia="zh-CN" w:bidi="ar"/>
        </w:rPr>
        <w:t xml:space="preserve">  招标人指定地点    </w:t>
      </w:r>
      <w:r>
        <w:rPr>
          <w:rFonts w:hint="eastAsia" w:ascii="仿宋" w:hAnsi="仿宋" w:eastAsia="仿宋" w:cs="仿宋"/>
          <w:kern w:val="2"/>
          <w:sz w:val="24"/>
          <w:szCs w:val="24"/>
          <w:highlight w:val="none"/>
          <w:lang w:val="en-US" w:eastAsia="zh-CN" w:bidi="ar"/>
        </w:rPr>
        <w:t>。</w:t>
      </w:r>
    </w:p>
    <w:p w14:paraId="3C266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w:t>
      </w:r>
      <w:r>
        <w:rPr>
          <w:rFonts w:hint="eastAsia" w:ascii="仿宋" w:hAnsi="仿宋" w:eastAsia="仿宋" w:cs="仿宋"/>
          <w:b w:val="0"/>
          <w:bCs/>
          <w:kern w:val="2"/>
          <w:sz w:val="24"/>
          <w:szCs w:val="24"/>
          <w:highlight w:val="none"/>
          <w:lang w:val="en-US" w:eastAsia="zh-CN" w:bidi="ar"/>
        </w:rPr>
        <w:t>供货方式：</w:t>
      </w:r>
      <w:r>
        <w:rPr>
          <w:rFonts w:hint="eastAsia" w:ascii="仿宋" w:hAnsi="仿宋" w:eastAsia="仿宋" w:cs="仿宋"/>
          <w:kern w:val="2"/>
          <w:sz w:val="24"/>
          <w:szCs w:val="24"/>
          <w:highlight w:val="none"/>
          <w:u w:val="single"/>
          <w:lang w:val="en-US" w:eastAsia="zh-CN" w:bidi="ar"/>
        </w:rPr>
        <w:t xml:space="preserve">  本项目为交钥匙工程，包含但不限于：换电柜的深化设计、制造、仓储、运输、二次搬运、装卸、安装、调试、成品保护、交付使用、售后服务、临时设施费，施工现场垃圾清运以及向甲方提供全过程形成的图纸、记录、档案资料和其他相关服务等 。</w:t>
      </w:r>
    </w:p>
    <w:p w14:paraId="64EBEAD5">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4、乙方在货物发运前将货物名称、货物数量、包装箱件数、每件包装箱的尺码、毛重及对货物的卸车、储存和特殊要求等通知甲方。</w:t>
      </w:r>
    </w:p>
    <w:p w14:paraId="7157DFE3">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5、乙方应以符合货物特性的包装要求对货物进行包装、运输，货物在移交甲方之前由于包装不善、运输等问题导致货物锈蚀、失缺或损坏等均由乙方承担责任。包装箱外应用不褪色的油漆，按规定打上清晰的包装标志。对无包装的货物应系有金属标签。</w:t>
      </w:r>
    </w:p>
    <w:p w14:paraId="1F89CC13">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6、乙方保证在确认货物装卸、运输中发生损坏或短缺后，在</w:t>
      </w:r>
      <w:r>
        <w:rPr>
          <w:rFonts w:hint="eastAsia" w:ascii="仿宋" w:hAnsi="仿宋" w:eastAsia="仿宋" w:cs="仿宋"/>
          <w:kern w:val="0"/>
          <w:sz w:val="24"/>
          <w:szCs w:val="24"/>
          <w:highlight w:val="none"/>
          <w:u w:val="single"/>
          <w:lang w:val="en-US" w:eastAsia="zh-CN" w:bidi="ar"/>
        </w:rPr>
        <w:t xml:space="preserve"> 10 </w:t>
      </w:r>
      <w:r>
        <w:rPr>
          <w:rFonts w:hint="eastAsia" w:ascii="仿宋" w:hAnsi="仿宋" w:eastAsia="仿宋" w:cs="仿宋"/>
          <w:kern w:val="0"/>
          <w:sz w:val="24"/>
          <w:szCs w:val="24"/>
          <w:highlight w:val="none"/>
          <w:lang w:val="en-US" w:eastAsia="zh-CN" w:bidi="ar"/>
        </w:rPr>
        <w:t>日内尽快给予调换、修复和补齐缺件，不管其造成的原因如何，也不能以办理索赔为由而拖延。</w:t>
      </w:r>
    </w:p>
    <w:p w14:paraId="19F1BDE3">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7、乙方负责运输并承担运杂费（运输费、装卸费、保险费、包装费、仓储费等），运输途中如有损失由乙方承担。</w:t>
      </w:r>
    </w:p>
    <w:p w14:paraId="5F80136C">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8、到达指定地点后的卸货及吊装由</w:t>
      </w:r>
      <w:r>
        <w:rPr>
          <w:rFonts w:hint="eastAsia" w:ascii="仿宋" w:hAnsi="仿宋" w:eastAsia="仿宋" w:cs="仿宋"/>
          <w:kern w:val="0"/>
          <w:sz w:val="24"/>
          <w:szCs w:val="24"/>
          <w:highlight w:val="none"/>
          <w:u w:val="single"/>
          <w:lang w:val="en-US" w:eastAsia="zh-CN" w:bidi="ar"/>
        </w:rPr>
        <w:t xml:space="preserve">  乙  </w:t>
      </w:r>
      <w:r>
        <w:rPr>
          <w:rFonts w:hint="eastAsia" w:ascii="仿宋" w:hAnsi="仿宋" w:eastAsia="仿宋" w:cs="仿宋"/>
          <w:kern w:val="0"/>
          <w:sz w:val="24"/>
          <w:szCs w:val="24"/>
          <w:highlight w:val="none"/>
          <w:lang w:val="en-US" w:eastAsia="zh-CN" w:bidi="ar"/>
        </w:rPr>
        <w:t>方负责。</w:t>
      </w:r>
    </w:p>
    <w:p w14:paraId="20969ACA">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2" w:firstLineChars="200"/>
        <w:jc w:val="left"/>
        <w:textAlignment w:val="auto"/>
        <w:rPr>
          <w:rFonts w:hint="eastAsia" w:ascii="仿宋" w:hAnsi="仿宋" w:eastAsia="仿宋" w:cs="仿宋"/>
          <w:b/>
          <w:bCs w:val="0"/>
          <w:kern w:val="2"/>
          <w:sz w:val="24"/>
          <w:szCs w:val="24"/>
          <w:highlight w:val="none"/>
          <w:lang w:val="en-US" w:eastAsia="zh-CN" w:bidi="ar"/>
        </w:rPr>
      </w:pPr>
      <w:bookmarkStart w:id="161" w:name="_Toc5888"/>
      <w:r>
        <w:rPr>
          <w:rFonts w:hint="eastAsia" w:ascii="仿宋" w:hAnsi="仿宋" w:eastAsia="仿宋" w:cs="仿宋"/>
          <w:b/>
          <w:bCs w:val="0"/>
          <w:kern w:val="2"/>
          <w:sz w:val="24"/>
          <w:szCs w:val="24"/>
          <w:highlight w:val="none"/>
          <w:lang w:val="en-US" w:eastAsia="zh-CN" w:bidi="ar"/>
        </w:rPr>
        <w:t>五、</w:t>
      </w:r>
      <w:bookmarkEnd w:id="161"/>
      <w:r>
        <w:rPr>
          <w:rFonts w:hint="eastAsia" w:ascii="仿宋" w:hAnsi="仿宋" w:eastAsia="仿宋" w:cs="仿宋"/>
          <w:b/>
          <w:bCs w:val="0"/>
          <w:kern w:val="2"/>
          <w:sz w:val="24"/>
          <w:szCs w:val="24"/>
          <w:highlight w:val="none"/>
          <w:lang w:val="en-US" w:eastAsia="zh-CN" w:bidi="ar"/>
        </w:rPr>
        <w:t>包装、运输要求</w:t>
      </w:r>
    </w:p>
    <w:p w14:paraId="5389FB4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1、设备内、外表面洁净。油漆表明光洁，无折皱和剥落。所有设备合理、有效包装， 有效防止各种损坏，如受潮、受热、剥落、腐蚀、变形等。</w:t>
      </w:r>
    </w:p>
    <w:p w14:paraId="0EB3B4D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2、对不油漆且易磨损的零件应涂上高熔点或高脂肪酸或其他保护功能的油脂以得到保护，并得到妥善包装后固定。</w:t>
      </w:r>
    </w:p>
    <w:p w14:paraId="0DEBA048">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3、随机的零部件、备品备件等散件木箱包装， 且适合于储存，并在包装上予以说明储存年限。</w:t>
      </w:r>
    </w:p>
    <w:p w14:paraId="69127ADF">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4、设备包装费计入总价，包装材料属甲方所有。</w:t>
      </w:r>
    </w:p>
    <w:p w14:paraId="4FCC68C0">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5、包装箱中，附有产品合格证书（包括合格证、部件合格证、材料合格证等）、 产品说明书、装箱单、易损件备件及专用工具清单，一套完整的经批准的图纸及有关技术文件资料。</w:t>
      </w:r>
    </w:p>
    <w:p w14:paraId="5B981D78">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6、随包装箱带的文件、资料应防潮密封，并放在包装箱内明显处。</w:t>
      </w:r>
    </w:p>
    <w:p w14:paraId="6A389F2D">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2" w:firstLineChars="200"/>
        <w:jc w:val="both"/>
        <w:textAlignment w:val="auto"/>
        <w:rPr>
          <w:rFonts w:hint="eastAsia" w:ascii="仿宋" w:hAnsi="仿宋" w:eastAsia="仿宋" w:cs="仿宋"/>
          <w:b/>
          <w:bCs w:val="0"/>
          <w:kern w:val="2"/>
          <w:sz w:val="24"/>
          <w:szCs w:val="24"/>
          <w:highlight w:val="none"/>
          <w:lang w:val="en-US" w:eastAsia="zh-CN" w:bidi="ar"/>
        </w:rPr>
      </w:pPr>
      <w:bookmarkStart w:id="162" w:name="_Toc5752"/>
      <w:r>
        <w:rPr>
          <w:rFonts w:hint="eastAsia" w:ascii="仿宋" w:hAnsi="仿宋" w:eastAsia="仿宋" w:cs="仿宋"/>
          <w:b/>
          <w:bCs w:val="0"/>
          <w:kern w:val="2"/>
          <w:sz w:val="24"/>
          <w:szCs w:val="24"/>
          <w:highlight w:val="none"/>
          <w:lang w:val="en-US" w:eastAsia="zh-CN" w:bidi="ar"/>
        </w:rPr>
        <w:t>六、安装调试</w:t>
      </w:r>
    </w:p>
    <w:p w14:paraId="41713D0A">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1、所有设备系统接驳、安装、调试、系统集成工作均由乙方负责完成。</w:t>
      </w:r>
    </w:p>
    <w:p w14:paraId="54948E3C">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2、合同生效后，乙方应及时安排工程技术人员与甲方共同商讨技术条件事宜，并根据工程进度计划初步约定安装时间。</w:t>
      </w:r>
    </w:p>
    <w:p w14:paraId="3BC9C6C0">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3、文明、安全施工应按建设部及杭州市统一标准实施，并服从甲方的统一部署。</w:t>
      </w:r>
    </w:p>
    <w:p w14:paraId="64EDB7CB">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4、为了保证设备的安装调试等工程的顺利进行，甲方必须在双方约定安装时间前，按双方所达成的技术条件和乙方提供的基础图纸完成所有的准备工作。</w:t>
      </w:r>
    </w:p>
    <w:p w14:paraId="27467CE3">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5、乙方必须与服务亭、电源接入等单位密切配合，确保施工进度和安装质量。</w:t>
      </w:r>
    </w:p>
    <w:p w14:paraId="02C24347">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 xml:space="preserve">6、在工程施工期间乙方应严格遵守甲方的有关规章制度，并严格遵守施工现场安全管理规定。乙方安装过程中，应对其他工程进行必要的保护，并在施工完成后恢复原状；若因施工破坏或毁损其他工程、设施、设备的，应及时书面通知甲方，并承担全部赔偿责任。乙方因施工造成自身、雇佣人员或他人人身、财产损失的，应承担全部赔偿责任。    </w:t>
      </w:r>
    </w:p>
    <w:p w14:paraId="1C56C675">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7、机械设备运行过程中，对车辆或人员造成损伤的，乙方应予以赔偿。</w:t>
      </w:r>
    </w:p>
    <w:p w14:paraId="6E2FD5AF">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8、设备安装完成后，乙方须负责所有设备的保护和清洁工作，直至设备验收合格并交付最终用户正常使用为止。在交付使用前，如设备因乙方责任发生故障或损坏，乙方负责免费修复或更换。</w:t>
      </w:r>
    </w:p>
    <w:p w14:paraId="3722BF90">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2" w:firstLineChars="200"/>
        <w:jc w:val="both"/>
        <w:textAlignment w:val="auto"/>
        <w:rPr>
          <w:rFonts w:hint="eastAsia" w:ascii="仿宋" w:hAnsi="仿宋" w:eastAsia="仿宋" w:cs="仿宋"/>
          <w:b/>
          <w:bCs w:val="0"/>
          <w:kern w:val="2"/>
          <w:sz w:val="24"/>
          <w:szCs w:val="24"/>
          <w:highlight w:val="none"/>
          <w:lang w:val="en-US" w:eastAsia="zh-CN" w:bidi="ar"/>
        </w:rPr>
      </w:pPr>
      <w:r>
        <w:rPr>
          <w:rFonts w:hint="eastAsia" w:ascii="仿宋" w:hAnsi="仿宋" w:eastAsia="仿宋" w:cs="仿宋"/>
          <w:b/>
          <w:bCs w:val="0"/>
          <w:kern w:val="2"/>
          <w:sz w:val="24"/>
          <w:szCs w:val="24"/>
          <w:highlight w:val="none"/>
          <w:lang w:val="en-US" w:eastAsia="zh-CN" w:bidi="ar"/>
        </w:rPr>
        <w:t>七、验收标准</w:t>
      </w:r>
    </w:p>
    <w:p w14:paraId="7547434E">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1、按招标文件的要求和投标文件承诺及双方协商确定的验收标准执行；</w:t>
      </w:r>
    </w:p>
    <w:p w14:paraId="17BC2746">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2、出厂检验项目:外观、尺寸、焊接、装配、涂层检验、电器；</w:t>
      </w:r>
    </w:p>
    <w:p w14:paraId="445F7C48">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3、乙方负责通过国家有关部门的最终验收。</w:t>
      </w:r>
    </w:p>
    <w:p w14:paraId="7644DF92">
      <w:pPr>
        <w:keepNext w:val="0"/>
        <w:keepLines w:val="0"/>
        <w:pageBreakBefore w:val="0"/>
        <w:widowControl w:val="0"/>
        <w:suppressLineNumbers w:val="0"/>
        <w:kinsoku/>
        <w:wordWrap w:val="0"/>
        <w:overflowPunct/>
        <w:topLinePunct w:val="0"/>
        <w:autoSpaceDN/>
        <w:bidi w:val="0"/>
        <w:adjustRightInd w:val="0"/>
        <w:snapToGrid w:val="0"/>
        <w:spacing w:beforeAutospacing="0" w:afterAutospacing="0" w:line="360" w:lineRule="auto"/>
        <w:ind w:left="210" w:leftChars="100" w:right="0" w:firstLine="241" w:firstLineChars="100"/>
        <w:jc w:val="both"/>
        <w:textAlignment w:val="auto"/>
        <w:outlineLvl w:val="0"/>
        <w:rPr>
          <w:rFonts w:hint="eastAsia" w:ascii="仿宋" w:hAnsi="仿宋" w:eastAsia="仿宋" w:cs="仿宋"/>
          <w:b/>
          <w:kern w:val="2"/>
          <w:sz w:val="24"/>
          <w:szCs w:val="24"/>
          <w:highlight w:val="none"/>
        </w:rPr>
      </w:pPr>
      <w:r>
        <w:rPr>
          <w:rFonts w:hint="eastAsia" w:ascii="仿宋" w:hAnsi="仿宋" w:eastAsia="仿宋" w:cs="仿宋"/>
          <w:b/>
          <w:bCs w:val="0"/>
          <w:kern w:val="2"/>
          <w:sz w:val="24"/>
          <w:szCs w:val="24"/>
          <w:highlight w:val="none"/>
          <w:lang w:val="en-US" w:eastAsia="zh-CN" w:bidi="ar"/>
        </w:rPr>
        <w:t>八</w:t>
      </w:r>
      <w:r>
        <w:rPr>
          <w:rFonts w:hint="eastAsia" w:ascii="仿宋" w:hAnsi="仿宋" w:eastAsia="仿宋" w:cs="仿宋"/>
          <w:b/>
          <w:kern w:val="2"/>
          <w:sz w:val="24"/>
          <w:szCs w:val="24"/>
          <w:highlight w:val="none"/>
          <w:lang w:val="en-US" w:eastAsia="zh-CN" w:bidi="ar"/>
        </w:rPr>
        <w:t>、交付</w:t>
      </w:r>
      <w:r>
        <w:rPr>
          <w:rFonts w:hint="eastAsia" w:ascii="仿宋" w:hAnsi="仿宋" w:eastAsia="仿宋" w:cs="仿宋"/>
          <w:b/>
          <w:bCs w:val="0"/>
          <w:kern w:val="2"/>
          <w:sz w:val="24"/>
          <w:szCs w:val="24"/>
          <w:highlight w:val="none"/>
          <w:lang w:val="en-US" w:eastAsia="zh-CN" w:bidi="ar"/>
        </w:rPr>
        <w:t>及验收</w:t>
      </w:r>
    </w:p>
    <w:p w14:paraId="7FA14FA2">
      <w:pPr>
        <w:keepNext w:val="0"/>
        <w:keepLines w:val="0"/>
        <w:pageBreakBefore w:val="0"/>
        <w:widowControl w:val="0"/>
        <w:suppressLineNumbers w:val="0"/>
        <w:kinsoku/>
        <w:wordWrap w:val="0"/>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bCs/>
          <w:kern w:val="2"/>
          <w:sz w:val="24"/>
          <w:szCs w:val="24"/>
          <w:highlight w:val="none"/>
          <w:u w:val="single"/>
        </w:rPr>
      </w:pPr>
      <w:r>
        <w:rPr>
          <w:rFonts w:hint="eastAsia" w:ascii="仿宋" w:hAnsi="仿宋" w:eastAsia="仿宋" w:cs="仿宋"/>
          <w:bCs/>
          <w:kern w:val="2"/>
          <w:sz w:val="24"/>
          <w:szCs w:val="24"/>
          <w:highlight w:val="none"/>
          <w:lang w:val="en-US" w:eastAsia="zh-CN" w:bidi="ar"/>
        </w:rPr>
        <w:t>1、货物交付前，乙方应对货物的质量、数量等方面进行详细、全面的检验，并向甲方出具证明货物符合合同约定的文件；</w:t>
      </w:r>
    </w:p>
    <w:p w14:paraId="60D3C5E5">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2、如发现乙方所交的货物有任何不符合合同规定之处，应做好记录，并由双方代表签字，作为甲方向乙方提出维修或退换货的依据。乙方在接到验收书面异议后，应在10日内进行反馈。</w:t>
      </w:r>
    </w:p>
    <w:p w14:paraId="05E2CF6B">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3、验收报告仅证明乙方所提供的货物截至出具货物验收报告之日时可以按合同要求予以接受，但不能视为乙方对货物存在的潜在缺陷所应付的责任的解除。此检验不作为对货物内在质量认定的依据。</w:t>
      </w:r>
    </w:p>
    <w:p w14:paraId="32043411">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4、乙方所提供的货物应充分满足甲方使用的要求,确保供货货物的尺寸、规格、质量符合合同规定。</w:t>
      </w:r>
      <w:r>
        <w:rPr>
          <w:rFonts w:hint="eastAsia" w:ascii="仿宋" w:hAnsi="仿宋" w:eastAsia="仿宋" w:cs="仿宋"/>
          <w:sz w:val="24"/>
          <w:szCs w:val="24"/>
          <w:highlight w:val="none"/>
          <w:lang w:val="en-US" w:eastAsia="zh-CN"/>
        </w:rPr>
        <w:t>质保期：换电柜质保期为交付3年；质保期的起始时间为项目整体通过验收合格之日起计。</w:t>
      </w:r>
      <w:r>
        <w:rPr>
          <w:rFonts w:hint="eastAsia" w:ascii="仿宋" w:hAnsi="仿宋" w:eastAsia="仿宋" w:cs="仿宋"/>
          <w:kern w:val="2"/>
          <w:sz w:val="24"/>
          <w:szCs w:val="24"/>
          <w:highlight w:val="none"/>
          <w:lang w:val="en-US" w:eastAsia="zh-CN" w:bidi="ar"/>
        </w:rPr>
        <w:t>质量保证期间如货物出现质量问题，甲方有权要求乙方维修或退换货，乙方应在接到甲方通知后及时维修或更换符合质量要求的货物。</w:t>
      </w:r>
    </w:p>
    <w:p w14:paraId="0F1EDB14">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5、在全部设备安装调试完毕，乙方应及时至函甲方。甲方应及时组织人员与乙方共同对设备进行验收。因验收或产品异议引发之争议，双方约定由第三方检测（国家认可检验机构）。检测合格的，检测费用由甲方承担；检测不合格或存在严重质量瑕疵的，由乙方承担检测费用，并应当承担相应违约责任。</w:t>
      </w:r>
    </w:p>
    <w:p w14:paraId="28039BAC">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6、如当地政府有规定，设备试运行应在政府有关部门 及甲方人员的监督下进行。</w:t>
      </w:r>
    </w:p>
    <w:p w14:paraId="39E58FD9">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九、付款</w:t>
      </w:r>
    </w:p>
    <w:bookmarkEnd w:id="162"/>
    <w:p w14:paraId="4D663255">
      <w:pPr>
        <w:keepNext w:val="0"/>
        <w:keepLines w:val="0"/>
        <w:pageBreakBefore w:val="0"/>
        <w:widowControl w:val="0"/>
        <w:suppressLineNumbers w:val="0"/>
        <w:kinsoku/>
        <w:wordWrap w:val="0"/>
        <w:overflowPunct/>
        <w:topLinePunct w:val="0"/>
        <w:autoSpaceDN/>
        <w:bidi w:val="0"/>
        <w:snapToGrid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1、本合同采用</w:t>
      </w:r>
      <w:r>
        <w:rPr>
          <w:rFonts w:hint="eastAsia" w:ascii="仿宋" w:hAnsi="仿宋" w:eastAsia="仿宋" w:cs="仿宋"/>
          <w:kern w:val="2"/>
          <w:sz w:val="24"/>
          <w:szCs w:val="24"/>
          <w:highlight w:val="none"/>
          <w:u w:val="single"/>
          <w:lang w:val="en-US" w:eastAsia="zh-CN" w:bidi="ar"/>
        </w:rPr>
        <w:t xml:space="preserve">固定综合单价 </w:t>
      </w:r>
      <w:r>
        <w:rPr>
          <w:rFonts w:hint="eastAsia" w:ascii="仿宋" w:hAnsi="仿宋" w:eastAsia="仿宋" w:cs="仿宋"/>
          <w:kern w:val="2"/>
          <w:sz w:val="24"/>
          <w:szCs w:val="24"/>
          <w:highlight w:val="none"/>
          <w:lang w:val="en-US" w:eastAsia="zh-CN" w:bidi="ar"/>
        </w:rPr>
        <w:t>形式。合同总价款</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元。</w:t>
      </w:r>
    </w:p>
    <w:p w14:paraId="5B8026CA">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2、付款条件及时间：</w:t>
      </w:r>
    </w:p>
    <w:p w14:paraId="4C2732E1">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换电柜安装完成，项目竣工验收合格后乙方递交完整版的结算资料之日起14个工作日内，经甲方认可后向乙方支付至结算审定价的97.5%，剩余款项作为质保金，同时履约保证金一次性无息退还。如质保期内因产品质量问题扣款后不足时，乙方应补足，质保期满后，视履约情况返还质保金。</w:t>
      </w:r>
    </w:p>
    <w:p w14:paraId="5853658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如乙方指定收款账户信息发生变更，应及时向甲方发出收款账户变更的书面通知，并加盖乙方公章。否则，甲方有权继续向本合同指定的收款账号付款，并且不承担任何责任。</w:t>
      </w:r>
    </w:p>
    <w:p w14:paraId="07FFEE75">
      <w:pPr>
        <w:pStyle w:val="22"/>
        <w:keepNext w:val="0"/>
        <w:keepLines w:val="0"/>
        <w:pageBreakBefore w:val="0"/>
        <w:widowControl/>
        <w:suppressLineNumbers w:val="0"/>
        <w:kinsoku/>
        <w:overflowPunct/>
        <w:topLinePunct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款项的支付：双方约定乙方在每次付款前应提供相应金额的增值税专用发票，经甲方履行相关审批手续后支付款项。增值税税率为13%，在合同执行过程中，如遇国家税率的变化，则需按国家增值税最新税率调整，调整后的含税价格=原含税价格/（1+13%*（1+调整后的增值税税率），未提供发票视为乙方未依约全面履行义务，甲方有权行使先履行抗辩不予付款。</w:t>
      </w:r>
    </w:p>
    <w:p w14:paraId="2B4C17A1">
      <w:pPr>
        <w:pStyle w:val="11"/>
        <w:pageBreakBefore w:val="0"/>
        <w:widowControl/>
        <w:kinsoku/>
        <w:overflowPunct/>
        <w:topLinePunct w:val="0"/>
        <w:autoSpaceDN/>
        <w:bidi w:val="0"/>
        <w:spacing w:before="0" w:beforeAutospacing="1" w:afterLines="0" w:afterAutospacing="0" w:line="360" w:lineRule="auto"/>
        <w:ind w:left="0" w:right="0" w:firstLine="482" w:firstLineChars="200"/>
        <w:textAlignment w:val="auto"/>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rPr>
        <w:t>十</w:t>
      </w:r>
      <w:r>
        <w:rPr>
          <w:rFonts w:hint="eastAsia" w:ascii="仿宋" w:hAnsi="仿宋" w:eastAsia="仿宋" w:cs="仿宋"/>
          <w:b/>
          <w:bCs w:val="0"/>
          <w:kern w:val="2"/>
          <w:sz w:val="24"/>
          <w:szCs w:val="24"/>
          <w:highlight w:val="none"/>
        </w:rPr>
        <w:t>、质保期</w:t>
      </w:r>
    </w:p>
    <w:p w14:paraId="21741F9E">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质保期：换电柜质保期3年；质保期的起始时间为项目整体通过验收合格（若需整改的，招标人列出整改项目和内容。中标人应在15天内完成整改，对不合格项进行销项处理。招标人再次复验合格，才标志着设备终验收完毕。）之日起计。</w:t>
      </w:r>
    </w:p>
    <w:p w14:paraId="21993648">
      <w:pPr>
        <w:keepNext w:val="0"/>
        <w:keepLines w:val="0"/>
        <w:pageBreakBefore w:val="0"/>
        <w:widowControl w:val="0"/>
        <w:suppressLineNumbers w:val="0"/>
        <w:kinsoku/>
        <w:wordWrap w:val="0"/>
        <w:overflowPunct/>
        <w:topLinePunct w:val="0"/>
        <w:autoSpaceDN/>
        <w:bidi w:val="0"/>
        <w:spacing w:before="0" w:beforeAutospacing="0" w:after="0" w:afterAutospacing="0" w:line="360" w:lineRule="auto"/>
        <w:ind w:left="0" w:right="0" w:firstLine="528" w:firstLineChars="22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在质保期内，若发现产品内在质量、内部材料及加工工艺不合格或由此产生问题，甲方应立即通知乙方，乙方在接到通知后，应在当天派有能力的人到达现场排除故障，或更换其产品，或对损坏情况折价赔偿，并负担由此产生的一切费用。若乙方未能及时派人到达现场，甲方可自行排除故障，费用由乙方承担。</w:t>
      </w:r>
    </w:p>
    <w:p w14:paraId="4DB5DCCC">
      <w:pPr>
        <w:pStyle w:val="12"/>
        <w:spacing w:line="360" w:lineRule="auto"/>
        <w:rPr>
          <w:rFonts w:hint="eastAsia" w:ascii="仿宋" w:hAnsi="仿宋" w:eastAsia="仿宋" w:cs="仿宋"/>
          <w:sz w:val="24"/>
          <w:szCs w:val="24"/>
          <w:highlight w:val="none"/>
          <w:lang w:bidi="ar"/>
        </w:rPr>
      </w:pPr>
      <w:r>
        <w:rPr>
          <w:rFonts w:hint="eastAsia" w:ascii="仿宋" w:hAnsi="仿宋" w:eastAsia="仿宋" w:cs="仿宋"/>
          <w:kern w:val="2"/>
          <w:sz w:val="24"/>
          <w:szCs w:val="24"/>
          <w:highlight w:val="none"/>
          <w:lang w:val="en-US" w:eastAsia="zh-CN" w:bidi="ar"/>
        </w:rPr>
        <w:t>3.质（</w:t>
      </w:r>
      <w:r>
        <w:rPr>
          <w:rFonts w:hint="eastAsia" w:ascii="仿宋" w:hAnsi="仿宋" w:eastAsia="仿宋" w:cs="仿宋"/>
          <w:sz w:val="24"/>
          <w:szCs w:val="24"/>
          <w:highlight w:val="none"/>
          <w:lang w:bidi="ar"/>
        </w:rPr>
        <w:t>维</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保期内服务包括但不限于以下：</w:t>
      </w:r>
    </w:p>
    <w:p w14:paraId="4FEF3714">
      <w:pPr>
        <w:pStyle w:val="12"/>
        <w:spacing w:line="360"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（1）提供系统维护服务、升级服务、优化服务和技术指导咨询、技术支持服务。</w:t>
      </w:r>
    </w:p>
    <w:p w14:paraId="15F875CA">
      <w:pPr>
        <w:pStyle w:val="12"/>
        <w:spacing w:line="360"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（2）提供7×24小时服务响应。</w:t>
      </w:r>
    </w:p>
    <w:p w14:paraId="773BC49B">
      <w:pPr>
        <w:pStyle w:val="12"/>
        <w:spacing w:line="360"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（3）在系统出现性能下降情况下，提供系统性能检测服务，根据检测报告提交硬件、软件、配置等方面的优化建议，并配合实施。</w:t>
      </w:r>
    </w:p>
    <w:p w14:paraId="2C0337E4">
      <w:pPr>
        <w:pStyle w:val="12"/>
        <w:spacing w:line="360"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（4）提供系统漏洞修复服务。</w:t>
      </w:r>
    </w:p>
    <w:p w14:paraId="48ACA0CD">
      <w:pPr>
        <w:pStyle w:val="12"/>
        <w:keepNext w:val="0"/>
        <w:keepLines w:val="0"/>
        <w:pageBreakBefore w:val="0"/>
        <w:widowControl w:val="0"/>
        <w:suppressLineNumbers w:val="0"/>
        <w:kinsoku/>
        <w:wordWrap w:val="0"/>
        <w:overflowPunct/>
        <w:topLinePunct w:val="0"/>
        <w:autoSpaceDN/>
        <w:bidi w:val="0"/>
        <w:spacing w:before="0" w:beforeAutospacing="0" w:after="0" w:afterAutospacing="0" w:line="360" w:lineRule="auto"/>
        <w:ind w:left="0" w:right="0" w:firstLineChars="22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sz w:val="24"/>
          <w:szCs w:val="24"/>
          <w:highlight w:val="none"/>
          <w:lang w:bidi="ar"/>
        </w:rPr>
        <w:t>（5）提供软件功能完善、缺陷修复等升级服务，软件升级不得影响系统正常运行，同时提供由于升级带来的迁移和适配工作。</w:t>
      </w:r>
    </w:p>
    <w:p w14:paraId="384D64BB">
      <w:pPr>
        <w:pStyle w:val="11"/>
        <w:pageBreakBefore w:val="0"/>
        <w:widowControl/>
        <w:kinsoku/>
        <w:overflowPunct/>
        <w:topLinePunct w:val="0"/>
        <w:autoSpaceDN/>
        <w:bidi w:val="0"/>
        <w:spacing w:before="0" w:beforeAutospacing="1" w:afterLines="0" w:afterAutospacing="0" w:line="360" w:lineRule="auto"/>
        <w:ind w:left="0" w:right="0" w:firstLine="482" w:firstLineChars="200"/>
        <w:textAlignment w:val="auto"/>
        <w:rPr>
          <w:rFonts w:hint="eastAsia" w:ascii="仿宋" w:hAnsi="仿宋" w:eastAsia="仿宋" w:cs="仿宋"/>
          <w:b/>
          <w:bCs w:val="0"/>
          <w:kern w:val="2"/>
          <w:sz w:val="24"/>
          <w:szCs w:val="24"/>
          <w:highlight w:val="none"/>
          <w:lang w:eastAsia="zh-Hans"/>
        </w:rPr>
      </w:pPr>
      <w:bookmarkStart w:id="163" w:name="_Toc2013070498_WPSOffice_Level1"/>
      <w:bookmarkStart w:id="164" w:name="_Toc24928"/>
      <w:r>
        <w:rPr>
          <w:rFonts w:hint="eastAsia" w:ascii="仿宋" w:hAnsi="仿宋" w:eastAsia="仿宋" w:cs="仿宋"/>
          <w:b/>
          <w:bCs w:val="0"/>
          <w:kern w:val="2"/>
          <w:sz w:val="24"/>
          <w:szCs w:val="24"/>
          <w:highlight w:val="none"/>
          <w:lang w:val="en-US" w:eastAsia="zh-CN"/>
        </w:rPr>
        <w:t>十一、</w:t>
      </w:r>
      <w:r>
        <w:rPr>
          <w:rFonts w:hint="eastAsia" w:ascii="仿宋" w:hAnsi="仿宋" w:eastAsia="仿宋" w:cs="仿宋"/>
          <w:b/>
          <w:bCs w:val="0"/>
          <w:kern w:val="2"/>
          <w:sz w:val="24"/>
          <w:szCs w:val="24"/>
          <w:highlight w:val="none"/>
          <w:lang w:eastAsia="zh-Hans"/>
        </w:rPr>
        <w:t>质量责任</w:t>
      </w:r>
      <w:bookmarkEnd w:id="163"/>
    </w:p>
    <w:p w14:paraId="769949C2">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乙方换电柜的质量保证期为3年，即3年内负责免费维修，所有乙方产品质量责任的承担均属保证期内的责任，并且到质量保证期结束期间为产品购买保险，如果因乙方原因引起甲方产品损坏或消费者的人身财产伤害，乙方应承担一切赔偿责任。保质期满后，乙方仍应负责损坏产品的有偿维修。如果涉及甲方、甲方运营商和最终用户的人身安全损害，不受上述质保期限制，乙方必须提供所有损失赔偿。</w:t>
      </w:r>
    </w:p>
    <w:p w14:paraId="19CD986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甲方在使用乙方产品过程中，如发现乙方产品出现质量问题，则给予乙方警告并要求乙方在甲方指定的期限内予以改善，若因不良产品影响甲方产品市场投放规划及甲方运营商客户使用时，甲方有权追究乙方给甲方造成的直接损失或由双方协商处理。具体为：乙方应于收到产品后24小时内通知甲方修复期限。所有返厂维修产品自甲方提报之日起10个工作日内完成对发并到达甲方指定地点；如返厂维修时间超过10个工作日，则每块换电柜加收运营误工费30元/天。退货返检费用因乙方问题造成的甲方产品退货返修/重工、重新生产再交付、变更更快更昂贵的的货运方式等造成的额外工时/间接人力成本/机器设备水电气损耗/物料消耗等，由乙方全部承担。</w:t>
      </w:r>
    </w:p>
    <w:p w14:paraId="35565B04">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3、乙应负责提供甲方维修产品所需之零配件、费用和零配件数量等具体事宜另行议定，并保证自整体通过验收合格起三年内供应无缺。乙方因市场等原因需要将产品停产时，至少需要提前6个月通知甲方。在甲方产品没有退出市场前，乙方必须保留生产所需的资料、设备等，以备甲方售后所需。</w:t>
      </w:r>
    </w:p>
    <w:p w14:paraId="535ECAB6">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4、因乙方品质责任而导致甲方产品被客户退回，或因此而导致质量索赔事件，甲方有权追究乙方给甲方造成的所有损失或由双方协商处理。</w:t>
      </w:r>
    </w:p>
    <w:p w14:paraId="35B44823">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5、电柜在正常使用</w:t>
      </w:r>
      <w:r>
        <w:rPr>
          <w:rFonts w:hint="eastAsia" w:ascii="仿宋" w:hAnsi="仿宋" w:eastAsia="仿宋" w:cs="仿宋"/>
          <w:kern w:val="0"/>
          <w:sz w:val="24"/>
          <w:szCs w:val="24"/>
          <w:highlight w:val="none"/>
          <w:lang w:val="en-US" w:eastAsia="zh-Hans" w:bidi="ar"/>
        </w:rPr>
        <w:t>及运输</w:t>
      </w:r>
      <w:r>
        <w:rPr>
          <w:rFonts w:hint="eastAsia" w:ascii="仿宋" w:hAnsi="仿宋" w:eastAsia="仿宋" w:cs="仿宋"/>
          <w:kern w:val="0"/>
          <w:sz w:val="24"/>
          <w:szCs w:val="24"/>
          <w:highlight w:val="none"/>
          <w:lang w:val="en-US" w:eastAsia="zh-CN" w:bidi="ar"/>
        </w:rPr>
        <w:t>过程中出现</w:t>
      </w:r>
      <w:r>
        <w:rPr>
          <w:rFonts w:hint="eastAsia" w:ascii="仿宋" w:hAnsi="仿宋" w:eastAsia="仿宋" w:cs="仿宋"/>
          <w:kern w:val="0"/>
          <w:sz w:val="24"/>
          <w:szCs w:val="24"/>
          <w:highlight w:val="none"/>
          <w:lang w:val="en-US" w:eastAsia="zh-Hans" w:bidi="ar"/>
        </w:rPr>
        <w:t>故障或异常</w:t>
      </w:r>
      <w:r>
        <w:rPr>
          <w:rFonts w:hint="eastAsia" w:ascii="仿宋" w:hAnsi="仿宋" w:eastAsia="仿宋" w:cs="仿宋"/>
          <w:kern w:val="0"/>
          <w:sz w:val="24"/>
          <w:szCs w:val="24"/>
          <w:highlight w:val="none"/>
          <w:lang w:val="en-US" w:eastAsia="zh-CN" w:bidi="ar"/>
        </w:rPr>
        <w:t>的处理方式：</w:t>
      </w:r>
    </w:p>
    <w:p w14:paraId="2DF1E1A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w:t>
      </w:r>
      <w:r>
        <w:rPr>
          <w:rFonts w:hint="eastAsia" w:ascii="仿宋" w:hAnsi="仿宋" w:eastAsia="仿宋" w:cs="仿宋"/>
          <w:kern w:val="0"/>
          <w:sz w:val="24"/>
          <w:szCs w:val="24"/>
          <w:highlight w:val="none"/>
          <w:lang w:val="en-US" w:eastAsia="zh-Hans" w:bidi="ar"/>
        </w:rPr>
        <w:t>电柜运输过程中的破损应由乙方承担，如屏幕破裂、外观受损等，来回物流由乙方承担。</w:t>
      </w:r>
    </w:p>
    <w:p w14:paraId="319207C3">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val="en-US" w:eastAsia="zh-Hans" w:bidi="ar"/>
        </w:rPr>
        <w:t>柜体漏电：如果在使用过程中出现漏电问题，应立即指导安装人员排查解决，如果因漏电问腿导致的人身安全及财产受损，由乙方承担全部责任。</w:t>
      </w:r>
    </w:p>
    <w:p w14:paraId="6128C6B0">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（3）电柜</w:t>
      </w:r>
      <w:r>
        <w:rPr>
          <w:rFonts w:hint="eastAsia" w:ascii="仿宋" w:hAnsi="仿宋" w:eastAsia="仿宋" w:cs="仿宋"/>
          <w:kern w:val="0"/>
          <w:sz w:val="24"/>
          <w:szCs w:val="24"/>
          <w:highlight w:val="none"/>
          <w:lang w:val="en-US" w:eastAsia="zh-Hans" w:bidi="ar"/>
        </w:rPr>
        <w:t>无法充电</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val="en-US" w:eastAsia="zh-Hans" w:bidi="ar"/>
        </w:rPr>
        <w:t>充电机故障或者其他非人为因素导致的电柜无法充电，</w:t>
      </w:r>
      <w:r>
        <w:rPr>
          <w:rFonts w:hint="eastAsia" w:ascii="仿宋" w:hAnsi="仿宋" w:eastAsia="仿宋" w:cs="仿宋"/>
          <w:kern w:val="0"/>
          <w:sz w:val="24"/>
          <w:szCs w:val="24"/>
          <w:highlight w:val="none"/>
          <w:lang w:val="en-US" w:eastAsia="zh-CN" w:bidi="ar"/>
        </w:rPr>
        <w:t>电柜工厂专业技术人员应于24小时内到达现场进行处理。</w:t>
      </w:r>
    </w:p>
    <w:p w14:paraId="234FAFB4">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Hans" w:bidi="ar"/>
        </w:rPr>
      </w:pP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val="en-US" w:eastAsia="zh-Hans" w:bidi="ar"/>
        </w:rPr>
        <w:t>电柜安卓版异常无法换电：</w:t>
      </w:r>
      <w:r>
        <w:rPr>
          <w:rFonts w:hint="eastAsia" w:ascii="仿宋" w:hAnsi="仿宋" w:eastAsia="仿宋" w:cs="仿宋"/>
          <w:kern w:val="0"/>
          <w:sz w:val="24"/>
          <w:szCs w:val="24"/>
          <w:highlight w:val="none"/>
          <w:lang w:val="en-US" w:eastAsia="zh-CN" w:bidi="ar"/>
        </w:rPr>
        <w:t>当</w:t>
      </w:r>
      <w:r>
        <w:rPr>
          <w:rFonts w:hint="eastAsia" w:ascii="仿宋" w:hAnsi="仿宋" w:eastAsia="仿宋" w:cs="仿宋"/>
          <w:kern w:val="0"/>
          <w:sz w:val="24"/>
          <w:szCs w:val="24"/>
          <w:highlight w:val="none"/>
          <w:lang w:val="en-US" w:eastAsia="zh-Hans" w:bidi="ar"/>
        </w:rPr>
        <w:t>安卓版异常是因程序问题导致的无法换电，</w:t>
      </w:r>
      <w:r>
        <w:rPr>
          <w:rFonts w:hint="eastAsia" w:ascii="仿宋" w:hAnsi="仿宋" w:eastAsia="仿宋" w:cs="仿宋"/>
          <w:kern w:val="0"/>
          <w:sz w:val="24"/>
          <w:szCs w:val="24"/>
          <w:highlight w:val="none"/>
          <w:lang w:val="en-US" w:eastAsia="zh-CN" w:bidi="ar"/>
        </w:rPr>
        <w:t>乙方不承担责任；</w:t>
      </w:r>
      <w:r>
        <w:rPr>
          <w:rFonts w:hint="eastAsia" w:ascii="仿宋" w:hAnsi="仿宋" w:eastAsia="仿宋" w:cs="仿宋"/>
          <w:kern w:val="0"/>
          <w:sz w:val="24"/>
          <w:szCs w:val="24"/>
          <w:highlight w:val="none"/>
          <w:lang w:val="en-US" w:eastAsia="zh-Hans" w:bidi="ar"/>
        </w:rPr>
        <w:t>如果是硬件自身问题、柜体内接电不正确导致的安卓版短路等问题，由乙方负责维修及更换。</w:t>
      </w:r>
    </w:p>
    <w:p w14:paraId="3A6CCC89">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Hans" w:bidi="ar"/>
        </w:rPr>
      </w:pP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val="en-US" w:eastAsia="zh-Hans" w:bidi="ar"/>
        </w:rPr>
        <w:t>电柜屏幕无法正常显示，风扇无法正常运转，推杆无法正常转动，微动无法识别等电柜硬件及线路故障，如果</w:t>
      </w:r>
      <w:r>
        <w:rPr>
          <w:rFonts w:hint="eastAsia" w:ascii="仿宋" w:hAnsi="仿宋" w:eastAsia="仿宋" w:cs="仿宋"/>
          <w:kern w:val="0"/>
          <w:sz w:val="24"/>
          <w:szCs w:val="24"/>
          <w:highlight w:val="none"/>
          <w:lang w:val="en-US" w:eastAsia="zh-CN" w:bidi="ar"/>
        </w:rPr>
        <w:t>是由消费者不当操作（如硬物冲击等）原因所导致的</w:t>
      </w:r>
      <w:r>
        <w:rPr>
          <w:rFonts w:hint="eastAsia" w:ascii="仿宋" w:hAnsi="仿宋" w:eastAsia="仿宋" w:cs="仿宋"/>
          <w:kern w:val="0"/>
          <w:sz w:val="24"/>
          <w:szCs w:val="24"/>
          <w:highlight w:val="none"/>
          <w:lang w:val="en-US" w:eastAsia="zh-Hans" w:bidi="ar"/>
        </w:rPr>
        <w:t>故障</w:t>
      </w:r>
      <w:r>
        <w:rPr>
          <w:rFonts w:hint="eastAsia" w:ascii="仿宋" w:hAnsi="仿宋" w:eastAsia="仿宋" w:cs="仿宋"/>
          <w:kern w:val="0"/>
          <w:sz w:val="24"/>
          <w:szCs w:val="24"/>
          <w:highlight w:val="none"/>
          <w:lang w:val="en-US" w:eastAsia="zh-CN" w:bidi="ar"/>
        </w:rPr>
        <w:t>，乙方不承担责任；当</w:t>
      </w:r>
      <w:r>
        <w:rPr>
          <w:rFonts w:hint="eastAsia" w:ascii="仿宋" w:hAnsi="仿宋" w:eastAsia="仿宋" w:cs="仿宋"/>
          <w:kern w:val="0"/>
          <w:sz w:val="24"/>
          <w:szCs w:val="24"/>
          <w:highlight w:val="none"/>
          <w:lang w:val="en-US" w:eastAsia="zh-Hans" w:bidi="ar"/>
        </w:rPr>
        <w:t>异常原因为硬件故障时，由乙方负责，当异常</w:t>
      </w:r>
      <w:r>
        <w:rPr>
          <w:rFonts w:hint="eastAsia" w:ascii="仿宋" w:hAnsi="仿宋" w:eastAsia="仿宋" w:cs="仿宋"/>
          <w:kern w:val="0"/>
          <w:sz w:val="24"/>
          <w:szCs w:val="24"/>
          <w:highlight w:val="none"/>
          <w:lang w:val="en-US" w:eastAsia="zh-CN" w:bidi="ar"/>
        </w:rPr>
        <w:t>原因不明时，由甲乙双方协商解决。</w:t>
      </w:r>
    </w:p>
    <w:p w14:paraId="236DEAD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（6）为保障工厂及消费者生命财产安全，督促乙方提升产品质量，乙方需形成书面产品质量提升计划并发送甲方存档备案。</w:t>
      </w:r>
    </w:p>
    <w:p w14:paraId="4D0DB4DC">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（7）人为损坏造成的电柜不在此三包范围内（碰撞、摔扔、浸水、泡水，砸、碾压、过火燃烧、拆解及其他能对电柜造成破坏的行为）,具体的售后及鉴定工作由甲方协助乙方统一处理。</w:t>
      </w:r>
    </w:p>
    <w:p w14:paraId="75586AD7">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Hans" w:bidi="ar"/>
        </w:rPr>
      </w:pPr>
      <w:r>
        <w:rPr>
          <w:rFonts w:hint="eastAsia" w:ascii="仿宋" w:hAnsi="仿宋" w:eastAsia="仿宋" w:cs="仿宋"/>
          <w:kern w:val="0"/>
          <w:sz w:val="24"/>
          <w:szCs w:val="24"/>
          <w:highlight w:val="none"/>
          <w:lang w:val="en-US" w:eastAsia="zh-CN" w:bidi="ar"/>
        </w:rPr>
        <w:t>6、中标者需要签订三方质量及交付协议</w:t>
      </w:r>
      <w:r>
        <w:rPr>
          <w:rFonts w:hint="eastAsia" w:ascii="仿宋" w:hAnsi="仿宋" w:eastAsia="仿宋" w:cs="仿宋"/>
          <w:kern w:val="0"/>
          <w:sz w:val="24"/>
          <w:szCs w:val="24"/>
          <w:highlight w:val="none"/>
          <w:lang w:val="en-US" w:eastAsia="zh-Hans" w:bidi="ar"/>
        </w:rPr>
        <w:t>（附件2）</w:t>
      </w:r>
      <w:r>
        <w:rPr>
          <w:rFonts w:hint="eastAsia" w:ascii="仿宋" w:hAnsi="仿宋" w:eastAsia="仿宋" w:cs="仿宋"/>
          <w:kern w:val="0"/>
          <w:sz w:val="24"/>
          <w:szCs w:val="24"/>
          <w:highlight w:val="none"/>
          <w:lang w:val="en-US" w:eastAsia="zh-CN" w:bidi="ar"/>
        </w:rPr>
        <w:t>，确保提供的产品或服务被甲方(及其客户或最终消费者)投诉/索赔或造成人身/财产损失时，供货方</w:t>
      </w:r>
      <w:r>
        <w:rPr>
          <w:rFonts w:hint="eastAsia" w:ascii="仿宋" w:hAnsi="仿宋" w:eastAsia="仿宋" w:cs="仿宋"/>
          <w:kern w:val="0"/>
          <w:sz w:val="24"/>
          <w:szCs w:val="24"/>
          <w:highlight w:val="none"/>
          <w:lang w:val="en-US" w:eastAsia="zh-Hans" w:bidi="ar"/>
        </w:rPr>
        <w:t>（在三方质量及交付协议中为乙方方）</w:t>
      </w:r>
      <w:r>
        <w:rPr>
          <w:rFonts w:hint="eastAsia" w:ascii="仿宋" w:hAnsi="仿宋" w:eastAsia="仿宋" w:cs="仿宋"/>
          <w:kern w:val="0"/>
          <w:sz w:val="24"/>
          <w:szCs w:val="24"/>
          <w:highlight w:val="none"/>
          <w:lang w:val="en-US" w:eastAsia="zh-CN" w:bidi="ar"/>
        </w:rPr>
        <w:t>应承担相应责任，即采取背靠背原则</w:t>
      </w:r>
      <w:r>
        <w:rPr>
          <w:rFonts w:hint="eastAsia" w:ascii="仿宋" w:hAnsi="仿宋" w:eastAsia="仿宋" w:cs="仿宋"/>
          <w:kern w:val="0"/>
          <w:sz w:val="24"/>
          <w:szCs w:val="24"/>
          <w:highlight w:val="none"/>
          <w:lang w:val="en-US" w:eastAsia="zh-Hans" w:bidi="ar"/>
        </w:rPr>
        <w:t>。</w:t>
      </w:r>
    </w:p>
    <w:p w14:paraId="6DF5AC3A">
      <w:pPr>
        <w:pStyle w:val="11"/>
        <w:pageBreakBefore w:val="0"/>
        <w:widowControl/>
        <w:kinsoku/>
        <w:overflowPunct/>
        <w:topLinePunct w:val="0"/>
        <w:autoSpaceDN/>
        <w:bidi w:val="0"/>
        <w:spacing w:before="0" w:beforeAutospacing="1" w:afterLines="0" w:afterAutospacing="0" w:line="360" w:lineRule="auto"/>
        <w:ind w:left="0" w:right="0" w:firstLine="482" w:firstLineChars="200"/>
        <w:textAlignment w:val="auto"/>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十二、不合格品处理</w:t>
      </w:r>
    </w:p>
    <w:p w14:paraId="46A1F184">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1.交货时出现不合格品的处理方式：</w:t>
      </w:r>
    </w:p>
    <w:p w14:paraId="46C747C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1.1甲方产品验收中出现该批次不合格产品时，原则上是整批退回乙方处理，对于就地筛选或返工的产品，经甲方同意后，乙方应于3个工作日内在甲方指定地点筛选或返工，然后甲方进行第二次验收，直至产品合格。</w:t>
      </w:r>
    </w:p>
    <w:p w14:paraId="51C277F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1.2验收中出现的不良品由乙方负责分析和返工处理。</w:t>
      </w:r>
    </w:p>
    <w:p w14:paraId="36BC146D">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2.使用过程（已台装、试验和市场返修）不良品和失效品处理方式：</w:t>
      </w:r>
    </w:p>
    <w:p w14:paraId="44B9CA48">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2.1市场返修由市场返回乙方，经甲乙双方分析，属乙方责任的由乙方负责退换，乙方需于5个工作日内完成退换工作。</w:t>
      </w:r>
    </w:p>
    <w:p w14:paraId="2C005407">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3.甲方在对乙方提供的产品进行验收途中，如判为不合格品需退货时，甲方将及时通知乙方，乙方接到通知后应在1个工作日内进行核实或提出处理意见，此时乙方应在收到甲方退货通知后的 72小时内（节假日顺延）内将货品拉走或与甲方进行协商处理，若在乙方库存时间超过7个工作日（节假日顺延）未处理的，甲方将原路退回至乙方发货地址，或直接找物流到付至发货地址。乙方在处理退货或返修途中，需及时核对取货的数量和时间。</w:t>
      </w:r>
    </w:p>
    <w:p w14:paraId="29840DD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 甲方客户投诉中发现的由于乙方物料不良造成的退货及赔偿，乙方应负责甲方全部损失费用，包括退货、返工、物料损耗、运输费用、甲方赴客户处返工/维修等等所有相关费用及客户要求的赔偿费用。</w:t>
      </w:r>
    </w:p>
    <w:p w14:paraId="38F99CB1">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4.1市场返修退回的不良品或甲方客户批量退货的不良品等问题产品，经甲方分析属乙方责任的,双共同协商处理方法，无法协商一致的，提交第三方（如SGS,TUV,DNV等）机构认定，费用由责任方承担。在第三方机构认定结果出来之前，甲方有权推迟支付乙方货款。经认定属乙方责任的，则甲方有权从应付乙方货款中直接扣除乙方应承担的赔偿费用和经济损失等。</w:t>
      </w:r>
    </w:p>
    <w:p w14:paraId="56E3688C">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4.2市场销售过程中出现属乙方产品质量引起的人身、财产损害事故及客户退货索赔等状况时，甲方有权推迟支付所有乙方的货款直至甲方客户对乙方的最终索赔结果确定。乙方应积极配合甲方承担甲方运营商客户的索赔和处理善后事宜，包括但不限于交付合格的替代品给甲方运营商，承担费用回收问题产品，赔偿消费者的人身财产损害费、律师费、诉讼/仲裁费、差旅费。</w:t>
      </w:r>
    </w:p>
    <w:p w14:paraId="1DCC8E48">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十三、索赔</w:t>
      </w:r>
      <w:bookmarkEnd w:id="164"/>
    </w:p>
    <w:p w14:paraId="2F2531B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lang w:val="en-US" w:eastAsia="zh-CN" w:bidi="ar"/>
        </w:rPr>
        <w:t>凡发生乙方有对甲方工作人员行贿的，甲方有权立即解除合同，并由乙方承担赔偿甲方因此造成损失的责任。就乙方该行为，甲方保留在相关媒体或网站等对外发布的权利。</w:t>
      </w:r>
    </w:p>
    <w:p w14:paraId="2E6BE6B3">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rPr>
      </w:pPr>
      <w:bookmarkStart w:id="165" w:name="_Toc518"/>
      <w:r>
        <w:rPr>
          <w:rFonts w:hint="eastAsia" w:ascii="仿宋" w:hAnsi="仿宋" w:eastAsia="仿宋" w:cs="仿宋"/>
          <w:b/>
          <w:bCs w:val="0"/>
          <w:kern w:val="2"/>
          <w:sz w:val="24"/>
          <w:szCs w:val="24"/>
          <w:highlight w:val="none"/>
          <w:lang w:val="en-US" w:eastAsia="zh-CN" w:bidi="ar"/>
        </w:rPr>
        <w:t>十四、违约责任</w:t>
      </w:r>
      <w:bookmarkEnd w:id="165"/>
    </w:p>
    <w:p w14:paraId="7E5D3E4D">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kern w:val="2"/>
          <w:sz w:val="24"/>
          <w:szCs w:val="24"/>
          <w:highlight w:val="none"/>
          <w:lang w:val="en-US" w:eastAsia="zh-CN" w:bidi="ar"/>
        </w:rPr>
        <w:t>1.</w:t>
      </w:r>
      <w:r>
        <w:rPr>
          <w:rFonts w:hint="eastAsia" w:ascii="仿宋" w:hAnsi="仿宋" w:eastAsia="仿宋" w:cs="仿宋"/>
          <w:b/>
          <w:bCs w:val="0"/>
          <w:kern w:val="2"/>
          <w:sz w:val="24"/>
          <w:szCs w:val="24"/>
          <w:highlight w:val="none"/>
          <w:lang w:val="en-US" w:eastAsia="zh-CN" w:bidi="ar"/>
        </w:rPr>
        <w:t>乙方违约责任:</w:t>
      </w:r>
    </w:p>
    <w:p w14:paraId="2F30356B">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（1）乙方应当保证其对本合同标的物具有完整的所有权，如因乙方未取得处分权致使标的物所有权不能转移的，甲方可以解除合同并请求乙方承担违约责任。</w:t>
      </w:r>
    </w:p>
    <w:p w14:paraId="1CEB9E9B">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（2）乙方应当按照本合同约定期限交货，每逾期一天，应按照逾期交货部分总价的</w:t>
      </w:r>
      <w:r>
        <w:rPr>
          <w:rFonts w:hint="eastAsia" w:ascii="仿宋" w:hAnsi="仿宋" w:eastAsia="仿宋" w:cs="仿宋"/>
          <w:color w:val="0000FF"/>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向甲方支付违约金，违约金不超过逾期部分货款总额。如乙方逾期交货超过二周（14天），则视为不能交货，甲方有权解除合同，并要求乙方赔偿因此而遭受的损失。</w:t>
      </w:r>
    </w:p>
    <w:p w14:paraId="6142EE43">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乙方应保证交付的货物质量符合国家、行业及合同约定的标准。如货物存在质量问题，由乙方负责维修、退换，并承担修理、调换或退货的实际费用；不能修理、调换或不能退货的，乙方应退回相应货款，并赔偿由此给甲方造成的损失。</w:t>
      </w:r>
    </w:p>
    <w:p w14:paraId="19F44877">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（4）乙方交付标的货物品种、型号、规格等不符合合同约定标准的，甲方有权拒绝受领；乙方不交付或者交付不符合约定，由此导致不能实现合同目的的，甲方有权解除合同并要求乙方赔偿损失。</w:t>
      </w:r>
    </w:p>
    <w:p w14:paraId="31D7E63C">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5）乙方分批交付标的货物的，乙方对其中一批标的货物不交付或者交付不符合约定，致使该批标的货物不能实现合同目的的，甲方可以就该批标的货物解除。如因此致使之后其他各批标的货物的交付不能实现合同目的的，甲方可以就该批以及之后其他各批标的货物解除。如果就其中一批标的货物解除，该批标的货物与其他各批标的货物相互依存的，甲方有权就已经交付和未交付的各批标的货物解除。</w:t>
      </w:r>
    </w:p>
    <w:p w14:paraId="1347E68A">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5）乙方逾期交货或逾期完成安装的，按逾期交货部分总价或逾期完成安装产品总价计算向甲方赔偿违约金。每逾期一天，罚款2‰。逾期交货或逾期完成安装的违约赔偿最高限额为总价的5％。如违约金达到最高限额时乙方仍不能交货或完成安装的，甲方有权终止合同，同时乙方承担违约责任，赔偿甲方合同总价15％的违约金。乙方支付的违约金不足以弥补甲方损失的，乙方应另行赔偿。本合同项下甲方的损失包括但不限于甲方因维权产生的律师费、诉讼费、差旅费等费用。</w:t>
      </w:r>
    </w:p>
    <w:p w14:paraId="43987019">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6）非人为原因正常使用情况下，在质保期内若因乙方产品质量问题发生任何安全事故，造成甲方损失的，该等损失包括但不限于甲方的财产损失、名誉损失及人员伤亡等，乙方应赔偿因此给甲方造成的一切损失，包括但不限于诉讼费、律师代理费、差旅费以及甲方向他人作出的赔偿等，乙方应于双方达成一致后10个工作日内完成赔付。</w:t>
      </w:r>
    </w:p>
    <w:p w14:paraId="44E951CD">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（7）乙方有下列违约情形之一的，甲方有权单方解除本协议。如因违约行为给甲方造成损失的，还应承担相应的赔偿责任（包括</w:t>
      </w:r>
      <w:r>
        <w:rPr>
          <w:rFonts w:hint="eastAsia" w:ascii="仿宋" w:hAnsi="仿宋" w:eastAsia="仿宋" w:cs="仿宋"/>
          <w:kern w:val="2"/>
          <w:sz w:val="24"/>
          <w:szCs w:val="24"/>
          <w:highlight w:val="none"/>
          <w:lang w:val="en-US" w:eastAsia="zh-Hans" w:bidi="ar"/>
        </w:rPr>
        <w:t>但不限于</w:t>
      </w:r>
      <w:r>
        <w:rPr>
          <w:rFonts w:hint="eastAsia" w:ascii="仿宋" w:hAnsi="仿宋" w:eastAsia="仿宋" w:cs="仿宋"/>
          <w:kern w:val="2"/>
          <w:sz w:val="24"/>
          <w:szCs w:val="24"/>
          <w:highlight w:val="none"/>
          <w:lang w:val="en-US" w:eastAsia="zh-CN" w:bidi="ar"/>
        </w:rPr>
        <w:t>可得利益损失及为主张权利产生的诉讼费、律师费、保全费等费用）：</w:t>
      </w:r>
    </w:p>
    <w:p w14:paraId="46D76DB9">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a.乙方违反本协议关于知识产权约定的；</w:t>
      </w:r>
    </w:p>
    <w:p w14:paraId="7335D152">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b.乙方有其他违约行为经甲方书面提出后3个工作日内拒不改正的；</w:t>
      </w:r>
    </w:p>
    <w:p w14:paraId="00AC7F95">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c.因乙方提供的产品设计存在严重缺陷（国家认可的第三方机构确定为严重缺陷），且经甲方书面评估指出后乙方仍拒不改正所导致的甲方不能正常完成市场开发的。</w:t>
      </w:r>
    </w:p>
    <w:p w14:paraId="291DB2B0">
      <w:pPr>
        <w:pStyle w:val="18"/>
        <w:spacing w:line="360" w:lineRule="auto"/>
        <w:rPr>
          <w:rFonts w:hint="eastAsia"/>
          <w:highlight w:val="none"/>
          <w:lang w:val="en-US" w:eastAsia="zh-CN"/>
        </w:rPr>
      </w:pPr>
    </w:p>
    <w:p w14:paraId="17F37FC2">
      <w:pPr>
        <w:keepNext w:val="0"/>
        <w:keepLines w:val="0"/>
        <w:pageBreakBefore w:val="0"/>
        <w:widowControl w:val="0"/>
        <w:suppressLineNumbers w:val="0"/>
        <w:kinsoku/>
        <w:overflowPunct/>
        <w:topLinePunct w:val="0"/>
        <w:autoSpaceDN/>
        <w:bidi w:val="0"/>
        <w:adjustRightInd w:val="0"/>
        <w:snapToGrid w:val="0"/>
        <w:spacing w:beforeAutospacing="0" w:afterAutospacing="0" w:line="360" w:lineRule="auto"/>
        <w:ind w:left="0" w:right="0" w:firstLine="482" w:firstLineChars="20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2.甲方违约责任：</w:t>
      </w:r>
    </w:p>
    <w:p w14:paraId="5487F345">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（1）甲方应按照本合同约定向乙方支付合同价款，逾期不支付的，经乙方书面催告后30日内仍不支付的，甲方每日应按照其尚未支付的货款部分的</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向乙方支付违约金，但是，违约金最高不得超过甲方未支付货款部分金额的</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w:t>
      </w:r>
    </w:p>
    <w:p w14:paraId="1D752C89">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lang w:val="en-US" w:eastAsia="zh-CN" w:bidi="ar"/>
        </w:rPr>
      </w:pPr>
      <w:r>
        <w:rPr>
          <w:rFonts w:hint="eastAsia" w:ascii="仿宋" w:hAnsi="仿宋" w:eastAsia="仿宋" w:cs="仿宋"/>
          <w:b/>
          <w:bCs w:val="0"/>
          <w:kern w:val="2"/>
          <w:sz w:val="24"/>
          <w:szCs w:val="24"/>
          <w:highlight w:val="none"/>
          <w:lang w:val="en-US" w:eastAsia="zh-CN" w:bidi="ar"/>
        </w:rPr>
        <w:t>十五、知识产权</w:t>
      </w:r>
    </w:p>
    <w:p w14:paraId="04842AB2">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本合同中乙方所售产品仅限于甲方相关工程建设中的使用，无论任何原因，甲方未经乙方同意将乙方产品的知识产权用作他途均视为侵犯乙方知识产权，包括但不限于以下方面：仿制、假冒乙方产品；将乙方产品的外观设计、商标、图文等转让、出借或以其他方式给他人使用；若有此类情况发生，均可视为甲方违约，乙方有权立即终止本合同，依法追究甲方侵权及违约责任。</w:t>
      </w:r>
    </w:p>
    <w:p w14:paraId="097BC6E4">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未经甲方书面许可，乙方不得将本次合作中涉及的任意方案、设计、图形等资料擅自披露、使用或授权、转让给第三方使用，不得自主开发或与第三方合作开发该款产品；且此项目产品不得向第三方出售或授予第三方使用。</w:t>
      </w:r>
    </w:p>
    <w:p w14:paraId="67E69B6E">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3、未经甲方书面许可，乙方不得将本项目有关商务、设计信息以任何方式提供给任何第三方。</w:t>
      </w:r>
    </w:p>
    <w:p w14:paraId="40B02C16">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4、本协议项下的保密义务长期有效，不因本协议的解除、无效或提前终止而免除。</w:t>
      </w:r>
    </w:p>
    <w:p w14:paraId="5A97D5DA">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5、乙方在发货时应同时提供产品合格证书、检验报告、产品责任险、产品规格说明、产品质量认证报告、测试概要及测试结论。</w:t>
      </w:r>
    </w:p>
    <w:p w14:paraId="757C220C">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2" w:firstLineChars="200"/>
        <w:jc w:val="both"/>
        <w:textAlignment w:val="auto"/>
        <w:outlineLvl w:val="1"/>
        <w:rPr>
          <w:rFonts w:hint="eastAsia" w:ascii="仿宋" w:hAnsi="仿宋" w:eastAsia="仿宋" w:cs="仿宋"/>
          <w:b/>
          <w:bCs w:val="0"/>
          <w:kern w:val="2"/>
          <w:sz w:val="24"/>
          <w:szCs w:val="24"/>
          <w:highlight w:val="none"/>
          <w:lang w:val="en-US" w:eastAsia="zh-CN" w:bidi="ar"/>
        </w:rPr>
      </w:pPr>
      <w:bookmarkStart w:id="166" w:name="_Toc565139590_WPSOffice_Level1"/>
      <w:r>
        <w:rPr>
          <w:rFonts w:hint="eastAsia" w:ascii="仿宋" w:hAnsi="仿宋" w:eastAsia="仿宋" w:cs="仿宋"/>
          <w:b/>
          <w:bCs w:val="0"/>
          <w:kern w:val="2"/>
          <w:sz w:val="24"/>
          <w:szCs w:val="24"/>
          <w:highlight w:val="none"/>
          <w:lang w:val="en-US" w:eastAsia="zh-CN" w:bidi="ar"/>
        </w:rPr>
        <w:t>十六、保密</w:t>
      </w:r>
      <w:bookmarkEnd w:id="166"/>
    </w:p>
    <w:p w14:paraId="4B73152C">
      <w:pPr>
        <w:pStyle w:val="22"/>
        <w:keepNext w:val="0"/>
        <w:keepLines w:val="0"/>
        <w:pageBreakBefore w:val="0"/>
        <w:widowControl/>
        <w:suppressLineNumbers w:val="0"/>
        <w:kinsoku/>
        <w:overflowPunct/>
        <w:topLinePunct w:val="0"/>
        <w:autoSpaceDN/>
        <w:bidi w:val="0"/>
        <w:spacing w:before="0" w:beforeAutospacing="0" w:after="0" w:afterAutospacing="0" w:line="360" w:lineRule="auto"/>
        <w:ind w:left="0" w:right="0" w:firstLine="480" w:firstLineChars="200"/>
        <w:jc w:val="left"/>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双方应对本合同全部条款、其签订、履行以及本合同履行中获知的对方经营信息（包括但不限于不为公众所知的商业、技术、产品、服务、经营管理信息、客户资料、样本等资料）予以保密，无论是否以“密件”进行标注，保密义务永久有效，直至相关保密信息被合法公开。如有违反，违约方应向守约方支付本合同总价款10%的违约金；如该违约金不足以弥补守约方遭受的损失，违约方应足额赔偿守约方遭受的全部损失。</w:t>
      </w:r>
    </w:p>
    <w:p w14:paraId="46655EAE">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kern w:val="2"/>
          <w:sz w:val="24"/>
          <w:szCs w:val="24"/>
          <w:highlight w:val="none"/>
          <w:lang w:val="en-US" w:eastAsia="zh-CN" w:bidi="ar"/>
        </w:rPr>
        <w:t xml:space="preserve">  </w:t>
      </w:r>
      <w:r>
        <w:rPr>
          <w:rFonts w:hint="eastAsia" w:ascii="仿宋" w:hAnsi="仿宋" w:eastAsia="仿宋" w:cs="仿宋"/>
          <w:b/>
          <w:kern w:val="2"/>
          <w:sz w:val="24"/>
          <w:szCs w:val="24"/>
          <w:highlight w:val="none"/>
          <w:lang w:val="en-US" w:eastAsia="zh-CN" w:bidi="ar"/>
        </w:rPr>
        <w:t>十七、</w:t>
      </w:r>
      <w:r>
        <w:rPr>
          <w:rFonts w:hint="eastAsia" w:ascii="仿宋" w:hAnsi="仿宋" w:eastAsia="仿宋" w:cs="仿宋"/>
          <w:b/>
          <w:bCs w:val="0"/>
          <w:kern w:val="2"/>
          <w:sz w:val="24"/>
          <w:szCs w:val="24"/>
          <w:highlight w:val="none"/>
          <w:lang w:val="en-US" w:eastAsia="zh-CN" w:bidi="ar"/>
        </w:rPr>
        <w:t>不可抗力</w:t>
      </w:r>
    </w:p>
    <w:p w14:paraId="1187480B">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1.本条所称“不可抗力”系指在本合同签署后发生的、在本合同签署时不能预见的、无法避免或克服的的客观事件，包括但不限于洪水、火灾、爆炸、雷电、地震、风暴、战争、动乱、政府行为、罢工、黑客或病毒攻击、国际或国内运输中断、流行病以及根据中国法律或一般国际商业惯例认作不可抗力的其他事件。</w:t>
      </w:r>
    </w:p>
    <w:p w14:paraId="5A139446">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如果任何一方遭遇法律规定的不可抗力，致使合同履行受阻时，应自不可抗力事发生之日起7天内，将事件情况以书面形式通知另一方，并于不可抗力事件发生之日起30天内，向另一方提交导致其全部或部分不能履行或迟延履行的证明。发生不可抗力的一方在不可抗力影响的范围内免除其相应责任，但在迟延履行后发生不可抗力的，不能免除其责任。</w:t>
      </w:r>
    </w:p>
    <w:p w14:paraId="6115808D">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遭受不可抗力的一方应采取一切必要措施减少损失，并在事件消除后立即恢复本合同的履行，除非履行已不可能或者不必要。如果一方由于不可抗力事件无法履行其在本合同项下义务超过15天，则另一方应有权终止部分或整体合同。终止合同应向对方发出解除合同的通知。</w:t>
      </w:r>
    </w:p>
    <w:p w14:paraId="5F5A79D4">
      <w:pPr>
        <w:keepNext w:val="0"/>
        <w:keepLines w:val="0"/>
        <w:pageBreakBefore w:val="0"/>
        <w:widowControl w:val="0"/>
        <w:suppressLineNumbers w:val="0"/>
        <w:kinsoku/>
        <w:overflowPunct/>
        <w:topLinePunct w:val="0"/>
        <w:autoSpaceDN/>
        <w:bidi w:val="0"/>
        <w:spacing w:before="0" w:beforeAutospacing="0" w:after="0" w:afterAutospacing="0" w:line="360" w:lineRule="auto"/>
        <w:ind w:left="481" w:leftChars="0" w:right="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b/>
          <w:kern w:val="2"/>
          <w:sz w:val="24"/>
          <w:szCs w:val="24"/>
          <w:highlight w:val="none"/>
          <w:lang w:val="en-US" w:eastAsia="zh-CN" w:bidi="ar"/>
        </w:rPr>
        <w:t>十七、</w:t>
      </w:r>
      <w:r>
        <w:rPr>
          <w:rFonts w:hint="eastAsia" w:ascii="仿宋" w:hAnsi="仿宋" w:eastAsia="仿宋" w:cs="仿宋"/>
          <w:b/>
          <w:bCs w:val="0"/>
          <w:kern w:val="2"/>
          <w:sz w:val="24"/>
          <w:szCs w:val="24"/>
          <w:highlight w:val="none"/>
          <w:lang w:val="en-US" w:eastAsia="zh-CN" w:bidi="ar"/>
        </w:rPr>
        <w:t>法律适用及合同争议解决方式：</w:t>
      </w:r>
    </w:p>
    <w:p w14:paraId="6EF60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1.本合同的订立、效力、解释、履行以及争议的解决等均应遵守中华人民共和国法律法规之规定。</w:t>
      </w:r>
    </w:p>
    <w:p w14:paraId="4CF19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2.凡因本合同引起的或者与本合同有关的任何争议，甲乙双方首先应当及时友好协商解决。协商不成时，按下列第</w:t>
      </w:r>
      <w:r>
        <w:rPr>
          <w:rFonts w:hint="eastAsia" w:ascii="仿宋" w:hAnsi="仿宋" w:eastAsia="仿宋" w:cs="仿宋"/>
          <w:kern w:val="2"/>
          <w:sz w:val="24"/>
          <w:szCs w:val="24"/>
          <w:highlight w:val="none"/>
          <w:u w:val="single"/>
          <w:lang w:val="en-US" w:eastAsia="zh-CN" w:bidi="ar"/>
        </w:rPr>
        <w:t xml:space="preserve">   （二）  </w:t>
      </w:r>
      <w:r>
        <w:rPr>
          <w:rFonts w:hint="eastAsia" w:ascii="仿宋" w:hAnsi="仿宋" w:eastAsia="仿宋" w:cs="仿宋"/>
          <w:kern w:val="2"/>
          <w:sz w:val="24"/>
          <w:szCs w:val="24"/>
          <w:highlight w:val="none"/>
          <w:lang w:val="en-US" w:eastAsia="zh-CN" w:bidi="ar"/>
        </w:rPr>
        <w:t>种方式解决（只能选择其中一种）：</w:t>
      </w:r>
    </w:p>
    <w:p w14:paraId="70A79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（一）双方一致同意将争议提交杭州仲裁委员会，按照申请仲裁时该会有效的仲裁规则进行仲裁，仲裁地点在杭州。仲裁裁决是终局的，对双方均有约束力。</w:t>
      </w:r>
    </w:p>
    <w:p w14:paraId="35BDD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（二）任何一方均有权向甲方注册地人民法院提起诉讼。</w:t>
      </w:r>
    </w:p>
    <w:p w14:paraId="38896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3.上述争议发生期间以及协商、仲裁/诉讼期间，除与争议有关的事项外，甲乙双方仍应当行使各自在本合同项下的其他权利并履行各自在本合同项下的其他义务。</w:t>
      </w:r>
    </w:p>
    <w:p w14:paraId="1D8C60EF">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eastAsia="zh-CN" w:bidi="ar"/>
        </w:rPr>
        <w:t xml:space="preserve"> </w:t>
      </w:r>
      <w:r>
        <w:rPr>
          <w:rFonts w:hint="eastAsia" w:ascii="仿宋" w:hAnsi="仿宋" w:eastAsia="仿宋" w:cs="仿宋"/>
          <w:b/>
          <w:bCs w:val="0"/>
          <w:kern w:val="2"/>
          <w:sz w:val="24"/>
          <w:szCs w:val="24"/>
          <w:highlight w:val="none"/>
          <w:lang w:val="en-US" w:eastAsia="zh-CN" w:bidi="ar"/>
        </w:rPr>
        <w:t>十八、补充协议与附件：</w:t>
      </w:r>
    </w:p>
    <w:p w14:paraId="3085CA7C">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r>
        <w:rPr>
          <w:rFonts w:hint="eastAsia" w:ascii="仿宋" w:hAnsi="仿宋" w:eastAsia="仿宋" w:cs="仿宋"/>
          <w:kern w:val="2"/>
          <w:sz w:val="24"/>
          <w:szCs w:val="24"/>
          <w:highlight w:val="none"/>
          <w:lang w:eastAsia="zh-CN" w:bidi="ar"/>
        </w:rPr>
        <w:t xml:space="preserve"> </w:t>
      </w:r>
      <w:r>
        <w:rPr>
          <w:rFonts w:hint="eastAsia" w:ascii="仿宋" w:hAnsi="仿宋" w:eastAsia="仿宋" w:cs="仿宋"/>
          <w:kern w:val="2"/>
          <w:sz w:val="24"/>
          <w:szCs w:val="24"/>
          <w:highlight w:val="none"/>
          <w:lang w:val="en-US" w:eastAsia="zh-CN" w:bidi="ar"/>
        </w:rPr>
        <w:t>1.本合同如有未尽事宜，应由甲乙双方共同协商另行签订书面补充协议，补充协议具有与本合同同等的效力。补充协议内容与本合同内容不一致之处，以补充协议为准。</w:t>
      </w:r>
    </w:p>
    <w:p w14:paraId="76639F38">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r>
        <w:rPr>
          <w:rFonts w:hint="eastAsia" w:ascii="仿宋" w:hAnsi="仿宋" w:eastAsia="仿宋" w:cs="仿宋"/>
          <w:kern w:val="2"/>
          <w:sz w:val="24"/>
          <w:szCs w:val="24"/>
          <w:highlight w:val="none"/>
          <w:lang w:eastAsia="zh-CN" w:bidi="ar"/>
        </w:rPr>
        <w:t xml:space="preserve">  </w:t>
      </w:r>
      <w:r>
        <w:rPr>
          <w:rFonts w:hint="eastAsia" w:ascii="仿宋" w:hAnsi="仿宋" w:eastAsia="仿宋" w:cs="仿宋"/>
          <w:kern w:val="2"/>
          <w:sz w:val="24"/>
          <w:szCs w:val="24"/>
          <w:highlight w:val="none"/>
          <w:lang w:val="en-US" w:eastAsia="zh-CN" w:bidi="ar"/>
        </w:rPr>
        <w:t xml:space="preserve"> 2.本合同附件为本合同不可分割的组成部分，与本合同具有同等法律效力。本合同的附件包括：</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w:t>
      </w:r>
    </w:p>
    <w:p w14:paraId="1B83EBAF">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95"/>
        <w:jc w:val="both"/>
        <w:textAlignment w:val="auto"/>
        <w:rPr>
          <w:rFonts w:hint="eastAsia" w:ascii="仿宋" w:hAnsi="仿宋" w:eastAsia="仿宋" w:cs="仿宋"/>
          <w:color w:val="FF0000"/>
          <w:kern w:val="2"/>
          <w:sz w:val="24"/>
          <w:szCs w:val="24"/>
          <w:highlight w:val="none"/>
        </w:rPr>
      </w:pPr>
      <w:r>
        <w:rPr>
          <w:rFonts w:hint="eastAsia" w:ascii="仿宋" w:hAnsi="仿宋" w:eastAsia="仿宋" w:cs="仿宋"/>
          <w:b/>
          <w:bCs w:val="0"/>
          <w:kern w:val="2"/>
          <w:sz w:val="24"/>
          <w:szCs w:val="24"/>
          <w:highlight w:val="none"/>
          <w:lang w:val="en-US" w:eastAsia="zh-CN" w:bidi="ar"/>
        </w:rPr>
        <w:t>十九、合同的生效及其他：</w:t>
      </w:r>
    </w:p>
    <w:p w14:paraId="773170F4">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r>
        <w:rPr>
          <w:rFonts w:hint="eastAsia" w:ascii="仿宋" w:hAnsi="仿宋" w:eastAsia="仿宋" w:cs="仿宋"/>
          <w:kern w:val="2"/>
          <w:sz w:val="24"/>
          <w:szCs w:val="24"/>
          <w:highlight w:val="none"/>
          <w:lang w:eastAsia="zh-CN" w:bidi="ar"/>
        </w:rPr>
        <w:t xml:space="preserve">  </w:t>
      </w:r>
      <w:r>
        <w:rPr>
          <w:rFonts w:hint="eastAsia" w:ascii="仿宋" w:hAnsi="仿宋" w:eastAsia="仿宋" w:cs="仿宋"/>
          <w:kern w:val="2"/>
          <w:sz w:val="24"/>
          <w:szCs w:val="24"/>
          <w:highlight w:val="none"/>
          <w:lang w:val="en-US" w:eastAsia="zh-CN" w:bidi="ar"/>
        </w:rPr>
        <w:t>1.本合同自甲乙双方法定代表人或者委托代理签字并加盖公章或合同专用章之日起生效。</w:t>
      </w:r>
    </w:p>
    <w:p w14:paraId="100E9B3E">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2.本合同一式陆份，甲方叁份、乙方叁份，每份具有同等的法律效力。</w:t>
      </w:r>
    </w:p>
    <w:p w14:paraId="08517B6A">
      <w:pPr>
        <w:keepNext w:val="0"/>
        <w:keepLines w:val="0"/>
        <w:pageBreakBefore w:val="0"/>
        <w:widowControl w:val="0"/>
        <w:suppressLineNumbers w:val="0"/>
        <w:kinsoku/>
        <w:overflowPunct/>
        <w:topLinePunct w:val="0"/>
        <w:autoSpaceDN/>
        <w:bidi w:val="0"/>
        <w:spacing w:before="0" w:beforeAutospacing="0" w:after="0" w:afterAutospacing="0" w:line="360" w:lineRule="auto"/>
        <w:ind w:left="0" w:right="0"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3.其他约定：</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w:t>
      </w:r>
    </w:p>
    <w:tbl>
      <w:tblPr>
        <w:tblStyle w:val="27"/>
        <w:tblW w:w="9834"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01"/>
        <w:gridCol w:w="5033"/>
      </w:tblGrid>
      <w:tr w14:paraId="3017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64E0F93F">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center"/>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甲 方</w:t>
            </w:r>
          </w:p>
        </w:tc>
        <w:tc>
          <w:tcPr>
            <w:tcW w:w="5033" w:type="dxa"/>
            <w:tcBorders>
              <w:top w:val="single" w:color="auto" w:sz="4" w:space="0"/>
              <w:left w:val="nil"/>
              <w:bottom w:val="single" w:color="auto" w:sz="4" w:space="0"/>
              <w:right w:val="single" w:color="auto" w:sz="4" w:space="0"/>
            </w:tcBorders>
            <w:shd w:val="clear" w:color="auto" w:fill="auto"/>
            <w:vAlign w:val="center"/>
          </w:tcPr>
          <w:p w14:paraId="1DDAACA6">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center"/>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乙 方</w:t>
            </w:r>
          </w:p>
        </w:tc>
      </w:tr>
      <w:tr w14:paraId="7E8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5702869E">
            <w:pPr>
              <w:keepNext w:val="0"/>
              <w:keepLines w:val="0"/>
              <w:pageBreakBefore w:val="0"/>
              <w:widowControl w:val="0"/>
              <w:suppressLineNumbers w:val="0"/>
              <w:kinsoku/>
              <w:overflowPunct/>
              <w:topLinePunct w:val="0"/>
              <w:autoSpaceDN/>
              <w:bidi w:val="0"/>
              <w:spacing w:before="0" w:beforeAutospacing="0" w:after="0" w:afterAutospacing="0" w:line="240" w:lineRule="auto"/>
              <w:ind w:left="960" w:right="0" w:hanging="960" w:hangingChars="40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甲方： </w:t>
            </w:r>
          </w:p>
        </w:tc>
        <w:tc>
          <w:tcPr>
            <w:tcW w:w="5033" w:type="dxa"/>
            <w:tcBorders>
              <w:top w:val="single" w:color="auto" w:sz="4" w:space="0"/>
              <w:left w:val="nil"/>
              <w:bottom w:val="single" w:color="auto" w:sz="4" w:space="0"/>
              <w:right w:val="single" w:color="auto" w:sz="4" w:space="0"/>
            </w:tcBorders>
            <w:shd w:val="clear" w:color="auto" w:fill="auto"/>
            <w:vAlign w:val="center"/>
          </w:tcPr>
          <w:p w14:paraId="3704E4F7">
            <w:pPr>
              <w:keepNext w:val="0"/>
              <w:keepLines w:val="0"/>
              <w:pageBreakBefore w:val="0"/>
              <w:widowControl w:val="0"/>
              <w:suppressLineNumbers w:val="0"/>
              <w:kinsoku/>
              <w:overflowPunct/>
              <w:topLinePunct w:val="0"/>
              <w:autoSpaceDN/>
              <w:bidi w:val="0"/>
              <w:spacing w:before="0" w:beforeAutospacing="0" w:after="0" w:afterAutospacing="0" w:line="240" w:lineRule="auto"/>
              <w:ind w:left="960" w:right="0" w:hanging="960" w:hangingChars="40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乙方： </w:t>
            </w:r>
          </w:p>
        </w:tc>
      </w:tr>
      <w:tr w14:paraId="3EC2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1EE51534">
            <w:pPr>
              <w:keepNext w:val="0"/>
              <w:keepLines w:val="0"/>
              <w:pageBreakBefore w:val="0"/>
              <w:widowControl w:val="0"/>
              <w:suppressLineNumbers w:val="0"/>
              <w:kinsoku/>
              <w:overflowPunct/>
              <w:topLinePunct w:val="0"/>
              <w:autoSpaceDN/>
              <w:bidi w:val="0"/>
              <w:spacing w:before="0" w:beforeAutospacing="0" w:after="0" w:afterAutospacing="0" w:line="240" w:lineRule="auto"/>
              <w:ind w:left="720" w:right="0" w:hanging="720" w:hangingChars="30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地址： </w:t>
            </w:r>
          </w:p>
        </w:tc>
        <w:tc>
          <w:tcPr>
            <w:tcW w:w="5033" w:type="dxa"/>
            <w:tcBorders>
              <w:top w:val="single" w:color="auto" w:sz="4" w:space="0"/>
              <w:left w:val="nil"/>
              <w:bottom w:val="single" w:color="auto" w:sz="4" w:space="0"/>
              <w:right w:val="single" w:color="auto" w:sz="4" w:space="0"/>
            </w:tcBorders>
            <w:shd w:val="clear" w:color="auto" w:fill="auto"/>
            <w:vAlign w:val="center"/>
          </w:tcPr>
          <w:p w14:paraId="5D4E9EA3">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地址： </w:t>
            </w:r>
          </w:p>
        </w:tc>
      </w:tr>
      <w:tr w14:paraId="1628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0B7B554F">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法定代表人或委托代理（签字）：：</w:t>
            </w:r>
          </w:p>
        </w:tc>
        <w:tc>
          <w:tcPr>
            <w:tcW w:w="5033" w:type="dxa"/>
            <w:tcBorders>
              <w:top w:val="single" w:color="auto" w:sz="4" w:space="0"/>
              <w:left w:val="nil"/>
              <w:bottom w:val="single" w:color="auto" w:sz="4" w:space="0"/>
              <w:right w:val="single" w:color="auto" w:sz="4" w:space="0"/>
            </w:tcBorders>
            <w:shd w:val="clear" w:color="auto" w:fill="auto"/>
            <w:vAlign w:val="center"/>
          </w:tcPr>
          <w:p w14:paraId="6043C889">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法定代表人或委托代理（签字）：</w:t>
            </w:r>
          </w:p>
        </w:tc>
      </w:tr>
      <w:tr w14:paraId="102B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315BFE13">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日期：     年   月   日</w:t>
            </w:r>
          </w:p>
        </w:tc>
        <w:tc>
          <w:tcPr>
            <w:tcW w:w="5033" w:type="dxa"/>
            <w:tcBorders>
              <w:top w:val="single" w:color="auto" w:sz="4" w:space="0"/>
              <w:left w:val="nil"/>
              <w:bottom w:val="single" w:color="auto" w:sz="4" w:space="0"/>
              <w:right w:val="single" w:color="auto" w:sz="4" w:space="0"/>
            </w:tcBorders>
            <w:shd w:val="clear" w:color="auto" w:fill="auto"/>
            <w:vAlign w:val="center"/>
          </w:tcPr>
          <w:p w14:paraId="6D82AC9E">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日期：     年   月   日</w:t>
            </w:r>
          </w:p>
        </w:tc>
      </w:tr>
      <w:tr w14:paraId="0271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4F5EE78D">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电话：</w:t>
            </w:r>
          </w:p>
        </w:tc>
        <w:tc>
          <w:tcPr>
            <w:tcW w:w="5033" w:type="dxa"/>
            <w:tcBorders>
              <w:top w:val="single" w:color="auto" w:sz="4" w:space="0"/>
              <w:left w:val="nil"/>
              <w:bottom w:val="single" w:color="auto" w:sz="4" w:space="0"/>
              <w:right w:val="single" w:color="auto" w:sz="4" w:space="0"/>
            </w:tcBorders>
            <w:shd w:val="clear" w:color="auto" w:fill="auto"/>
            <w:vAlign w:val="center"/>
          </w:tcPr>
          <w:p w14:paraId="3A4B19D5">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电话： </w:t>
            </w:r>
          </w:p>
        </w:tc>
      </w:tr>
      <w:tr w14:paraId="7412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636FEDB4">
            <w:pPr>
              <w:keepNext w:val="0"/>
              <w:keepLines w:val="0"/>
              <w:pageBreakBefore w:val="0"/>
              <w:widowControl w:val="0"/>
              <w:suppressLineNumbers w:val="0"/>
              <w:kinsoku/>
              <w:overflowPunct/>
              <w:topLinePunct w:val="0"/>
              <w:autoSpaceDN/>
              <w:bidi w:val="0"/>
              <w:spacing w:before="0" w:beforeAutospacing="0" w:after="0" w:afterAutospacing="0" w:line="240" w:lineRule="auto"/>
              <w:ind w:left="-107" w:leftChars="-51" w:right="0" w:firstLine="122" w:firstLineChars="51"/>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开户银行： </w:t>
            </w:r>
          </w:p>
        </w:tc>
        <w:tc>
          <w:tcPr>
            <w:tcW w:w="5033" w:type="dxa"/>
            <w:tcBorders>
              <w:top w:val="single" w:color="auto" w:sz="4" w:space="0"/>
              <w:left w:val="nil"/>
              <w:bottom w:val="single" w:color="auto" w:sz="4" w:space="0"/>
              <w:right w:val="single" w:color="auto" w:sz="4" w:space="0"/>
            </w:tcBorders>
            <w:shd w:val="clear" w:color="auto" w:fill="auto"/>
            <w:vAlign w:val="center"/>
          </w:tcPr>
          <w:p w14:paraId="4E270DBC">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开户银行： </w:t>
            </w:r>
          </w:p>
        </w:tc>
      </w:tr>
      <w:tr w14:paraId="04C1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29FD26CF">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账号： </w:t>
            </w:r>
          </w:p>
        </w:tc>
        <w:tc>
          <w:tcPr>
            <w:tcW w:w="5033" w:type="dxa"/>
            <w:tcBorders>
              <w:top w:val="single" w:color="auto" w:sz="4" w:space="0"/>
              <w:left w:val="nil"/>
              <w:bottom w:val="single" w:color="auto" w:sz="4" w:space="0"/>
              <w:right w:val="single" w:color="auto" w:sz="4" w:space="0"/>
            </w:tcBorders>
            <w:shd w:val="clear" w:color="auto" w:fill="auto"/>
            <w:vAlign w:val="center"/>
          </w:tcPr>
          <w:p w14:paraId="65CFC2DD">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账号： </w:t>
            </w:r>
          </w:p>
        </w:tc>
      </w:tr>
      <w:tr w14:paraId="04FD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801" w:type="dxa"/>
            <w:tcBorders>
              <w:top w:val="single" w:color="auto" w:sz="4" w:space="0"/>
              <w:left w:val="single" w:color="auto" w:sz="4" w:space="0"/>
              <w:bottom w:val="single" w:color="auto" w:sz="4" w:space="0"/>
              <w:right w:val="single" w:color="auto" w:sz="4" w:space="0"/>
            </w:tcBorders>
            <w:shd w:val="clear" w:color="auto" w:fill="auto"/>
            <w:vAlign w:val="center"/>
          </w:tcPr>
          <w:p w14:paraId="35644344">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统一社会信用代码： </w:t>
            </w:r>
          </w:p>
        </w:tc>
        <w:tc>
          <w:tcPr>
            <w:tcW w:w="5033" w:type="dxa"/>
            <w:tcBorders>
              <w:top w:val="single" w:color="auto" w:sz="4" w:space="0"/>
              <w:left w:val="nil"/>
              <w:bottom w:val="single" w:color="auto" w:sz="4" w:space="0"/>
              <w:right w:val="single" w:color="auto" w:sz="4" w:space="0"/>
            </w:tcBorders>
            <w:shd w:val="clear" w:color="auto" w:fill="auto"/>
            <w:vAlign w:val="center"/>
          </w:tcPr>
          <w:p w14:paraId="0C3D4799">
            <w:pPr>
              <w:keepNext w:val="0"/>
              <w:keepLines w:val="0"/>
              <w:pageBreakBefore w:val="0"/>
              <w:widowControl w:val="0"/>
              <w:suppressLineNumbers w:val="0"/>
              <w:kinsoku/>
              <w:overflowPunct/>
              <w:topLinePunct w:val="0"/>
              <w:autoSpaceDN/>
              <w:bidi w:val="0"/>
              <w:spacing w:before="0" w:beforeAutospacing="0" w:after="0" w:afterAutospacing="0" w:line="240" w:lineRule="auto"/>
              <w:ind w:left="0" w:right="0"/>
              <w:jc w:val="both"/>
              <w:textAlignment w:val="auto"/>
              <w:rPr>
                <w:rFonts w:hint="eastAsia" w:ascii="仿宋" w:hAnsi="仿宋" w:eastAsia="仿宋" w:cs="仿宋"/>
                <w:b/>
                <w:kern w:val="2"/>
                <w:sz w:val="24"/>
                <w:szCs w:val="24"/>
                <w:highlight w:val="none"/>
              </w:rPr>
            </w:pPr>
            <w:r>
              <w:rPr>
                <w:rFonts w:hint="eastAsia" w:ascii="仿宋" w:hAnsi="仿宋" w:eastAsia="仿宋" w:cs="仿宋"/>
                <w:kern w:val="2"/>
                <w:sz w:val="24"/>
                <w:szCs w:val="24"/>
                <w:highlight w:val="none"/>
                <w:lang w:val="en-US" w:eastAsia="zh-CN" w:bidi="ar"/>
              </w:rPr>
              <w:t xml:space="preserve">统一社会信用代码： </w:t>
            </w:r>
          </w:p>
        </w:tc>
      </w:tr>
    </w:tbl>
    <w:p w14:paraId="5B4B9B4D">
      <w:pPr>
        <w:pStyle w:val="25"/>
        <w:ind w:firstLine="241"/>
        <w:rPr>
          <w:rFonts w:hint="eastAsia" w:ascii="仿宋" w:hAnsi="仿宋" w:eastAsia="仿宋" w:cs="仿宋"/>
          <w:sz w:val="24"/>
          <w:szCs w:val="24"/>
          <w:highlight w:val="none"/>
        </w:rPr>
      </w:pPr>
    </w:p>
    <w:p w14:paraId="1F7C69D4">
      <w:pPr>
        <w:rPr>
          <w:rFonts w:hint="eastAsia" w:ascii="仿宋" w:hAnsi="仿宋" w:eastAsia="仿宋" w:cs="仿宋"/>
          <w:b/>
          <w:bCs/>
          <w:szCs w:val="32"/>
          <w:highlight w:val="none"/>
        </w:rPr>
      </w:pPr>
    </w:p>
    <w:p w14:paraId="54EAB99D">
      <w:pPr>
        <w:ind w:right="227" w:rightChars="108"/>
        <w:rPr>
          <w:rFonts w:hint="eastAsia" w:ascii="仿宋" w:hAnsi="仿宋" w:eastAsia="仿宋" w:cs="仿宋"/>
          <w:sz w:val="28"/>
          <w:szCs w:val="28"/>
          <w:highlight w:val="none"/>
        </w:rPr>
      </w:pPr>
    </w:p>
    <w:p w14:paraId="797D527A">
      <w:pPr>
        <w:numPr>
          <w:ilvl w:val="255"/>
          <w:numId w:val="0"/>
        </w:numPr>
        <w:rPr>
          <w:rFonts w:hint="eastAsia" w:ascii="仿宋" w:hAnsi="仿宋" w:eastAsia="仿宋" w:cs="仿宋"/>
          <w:color w:val="000000" w:themeColor="text1"/>
          <w:sz w:val="24"/>
          <w:highlight w:val="none"/>
          <w14:textFill>
            <w14:solidFill>
              <w14:schemeClr w14:val="tx1"/>
            </w14:solidFill>
          </w14:textFill>
        </w:rPr>
      </w:pPr>
    </w:p>
    <w:p w14:paraId="720DFA68">
      <w:pPr>
        <w:rPr>
          <w:rFonts w:hint="eastAsia" w:ascii="仿宋" w:hAnsi="仿宋" w:eastAsia="仿宋" w:cs="仿宋"/>
          <w:b/>
          <w:color w:val="000000" w:themeColor="text1"/>
          <w:sz w:val="36"/>
          <w:szCs w:val="36"/>
          <w:highlight w:val="none"/>
          <w14:textFill>
            <w14:solidFill>
              <w14:schemeClr w14:val="tx1"/>
            </w14:solidFill>
          </w14:textFill>
        </w:rPr>
      </w:pPr>
      <w:bookmarkStart w:id="167" w:name="_Toc2792"/>
      <w:r>
        <w:rPr>
          <w:rFonts w:hint="eastAsia" w:ascii="仿宋" w:hAnsi="仿宋" w:eastAsia="仿宋" w:cs="仿宋"/>
          <w:b/>
          <w:color w:val="000000" w:themeColor="text1"/>
          <w:sz w:val="36"/>
          <w:szCs w:val="36"/>
          <w:highlight w:val="none"/>
          <w14:textFill>
            <w14:solidFill>
              <w14:schemeClr w14:val="tx1"/>
            </w14:solidFill>
          </w14:textFill>
        </w:rPr>
        <w:br w:type="page"/>
      </w:r>
    </w:p>
    <w:p w14:paraId="348EF1AC">
      <w:pPr>
        <w:wordWrap w:val="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评审方法</w:t>
      </w:r>
      <w:bookmarkEnd w:id="167"/>
    </w:p>
    <w:p w14:paraId="336A1603">
      <w:pPr>
        <w:wordWrap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437E10A">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bookmarkStart w:id="168" w:name="_Toc101294410"/>
      <w:bookmarkStart w:id="169" w:name="_Toc101294480"/>
      <w:r>
        <w:rPr>
          <w:rFonts w:hint="eastAsia" w:ascii="仿宋" w:eastAsia="仿宋" w:cs="仿宋"/>
          <w:color w:val="000000" w:themeColor="text1"/>
          <w:sz w:val="24"/>
          <w:szCs w:val="24"/>
          <w:highlight w:val="none"/>
          <w14:textFill>
            <w14:solidFill>
              <w14:schemeClr w14:val="tx1"/>
            </w14:solidFill>
          </w14:textFill>
        </w:rPr>
        <w:t>1</w:t>
      </w:r>
      <w:r>
        <w:rPr>
          <w:rFonts w:hint="eastAsia" w:ascii="仿宋" w:eastAsia="仿宋" w:cs="仿宋"/>
          <w:color w:val="000000" w:themeColor="text1"/>
          <w:spacing w:val="-28"/>
          <w:sz w:val="24"/>
          <w:szCs w:val="24"/>
          <w:highlight w:val="none"/>
          <w14:textFill>
            <w14:solidFill>
              <w14:schemeClr w14:val="tx1"/>
            </w14:solidFill>
          </w14:textFill>
        </w:rPr>
        <w:t>、</w:t>
      </w:r>
      <w:r>
        <w:rPr>
          <w:rFonts w:hint="eastAsia" w:ascii="仿宋" w:eastAsia="仿宋" w:cs="仿宋"/>
          <w:color w:val="000000" w:themeColor="text1"/>
          <w:sz w:val="24"/>
          <w:szCs w:val="24"/>
          <w:highlight w:val="none"/>
          <w14:textFill>
            <w14:solidFill>
              <w14:schemeClr w14:val="tx1"/>
            </w14:solidFill>
          </w14:textFill>
        </w:rPr>
        <w:t>评审方法</w:t>
      </w:r>
    </w:p>
    <w:p w14:paraId="69028DDA">
      <w:pPr>
        <w:spacing w:line="360" w:lineRule="auto"/>
        <w:ind w:firstLine="52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10"/>
          <w:sz w:val="24"/>
          <w:highlight w:val="none"/>
          <w14:textFill>
            <w14:solidFill>
              <w14:schemeClr w14:val="tx1"/>
            </w14:solidFill>
          </w14:textFill>
        </w:rPr>
        <w:t>本</w:t>
      </w:r>
      <w:r>
        <w:rPr>
          <w:rFonts w:hint="eastAsia" w:ascii="仿宋" w:hAnsi="仿宋" w:eastAsia="仿宋" w:cs="仿宋"/>
          <w:color w:val="000000" w:themeColor="text1"/>
          <w:spacing w:val="9"/>
          <w:sz w:val="24"/>
          <w:highlight w:val="none"/>
          <w14:textFill>
            <w14:solidFill>
              <w14:schemeClr w14:val="tx1"/>
            </w14:solidFill>
          </w14:textFill>
        </w:rPr>
        <w:t>项目评审方法及标准采用</w:t>
      </w:r>
      <w:r>
        <w:rPr>
          <w:rFonts w:hint="eastAsia" w:ascii="仿宋" w:hAnsi="仿宋" w:eastAsia="仿宋" w:cs="仿宋"/>
          <w:b/>
          <w:color w:val="000000" w:themeColor="text1"/>
          <w:spacing w:val="9"/>
          <w:sz w:val="24"/>
          <w:highlight w:val="none"/>
          <w14:textFill>
            <w14:solidFill>
              <w14:schemeClr w14:val="tx1"/>
            </w14:solidFill>
          </w14:textFill>
        </w:rPr>
        <w:t>经评审最低价法</w:t>
      </w:r>
      <w:r>
        <w:rPr>
          <w:rFonts w:hint="eastAsia" w:ascii="仿宋" w:hAnsi="仿宋" w:eastAsia="仿宋" w:cs="仿宋"/>
          <w:color w:val="000000" w:themeColor="text1"/>
          <w:spacing w:val="11"/>
          <w:sz w:val="24"/>
          <w:highlight w:val="none"/>
          <w14:textFill>
            <w14:solidFill>
              <w14:schemeClr w14:val="tx1"/>
            </w14:solidFill>
          </w14:textFill>
        </w:rPr>
        <w:t>。</w:t>
      </w:r>
    </w:p>
    <w:p w14:paraId="627A43AA">
      <w:pPr>
        <w:rPr>
          <w:rFonts w:hint="eastAsia" w:ascii="仿宋_GB2312" w:hAnsi="仿宋" w:eastAsia="仿宋_GB2312"/>
          <w:color w:val="000000" w:themeColor="text1"/>
          <w:sz w:val="32"/>
          <w:szCs w:val="32"/>
          <w:highlight w:val="none"/>
          <w14:textFill>
            <w14:solidFill>
              <w14:schemeClr w14:val="tx1"/>
            </w14:solidFill>
          </w14:textFill>
        </w:rPr>
      </w:pPr>
    </w:p>
    <w:p w14:paraId="5E6AAAC5">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2、评审程序</w:t>
      </w:r>
    </w:p>
    <w:p w14:paraId="0D76328F">
      <w:pPr>
        <w:spacing w:line="360" w:lineRule="auto"/>
        <w:ind w:firstLine="516"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9"/>
          <w:sz w:val="24"/>
          <w:highlight w:val="none"/>
          <w14:textFill>
            <w14:solidFill>
              <w14:schemeClr w14:val="tx1"/>
            </w14:solidFill>
          </w14:textFill>
        </w:rPr>
        <w:t>评审小组按照以下程序开展评审工</w:t>
      </w:r>
      <w:r>
        <w:rPr>
          <w:rFonts w:hint="eastAsia" w:ascii="仿宋" w:hAnsi="仿宋" w:eastAsia="仿宋" w:cs="仿宋"/>
          <w:color w:val="000000" w:themeColor="text1"/>
          <w:spacing w:val="8"/>
          <w:sz w:val="24"/>
          <w:highlight w:val="none"/>
          <w14:textFill>
            <w14:solidFill>
              <w14:schemeClr w14:val="tx1"/>
            </w14:solidFill>
          </w14:textFill>
        </w:rPr>
        <w:t>作</w:t>
      </w:r>
      <w:r>
        <w:rPr>
          <w:rFonts w:hint="eastAsia" w:ascii="仿宋" w:hAnsi="仿宋" w:eastAsia="仿宋" w:cs="仿宋"/>
          <w:color w:val="000000" w:themeColor="text1"/>
          <w:spacing w:val="10"/>
          <w:sz w:val="24"/>
          <w:highlight w:val="none"/>
          <w14:textFill>
            <w14:solidFill>
              <w14:schemeClr w14:val="tx1"/>
            </w14:solidFill>
          </w14:textFill>
        </w:rPr>
        <w:t>。</w:t>
      </w:r>
    </w:p>
    <w:p w14:paraId="2FC69A98">
      <w:pPr>
        <w:spacing w:line="360" w:lineRule="auto"/>
        <w:ind w:firstLine="49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 xml:space="preserve">2.1 </w:t>
      </w:r>
      <w:r>
        <w:rPr>
          <w:rFonts w:hint="eastAsia" w:ascii="仿宋" w:hAnsi="仿宋" w:eastAsia="仿宋" w:cs="仿宋"/>
          <w:color w:val="000000" w:themeColor="text1"/>
          <w:spacing w:val="5"/>
          <w:sz w:val="24"/>
          <w:highlight w:val="none"/>
          <w14:textFill>
            <w14:solidFill>
              <w14:schemeClr w14:val="tx1"/>
            </w14:solidFill>
          </w14:textFill>
        </w:rPr>
        <w:t>熟悉询价</w:t>
      </w:r>
      <w:r>
        <w:rPr>
          <w:rFonts w:hint="eastAsia" w:ascii="仿宋" w:hAnsi="仿宋" w:eastAsia="仿宋" w:cs="仿宋"/>
          <w:color w:val="000000" w:themeColor="text1"/>
          <w:spacing w:val="4"/>
          <w:sz w:val="24"/>
          <w:highlight w:val="none"/>
          <w14:textFill>
            <w14:solidFill>
              <w14:schemeClr w14:val="tx1"/>
            </w14:solidFill>
          </w14:textFill>
        </w:rPr>
        <w:t>文件和评审办法</w:t>
      </w:r>
      <w:r>
        <w:rPr>
          <w:rFonts w:hint="eastAsia" w:ascii="仿宋" w:hAnsi="仿宋" w:eastAsia="仿宋" w:cs="仿宋"/>
          <w:color w:val="000000" w:themeColor="text1"/>
          <w:spacing w:val="5"/>
          <w:sz w:val="24"/>
          <w:highlight w:val="none"/>
          <w14:textFill>
            <w14:solidFill>
              <w14:schemeClr w14:val="tx1"/>
            </w14:solidFill>
          </w14:textFill>
        </w:rPr>
        <w:t>；</w:t>
      </w:r>
    </w:p>
    <w:p w14:paraId="191620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2.2资格审查</w:t>
      </w:r>
      <w:r>
        <w:rPr>
          <w:rFonts w:hint="eastAsia" w:ascii="仿宋" w:hAnsi="仿宋" w:eastAsia="仿宋" w:cs="仿宋"/>
          <w:color w:val="000000" w:themeColor="text1"/>
          <w:spacing w:val="-5"/>
          <w:sz w:val="24"/>
          <w:highlight w:val="none"/>
          <w14:textFill>
            <w14:solidFill>
              <w14:schemeClr w14:val="tx1"/>
            </w14:solidFill>
          </w14:textFill>
        </w:rPr>
        <w:t>；</w:t>
      </w:r>
    </w:p>
    <w:p w14:paraId="7FB194EB">
      <w:pPr>
        <w:spacing w:line="360" w:lineRule="auto"/>
        <w:ind w:firstLine="480" w:firstLineChars="200"/>
        <w:rPr>
          <w:rFonts w:asci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w:t>
      </w:r>
      <w:r>
        <w:rPr>
          <w:rFonts w:hint="eastAsia" w:ascii="仿宋" w:eastAsia="仿宋" w:cs="仿宋"/>
          <w:color w:val="000000" w:themeColor="text1"/>
          <w:sz w:val="24"/>
          <w:highlight w:val="none"/>
          <w14:textFill>
            <w14:solidFill>
              <w14:schemeClr w14:val="tx1"/>
            </w14:solidFill>
          </w14:textFill>
        </w:rPr>
        <w:t>确定评审区间;</w:t>
      </w:r>
    </w:p>
    <w:p w14:paraId="696B2B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eastAsia="仿宋" w:cs="仿宋"/>
          <w:color w:val="000000" w:themeColor="text1"/>
          <w:sz w:val="24"/>
          <w:highlight w:val="none"/>
          <w14:textFill>
            <w14:solidFill>
              <w14:schemeClr w14:val="tx1"/>
            </w14:solidFill>
          </w14:textFill>
        </w:rPr>
        <w:t>2.4</w:t>
      </w:r>
      <w:r>
        <w:rPr>
          <w:rFonts w:hint="eastAsia" w:ascii="仿宋" w:hAnsi="仿宋" w:eastAsia="仿宋" w:cs="仿宋"/>
          <w:color w:val="000000" w:themeColor="text1"/>
          <w:sz w:val="24"/>
          <w:highlight w:val="none"/>
          <w14:textFill>
            <w14:solidFill>
              <w14:schemeClr w14:val="tx1"/>
            </w14:solidFill>
          </w14:textFill>
        </w:rPr>
        <w:t>初步评审</w:t>
      </w:r>
      <w:r>
        <w:rPr>
          <w:rFonts w:hint="eastAsia" w:ascii="仿宋" w:hAnsi="仿宋" w:eastAsia="仿宋" w:cs="仿宋"/>
          <w:color w:val="000000" w:themeColor="text1"/>
          <w:spacing w:val="-5"/>
          <w:sz w:val="24"/>
          <w:highlight w:val="none"/>
          <w14:textFill>
            <w14:solidFill>
              <w14:schemeClr w14:val="tx1"/>
            </w14:solidFill>
          </w14:textFill>
        </w:rPr>
        <w:t>；</w:t>
      </w:r>
    </w:p>
    <w:p w14:paraId="0C6E106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2.5详细评审</w:t>
      </w:r>
      <w:r>
        <w:rPr>
          <w:rFonts w:hint="eastAsia" w:ascii="仿宋" w:hAnsi="仿宋" w:eastAsia="仿宋" w:cs="仿宋"/>
          <w:color w:val="000000" w:themeColor="text1"/>
          <w:spacing w:val="-5"/>
          <w:sz w:val="24"/>
          <w:highlight w:val="none"/>
          <w14:textFill>
            <w14:solidFill>
              <w14:schemeClr w14:val="tx1"/>
            </w14:solidFill>
          </w14:textFill>
        </w:rPr>
        <w:t>；</w:t>
      </w:r>
    </w:p>
    <w:p w14:paraId="4E754197">
      <w:pPr>
        <w:spacing w:line="360" w:lineRule="auto"/>
        <w:ind w:firstLine="49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2.6</w:t>
      </w:r>
      <w:r>
        <w:rPr>
          <w:rFonts w:hint="eastAsia" w:ascii="仿宋" w:hAnsi="仿宋" w:eastAsia="仿宋" w:cs="仿宋"/>
          <w:color w:val="000000" w:themeColor="text1"/>
          <w:spacing w:val="5"/>
          <w:sz w:val="24"/>
          <w:highlight w:val="none"/>
          <w14:textFill>
            <w14:solidFill>
              <w14:schemeClr w14:val="tx1"/>
            </w14:solidFill>
          </w14:textFill>
        </w:rPr>
        <w:t>应价文</w:t>
      </w:r>
      <w:r>
        <w:rPr>
          <w:rFonts w:hint="eastAsia" w:ascii="仿宋" w:hAnsi="仿宋" w:eastAsia="仿宋" w:cs="仿宋"/>
          <w:color w:val="000000" w:themeColor="text1"/>
          <w:spacing w:val="4"/>
          <w:sz w:val="24"/>
          <w:highlight w:val="none"/>
          <w14:textFill>
            <w14:solidFill>
              <w14:schemeClr w14:val="tx1"/>
            </w14:solidFill>
          </w14:textFill>
        </w:rPr>
        <w:t>件澄清</w:t>
      </w:r>
      <w:r>
        <w:rPr>
          <w:rFonts w:hint="eastAsia" w:ascii="仿宋" w:hAnsi="仿宋" w:eastAsia="仿宋" w:cs="仿宋"/>
          <w:color w:val="000000" w:themeColor="text1"/>
          <w:spacing w:val="5"/>
          <w:sz w:val="24"/>
          <w:highlight w:val="none"/>
          <w14:textFill>
            <w14:solidFill>
              <w14:schemeClr w14:val="tx1"/>
            </w14:solidFill>
          </w14:textFill>
        </w:rPr>
        <w:t>、</w:t>
      </w:r>
      <w:r>
        <w:rPr>
          <w:rFonts w:hint="eastAsia" w:ascii="仿宋" w:hAnsi="仿宋" w:eastAsia="仿宋" w:cs="仿宋"/>
          <w:color w:val="000000" w:themeColor="text1"/>
          <w:spacing w:val="4"/>
          <w:sz w:val="24"/>
          <w:highlight w:val="none"/>
          <w14:textFill>
            <w14:solidFill>
              <w14:schemeClr w14:val="tx1"/>
            </w14:solidFill>
          </w14:textFill>
        </w:rPr>
        <w:t>报价修正</w:t>
      </w:r>
      <w:r>
        <w:rPr>
          <w:rFonts w:hint="eastAsia" w:ascii="仿宋" w:hAnsi="仿宋" w:eastAsia="仿宋" w:cs="仿宋"/>
          <w:color w:val="000000" w:themeColor="text1"/>
          <w:spacing w:val="5"/>
          <w:sz w:val="24"/>
          <w:highlight w:val="none"/>
          <w14:textFill>
            <w14:solidFill>
              <w14:schemeClr w14:val="tx1"/>
            </w14:solidFill>
          </w14:textFill>
        </w:rPr>
        <w:t>；</w:t>
      </w:r>
    </w:p>
    <w:p w14:paraId="63D224AA">
      <w:pPr>
        <w:spacing w:line="360" w:lineRule="auto"/>
        <w:ind w:firstLine="49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2.7</w:t>
      </w:r>
      <w:r>
        <w:rPr>
          <w:rFonts w:hint="eastAsia" w:ascii="仿宋" w:hAnsi="仿宋" w:eastAsia="仿宋" w:cs="仿宋"/>
          <w:color w:val="000000" w:themeColor="text1"/>
          <w:spacing w:val="4"/>
          <w:sz w:val="24"/>
          <w:highlight w:val="none"/>
          <w14:textFill>
            <w14:solidFill>
              <w14:schemeClr w14:val="tx1"/>
            </w14:solidFill>
          </w14:textFill>
        </w:rPr>
        <w:t>排序与推荐成交</w:t>
      </w:r>
      <w:r>
        <w:rPr>
          <w:rFonts w:hint="eastAsia" w:ascii="仿宋" w:hAnsi="仿宋" w:eastAsia="仿宋" w:cs="仿宋"/>
          <w:color w:val="000000" w:themeColor="text1"/>
          <w:spacing w:val="3"/>
          <w:sz w:val="24"/>
          <w:highlight w:val="none"/>
          <w14:textFill>
            <w14:solidFill>
              <w14:schemeClr w14:val="tx1"/>
            </w14:solidFill>
          </w14:textFill>
        </w:rPr>
        <w:t>候选人</w:t>
      </w:r>
      <w:r>
        <w:rPr>
          <w:rFonts w:hint="eastAsia" w:ascii="仿宋" w:hAnsi="仿宋" w:eastAsia="仿宋" w:cs="仿宋"/>
          <w:color w:val="000000" w:themeColor="text1"/>
          <w:spacing w:val="5"/>
          <w:sz w:val="24"/>
          <w:highlight w:val="none"/>
          <w14:textFill>
            <w14:solidFill>
              <w14:schemeClr w14:val="tx1"/>
            </w14:solidFill>
          </w14:textFill>
        </w:rPr>
        <w:t>；</w:t>
      </w:r>
    </w:p>
    <w:p w14:paraId="49C7F9FF">
      <w:pPr>
        <w:spacing w:line="360" w:lineRule="auto"/>
        <w:ind w:firstLine="488"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
          <w:sz w:val="24"/>
          <w:highlight w:val="none"/>
          <w14:textFill>
            <w14:solidFill>
              <w14:schemeClr w14:val="tx1"/>
            </w14:solidFill>
          </w14:textFill>
        </w:rPr>
        <w:t>2.8</w:t>
      </w:r>
      <w:r>
        <w:rPr>
          <w:rFonts w:hint="eastAsia" w:ascii="仿宋" w:hAnsi="仿宋" w:eastAsia="仿宋" w:cs="仿宋"/>
          <w:color w:val="000000" w:themeColor="text1"/>
          <w:spacing w:val="1"/>
          <w:sz w:val="24"/>
          <w:highlight w:val="none"/>
          <w14:textFill>
            <w14:solidFill>
              <w14:schemeClr w14:val="tx1"/>
            </w14:solidFill>
          </w14:textFill>
        </w:rPr>
        <w:t>完成评审报告</w:t>
      </w:r>
      <w:r>
        <w:rPr>
          <w:rFonts w:hint="eastAsia" w:ascii="仿宋" w:hAnsi="仿宋" w:eastAsia="仿宋" w:cs="仿宋"/>
          <w:color w:val="000000" w:themeColor="text1"/>
          <w:spacing w:val="3"/>
          <w:sz w:val="24"/>
          <w:highlight w:val="none"/>
          <w14:textFill>
            <w14:solidFill>
              <w14:schemeClr w14:val="tx1"/>
            </w14:solidFill>
          </w14:textFill>
        </w:rPr>
        <w:t>。</w:t>
      </w:r>
    </w:p>
    <w:p w14:paraId="2ACED4D2">
      <w:pPr>
        <w:rPr>
          <w:rFonts w:hint="eastAsia" w:ascii="仿宋_GB2312" w:hAnsi="仿宋" w:eastAsia="仿宋_GB2312"/>
          <w:color w:val="000000" w:themeColor="text1"/>
          <w:sz w:val="32"/>
          <w:szCs w:val="32"/>
          <w:highlight w:val="none"/>
          <w14:textFill>
            <w14:solidFill>
              <w14:schemeClr w14:val="tx1"/>
            </w14:solidFill>
          </w14:textFill>
        </w:rPr>
      </w:pPr>
    </w:p>
    <w:p w14:paraId="1A2B737F">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3、资格审查</w:t>
      </w:r>
    </w:p>
    <w:p w14:paraId="6DD48F3C">
      <w:pPr>
        <w:spacing w:line="360" w:lineRule="auto"/>
        <w:ind w:right="2" w:firstLine="504"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3.1 </w:t>
      </w:r>
      <w:r>
        <w:rPr>
          <w:rFonts w:hint="eastAsia" w:ascii="仿宋" w:hAnsi="仿宋" w:eastAsia="仿宋" w:cs="仿宋"/>
          <w:color w:val="000000" w:themeColor="text1"/>
          <w:spacing w:val="11"/>
          <w:sz w:val="24"/>
          <w:highlight w:val="none"/>
          <w14:textFill>
            <w14:solidFill>
              <w14:schemeClr w14:val="tx1"/>
            </w14:solidFill>
          </w14:textFill>
        </w:rPr>
        <w:t>评审小组按照询价文件的要求和规定，对应价人的应价</w:t>
      </w:r>
      <w:r>
        <w:rPr>
          <w:rFonts w:hint="eastAsia" w:ascii="仿宋" w:hAnsi="仿宋" w:eastAsia="仿宋" w:cs="仿宋"/>
          <w:color w:val="000000" w:themeColor="text1"/>
          <w:spacing w:val="10"/>
          <w:sz w:val="24"/>
          <w:highlight w:val="none"/>
          <w14:textFill>
            <w14:solidFill>
              <w14:schemeClr w14:val="tx1"/>
            </w14:solidFill>
          </w14:textFill>
        </w:rPr>
        <w:t>资格进行审查</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应价人存在以下情形</w:t>
      </w:r>
      <w:r>
        <w:rPr>
          <w:rFonts w:hint="eastAsia" w:ascii="仿宋" w:hAnsi="仿宋" w:eastAsia="仿宋" w:cs="仿宋"/>
          <w:color w:val="000000" w:themeColor="text1"/>
          <w:spacing w:val="9"/>
          <w:sz w:val="24"/>
          <w:highlight w:val="none"/>
          <w14:textFill>
            <w14:solidFill>
              <w14:schemeClr w14:val="tx1"/>
            </w14:solidFill>
          </w14:textFill>
        </w:rPr>
        <w:t>之一的</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资格审查不予通过</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否决其应价</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不再进行后续评审</w:t>
      </w:r>
      <w:r>
        <w:rPr>
          <w:rFonts w:hint="eastAsia" w:ascii="仿宋" w:hAnsi="仿宋" w:eastAsia="仿宋" w:cs="仿宋"/>
          <w:color w:val="000000" w:themeColor="text1"/>
          <w:spacing w:val="11"/>
          <w:sz w:val="24"/>
          <w:highlight w:val="none"/>
          <w14:textFill>
            <w14:solidFill>
              <w14:schemeClr w14:val="tx1"/>
            </w14:solidFill>
          </w14:textFill>
        </w:rPr>
        <w:t>：</w:t>
      </w:r>
    </w:p>
    <w:p w14:paraId="63F5C3BB">
      <w:pPr>
        <w:spacing w:line="360" w:lineRule="auto"/>
        <w:ind w:firstLine="518" w:firstLineChars="200"/>
        <w:rPr>
          <w:rFonts w:hint="eastAsia" w:ascii="仿宋" w:hAnsi="仿宋" w:eastAsia="仿宋" w:cs="仿宋"/>
          <w:b/>
          <w:color w:val="000000" w:themeColor="text1"/>
          <w:spacing w:val="9"/>
          <w:sz w:val="24"/>
          <w:highlight w:val="none"/>
          <w:u w:val="single"/>
          <w14:textFill>
            <w14:solidFill>
              <w14:schemeClr w14:val="tx1"/>
            </w14:solidFill>
          </w14:textFill>
        </w:rPr>
      </w:pPr>
      <w:r>
        <w:rPr>
          <w:rFonts w:hint="eastAsia" w:ascii="仿宋" w:hAnsi="仿宋" w:eastAsia="仿宋" w:cs="仿宋"/>
          <w:b/>
          <w:color w:val="000000" w:themeColor="text1"/>
          <w:spacing w:val="9"/>
          <w:sz w:val="24"/>
          <w:highlight w:val="none"/>
          <w:u w:val="single"/>
          <w14:textFill>
            <w14:solidFill>
              <w14:schemeClr w14:val="tx1"/>
            </w14:solidFill>
          </w14:textFill>
        </w:rPr>
        <w:t>（</w:t>
      </w:r>
      <w:r>
        <w:rPr>
          <w:rFonts w:hint="eastAsia" w:ascii="仿宋" w:hAnsi="仿宋" w:eastAsia="仿宋" w:cs="仿宋"/>
          <w:b/>
          <w:color w:val="000000" w:themeColor="text1"/>
          <w:spacing w:val="5"/>
          <w:sz w:val="24"/>
          <w:highlight w:val="none"/>
          <w:u w:val="single"/>
          <w14:textFill>
            <w14:solidFill>
              <w14:schemeClr w14:val="tx1"/>
            </w14:solidFill>
          </w14:textFill>
        </w:rPr>
        <w:t>1</w:t>
      </w:r>
      <w:r>
        <w:rPr>
          <w:rFonts w:hint="eastAsia" w:ascii="仿宋" w:hAnsi="仿宋" w:eastAsia="仿宋" w:cs="仿宋"/>
          <w:b/>
          <w:color w:val="000000" w:themeColor="text1"/>
          <w:spacing w:val="10"/>
          <w:sz w:val="24"/>
          <w:highlight w:val="none"/>
          <w:u w:val="single"/>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应价人不满足询价公告中载明的应价</w:t>
      </w:r>
      <w:r>
        <w:rPr>
          <w:rFonts w:hint="eastAsia" w:ascii="仿宋" w:hAnsi="仿宋" w:eastAsia="仿宋" w:cs="仿宋"/>
          <w:b/>
          <w:color w:val="000000" w:themeColor="text1"/>
          <w:spacing w:val="8"/>
          <w:sz w:val="24"/>
          <w:highlight w:val="none"/>
          <w:u w:val="single"/>
          <w14:textFill>
            <w14:solidFill>
              <w14:schemeClr w14:val="tx1"/>
            </w14:solidFill>
          </w14:textFill>
        </w:rPr>
        <w:t>人资格条件的</w:t>
      </w:r>
      <w:r>
        <w:rPr>
          <w:rFonts w:hint="eastAsia" w:ascii="仿宋" w:hAnsi="仿宋" w:eastAsia="仿宋" w:cs="仿宋"/>
          <w:b/>
          <w:color w:val="000000" w:themeColor="text1"/>
          <w:spacing w:val="10"/>
          <w:sz w:val="24"/>
          <w:highlight w:val="none"/>
          <w:u w:val="single"/>
          <w14:textFill>
            <w14:solidFill>
              <w14:schemeClr w14:val="tx1"/>
            </w14:solidFill>
          </w14:textFill>
        </w:rPr>
        <w:t>；</w:t>
      </w:r>
    </w:p>
    <w:p w14:paraId="2580D0E1">
      <w:pPr>
        <w:spacing w:line="360" w:lineRule="auto"/>
        <w:ind w:firstLine="518" w:firstLineChars="200"/>
        <w:rPr>
          <w:rFonts w:hint="eastAsia" w:ascii="仿宋" w:hAnsi="仿宋" w:eastAsia="仿宋" w:cs="仿宋"/>
          <w:b/>
          <w:color w:val="000000" w:themeColor="text1"/>
          <w:spacing w:val="10"/>
          <w:sz w:val="24"/>
          <w:highlight w:val="none"/>
          <w:u w:val="single"/>
          <w14:textFill>
            <w14:solidFill>
              <w14:schemeClr w14:val="tx1"/>
            </w14:solidFill>
          </w14:textFill>
        </w:rPr>
      </w:pPr>
      <w:r>
        <w:rPr>
          <w:rFonts w:hint="eastAsia" w:ascii="仿宋" w:hAnsi="仿宋" w:eastAsia="仿宋" w:cs="仿宋"/>
          <w:b/>
          <w:color w:val="000000" w:themeColor="text1"/>
          <w:spacing w:val="9"/>
          <w:sz w:val="24"/>
          <w:highlight w:val="none"/>
          <w:u w:val="single"/>
          <w14:textFill>
            <w14:solidFill>
              <w14:schemeClr w14:val="tx1"/>
            </w14:solidFill>
          </w14:textFill>
        </w:rPr>
        <w:t>（</w:t>
      </w:r>
      <w:r>
        <w:rPr>
          <w:rFonts w:hint="eastAsia" w:ascii="仿宋" w:hAnsi="仿宋" w:eastAsia="仿宋" w:cs="仿宋"/>
          <w:b/>
          <w:color w:val="000000" w:themeColor="text1"/>
          <w:spacing w:val="6"/>
          <w:sz w:val="24"/>
          <w:highlight w:val="none"/>
          <w:u w:val="single"/>
          <w14:textFill>
            <w14:solidFill>
              <w14:schemeClr w14:val="tx1"/>
            </w14:solidFill>
          </w14:textFill>
        </w:rPr>
        <w:t>2</w:t>
      </w:r>
      <w:r>
        <w:rPr>
          <w:rFonts w:hint="eastAsia" w:ascii="仿宋" w:hAnsi="仿宋" w:eastAsia="仿宋" w:cs="仿宋"/>
          <w:b/>
          <w:color w:val="000000" w:themeColor="text1"/>
          <w:spacing w:val="10"/>
          <w:sz w:val="24"/>
          <w:highlight w:val="none"/>
          <w:u w:val="single"/>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存在法律</w:t>
      </w:r>
      <w:r>
        <w:rPr>
          <w:rFonts w:hint="eastAsia" w:ascii="仿宋" w:hAnsi="仿宋" w:eastAsia="仿宋" w:cs="仿宋"/>
          <w:b/>
          <w:color w:val="000000" w:themeColor="text1"/>
          <w:spacing w:val="10"/>
          <w:sz w:val="24"/>
          <w:highlight w:val="none"/>
          <w:u w:val="single"/>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法规规定</w:t>
      </w:r>
      <w:r>
        <w:rPr>
          <w:rFonts w:hint="eastAsia" w:ascii="仿宋" w:hAnsi="仿宋" w:eastAsia="仿宋" w:cs="仿宋"/>
          <w:b/>
          <w:color w:val="000000" w:themeColor="text1"/>
          <w:spacing w:val="8"/>
          <w:sz w:val="24"/>
          <w:highlight w:val="none"/>
          <w:u w:val="single"/>
          <w14:textFill>
            <w14:solidFill>
              <w14:schemeClr w14:val="tx1"/>
            </w14:solidFill>
          </w14:textFill>
        </w:rPr>
        <w:t>的其他否决应价情形的</w:t>
      </w:r>
      <w:r>
        <w:rPr>
          <w:rFonts w:hint="eastAsia" w:ascii="仿宋" w:hAnsi="仿宋" w:eastAsia="仿宋" w:cs="仿宋"/>
          <w:b/>
          <w:color w:val="000000" w:themeColor="text1"/>
          <w:spacing w:val="10"/>
          <w:sz w:val="24"/>
          <w:highlight w:val="none"/>
          <w:u w:val="single"/>
          <w14:textFill>
            <w14:solidFill>
              <w14:schemeClr w14:val="tx1"/>
            </w14:solidFill>
          </w14:textFill>
        </w:rPr>
        <w:t>；</w:t>
      </w:r>
    </w:p>
    <w:p w14:paraId="0F6D0F7C">
      <w:pPr>
        <w:pStyle w:val="18"/>
        <w:spacing w:line="360" w:lineRule="auto"/>
        <w:ind w:firstLine="518" w:firstLineChars="200"/>
        <w:rPr>
          <w:rFonts w:hint="eastAsia" w:ascii="仿宋" w:hAnsi="仿宋" w:eastAsia="仿宋" w:cs="仿宋"/>
          <w:b/>
          <w:bCs/>
          <w:snapToGrid w:val="0"/>
          <w:color w:val="000000" w:themeColor="text1"/>
          <w:spacing w:val="9"/>
          <w:sz w:val="24"/>
          <w:highlight w:val="none"/>
          <w:u w:val="single"/>
          <w14:textFill>
            <w14:solidFill>
              <w14:schemeClr w14:val="tx1"/>
            </w14:solidFill>
          </w14:textFill>
        </w:rPr>
      </w:pPr>
      <w:r>
        <w:rPr>
          <w:rFonts w:hint="eastAsia" w:ascii="仿宋" w:hAnsi="仿宋" w:eastAsia="仿宋" w:cs="仿宋"/>
          <w:b/>
          <w:color w:val="000000" w:themeColor="text1"/>
          <w:spacing w:val="9"/>
          <w:sz w:val="24"/>
          <w:highlight w:val="none"/>
          <w:u w:val="single"/>
          <w:lang w:bidi="ar"/>
          <w14:textFill>
            <w14:solidFill>
              <w14:schemeClr w14:val="tx1"/>
            </w14:solidFill>
          </w14:textFill>
        </w:rPr>
        <w:t>（3）</w:t>
      </w:r>
      <w:r>
        <w:rPr>
          <w:rFonts w:hint="eastAsia" w:ascii="仿宋" w:hAnsi="仿宋" w:eastAsia="仿宋" w:cs="仿宋"/>
          <w:b/>
          <w:color w:val="000000" w:themeColor="text1"/>
          <w:spacing w:val="9"/>
          <w:sz w:val="24"/>
          <w:highlight w:val="none"/>
          <w:u w:val="single"/>
          <w:lang w:val="zh-CN"/>
          <w14:textFill>
            <w14:solidFill>
              <w14:schemeClr w14:val="tx1"/>
            </w14:solidFill>
          </w14:textFill>
        </w:rPr>
        <w:t>/</w:t>
      </w:r>
      <w:r>
        <w:rPr>
          <w:rFonts w:hint="eastAsia" w:ascii="仿宋" w:hAnsi="仿宋" w:eastAsia="仿宋" w:cs="仿宋"/>
          <w:b/>
          <w:bCs/>
          <w:snapToGrid w:val="0"/>
          <w:color w:val="000000" w:themeColor="text1"/>
          <w:spacing w:val="9"/>
          <w:sz w:val="24"/>
          <w:highlight w:val="none"/>
          <w:u w:val="single"/>
          <w14:textFill>
            <w14:solidFill>
              <w14:schemeClr w14:val="tx1"/>
            </w14:solidFill>
          </w14:textFill>
        </w:rPr>
        <w:t>（询价人认为需要增加的其他条款或/）；</w:t>
      </w:r>
    </w:p>
    <w:p w14:paraId="698637BC">
      <w:pPr>
        <w:spacing w:line="360" w:lineRule="auto"/>
        <w:ind w:left="1" w:firstLine="504" w:firstLineChars="200"/>
        <w:rPr>
          <w:rFonts w:hint="eastAsia" w:ascii="仿宋" w:hAnsi="仿宋" w:eastAsia="仿宋" w:cs="仿宋"/>
          <w:color w:val="000000" w:themeColor="text1"/>
          <w:spacing w:val="4"/>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3.2 </w:t>
      </w:r>
      <w:r>
        <w:rPr>
          <w:rFonts w:hint="eastAsia" w:ascii="仿宋" w:hAnsi="仿宋" w:eastAsia="仿宋" w:cs="仿宋"/>
          <w:color w:val="000000" w:themeColor="text1"/>
          <w:spacing w:val="11"/>
          <w:sz w:val="24"/>
          <w:highlight w:val="none"/>
          <w14:textFill>
            <w14:solidFill>
              <w14:schemeClr w14:val="tx1"/>
            </w14:solidFill>
          </w14:textFill>
        </w:rPr>
        <w:t>资格审查过程中，评审小组可以要求应价人提交资格审查所</w:t>
      </w:r>
      <w:r>
        <w:rPr>
          <w:rFonts w:hint="eastAsia" w:ascii="仿宋" w:hAnsi="仿宋" w:eastAsia="仿宋" w:cs="仿宋"/>
          <w:color w:val="000000" w:themeColor="text1"/>
          <w:spacing w:val="10"/>
          <w:sz w:val="24"/>
          <w:highlight w:val="none"/>
          <w14:textFill>
            <w14:solidFill>
              <w14:schemeClr w14:val="tx1"/>
            </w14:solidFill>
          </w14:textFill>
        </w:rPr>
        <w:t>需的有关证明的原件</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以便</w:t>
      </w:r>
      <w:r>
        <w:rPr>
          <w:rFonts w:hint="eastAsia" w:ascii="仿宋" w:hAnsi="仿宋" w:eastAsia="仿宋" w:cs="仿宋"/>
          <w:color w:val="000000" w:themeColor="text1"/>
          <w:spacing w:val="3"/>
          <w:sz w:val="24"/>
          <w:highlight w:val="none"/>
          <w14:textFill>
            <w14:solidFill>
              <w14:schemeClr w14:val="tx1"/>
            </w14:solidFill>
          </w14:textFill>
        </w:rPr>
        <w:t>核验</w:t>
      </w:r>
      <w:r>
        <w:rPr>
          <w:rFonts w:hint="eastAsia" w:ascii="仿宋" w:hAnsi="仿宋" w:eastAsia="仿宋" w:cs="仿宋"/>
          <w:color w:val="000000" w:themeColor="text1"/>
          <w:spacing w:val="4"/>
          <w:sz w:val="24"/>
          <w:highlight w:val="none"/>
          <w14:textFill>
            <w14:solidFill>
              <w14:schemeClr w14:val="tx1"/>
            </w14:solidFill>
          </w14:textFill>
        </w:rPr>
        <w:t>。</w:t>
      </w:r>
    </w:p>
    <w:p w14:paraId="4CF1C6C5">
      <w:pPr>
        <w:spacing w:line="360" w:lineRule="auto"/>
        <w:ind w:left="1" w:firstLine="496"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lang w:bidi="ar"/>
          <w14:textFill>
            <w14:solidFill>
              <w14:schemeClr w14:val="tx1"/>
            </w14:solidFill>
          </w14:textFill>
        </w:rPr>
        <w:t>3.3 与询价人存在利害关系可能影响询价公正性的法人、其他组织或者个人，不得参加应价。单位负责人为同一人或者存在控股、管理关系的不同单位，不得参加同一标包应价或者未划分标包的同一询价项目应价。违反前两款规定的，相关应价均无效。</w:t>
      </w:r>
    </w:p>
    <w:p w14:paraId="14CE2BB5">
      <w:pPr>
        <w:pStyle w:val="3"/>
        <w:ind w:firstLine="482" w:firstLineChars="200"/>
        <w:jc w:val="center"/>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4、确定评审区间</w:t>
      </w:r>
    </w:p>
    <w:p w14:paraId="158C2A9A">
      <w:pPr>
        <w:adjustRightInd w:val="0"/>
        <w:snapToGrid w:val="0"/>
        <w:spacing w:line="360" w:lineRule="auto"/>
        <w:ind w:firstLine="526" w:firstLineChars="200"/>
        <w:rPr>
          <w:rFonts w:hint="eastAsia" w:ascii="仿宋" w:hAnsi="仿宋" w:eastAsia="仿宋" w:cs="仿宋"/>
          <w:b/>
          <w:bCs/>
          <w:color w:val="000000" w:themeColor="text1"/>
          <w:spacing w:val="8"/>
          <w:sz w:val="24"/>
          <w:highlight w:val="none"/>
          <w:u w:val="single"/>
          <w14:textFill>
            <w14:solidFill>
              <w14:schemeClr w14:val="tx1"/>
            </w14:solidFill>
          </w14:textFill>
        </w:rPr>
      </w:pPr>
      <w:r>
        <w:rPr>
          <w:rFonts w:hint="eastAsia" w:ascii="仿宋" w:hAnsi="仿宋" w:eastAsia="仿宋" w:cs="仿宋"/>
          <w:b/>
          <w:bCs/>
          <w:color w:val="000000" w:themeColor="text1"/>
          <w:spacing w:val="11"/>
          <w:sz w:val="24"/>
          <w:highlight w:val="none"/>
          <w14:textFill>
            <w14:solidFill>
              <w14:schemeClr w14:val="tx1"/>
            </w14:solidFill>
          </w14:textFill>
        </w:rPr>
        <w:t>4.1</w:t>
      </w:r>
      <w:r>
        <w:rPr>
          <w:rFonts w:hint="eastAsia" w:ascii="仿宋" w:hAnsi="仿宋" w:eastAsia="仿宋" w:cs="仿宋"/>
          <w:b/>
          <w:bCs/>
          <w:color w:val="000000" w:themeColor="text1"/>
          <w:spacing w:val="8"/>
          <w:sz w:val="24"/>
          <w:highlight w:val="none"/>
          <w:u w:val="single"/>
          <w14:textFill>
            <w14:solidFill>
              <w14:schemeClr w14:val="tx1"/>
            </w14:solidFill>
          </w14:textFill>
        </w:rPr>
        <w:t>通过资格审查有效应价人不足</w:t>
      </w:r>
      <w:r>
        <w:rPr>
          <w:rFonts w:hint="eastAsia" w:ascii="仿宋" w:hAnsi="仿宋" w:eastAsia="仿宋" w:cs="仿宋"/>
          <w:b/>
          <w:bCs/>
          <w:color w:val="000000" w:themeColor="text1"/>
          <w:spacing w:val="5"/>
          <w:sz w:val="24"/>
          <w:highlight w:val="none"/>
          <w:u w:val="single"/>
          <w14:textFill>
            <w14:solidFill>
              <w14:schemeClr w14:val="tx1"/>
            </w14:solidFill>
          </w14:textFill>
        </w:rPr>
        <w:t>3家</w:t>
      </w:r>
      <w:r>
        <w:rPr>
          <w:rFonts w:hint="eastAsia" w:ascii="仿宋" w:hAnsi="仿宋" w:eastAsia="仿宋" w:cs="仿宋"/>
          <w:b/>
          <w:bCs/>
          <w:color w:val="000000" w:themeColor="text1"/>
          <w:spacing w:val="8"/>
          <w:sz w:val="24"/>
          <w:highlight w:val="none"/>
          <w:u w:val="single"/>
          <w14:textFill>
            <w14:solidFill>
              <w14:schemeClr w14:val="tx1"/>
            </w14:solidFill>
          </w14:textFill>
        </w:rPr>
        <w:t>的</w:t>
      </w:r>
      <w:r>
        <w:rPr>
          <w:rFonts w:hint="eastAsia" w:ascii="仿宋" w:hAnsi="仿宋" w:eastAsia="仿宋" w:cs="仿宋"/>
          <w:b/>
          <w:bCs/>
          <w:color w:val="000000" w:themeColor="text1"/>
          <w:spacing w:val="10"/>
          <w:sz w:val="24"/>
          <w:highlight w:val="none"/>
          <w:u w:val="single"/>
          <w14:textFill>
            <w14:solidFill>
              <w14:schemeClr w14:val="tx1"/>
            </w14:solidFill>
          </w14:textFill>
        </w:rPr>
        <w:t>，</w:t>
      </w:r>
      <w:r>
        <w:rPr>
          <w:rFonts w:hint="eastAsia" w:ascii="仿宋" w:hAnsi="仿宋" w:eastAsia="仿宋" w:cs="仿宋"/>
          <w:b/>
          <w:bCs/>
          <w:color w:val="000000" w:themeColor="text1"/>
          <w:spacing w:val="8"/>
          <w:sz w:val="24"/>
          <w:highlight w:val="none"/>
          <w:u w:val="single"/>
          <w14:textFill>
            <w14:solidFill>
              <w14:schemeClr w14:val="tx1"/>
            </w14:solidFill>
          </w14:textFill>
        </w:rPr>
        <w:t>评审小组应认定本次应价是否具有竞争性，若评审小组认定本次应价明显缺乏竞争的，可以否决所有应价。</w:t>
      </w:r>
    </w:p>
    <w:p w14:paraId="58103D09">
      <w:pPr>
        <w:adjustRightInd w:val="0"/>
        <w:snapToGrid w:val="0"/>
        <w:spacing w:line="360" w:lineRule="auto"/>
        <w:ind w:firstLine="514" w:firstLineChars="200"/>
        <w:rPr>
          <w:rFonts w:hint="eastAsia" w:ascii="仿宋" w:hAnsi="仿宋" w:eastAsia="仿宋" w:cs="仿宋"/>
          <w:b/>
          <w:bCs/>
          <w:color w:val="000000" w:themeColor="text1"/>
          <w:spacing w:val="8"/>
          <w:sz w:val="24"/>
          <w:highlight w:val="none"/>
          <w:u w:val="single"/>
          <w14:textFill>
            <w14:solidFill>
              <w14:schemeClr w14:val="tx1"/>
            </w14:solidFill>
          </w14:textFill>
        </w:rPr>
      </w:pPr>
      <w:r>
        <w:rPr>
          <w:rFonts w:hint="eastAsia" w:ascii="仿宋" w:hAnsi="仿宋" w:eastAsia="仿宋" w:cs="仿宋"/>
          <w:b/>
          <w:bCs/>
          <w:color w:val="000000" w:themeColor="text1"/>
          <w:spacing w:val="8"/>
          <w:sz w:val="24"/>
          <w:highlight w:val="none"/>
          <w:u w:val="single"/>
          <w14:textFill>
            <w14:solidFill>
              <w14:schemeClr w14:val="tx1"/>
            </w14:solidFill>
          </w14:textFill>
        </w:rPr>
        <w:t>4.2通过资格审查有效应价人大于等于</w:t>
      </w:r>
      <w:r>
        <w:rPr>
          <w:rFonts w:hint="eastAsia" w:ascii="仿宋" w:hAnsi="仿宋" w:eastAsia="仿宋" w:cs="仿宋"/>
          <w:b/>
          <w:bCs/>
          <w:color w:val="000000" w:themeColor="text1"/>
          <w:spacing w:val="5"/>
          <w:sz w:val="24"/>
          <w:highlight w:val="none"/>
          <w:u w:val="single"/>
          <w14:textFill>
            <w14:solidFill>
              <w14:schemeClr w14:val="tx1"/>
            </w14:solidFill>
          </w14:textFill>
        </w:rPr>
        <w:t>3家的，报价最低的前三名进入评审区间，报价相同并列进入评审区间。</w:t>
      </w:r>
    </w:p>
    <w:p w14:paraId="2D314DA5">
      <w:pPr>
        <w:ind w:firstLine="210" w:firstLineChars="100"/>
        <w:rPr>
          <w:color w:val="000000" w:themeColor="text1"/>
          <w:highlight w:val="none"/>
          <w14:textFill>
            <w14:solidFill>
              <w14:schemeClr w14:val="tx1"/>
            </w14:solidFill>
          </w14:textFill>
        </w:rPr>
      </w:pPr>
    </w:p>
    <w:p w14:paraId="141B5C8E">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5</w:t>
      </w:r>
      <w:r>
        <w:rPr>
          <w:rFonts w:hint="eastAsia" w:ascii="仿宋" w:eastAsia="仿宋" w:cs="仿宋"/>
          <w:color w:val="000000" w:themeColor="text1"/>
          <w:sz w:val="24"/>
          <w:szCs w:val="24"/>
          <w:highlight w:val="none"/>
          <w14:textFill>
            <w14:solidFill>
              <w14:schemeClr w14:val="tx1"/>
            </w14:solidFill>
          </w14:textFill>
        </w:rPr>
        <w:t>、初步评审</w:t>
      </w:r>
    </w:p>
    <w:p w14:paraId="7B876C8F">
      <w:pPr>
        <w:spacing w:line="360" w:lineRule="auto"/>
        <w:ind w:firstLine="484" w:firstLineChars="200"/>
        <w:contextualSpacing/>
        <w:outlineLvl w:val="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1"/>
          <w:sz w:val="24"/>
          <w:highlight w:val="none"/>
          <w14:textFill>
            <w14:solidFill>
              <w14:schemeClr w14:val="tx1"/>
            </w14:solidFill>
          </w14:textFill>
        </w:rPr>
        <w:t xml:space="preserve">5.1 </w:t>
      </w:r>
      <w:r>
        <w:rPr>
          <w:rFonts w:hint="eastAsia" w:ascii="仿宋" w:hAnsi="仿宋" w:eastAsia="仿宋" w:cs="仿宋"/>
          <w:color w:val="000000" w:themeColor="text1"/>
          <w:spacing w:val="2"/>
          <w:sz w:val="24"/>
          <w:highlight w:val="none"/>
          <w14:textFill>
            <w14:solidFill>
              <w14:schemeClr w14:val="tx1"/>
            </w14:solidFill>
          </w14:textFill>
        </w:rPr>
        <w:t>符合性审</w:t>
      </w:r>
      <w:r>
        <w:rPr>
          <w:rFonts w:hint="eastAsia" w:ascii="仿宋" w:hAnsi="仿宋" w:eastAsia="仿宋" w:cs="仿宋"/>
          <w:color w:val="000000" w:themeColor="text1"/>
          <w:spacing w:val="1"/>
          <w:sz w:val="24"/>
          <w:highlight w:val="none"/>
          <w14:textFill>
            <w14:solidFill>
              <w14:schemeClr w14:val="tx1"/>
            </w14:solidFill>
          </w14:textFill>
        </w:rPr>
        <w:t>查</w:t>
      </w:r>
    </w:p>
    <w:p w14:paraId="13698299">
      <w:pPr>
        <w:spacing w:line="360" w:lineRule="auto"/>
        <w:ind w:firstLine="524"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11"/>
          <w:sz w:val="24"/>
          <w:highlight w:val="none"/>
          <w14:textFill>
            <w14:solidFill>
              <w14:schemeClr w14:val="tx1"/>
            </w14:solidFill>
          </w14:textFill>
        </w:rPr>
        <w:t>评审小组应当对通过资格审查且报价最低的前三名的应价文件进</w:t>
      </w:r>
      <w:r>
        <w:rPr>
          <w:rFonts w:hint="eastAsia" w:ascii="仿宋" w:hAnsi="仿宋" w:eastAsia="仿宋" w:cs="仿宋"/>
          <w:color w:val="000000" w:themeColor="text1"/>
          <w:spacing w:val="10"/>
          <w:sz w:val="24"/>
          <w:highlight w:val="none"/>
          <w14:textFill>
            <w14:solidFill>
              <w14:schemeClr w14:val="tx1"/>
            </w14:solidFill>
          </w14:textFill>
        </w:rPr>
        <w:t>行符合性审查</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应价人存在以下情形之</w:t>
      </w:r>
      <w:r>
        <w:rPr>
          <w:rFonts w:hint="eastAsia" w:ascii="仿宋" w:hAnsi="仿宋" w:eastAsia="仿宋" w:cs="仿宋"/>
          <w:color w:val="000000" w:themeColor="text1"/>
          <w:spacing w:val="9"/>
          <w:position w:val="2"/>
          <w:sz w:val="24"/>
          <w:highlight w:val="none"/>
          <w14:textFill>
            <w14:solidFill>
              <w14:schemeClr w14:val="tx1"/>
            </w14:solidFill>
          </w14:textFill>
        </w:rPr>
        <w:t>一</w:t>
      </w:r>
      <w:r>
        <w:rPr>
          <w:rFonts w:hint="eastAsia" w:ascii="仿宋" w:hAnsi="仿宋" w:eastAsia="仿宋" w:cs="仿宋"/>
          <w:color w:val="000000" w:themeColor="text1"/>
          <w:spacing w:val="12"/>
          <w:position w:val="2"/>
          <w:sz w:val="24"/>
          <w:highlight w:val="none"/>
          <w14:textFill>
            <w14:solidFill>
              <w14:schemeClr w14:val="tx1"/>
            </w14:solidFill>
          </w14:textFill>
        </w:rPr>
        <w:t>，</w:t>
      </w:r>
      <w:r>
        <w:rPr>
          <w:rFonts w:hint="eastAsia" w:ascii="仿宋" w:hAnsi="仿宋" w:eastAsia="仿宋" w:cs="仿宋"/>
          <w:color w:val="000000" w:themeColor="text1"/>
          <w:spacing w:val="9"/>
          <w:position w:val="2"/>
          <w:sz w:val="24"/>
          <w:highlight w:val="none"/>
          <w14:textFill>
            <w14:solidFill>
              <w14:schemeClr w14:val="tx1"/>
            </w14:solidFill>
          </w14:textFill>
        </w:rPr>
        <w:t>符合性审查不予通过</w:t>
      </w:r>
      <w:r>
        <w:rPr>
          <w:rFonts w:hint="eastAsia" w:ascii="仿宋" w:hAnsi="仿宋" w:eastAsia="仿宋" w:cs="仿宋"/>
          <w:color w:val="000000" w:themeColor="text1"/>
          <w:spacing w:val="12"/>
          <w:position w:val="2"/>
          <w:sz w:val="24"/>
          <w:highlight w:val="none"/>
          <w14:textFill>
            <w14:solidFill>
              <w14:schemeClr w14:val="tx1"/>
            </w14:solidFill>
          </w14:textFill>
        </w:rPr>
        <w:t>，</w:t>
      </w:r>
      <w:r>
        <w:rPr>
          <w:rFonts w:hint="eastAsia" w:ascii="仿宋" w:hAnsi="仿宋" w:eastAsia="仿宋" w:cs="仿宋"/>
          <w:color w:val="000000" w:themeColor="text1"/>
          <w:spacing w:val="9"/>
          <w:position w:val="2"/>
          <w:sz w:val="24"/>
          <w:highlight w:val="none"/>
          <w14:textFill>
            <w14:solidFill>
              <w14:schemeClr w14:val="tx1"/>
            </w14:solidFill>
          </w14:textFill>
        </w:rPr>
        <w:t>否决其应价</w:t>
      </w:r>
      <w:r>
        <w:rPr>
          <w:rFonts w:hint="eastAsia" w:ascii="仿宋" w:hAnsi="仿宋" w:eastAsia="仿宋" w:cs="仿宋"/>
          <w:color w:val="000000" w:themeColor="text1"/>
          <w:spacing w:val="12"/>
          <w:position w:val="2"/>
          <w:sz w:val="24"/>
          <w:highlight w:val="none"/>
          <w14:textFill>
            <w14:solidFill>
              <w14:schemeClr w14:val="tx1"/>
            </w14:solidFill>
          </w14:textFill>
        </w:rPr>
        <w:t>，</w:t>
      </w:r>
      <w:r>
        <w:rPr>
          <w:rFonts w:hint="eastAsia" w:ascii="仿宋" w:hAnsi="仿宋" w:eastAsia="仿宋" w:cs="仿宋"/>
          <w:color w:val="000000" w:themeColor="text1"/>
          <w:spacing w:val="8"/>
          <w:position w:val="2"/>
          <w:sz w:val="24"/>
          <w:highlight w:val="none"/>
          <w14:textFill>
            <w14:solidFill>
              <w14:schemeClr w14:val="tx1"/>
            </w14:solidFill>
          </w14:textFill>
        </w:rPr>
        <w:t>不再进行后续评审</w:t>
      </w:r>
      <w:r>
        <w:rPr>
          <w:rFonts w:hint="eastAsia" w:ascii="仿宋" w:hAnsi="仿宋" w:eastAsia="仿宋" w:cs="仿宋"/>
          <w:color w:val="000000" w:themeColor="text1"/>
          <w:spacing w:val="12"/>
          <w:position w:val="2"/>
          <w:sz w:val="24"/>
          <w:highlight w:val="none"/>
          <w14:textFill>
            <w14:solidFill>
              <w14:schemeClr w14:val="tx1"/>
            </w14:solidFill>
          </w14:textFill>
        </w:rPr>
        <w:t>：</w:t>
      </w:r>
    </w:p>
    <w:p w14:paraId="568D086E">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（1）应价文件未按询价文件的要求签署和盖章的；</w:t>
      </w:r>
    </w:p>
    <w:p w14:paraId="06ABF71D">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2</w:t>
      </w:r>
      <w:r>
        <w:rPr>
          <w:rFonts w:hint="eastAsia" w:ascii="仿宋" w:hAnsi="仿宋" w:eastAsia="仿宋" w:cs="仿宋"/>
          <w:b/>
          <w:bCs/>
          <w:color w:val="000000" w:themeColor="text1"/>
          <w:sz w:val="24"/>
          <w:highlight w:val="none"/>
          <w:u w:val="single"/>
          <w:lang w:val="zh-CN"/>
          <w14:textFill>
            <w14:solidFill>
              <w14:schemeClr w14:val="tx1"/>
            </w14:solidFill>
          </w14:textFill>
        </w:rPr>
        <w:t>）应价人未按询价文件的要求递交应价保证金的；</w:t>
      </w:r>
    </w:p>
    <w:p w14:paraId="78D6E09D">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3</w:t>
      </w:r>
      <w:r>
        <w:rPr>
          <w:rFonts w:hint="eastAsia" w:ascii="仿宋" w:hAnsi="仿宋" w:eastAsia="仿宋" w:cs="仿宋"/>
          <w:b/>
          <w:bCs/>
          <w:color w:val="000000" w:themeColor="text1"/>
          <w:sz w:val="24"/>
          <w:highlight w:val="none"/>
          <w:u w:val="single"/>
          <w:lang w:val="zh-CN"/>
          <w14:textFill>
            <w14:solidFill>
              <w14:schemeClr w14:val="tx1"/>
            </w14:solidFill>
          </w14:textFill>
        </w:rPr>
        <w:t>）应价文件不符合询价文件实质性要求（第三部分“采购需求及要求”中具体条款用“▲”标注）的；</w:t>
      </w:r>
    </w:p>
    <w:p w14:paraId="3364EE1C">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4</w:t>
      </w:r>
      <w:r>
        <w:rPr>
          <w:rFonts w:hint="eastAsia" w:ascii="仿宋" w:hAnsi="仿宋" w:eastAsia="仿宋" w:cs="仿宋"/>
          <w:b/>
          <w:bCs/>
          <w:color w:val="000000" w:themeColor="text1"/>
          <w:sz w:val="24"/>
          <w:highlight w:val="none"/>
          <w:u w:val="single"/>
          <w:lang w:val="zh-CN"/>
          <w14:textFill>
            <w14:solidFill>
              <w14:schemeClr w14:val="tx1"/>
            </w14:solidFill>
          </w14:textFill>
        </w:rPr>
        <w:t>）同一应价人提交两个以上不同的应价文件或者应价报价，且应价文件中未声明哪一个有效的（询价文件要求提交备选应价的除外）；</w:t>
      </w:r>
    </w:p>
    <w:p w14:paraId="240D67AF">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5</w:t>
      </w:r>
      <w:r>
        <w:rPr>
          <w:rFonts w:hint="eastAsia" w:ascii="仿宋" w:hAnsi="仿宋" w:eastAsia="仿宋" w:cs="仿宋"/>
          <w:b/>
          <w:bCs/>
          <w:color w:val="000000" w:themeColor="text1"/>
          <w:sz w:val="24"/>
          <w:highlight w:val="none"/>
          <w:u w:val="single"/>
          <w:lang w:val="zh-CN"/>
          <w14:textFill>
            <w14:solidFill>
              <w14:schemeClr w14:val="tx1"/>
            </w14:solidFill>
          </w14:textFill>
        </w:rPr>
        <w:t>）应价报价超出询价文件规定的限价的；</w:t>
      </w:r>
    </w:p>
    <w:p w14:paraId="4C09D02F">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6</w:t>
      </w:r>
      <w:r>
        <w:rPr>
          <w:rFonts w:hint="eastAsia" w:ascii="仿宋" w:hAnsi="仿宋" w:eastAsia="仿宋" w:cs="仿宋"/>
          <w:b/>
          <w:bCs/>
          <w:color w:val="000000" w:themeColor="text1"/>
          <w:sz w:val="24"/>
          <w:highlight w:val="none"/>
          <w:u w:val="single"/>
          <w:lang w:val="zh-CN"/>
          <w14:textFill>
            <w14:solidFill>
              <w14:schemeClr w14:val="tx1"/>
            </w14:solidFill>
          </w14:textFill>
        </w:rPr>
        <w:t>）应价文件未按规定的格式（询价文件第四部分“应价文件格式”）编制或内容不全或关键字迹模糊、无法辨认的；</w:t>
      </w:r>
    </w:p>
    <w:p w14:paraId="35B69A52">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7</w:t>
      </w:r>
      <w:r>
        <w:rPr>
          <w:rFonts w:hint="eastAsia" w:ascii="仿宋" w:hAnsi="仿宋" w:eastAsia="仿宋" w:cs="仿宋"/>
          <w:b/>
          <w:bCs/>
          <w:color w:val="000000" w:themeColor="text1"/>
          <w:sz w:val="24"/>
          <w:highlight w:val="none"/>
          <w:u w:val="single"/>
          <w:lang w:val="zh-CN"/>
          <w14:textFill>
            <w14:solidFill>
              <w14:schemeClr w14:val="tx1"/>
            </w14:solidFill>
          </w14:textFill>
        </w:rPr>
        <w:t>）应价文件中承诺的应价有效期少于询价文件中载明的应价有效期的；</w:t>
      </w:r>
    </w:p>
    <w:p w14:paraId="2783A252">
      <w:pPr>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8</w:t>
      </w:r>
      <w:r>
        <w:rPr>
          <w:rFonts w:hint="eastAsia" w:ascii="仿宋" w:hAnsi="仿宋" w:eastAsia="仿宋" w:cs="仿宋"/>
          <w:b/>
          <w:bCs/>
          <w:color w:val="000000" w:themeColor="text1"/>
          <w:sz w:val="24"/>
          <w:highlight w:val="none"/>
          <w:u w:val="single"/>
          <w:lang w:val="zh-CN"/>
          <w14:textFill>
            <w14:solidFill>
              <w14:schemeClr w14:val="tx1"/>
            </w14:solidFill>
          </w14:textFill>
        </w:rPr>
        <w:t>）应价人根据询价文件规定及应价内容对询价人所作的任何合法承诺或响应存在与实际不符的；</w:t>
      </w:r>
    </w:p>
    <w:p w14:paraId="2047821E">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lang w:val="zh-CN"/>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9）其他条款：</w:t>
      </w:r>
    </w:p>
    <w:p w14:paraId="5B8D4B0C">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sym w:font="Wingdings 2" w:char="0052"/>
      </w:r>
      <w:r>
        <w:rPr>
          <w:rFonts w:hint="eastAsia" w:ascii="仿宋" w:hAnsi="仿宋" w:eastAsia="仿宋" w:cs="仿宋"/>
          <w:b/>
          <w:bCs/>
          <w:color w:val="000000" w:themeColor="text1"/>
          <w:sz w:val="24"/>
          <w:highlight w:val="none"/>
          <w:u w:val="single"/>
          <w14:textFill>
            <w14:solidFill>
              <w14:schemeClr w14:val="tx1"/>
            </w14:solidFill>
          </w14:textFill>
        </w:rPr>
        <w:t>应价文件未提供正本的；</w:t>
      </w:r>
    </w:p>
    <w:p w14:paraId="672B7D85">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sym w:font="Wingdings 2" w:char="0052"/>
      </w:r>
      <w:r>
        <w:rPr>
          <w:rFonts w:hint="eastAsia" w:ascii="仿宋" w:hAnsi="仿宋" w:eastAsia="仿宋" w:cs="仿宋"/>
          <w:b/>
          <w:bCs/>
          <w:color w:val="000000" w:themeColor="text1"/>
          <w:sz w:val="24"/>
          <w:highlight w:val="none"/>
          <w:u w:val="single"/>
          <w14:textFill>
            <w14:solidFill>
              <w14:schemeClr w14:val="tx1"/>
            </w14:solidFill>
          </w14:textFill>
        </w:rPr>
        <w:t>应价文件未按要求装订的；</w:t>
      </w:r>
    </w:p>
    <w:p w14:paraId="45831AAC">
      <w:pPr>
        <w:spacing w:line="360" w:lineRule="auto"/>
        <w:ind w:firstLine="480"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sym w:font="Wingdings" w:char="00FE"/>
      </w:r>
      <w:r>
        <w:rPr>
          <w:rFonts w:hint="eastAsia" w:ascii="仿宋" w:hAnsi="仿宋" w:eastAsia="仿宋" w:cs="仿宋"/>
          <w:b/>
          <w:bCs/>
          <w:color w:val="000000" w:themeColor="text1"/>
          <w:sz w:val="24"/>
          <w:highlight w:val="none"/>
          <w:u w:val="single"/>
          <w14:textFill>
            <w14:solidFill>
              <w14:schemeClr w14:val="tx1"/>
            </w14:solidFill>
          </w14:textFill>
        </w:rPr>
        <w:t>提供推荐品牌以外的产品，未提供相当于品牌相关证明材料或提供的证明材料依据不足的；</w:t>
      </w:r>
    </w:p>
    <w:p w14:paraId="7B8EA5E2">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（10）存在法律、法规规定的其他否决应价情形的。</w:t>
      </w:r>
    </w:p>
    <w:p w14:paraId="3270A869">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（11）经评审小组审核，应价人符合以下情形之一的，视为应价人串通应价的，其应价无效：</w:t>
      </w:r>
    </w:p>
    <w:p w14:paraId="51C2BEE5">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 xml:space="preserve">①不同应价人的应价文件由同一单位或者个人编制； </w:t>
      </w:r>
    </w:p>
    <w:p w14:paraId="2C6C36EC">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 xml:space="preserve">②不同应价人委托同一单位或者个人办理应价事宜； </w:t>
      </w:r>
    </w:p>
    <w:p w14:paraId="5812D984">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 xml:space="preserve">③不同应价人的应价文件载明的项目管理成员或者联系人员为同一人； </w:t>
      </w:r>
    </w:p>
    <w:p w14:paraId="730E72BA">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 xml:space="preserve">④不同应价人的应价文件异常一致或者应价报价呈规律性差异； </w:t>
      </w:r>
    </w:p>
    <w:p w14:paraId="1751AD87">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 xml:space="preserve">⑤不同应价人的应价文件相互混装； </w:t>
      </w:r>
    </w:p>
    <w:p w14:paraId="597E1424">
      <w:pPr>
        <w:spacing w:line="360" w:lineRule="auto"/>
        <w:ind w:firstLine="482" w:firstLineChars="200"/>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⑥不同应价人的应价保证金从同一单位或者个人的账户转出。</w:t>
      </w:r>
    </w:p>
    <w:p w14:paraId="03A492E5">
      <w:pPr>
        <w:pStyle w:val="11"/>
        <w:autoSpaceDE/>
        <w:autoSpaceDN/>
        <w:ind w:firstLine="482" w:firstLineChars="200"/>
        <w:rPr>
          <w:rFonts w:hint="eastAsia" w:ascii="仿宋" w:hAnsi="仿宋" w:eastAsia="仿宋" w:cs="仿宋"/>
          <w:b/>
          <w:bCs/>
          <w:color w:val="000000" w:themeColor="text1"/>
          <w:highlight w:val="none"/>
          <w:u w:val="single"/>
          <w14:textFill>
            <w14:solidFill>
              <w14:schemeClr w14:val="tx1"/>
            </w14:solidFill>
          </w14:textFill>
        </w:rPr>
      </w:pPr>
      <w:r>
        <w:rPr>
          <w:rFonts w:hint="eastAsia" w:ascii="仿宋" w:hAnsi="仿宋" w:eastAsia="仿宋" w:cs="仿宋"/>
          <w:b/>
          <w:bCs/>
          <w:color w:val="000000" w:themeColor="text1"/>
          <w:highlight w:val="none"/>
          <w:u w:val="single"/>
          <w14:textFill>
            <w14:solidFill>
              <w14:schemeClr w14:val="tx1"/>
            </w14:solidFill>
          </w14:textFill>
        </w:rPr>
        <w:t>（12）应价人拒不按照要求对应价文件进行澄清、说明、补正的。或评审小组根据询价文件规定对应价文件的计算错误进行修正后，应价人不接受修正后的应价报价的；</w:t>
      </w:r>
    </w:p>
    <w:p w14:paraId="71EE9A5C">
      <w:pPr>
        <w:spacing w:line="360" w:lineRule="auto"/>
        <w:ind w:firstLine="486"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pacing w:val="1"/>
          <w:sz w:val="24"/>
          <w:highlight w:val="none"/>
          <w14:textFill>
            <w14:solidFill>
              <w14:schemeClr w14:val="tx1"/>
            </w14:solidFill>
          </w14:textFill>
        </w:rPr>
        <w:t>5.2 若通过符合性审查的有效应价人不足三家的，按照通过资格审查单位价格低到高的排序依次替补至三名。若替补后，通过符合性审查</w:t>
      </w:r>
      <w:r>
        <w:rPr>
          <w:rFonts w:hint="eastAsia" w:ascii="仿宋" w:hAnsi="仿宋" w:eastAsia="仿宋" w:cs="仿宋"/>
          <w:b/>
          <w:color w:val="000000" w:themeColor="text1"/>
          <w:spacing w:val="8"/>
          <w:sz w:val="24"/>
          <w:highlight w:val="none"/>
          <w:u w:val="single"/>
          <w14:textFill>
            <w14:solidFill>
              <w14:schemeClr w14:val="tx1"/>
            </w14:solidFill>
          </w14:textFill>
        </w:rPr>
        <w:t>不足</w:t>
      </w:r>
      <w:r>
        <w:rPr>
          <w:rFonts w:hint="eastAsia" w:ascii="仿宋" w:hAnsi="仿宋" w:eastAsia="仿宋" w:cs="仿宋"/>
          <w:b/>
          <w:color w:val="000000" w:themeColor="text1"/>
          <w:spacing w:val="5"/>
          <w:sz w:val="24"/>
          <w:highlight w:val="none"/>
          <w:u w:val="single"/>
          <w14:textFill>
            <w14:solidFill>
              <w14:schemeClr w14:val="tx1"/>
            </w14:solidFill>
          </w14:textFill>
        </w:rPr>
        <w:t>3家</w:t>
      </w:r>
      <w:r>
        <w:rPr>
          <w:rFonts w:hint="eastAsia" w:ascii="仿宋" w:hAnsi="仿宋" w:eastAsia="仿宋" w:cs="仿宋"/>
          <w:b/>
          <w:color w:val="000000" w:themeColor="text1"/>
          <w:spacing w:val="8"/>
          <w:sz w:val="24"/>
          <w:highlight w:val="none"/>
          <w:u w:val="single"/>
          <w14:textFill>
            <w14:solidFill>
              <w14:schemeClr w14:val="tx1"/>
            </w14:solidFill>
          </w14:textFill>
        </w:rPr>
        <w:t>的</w:t>
      </w:r>
      <w:r>
        <w:rPr>
          <w:rFonts w:hint="eastAsia" w:ascii="仿宋" w:hAnsi="仿宋" w:eastAsia="仿宋" w:cs="仿宋"/>
          <w:b/>
          <w:color w:val="000000" w:themeColor="text1"/>
          <w:spacing w:val="10"/>
          <w:sz w:val="24"/>
          <w:highlight w:val="none"/>
          <w:u w:val="single"/>
          <w14:textFill>
            <w14:solidFill>
              <w14:schemeClr w14:val="tx1"/>
            </w14:solidFill>
          </w14:textFill>
        </w:rPr>
        <w:t>，</w:t>
      </w:r>
      <w:r>
        <w:rPr>
          <w:rFonts w:hint="eastAsia" w:ascii="仿宋" w:hAnsi="仿宋" w:eastAsia="仿宋" w:cs="仿宋"/>
          <w:b/>
          <w:color w:val="000000" w:themeColor="text1"/>
          <w:spacing w:val="8"/>
          <w:sz w:val="24"/>
          <w:highlight w:val="none"/>
          <w:u w:val="single"/>
          <w14:textFill>
            <w14:solidFill>
              <w14:schemeClr w14:val="tx1"/>
            </w14:solidFill>
          </w14:textFill>
        </w:rPr>
        <w:t>评审小组应认定本次应价是否具有竞争性，若评审小组认定本次应价明显缺乏竞争的，可以否决所有应价。</w:t>
      </w:r>
    </w:p>
    <w:p w14:paraId="5FC96EED">
      <w:pPr>
        <w:spacing w:line="360" w:lineRule="auto"/>
        <w:ind w:firstLine="482" w:firstLineChars="200"/>
        <w:jc w:val="center"/>
        <w:rPr>
          <w:rFonts w:hint="eastAsia" w:ascii="仿宋" w:hAnsi="仿宋" w:eastAsia="仿宋" w:cs="仿宋"/>
          <w:b/>
          <w:bCs/>
          <w:color w:val="000000" w:themeColor="text1"/>
          <w:sz w:val="24"/>
          <w:highlight w:val="none"/>
          <w14:textFill>
            <w14:solidFill>
              <w14:schemeClr w14:val="tx1"/>
            </w14:solidFill>
          </w14:textFill>
        </w:rPr>
      </w:pPr>
      <w:bookmarkStart w:id="170" w:name="_Toc101294485"/>
      <w:bookmarkStart w:id="171" w:name="_Toc101294415"/>
    </w:p>
    <w:p w14:paraId="0B54DFD5">
      <w:pPr>
        <w:spacing w:line="360" w:lineRule="auto"/>
        <w:ind w:firstLine="482" w:firstLineChars="20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6、详细评审</w:t>
      </w:r>
    </w:p>
    <w:p w14:paraId="3F63E345">
      <w:pPr>
        <w:spacing w:line="360" w:lineRule="auto"/>
        <w:ind w:firstLine="524" w:firstLineChars="200"/>
        <w:rPr>
          <w:rFonts w:hint="eastAsia" w:ascii="仿宋" w:hAnsi="仿宋" w:eastAsia="仿宋" w:cs="仿宋"/>
          <w:color w:val="000000" w:themeColor="text1"/>
          <w:spacing w:val="11"/>
          <w:sz w:val="24"/>
          <w:highlight w:val="none"/>
          <w14:textFill>
            <w14:solidFill>
              <w14:schemeClr w14:val="tx1"/>
            </w14:solidFill>
          </w14:textFill>
        </w:rPr>
      </w:pPr>
      <w:r>
        <w:rPr>
          <w:rFonts w:hint="eastAsia" w:ascii="仿宋" w:hAnsi="仿宋" w:eastAsia="仿宋" w:cs="仿宋"/>
          <w:color w:val="000000" w:themeColor="text1"/>
          <w:spacing w:val="11"/>
          <w:sz w:val="24"/>
          <w:highlight w:val="none"/>
          <w14:textFill>
            <w14:solidFill>
              <w14:schemeClr w14:val="tx1"/>
            </w14:solidFill>
          </w14:textFill>
        </w:rPr>
        <w:t>6.1评审小组对通过初步评审的有效标的应价文件进行详细评审。应价人存在以下情形之一，详细评审不予通过，否决其应价，不再进行后续评审：</w:t>
      </w:r>
    </w:p>
    <w:p w14:paraId="4472031F">
      <w:pPr>
        <w:spacing w:line="360" w:lineRule="auto"/>
        <w:ind w:firstLine="518" w:firstLineChars="200"/>
        <w:rPr>
          <w:rFonts w:hint="eastAsia" w:ascii="仿宋" w:hAnsi="仿宋" w:eastAsia="仿宋" w:cs="仿宋"/>
          <w:b/>
          <w:color w:val="000000" w:themeColor="text1"/>
          <w:spacing w:val="9"/>
          <w:sz w:val="24"/>
          <w:highlight w:val="none"/>
          <w:u w:val="single"/>
          <w:lang w:val="zh-CN"/>
          <w14:textFill>
            <w14:solidFill>
              <w14:schemeClr w14:val="tx1"/>
            </w14:solidFill>
          </w14:textFill>
        </w:rPr>
      </w:pPr>
      <w:r>
        <w:rPr>
          <w:rFonts w:hint="eastAsia" w:ascii="仿宋" w:hAnsi="仿宋" w:eastAsia="仿宋" w:cs="仿宋"/>
          <w:b/>
          <w:color w:val="000000" w:themeColor="text1"/>
          <w:spacing w:val="9"/>
          <w:sz w:val="24"/>
          <w:highlight w:val="none"/>
          <w:u w:val="single"/>
          <w:lang w:val="zh-CN"/>
          <w14:textFill>
            <w14:solidFill>
              <w14:schemeClr w14:val="tx1"/>
            </w14:solidFill>
          </w14:textFill>
        </w:rPr>
        <w:t>（1）关键技术方案不可行的；</w:t>
      </w:r>
    </w:p>
    <w:p w14:paraId="6C36A84B">
      <w:pPr>
        <w:spacing w:line="360" w:lineRule="auto"/>
        <w:ind w:firstLine="518" w:firstLineChars="200"/>
        <w:rPr>
          <w:rFonts w:hint="eastAsia" w:ascii="仿宋" w:hAnsi="仿宋" w:eastAsia="仿宋" w:cs="仿宋"/>
          <w:b/>
          <w:color w:val="000000" w:themeColor="text1"/>
          <w:spacing w:val="9"/>
          <w:sz w:val="24"/>
          <w:highlight w:val="none"/>
          <w:u w:val="single"/>
          <w:lang w:val="zh-CN"/>
          <w14:textFill>
            <w14:solidFill>
              <w14:schemeClr w14:val="tx1"/>
            </w14:solidFill>
          </w14:textFill>
        </w:rPr>
      </w:pPr>
      <w:r>
        <w:rPr>
          <w:rFonts w:hint="eastAsia" w:ascii="仿宋" w:hAnsi="仿宋" w:eastAsia="仿宋" w:cs="仿宋"/>
          <w:b/>
          <w:color w:val="000000" w:themeColor="text1"/>
          <w:spacing w:val="9"/>
          <w:sz w:val="24"/>
          <w:highlight w:val="none"/>
          <w:u w:val="single"/>
          <w:lang w:val="zh-CN"/>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2</w:t>
      </w:r>
      <w:r>
        <w:rPr>
          <w:rFonts w:hint="eastAsia" w:ascii="仿宋" w:hAnsi="仿宋" w:eastAsia="仿宋" w:cs="仿宋"/>
          <w:b/>
          <w:color w:val="000000" w:themeColor="text1"/>
          <w:spacing w:val="9"/>
          <w:sz w:val="24"/>
          <w:highlight w:val="none"/>
          <w:u w:val="single"/>
          <w:lang w:val="zh-CN"/>
          <w14:textFill>
            <w14:solidFill>
              <w14:schemeClr w14:val="tx1"/>
            </w14:solidFill>
          </w14:textFill>
        </w:rPr>
        <w:t>）采用的验收标准或主要技术指标不符合国家强制性标准或询价文件要求的；</w:t>
      </w:r>
    </w:p>
    <w:p w14:paraId="204CAFD8">
      <w:pPr>
        <w:spacing w:line="360" w:lineRule="auto"/>
        <w:ind w:firstLine="518" w:firstLineChars="200"/>
        <w:rPr>
          <w:rFonts w:hint="eastAsia" w:ascii="仿宋" w:hAnsi="仿宋" w:eastAsia="仿宋" w:cs="仿宋"/>
          <w:b/>
          <w:color w:val="000000" w:themeColor="text1"/>
          <w:spacing w:val="9"/>
          <w:sz w:val="24"/>
          <w:highlight w:val="none"/>
          <w:u w:val="single"/>
          <w:lang w:val="zh-CN"/>
          <w14:textFill>
            <w14:solidFill>
              <w14:schemeClr w14:val="tx1"/>
            </w14:solidFill>
          </w14:textFill>
        </w:rPr>
      </w:pPr>
      <w:r>
        <w:rPr>
          <w:rFonts w:hint="eastAsia" w:ascii="仿宋" w:hAnsi="仿宋" w:eastAsia="仿宋" w:cs="仿宋"/>
          <w:b/>
          <w:color w:val="000000" w:themeColor="text1"/>
          <w:spacing w:val="9"/>
          <w:sz w:val="24"/>
          <w:highlight w:val="none"/>
          <w:u w:val="single"/>
          <w:lang w:val="zh-CN"/>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3</w:t>
      </w:r>
      <w:r>
        <w:rPr>
          <w:rFonts w:hint="eastAsia" w:ascii="仿宋" w:hAnsi="仿宋" w:eastAsia="仿宋" w:cs="仿宋"/>
          <w:b/>
          <w:color w:val="000000" w:themeColor="text1"/>
          <w:spacing w:val="9"/>
          <w:sz w:val="24"/>
          <w:highlight w:val="none"/>
          <w:u w:val="single"/>
          <w:lang w:val="zh-CN"/>
          <w14:textFill>
            <w14:solidFill>
              <w14:schemeClr w14:val="tx1"/>
            </w14:solidFill>
          </w14:textFill>
        </w:rPr>
        <w:t>）应价人因自身原因导致报价存在漏项或重大失误、应价报价低于成本（应价人不能合理说明或者不能提供相关证明材料）的；</w:t>
      </w:r>
    </w:p>
    <w:p w14:paraId="35BEC9B7">
      <w:pPr>
        <w:spacing w:line="360" w:lineRule="auto"/>
        <w:ind w:firstLine="518" w:firstLineChars="200"/>
        <w:rPr>
          <w:rFonts w:hint="eastAsia" w:ascii="仿宋" w:hAnsi="仿宋" w:eastAsia="仿宋" w:cs="仿宋"/>
          <w:b/>
          <w:color w:val="000000" w:themeColor="text1"/>
          <w:spacing w:val="9"/>
          <w:sz w:val="24"/>
          <w:highlight w:val="none"/>
          <w:u w:val="single"/>
          <w:lang w:val="zh-CN"/>
          <w14:textFill>
            <w14:solidFill>
              <w14:schemeClr w14:val="tx1"/>
            </w14:solidFill>
          </w14:textFill>
        </w:rPr>
      </w:pPr>
      <w:r>
        <w:rPr>
          <w:rFonts w:hint="eastAsia" w:ascii="仿宋" w:hAnsi="仿宋" w:eastAsia="仿宋" w:cs="仿宋"/>
          <w:b/>
          <w:color w:val="000000" w:themeColor="text1"/>
          <w:spacing w:val="9"/>
          <w:sz w:val="24"/>
          <w:highlight w:val="none"/>
          <w:u w:val="single"/>
          <w14:textFill>
            <w14:solidFill>
              <w14:schemeClr w14:val="tx1"/>
            </w14:solidFill>
          </w14:textFill>
        </w:rPr>
        <w:t>（4）</w:t>
      </w:r>
      <w:r>
        <w:rPr>
          <w:rFonts w:hint="eastAsia" w:ascii="仿宋" w:hAnsi="仿宋" w:eastAsia="仿宋" w:cs="仿宋"/>
          <w:b/>
          <w:color w:val="000000" w:themeColor="text1"/>
          <w:spacing w:val="9"/>
          <w:sz w:val="24"/>
          <w:highlight w:val="none"/>
          <w:u w:val="single"/>
          <w:lang w:val="zh-CN"/>
          <w14:textFill>
            <w14:solidFill>
              <w14:schemeClr w14:val="tx1"/>
            </w14:solidFill>
          </w14:textFill>
        </w:rPr>
        <w:t>/（询价人认为需要增加的其他条款或/）</w:t>
      </w:r>
    </w:p>
    <w:p w14:paraId="53E03A5B">
      <w:pPr>
        <w:spacing w:line="360" w:lineRule="auto"/>
        <w:ind w:firstLine="518" w:firstLineChars="200"/>
        <w:rPr>
          <w:rFonts w:hint="eastAsia" w:ascii="仿宋" w:hAnsi="仿宋" w:eastAsia="仿宋" w:cs="仿宋"/>
          <w:b/>
          <w:color w:val="000000" w:themeColor="text1"/>
          <w:spacing w:val="9"/>
          <w:sz w:val="24"/>
          <w:highlight w:val="none"/>
          <w:u w:val="single"/>
          <w:lang w:val="zh-CN"/>
          <w14:textFill>
            <w14:solidFill>
              <w14:schemeClr w14:val="tx1"/>
            </w14:solidFill>
          </w14:textFill>
        </w:rPr>
      </w:pPr>
      <w:r>
        <w:rPr>
          <w:rFonts w:hint="eastAsia" w:ascii="仿宋" w:hAnsi="仿宋" w:eastAsia="仿宋" w:cs="仿宋"/>
          <w:b/>
          <w:color w:val="000000" w:themeColor="text1"/>
          <w:spacing w:val="9"/>
          <w:sz w:val="24"/>
          <w:highlight w:val="none"/>
          <w:u w:val="single"/>
          <w:lang w:val="zh-CN"/>
          <w14:textFill>
            <w14:solidFill>
              <w14:schemeClr w14:val="tx1"/>
            </w14:solidFill>
          </w14:textFill>
        </w:rPr>
        <w:t>（</w:t>
      </w:r>
      <w:r>
        <w:rPr>
          <w:rFonts w:hint="eastAsia" w:ascii="仿宋" w:hAnsi="仿宋" w:eastAsia="仿宋" w:cs="仿宋"/>
          <w:b/>
          <w:color w:val="000000" w:themeColor="text1"/>
          <w:spacing w:val="9"/>
          <w:sz w:val="24"/>
          <w:highlight w:val="none"/>
          <w:u w:val="single"/>
          <w14:textFill>
            <w14:solidFill>
              <w14:schemeClr w14:val="tx1"/>
            </w14:solidFill>
          </w14:textFill>
        </w:rPr>
        <w:t>5</w:t>
      </w:r>
      <w:r>
        <w:rPr>
          <w:rFonts w:hint="eastAsia" w:ascii="仿宋" w:hAnsi="仿宋" w:eastAsia="仿宋" w:cs="仿宋"/>
          <w:b/>
          <w:color w:val="000000" w:themeColor="text1"/>
          <w:spacing w:val="9"/>
          <w:sz w:val="24"/>
          <w:highlight w:val="none"/>
          <w:u w:val="single"/>
          <w:lang w:val="zh-CN"/>
          <w14:textFill>
            <w14:solidFill>
              <w14:schemeClr w14:val="tx1"/>
            </w14:solidFill>
          </w14:textFill>
        </w:rPr>
        <w:t>）存在法律、法规规定的其他否决应价情形的。</w:t>
      </w:r>
    </w:p>
    <w:p w14:paraId="11B7E98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CCAD618">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7</w:t>
      </w:r>
      <w:r>
        <w:rPr>
          <w:rFonts w:hint="eastAsia" w:ascii="仿宋" w:eastAsia="仿宋" w:cs="仿宋"/>
          <w:color w:val="000000" w:themeColor="text1"/>
          <w:sz w:val="24"/>
          <w:szCs w:val="24"/>
          <w:highlight w:val="none"/>
          <w14:textFill>
            <w14:solidFill>
              <w14:schemeClr w14:val="tx1"/>
            </w14:solidFill>
          </w14:textFill>
        </w:rPr>
        <w:t>、应价文件澄清、报价修正</w:t>
      </w:r>
      <w:bookmarkEnd w:id="170"/>
      <w:bookmarkEnd w:id="171"/>
    </w:p>
    <w:p w14:paraId="38B674E7">
      <w:pPr>
        <w:spacing w:line="360" w:lineRule="auto"/>
        <w:ind w:firstLine="504"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7.1 </w:t>
      </w:r>
      <w:r>
        <w:rPr>
          <w:rFonts w:hint="eastAsia" w:ascii="仿宋" w:hAnsi="仿宋" w:eastAsia="仿宋" w:cs="仿宋"/>
          <w:color w:val="000000" w:themeColor="text1"/>
          <w:spacing w:val="11"/>
          <w:sz w:val="24"/>
          <w:highlight w:val="none"/>
          <w14:textFill>
            <w14:solidFill>
              <w14:schemeClr w14:val="tx1"/>
            </w14:solidFill>
          </w14:textFill>
        </w:rPr>
        <w:t>在评审过程中，评审小组可以书面形式要求应价人对所提交的应价</w:t>
      </w:r>
      <w:r>
        <w:rPr>
          <w:rFonts w:hint="eastAsia" w:ascii="仿宋" w:hAnsi="仿宋" w:eastAsia="仿宋" w:cs="仿宋"/>
          <w:color w:val="000000" w:themeColor="text1"/>
          <w:spacing w:val="10"/>
          <w:sz w:val="24"/>
          <w:highlight w:val="none"/>
          <w14:textFill>
            <w14:solidFill>
              <w14:schemeClr w14:val="tx1"/>
            </w14:solidFill>
          </w14:textFill>
        </w:rPr>
        <w:t>文件中不明确的内容进行书面澄清、说明或者补正。应价人代表应保证联络方</w:t>
      </w:r>
      <w:r>
        <w:rPr>
          <w:rFonts w:hint="eastAsia" w:ascii="仿宋" w:hAnsi="仿宋" w:eastAsia="仿宋" w:cs="仿宋"/>
          <w:color w:val="000000" w:themeColor="text1"/>
          <w:spacing w:val="9"/>
          <w:sz w:val="24"/>
          <w:highlight w:val="none"/>
          <w14:textFill>
            <w14:solidFill>
              <w14:schemeClr w14:val="tx1"/>
            </w14:solidFill>
          </w14:textFill>
        </w:rPr>
        <w:t>式畅通</w:t>
      </w:r>
      <w:r>
        <w:rPr>
          <w:rFonts w:hint="eastAsia" w:ascii="仿宋" w:hAnsi="仿宋" w:eastAsia="仿宋" w:cs="仿宋"/>
          <w:color w:val="000000" w:themeColor="text1"/>
          <w:spacing w:val="10"/>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并应在接到电话通知后</w:t>
      </w:r>
      <w:r>
        <w:rPr>
          <w:rFonts w:hint="eastAsia" w:ascii="仿宋" w:hAnsi="仿宋" w:eastAsia="仿宋" w:cs="仿宋"/>
          <w:color w:val="000000" w:themeColor="text1"/>
          <w:spacing w:val="4"/>
          <w:sz w:val="24"/>
          <w:highlight w:val="none"/>
          <w14:textFill>
            <w14:solidFill>
              <w14:schemeClr w14:val="tx1"/>
            </w14:solidFill>
          </w14:textFill>
        </w:rPr>
        <w:t>30</w:t>
      </w:r>
      <w:r>
        <w:rPr>
          <w:rFonts w:hint="eastAsia" w:ascii="仿宋" w:hAnsi="仿宋" w:eastAsia="仿宋" w:cs="仿宋"/>
          <w:color w:val="000000" w:themeColor="text1"/>
          <w:spacing w:val="9"/>
          <w:sz w:val="24"/>
          <w:highlight w:val="none"/>
          <w14:textFill>
            <w14:solidFill>
              <w14:schemeClr w14:val="tx1"/>
            </w14:solidFill>
          </w14:textFill>
        </w:rPr>
        <w:t>分钟内</w:t>
      </w:r>
      <w:r>
        <w:rPr>
          <w:rFonts w:hint="eastAsia" w:ascii="仿宋" w:hAnsi="仿宋" w:eastAsia="仿宋" w:cs="仿宋"/>
          <w:color w:val="000000" w:themeColor="text1"/>
          <w:spacing w:val="11"/>
          <w:sz w:val="24"/>
          <w:highlight w:val="none"/>
          <w14:textFill>
            <w14:solidFill>
              <w14:schemeClr w14:val="tx1"/>
            </w14:solidFill>
          </w14:textFill>
        </w:rPr>
        <w:t>到达指定地点进行书面澄清、说明或者补正，如</w:t>
      </w:r>
      <w:r>
        <w:rPr>
          <w:rFonts w:hint="eastAsia" w:ascii="仿宋" w:hAnsi="仿宋" w:eastAsia="仿宋" w:cs="仿宋"/>
          <w:color w:val="000000" w:themeColor="text1"/>
          <w:spacing w:val="10"/>
          <w:sz w:val="24"/>
          <w:highlight w:val="none"/>
          <w14:textFill>
            <w14:solidFill>
              <w14:schemeClr w14:val="tx1"/>
            </w14:solidFill>
          </w14:textFill>
        </w:rPr>
        <w:t>无法联络到应价人代表或应价人代表在接到电话通</w:t>
      </w:r>
      <w:r>
        <w:rPr>
          <w:rFonts w:hint="eastAsia" w:ascii="仿宋" w:hAnsi="仿宋" w:eastAsia="仿宋" w:cs="仿宋"/>
          <w:color w:val="000000" w:themeColor="text1"/>
          <w:spacing w:val="7"/>
          <w:sz w:val="24"/>
          <w:highlight w:val="none"/>
          <w14:textFill>
            <w14:solidFill>
              <w14:schemeClr w14:val="tx1"/>
            </w14:solidFill>
          </w14:textFill>
        </w:rPr>
        <w:t>知后</w:t>
      </w:r>
      <w:r>
        <w:rPr>
          <w:rFonts w:hint="eastAsia" w:ascii="仿宋" w:hAnsi="仿宋" w:eastAsia="仿宋" w:cs="仿宋"/>
          <w:color w:val="000000" w:themeColor="text1"/>
          <w:spacing w:val="4"/>
          <w:sz w:val="24"/>
          <w:highlight w:val="none"/>
          <w14:textFill>
            <w14:solidFill>
              <w14:schemeClr w14:val="tx1"/>
            </w14:solidFill>
          </w14:textFill>
        </w:rPr>
        <w:t>30</w:t>
      </w:r>
      <w:r>
        <w:rPr>
          <w:rFonts w:hint="eastAsia" w:ascii="仿宋" w:hAnsi="仿宋" w:eastAsia="仿宋" w:cs="仿宋"/>
          <w:color w:val="000000" w:themeColor="text1"/>
          <w:spacing w:val="7"/>
          <w:sz w:val="24"/>
          <w:highlight w:val="none"/>
          <w14:textFill>
            <w14:solidFill>
              <w14:schemeClr w14:val="tx1"/>
            </w14:solidFill>
          </w14:textFill>
        </w:rPr>
        <w:t>分钟内未能到达指定</w:t>
      </w:r>
      <w:r>
        <w:rPr>
          <w:rFonts w:hint="eastAsia" w:ascii="仿宋" w:hAnsi="仿宋" w:eastAsia="仿宋" w:cs="仿宋"/>
          <w:color w:val="000000" w:themeColor="text1"/>
          <w:spacing w:val="6"/>
          <w:sz w:val="24"/>
          <w:highlight w:val="none"/>
          <w14:textFill>
            <w14:solidFill>
              <w14:schemeClr w14:val="tx1"/>
            </w14:solidFill>
          </w14:textFill>
        </w:rPr>
        <w:t>地点进行书面澄清</w:t>
      </w:r>
      <w:r>
        <w:rPr>
          <w:rFonts w:hint="eastAsia" w:ascii="仿宋" w:hAnsi="仿宋" w:eastAsia="仿宋" w:cs="仿宋"/>
          <w:color w:val="000000" w:themeColor="text1"/>
          <w:spacing w:val="7"/>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说明或者补正</w:t>
      </w:r>
      <w:r>
        <w:rPr>
          <w:rFonts w:hint="eastAsia" w:ascii="仿宋" w:hAnsi="仿宋" w:eastAsia="仿宋" w:cs="仿宋"/>
          <w:color w:val="000000" w:themeColor="text1"/>
          <w:spacing w:val="7"/>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评审小组将视作应价人放弃澄清</w:t>
      </w:r>
      <w:r>
        <w:rPr>
          <w:rFonts w:hint="eastAsia" w:ascii="仿宋" w:hAnsi="仿宋" w:eastAsia="仿宋" w:cs="仿宋"/>
          <w:color w:val="000000" w:themeColor="text1"/>
          <w:spacing w:val="7"/>
          <w:sz w:val="24"/>
          <w:highlight w:val="none"/>
          <w14:textFill>
            <w14:solidFill>
              <w14:schemeClr w14:val="tx1"/>
            </w14:solidFill>
          </w14:textFill>
        </w:rPr>
        <w:t>、说明或者补正</w:t>
      </w:r>
      <w:r>
        <w:rPr>
          <w:rFonts w:hint="eastAsia" w:ascii="仿宋" w:hAnsi="仿宋" w:eastAsia="仿宋" w:cs="仿宋"/>
          <w:color w:val="000000" w:themeColor="text1"/>
          <w:spacing w:val="8"/>
          <w:sz w:val="24"/>
          <w:highlight w:val="none"/>
          <w14:textFill>
            <w14:solidFill>
              <w14:schemeClr w14:val="tx1"/>
            </w14:solidFill>
          </w14:textFill>
        </w:rPr>
        <w:t>。</w:t>
      </w:r>
    </w:p>
    <w:p w14:paraId="0EF87917">
      <w:pPr>
        <w:spacing w:line="360" w:lineRule="auto"/>
        <w:ind w:left="11" w:right="68" w:firstLine="504"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7.2 </w:t>
      </w:r>
      <w:r>
        <w:rPr>
          <w:rFonts w:hint="eastAsia" w:ascii="仿宋" w:hAnsi="仿宋" w:eastAsia="仿宋" w:cs="仿宋"/>
          <w:color w:val="000000" w:themeColor="text1"/>
          <w:spacing w:val="11"/>
          <w:sz w:val="24"/>
          <w:highlight w:val="none"/>
          <w14:textFill>
            <w14:solidFill>
              <w14:schemeClr w14:val="tx1"/>
            </w14:solidFill>
          </w14:textFill>
        </w:rPr>
        <w:t>有关澄清、说明与补正，应价人应以书面形式进行，对应价报价和实</w:t>
      </w:r>
      <w:r>
        <w:rPr>
          <w:rFonts w:hint="eastAsia" w:ascii="仿宋" w:hAnsi="仿宋" w:eastAsia="仿宋" w:cs="仿宋"/>
          <w:color w:val="000000" w:themeColor="text1"/>
          <w:spacing w:val="10"/>
          <w:sz w:val="24"/>
          <w:highlight w:val="none"/>
          <w14:textFill>
            <w14:solidFill>
              <w14:schemeClr w14:val="tx1"/>
            </w14:solidFill>
          </w14:textFill>
        </w:rPr>
        <w:t>质性的内容不得更改</w:t>
      </w:r>
      <w:r>
        <w:rPr>
          <w:rFonts w:hint="eastAsia" w:ascii="仿宋" w:hAnsi="仿宋" w:eastAsia="仿宋" w:cs="仿宋"/>
          <w:color w:val="000000" w:themeColor="text1"/>
          <w:spacing w:val="9"/>
          <w:sz w:val="24"/>
          <w:highlight w:val="none"/>
          <w14:textFill>
            <w14:solidFill>
              <w14:schemeClr w14:val="tx1"/>
            </w14:solidFill>
          </w14:textFill>
        </w:rPr>
        <w:t>（报价修正除外</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应价人的书面澄清</w:t>
      </w:r>
      <w:r>
        <w:rPr>
          <w:rFonts w:hint="eastAsia" w:ascii="仿宋" w:hAnsi="仿宋" w:eastAsia="仿宋" w:cs="仿宋"/>
          <w:color w:val="000000" w:themeColor="text1"/>
          <w:spacing w:val="11"/>
          <w:sz w:val="24"/>
          <w:highlight w:val="none"/>
          <w14:textFill>
            <w14:solidFill>
              <w14:schemeClr w14:val="tx1"/>
            </w14:solidFill>
          </w14:textFill>
        </w:rPr>
        <w:t>、</w:t>
      </w:r>
      <w:r>
        <w:rPr>
          <w:rFonts w:hint="eastAsia" w:ascii="仿宋" w:hAnsi="仿宋" w:eastAsia="仿宋" w:cs="仿宋"/>
          <w:color w:val="000000" w:themeColor="text1"/>
          <w:spacing w:val="9"/>
          <w:sz w:val="24"/>
          <w:highlight w:val="none"/>
          <w14:textFill>
            <w14:solidFill>
              <w14:schemeClr w14:val="tx1"/>
            </w14:solidFill>
          </w14:textFill>
        </w:rPr>
        <w:t>说明和补正属于应价文件的组成部分</w:t>
      </w:r>
      <w:r>
        <w:rPr>
          <w:rFonts w:hint="eastAsia" w:ascii="仿宋" w:hAnsi="仿宋" w:eastAsia="仿宋" w:cs="仿宋"/>
          <w:color w:val="000000" w:themeColor="text1"/>
          <w:spacing w:val="10"/>
          <w:sz w:val="24"/>
          <w:highlight w:val="none"/>
          <w14:textFill>
            <w14:solidFill>
              <w14:schemeClr w14:val="tx1"/>
            </w14:solidFill>
          </w14:textFill>
        </w:rPr>
        <w:t>。</w:t>
      </w:r>
    </w:p>
    <w:p w14:paraId="5069ED7C">
      <w:pPr>
        <w:spacing w:line="360" w:lineRule="auto"/>
        <w:ind w:left="21" w:right="77" w:firstLine="508"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7"/>
          <w:sz w:val="24"/>
          <w:highlight w:val="none"/>
          <w14:textFill>
            <w14:solidFill>
              <w14:schemeClr w14:val="tx1"/>
            </w14:solidFill>
          </w14:textFill>
        </w:rPr>
        <w:t xml:space="preserve">7.3 </w:t>
      </w:r>
      <w:r>
        <w:rPr>
          <w:rFonts w:hint="eastAsia" w:ascii="仿宋" w:hAnsi="仿宋" w:eastAsia="仿宋" w:cs="仿宋"/>
          <w:color w:val="000000" w:themeColor="text1"/>
          <w:spacing w:val="11"/>
          <w:sz w:val="24"/>
          <w:highlight w:val="none"/>
          <w14:textFill>
            <w14:solidFill>
              <w14:schemeClr w14:val="tx1"/>
            </w14:solidFill>
          </w14:textFill>
        </w:rPr>
        <w:t>评审小组对应价人提交</w:t>
      </w:r>
      <w:r>
        <w:rPr>
          <w:rFonts w:hint="eastAsia" w:ascii="仿宋" w:hAnsi="仿宋" w:eastAsia="仿宋" w:cs="仿宋"/>
          <w:color w:val="000000" w:themeColor="text1"/>
          <w:spacing w:val="10"/>
          <w:sz w:val="24"/>
          <w:highlight w:val="none"/>
          <w14:textFill>
            <w14:solidFill>
              <w14:schemeClr w14:val="tx1"/>
            </w14:solidFill>
          </w14:textFill>
        </w:rPr>
        <w:t>的澄清</w:t>
      </w:r>
      <w:r>
        <w:rPr>
          <w:rFonts w:hint="eastAsia" w:ascii="仿宋" w:hAnsi="仿宋" w:eastAsia="仿宋" w:cs="仿宋"/>
          <w:color w:val="000000" w:themeColor="text1"/>
          <w:spacing w:val="12"/>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说明或补正有疑问的</w:t>
      </w:r>
      <w:r>
        <w:rPr>
          <w:rFonts w:hint="eastAsia" w:ascii="仿宋" w:hAnsi="仿宋" w:eastAsia="仿宋" w:cs="仿宋"/>
          <w:color w:val="000000" w:themeColor="text1"/>
          <w:spacing w:val="12"/>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可以要求应价人进一步澄清</w:t>
      </w:r>
      <w:r>
        <w:rPr>
          <w:rFonts w:hint="eastAsia" w:ascii="仿宋" w:hAnsi="仿宋" w:eastAsia="仿宋" w:cs="仿宋"/>
          <w:color w:val="000000" w:themeColor="text1"/>
          <w:spacing w:val="12"/>
          <w:sz w:val="24"/>
          <w:highlight w:val="none"/>
          <w14:textFill>
            <w14:solidFill>
              <w14:schemeClr w14:val="tx1"/>
            </w14:solidFill>
          </w14:textFill>
        </w:rPr>
        <w:t>、</w:t>
      </w:r>
      <w:r>
        <w:rPr>
          <w:rFonts w:hint="eastAsia" w:ascii="仿宋" w:hAnsi="仿宋" w:eastAsia="仿宋" w:cs="仿宋"/>
          <w:color w:val="000000" w:themeColor="text1"/>
          <w:spacing w:val="10"/>
          <w:sz w:val="24"/>
          <w:highlight w:val="none"/>
          <w14:textFill>
            <w14:solidFill>
              <w14:schemeClr w14:val="tx1"/>
            </w14:solidFill>
          </w14:textFill>
        </w:rPr>
        <w:t>说</w:t>
      </w:r>
      <w:r>
        <w:rPr>
          <w:rFonts w:hint="eastAsia" w:ascii="仿宋" w:hAnsi="仿宋" w:eastAsia="仿宋" w:cs="仿宋"/>
          <w:color w:val="000000" w:themeColor="text1"/>
          <w:spacing w:val="8"/>
          <w:sz w:val="24"/>
          <w:highlight w:val="none"/>
          <w14:textFill>
            <w14:solidFill>
              <w14:schemeClr w14:val="tx1"/>
            </w14:solidFill>
          </w14:textFill>
        </w:rPr>
        <w:t>明或补正</w:t>
      </w: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8"/>
          <w:sz w:val="24"/>
          <w:highlight w:val="none"/>
          <w14:textFill>
            <w14:solidFill>
              <w14:schemeClr w14:val="tx1"/>
            </w14:solidFill>
          </w14:textFill>
        </w:rPr>
        <w:t>直至满足评审小组</w:t>
      </w:r>
      <w:r>
        <w:rPr>
          <w:rFonts w:hint="eastAsia" w:ascii="仿宋" w:hAnsi="仿宋" w:eastAsia="仿宋" w:cs="仿宋"/>
          <w:color w:val="000000" w:themeColor="text1"/>
          <w:spacing w:val="7"/>
          <w:sz w:val="24"/>
          <w:highlight w:val="none"/>
          <w14:textFill>
            <w14:solidFill>
              <w14:schemeClr w14:val="tx1"/>
            </w14:solidFill>
          </w14:textFill>
        </w:rPr>
        <w:t>的要求</w:t>
      </w:r>
      <w:r>
        <w:rPr>
          <w:rFonts w:hint="eastAsia" w:ascii="仿宋" w:hAnsi="仿宋" w:eastAsia="仿宋" w:cs="仿宋"/>
          <w:color w:val="000000" w:themeColor="text1"/>
          <w:spacing w:val="9"/>
          <w:sz w:val="24"/>
          <w:highlight w:val="none"/>
          <w14:textFill>
            <w14:solidFill>
              <w14:schemeClr w14:val="tx1"/>
            </w14:solidFill>
          </w14:textFill>
        </w:rPr>
        <w:t>。</w:t>
      </w:r>
    </w:p>
    <w:p w14:paraId="60CA46CA">
      <w:pPr>
        <w:spacing w:line="360" w:lineRule="auto"/>
        <w:ind w:firstLine="50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5"/>
          <w:sz w:val="24"/>
          <w:highlight w:val="none"/>
          <w14:textFill>
            <w14:solidFill>
              <w14:schemeClr w14:val="tx1"/>
            </w14:solidFill>
          </w14:textFill>
        </w:rPr>
        <w:t>7.</w:t>
      </w:r>
      <w:r>
        <w:rPr>
          <w:rFonts w:hint="eastAsia" w:ascii="仿宋" w:hAnsi="仿宋" w:eastAsia="仿宋" w:cs="仿宋"/>
          <w:color w:val="000000" w:themeColor="text1"/>
          <w:spacing w:val="4"/>
          <w:sz w:val="24"/>
          <w:highlight w:val="none"/>
          <w14:textFill>
            <w14:solidFill>
              <w14:schemeClr w14:val="tx1"/>
            </w14:solidFill>
          </w14:textFill>
        </w:rPr>
        <w:t>4</w:t>
      </w:r>
      <w:r>
        <w:rPr>
          <w:rFonts w:hint="eastAsia" w:ascii="仿宋" w:hAnsi="仿宋" w:eastAsia="仿宋" w:cs="仿宋"/>
          <w:color w:val="000000" w:themeColor="text1"/>
          <w:spacing w:val="7"/>
          <w:sz w:val="24"/>
          <w:highlight w:val="none"/>
          <w14:textFill>
            <w14:solidFill>
              <w14:schemeClr w14:val="tx1"/>
            </w14:solidFill>
          </w14:textFill>
        </w:rPr>
        <w:t>评审小组不接受应价人主动提出的澄清</w:t>
      </w: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7"/>
          <w:sz w:val="24"/>
          <w:highlight w:val="none"/>
          <w14:textFill>
            <w14:solidFill>
              <w14:schemeClr w14:val="tx1"/>
            </w14:solidFill>
          </w14:textFill>
        </w:rPr>
        <w:t>说明或补正</w:t>
      </w:r>
      <w:r>
        <w:rPr>
          <w:rFonts w:hint="eastAsia" w:ascii="仿宋" w:hAnsi="仿宋" w:eastAsia="仿宋" w:cs="仿宋"/>
          <w:color w:val="000000" w:themeColor="text1"/>
          <w:spacing w:val="9"/>
          <w:sz w:val="24"/>
          <w:highlight w:val="none"/>
          <w14:textFill>
            <w14:solidFill>
              <w14:schemeClr w14:val="tx1"/>
            </w14:solidFill>
          </w14:textFill>
        </w:rPr>
        <w:t>。</w:t>
      </w:r>
    </w:p>
    <w:p w14:paraId="64FE1FF0">
      <w:pPr>
        <w:spacing w:line="360" w:lineRule="auto"/>
        <w:ind w:firstLine="496"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 xml:space="preserve">7.5 </w:t>
      </w:r>
      <w:r>
        <w:rPr>
          <w:rFonts w:hint="eastAsia" w:ascii="仿宋" w:hAnsi="仿宋" w:eastAsia="仿宋" w:cs="仿宋"/>
          <w:color w:val="000000" w:themeColor="text1"/>
          <w:spacing w:val="8"/>
          <w:sz w:val="24"/>
          <w:highlight w:val="none"/>
          <w14:textFill>
            <w14:solidFill>
              <w14:schemeClr w14:val="tx1"/>
            </w14:solidFill>
          </w14:textFill>
        </w:rPr>
        <w:t>应价报价出现前后不一致的，</w:t>
      </w:r>
      <w:r>
        <w:rPr>
          <w:rFonts w:hint="eastAsia" w:ascii="仿宋" w:hAnsi="仿宋" w:eastAsia="仿宋" w:cs="仿宋"/>
          <w:color w:val="000000" w:themeColor="text1"/>
          <w:spacing w:val="7"/>
          <w:sz w:val="24"/>
          <w:highlight w:val="none"/>
          <w14:textFill>
            <w14:solidFill>
              <w14:schemeClr w14:val="tx1"/>
            </w14:solidFill>
          </w14:textFill>
        </w:rPr>
        <w:t>评审小组应按照下列原则修正</w:t>
      </w:r>
      <w:r>
        <w:rPr>
          <w:rFonts w:hint="eastAsia" w:ascii="仿宋" w:hAnsi="仿宋" w:eastAsia="仿宋" w:cs="仿宋"/>
          <w:color w:val="000000" w:themeColor="text1"/>
          <w:spacing w:val="8"/>
          <w:sz w:val="24"/>
          <w:highlight w:val="none"/>
          <w14:textFill>
            <w14:solidFill>
              <w14:schemeClr w14:val="tx1"/>
            </w14:solidFill>
          </w14:textFill>
        </w:rPr>
        <w:t>：</w:t>
      </w:r>
    </w:p>
    <w:p w14:paraId="4836AC1F">
      <w:pPr>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（1）正本与副本不一致时，以正本为准；</w:t>
      </w:r>
    </w:p>
    <w:p w14:paraId="56E45C5F">
      <w:pPr>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（2）对不同文字文本应价文件的解释发生异议的，以中文文本为准；</w:t>
      </w:r>
    </w:p>
    <w:p w14:paraId="3D452562">
      <w:pPr>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（3）应价文件中报价函内容与应价文件中相应内容不一致的，以报价函为准;但报价函存在明显单位、文字错误的，则澄清、说明、补正；</w:t>
      </w:r>
    </w:p>
    <w:p w14:paraId="638D199E">
      <w:pPr>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（4）报价函合计金额与按单价汇总金额不一致的，以合计金额为准，修改单价；</w:t>
      </w:r>
    </w:p>
    <w:p w14:paraId="55E3402D">
      <w:pPr>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（5）大写金额和小写金额不一致的，以大写金额为准；但大写有明显单位、文字错误的除外；</w:t>
      </w:r>
    </w:p>
    <w:p w14:paraId="0E31CB57">
      <w:pPr>
        <w:adjustRightInd w:val="0"/>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（6）计量单位与报价函不符的，按询价文件规定进行修正。</w:t>
      </w:r>
    </w:p>
    <w:p w14:paraId="4E7E8915">
      <w:pPr>
        <w:spacing w:line="360" w:lineRule="auto"/>
        <w:rPr>
          <w:rFonts w:ascii="仿宋_GB2312" w:eastAsia="仿宋_GB2312"/>
          <w:color w:val="000000" w:themeColor="text1"/>
          <w:sz w:val="32"/>
          <w:szCs w:val="32"/>
          <w:highlight w:val="none"/>
          <w14:textFill>
            <w14:solidFill>
              <w14:schemeClr w14:val="tx1"/>
            </w14:solidFill>
          </w14:textFill>
        </w:rPr>
      </w:pPr>
    </w:p>
    <w:p w14:paraId="6F4B77AE">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8</w:t>
      </w:r>
      <w:r>
        <w:rPr>
          <w:rFonts w:hint="eastAsia" w:ascii="仿宋" w:eastAsia="仿宋" w:cs="仿宋"/>
          <w:color w:val="000000" w:themeColor="text1"/>
          <w:sz w:val="24"/>
          <w:szCs w:val="24"/>
          <w:highlight w:val="none"/>
          <w14:textFill>
            <w14:solidFill>
              <w14:schemeClr w14:val="tx1"/>
            </w14:solidFill>
          </w14:textFill>
        </w:rPr>
        <w:t>、排序与推荐成交候选人</w:t>
      </w:r>
    </w:p>
    <w:p w14:paraId="66370E59">
      <w:pPr>
        <w:spacing w:line="360" w:lineRule="auto"/>
        <w:ind w:right="2" w:firstLine="504" w:firstLineChars="200"/>
        <w:rPr>
          <w:rFonts w:hint="eastAsia"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8.1评审小组从有效应价中按应价报价由低到高排序推荐成交候选人（数量1名）。若报价相同，则由评审小组按少数服从多数的原则通过投票表决决定排名先后。</w:t>
      </w:r>
    </w:p>
    <w:p w14:paraId="4D554A66">
      <w:pPr>
        <w:rPr>
          <w:rFonts w:hint="eastAsia" w:ascii="仿宋_GB2312" w:hAnsi="仿宋" w:eastAsia="仿宋_GB2312"/>
          <w:color w:val="000000" w:themeColor="text1"/>
          <w:sz w:val="32"/>
          <w:szCs w:val="32"/>
          <w:highlight w:val="none"/>
          <w14:textFill>
            <w14:solidFill>
              <w14:schemeClr w14:val="tx1"/>
            </w14:solidFill>
          </w14:textFill>
        </w:rPr>
      </w:pPr>
    </w:p>
    <w:p w14:paraId="5CC933DE">
      <w:pPr>
        <w:pStyle w:val="3"/>
        <w:ind w:firstLine="482" w:firstLineChars="200"/>
        <w:jc w:val="center"/>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9</w:t>
      </w:r>
      <w:r>
        <w:rPr>
          <w:rFonts w:hint="eastAsia" w:ascii="仿宋" w:eastAsia="仿宋" w:cs="仿宋"/>
          <w:color w:val="000000" w:themeColor="text1"/>
          <w:sz w:val="24"/>
          <w:szCs w:val="24"/>
          <w:highlight w:val="none"/>
          <w14:textFill>
            <w14:solidFill>
              <w14:schemeClr w14:val="tx1"/>
            </w14:solidFill>
          </w14:textFill>
        </w:rPr>
        <w:t>、完成评审报告</w:t>
      </w:r>
    </w:p>
    <w:p w14:paraId="7F5C90FA">
      <w:pPr>
        <w:spacing w:line="360" w:lineRule="auto"/>
        <w:ind w:right="2" w:firstLine="504"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9.1 </w:t>
      </w:r>
      <w:r>
        <w:rPr>
          <w:rFonts w:hint="eastAsia" w:ascii="仿宋" w:hAnsi="仿宋" w:eastAsia="仿宋" w:cs="仿宋"/>
          <w:color w:val="000000" w:themeColor="text1"/>
          <w:spacing w:val="11"/>
          <w:sz w:val="24"/>
          <w:highlight w:val="none"/>
          <w14:textFill>
            <w14:solidFill>
              <w14:schemeClr w14:val="tx1"/>
            </w14:solidFill>
          </w14:textFill>
        </w:rPr>
        <w:t>评审小组完成评审后，应当根据全体评审成员签字的原始评审记录和</w:t>
      </w:r>
      <w:r>
        <w:rPr>
          <w:rFonts w:hint="eastAsia" w:ascii="仿宋" w:hAnsi="仿宋" w:eastAsia="仿宋" w:cs="仿宋"/>
          <w:color w:val="000000" w:themeColor="text1"/>
          <w:spacing w:val="10"/>
          <w:sz w:val="24"/>
          <w:highlight w:val="none"/>
          <w14:textFill>
            <w14:solidFill>
              <w14:schemeClr w14:val="tx1"/>
            </w14:solidFill>
          </w14:textFill>
        </w:rPr>
        <w:t>评审结果编写评审</w:t>
      </w:r>
      <w:r>
        <w:rPr>
          <w:rFonts w:hint="eastAsia" w:ascii="仿宋" w:hAnsi="仿宋" w:eastAsia="仿宋" w:cs="仿宋"/>
          <w:color w:val="000000" w:themeColor="text1"/>
          <w:spacing w:val="8"/>
          <w:sz w:val="24"/>
          <w:highlight w:val="none"/>
          <w14:textFill>
            <w14:solidFill>
              <w14:schemeClr w14:val="tx1"/>
            </w14:solidFill>
          </w14:textFill>
        </w:rPr>
        <w:t>报告，并推荐成交候选人，评审报告由评审小组成员</w:t>
      </w:r>
      <w:r>
        <w:rPr>
          <w:rFonts w:hint="eastAsia" w:ascii="仿宋" w:hAnsi="仿宋" w:eastAsia="仿宋" w:cs="仿宋"/>
          <w:color w:val="000000" w:themeColor="text1"/>
          <w:spacing w:val="7"/>
          <w:sz w:val="24"/>
          <w:highlight w:val="none"/>
          <w14:textFill>
            <w14:solidFill>
              <w14:schemeClr w14:val="tx1"/>
            </w14:solidFill>
          </w14:textFill>
        </w:rPr>
        <w:t>签字确认提交询价人</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pacing w:val="7"/>
          <w:sz w:val="24"/>
          <w:highlight w:val="none"/>
          <w14:textFill>
            <w14:solidFill>
              <w14:schemeClr w14:val="tx1"/>
            </w14:solidFill>
          </w14:textFill>
        </w:rPr>
        <w:t>并抄送有关监督部门</w:t>
      </w:r>
      <w:r>
        <w:rPr>
          <w:rFonts w:hint="eastAsia" w:ascii="仿宋" w:hAnsi="仿宋" w:eastAsia="仿宋" w:cs="仿宋"/>
          <w:color w:val="000000" w:themeColor="text1"/>
          <w:spacing w:val="8"/>
          <w:sz w:val="24"/>
          <w:highlight w:val="none"/>
          <w14:textFill>
            <w14:solidFill>
              <w14:schemeClr w14:val="tx1"/>
            </w14:solidFill>
          </w14:textFill>
        </w:rPr>
        <w:t>。</w:t>
      </w:r>
    </w:p>
    <w:p w14:paraId="520DA170">
      <w:pPr>
        <w:spacing w:line="360" w:lineRule="auto"/>
        <w:ind w:left="3" w:right="2" w:firstLine="504"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 xml:space="preserve">9.2 </w:t>
      </w:r>
      <w:r>
        <w:rPr>
          <w:rFonts w:hint="eastAsia" w:ascii="仿宋" w:hAnsi="仿宋" w:eastAsia="仿宋" w:cs="仿宋"/>
          <w:color w:val="000000" w:themeColor="text1"/>
          <w:spacing w:val="11"/>
          <w:sz w:val="24"/>
          <w:highlight w:val="none"/>
          <w14:textFill>
            <w14:solidFill>
              <w14:schemeClr w14:val="tx1"/>
            </w14:solidFill>
          </w14:textFill>
        </w:rPr>
        <w:t>评审小组成员对需要共同认定的事项存在争议的，应当按照少数服从</w:t>
      </w:r>
      <w:r>
        <w:rPr>
          <w:rFonts w:hint="eastAsia" w:ascii="仿宋" w:hAnsi="仿宋" w:eastAsia="仿宋" w:cs="仿宋"/>
          <w:color w:val="000000" w:themeColor="text1"/>
          <w:spacing w:val="10"/>
          <w:sz w:val="24"/>
          <w:highlight w:val="none"/>
          <w14:textFill>
            <w14:solidFill>
              <w14:schemeClr w14:val="tx1"/>
            </w14:solidFill>
          </w14:textFill>
        </w:rPr>
        <w:t>多数的原则作出结</w:t>
      </w:r>
      <w:r>
        <w:rPr>
          <w:rFonts w:hint="eastAsia" w:ascii="仿宋" w:hAnsi="仿宋" w:eastAsia="仿宋" w:cs="仿宋"/>
          <w:color w:val="000000" w:themeColor="text1"/>
          <w:spacing w:val="8"/>
          <w:sz w:val="24"/>
          <w:highlight w:val="none"/>
          <w14:textFill>
            <w14:solidFill>
              <w14:schemeClr w14:val="tx1"/>
            </w14:solidFill>
          </w14:textFill>
        </w:rPr>
        <w:t>论。持不同意见的评审小组成员应当在评审</w:t>
      </w:r>
      <w:r>
        <w:rPr>
          <w:rFonts w:hint="eastAsia" w:ascii="仿宋" w:hAnsi="仿宋" w:eastAsia="仿宋" w:cs="仿宋"/>
          <w:color w:val="000000" w:themeColor="text1"/>
          <w:spacing w:val="7"/>
          <w:sz w:val="24"/>
          <w:highlight w:val="none"/>
          <w14:textFill>
            <w14:solidFill>
              <w14:schemeClr w14:val="tx1"/>
            </w14:solidFill>
          </w14:textFill>
        </w:rPr>
        <w:t>报告上签署不同意见及理由</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pacing w:val="7"/>
          <w:sz w:val="24"/>
          <w:highlight w:val="none"/>
          <w14:textFill>
            <w14:solidFill>
              <w14:schemeClr w14:val="tx1"/>
            </w14:solidFill>
          </w14:textFill>
        </w:rPr>
        <w:t>否则视为同意评审报告</w:t>
      </w:r>
      <w:r>
        <w:rPr>
          <w:rFonts w:hint="eastAsia" w:ascii="仿宋" w:hAnsi="仿宋" w:eastAsia="仿宋" w:cs="仿宋"/>
          <w:color w:val="000000" w:themeColor="text1"/>
          <w:spacing w:val="8"/>
          <w:sz w:val="24"/>
          <w:highlight w:val="none"/>
          <w14:textFill>
            <w14:solidFill>
              <w14:schemeClr w14:val="tx1"/>
            </w14:solidFill>
          </w14:textFill>
        </w:rPr>
        <w:t>。</w:t>
      </w:r>
    </w:p>
    <w:p w14:paraId="67477B9D">
      <w:pPr>
        <w:spacing w:line="360" w:lineRule="auto"/>
        <w:ind w:firstLine="49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3"/>
          <w:sz w:val="24"/>
          <w:highlight w:val="none"/>
          <w14:textFill>
            <w14:solidFill>
              <w14:schemeClr w14:val="tx1"/>
            </w14:solidFill>
          </w14:textFill>
        </w:rPr>
        <w:t xml:space="preserve">9.3 </w:t>
      </w:r>
      <w:r>
        <w:rPr>
          <w:rFonts w:hint="eastAsia" w:ascii="仿宋" w:hAnsi="仿宋" w:eastAsia="仿宋" w:cs="仿宋"/>
          <w:color w:val="000000" w:themeColor="text1"/>
          <w:spacing w:val="5"/>
          <w:sz w:val="24"/>
          <w:highlight w:val="none"/>
          <w14:textFill>
            <w14:solidFill>
              <w14:schemeClr w14:val="tx1"/>
            </w14:solidFill>
          </w14:textFill>
        </w:rPr>
        <w:t>评审报告应包</w:t>
      </w:r>
      <w:r>
        <w:rPr>
          <w:rFonts w:hint="eastAsia" w:ascii="仿宋" w:hAnsi="仿宋" w:eastAsia="仿宋" w:cs="仿宋"/>
          <w:color w:val="000000" w:themeColor="text1"/>
          <w:spacing w:val="4"/>
          <w:sz w:val="24"/>
          <w:highlight w:val="none"/>
          <w14:textFill>
            <w14:solidFill>
              <w14:schemeClr w14:val="tx1"/>
            </w14:solidFill>
          </w14:textFill>
        </w:rPr>
        <w:t>括以下内容</w:t>
      </w:r>
      <w:r>
        <w:rPr>
          <w:rFonts w:hint="eastAsia" w:ascii="仿宋" w:hAnsi="仿宋" w:eastAsia="仿宋" w:cs="仿宋"/>
          <w:color w:val="000000" w:themeColor="text1"/>
          <w:spacing w:val="5"/>
          <w:sz w:val="24"/>
          <w:highlight w:val="none"/>
          <w14:textFill>
            <w14:solidFill>
              <w14:schemeClr w14:val="tx1"/>
            </w14:solidFill>
          </w14:textFill>
        </w:rPr>
        <w:t>：</w:t>
      </w:r>
    </w:p>
    <w:p w14:paraId="1BD691A9">
      <w:pPr>
        <w:spacing w:line="360" w:lineRule="auto"/>
        <w:ind w:firstLine="504"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1</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pacing w:val="5"/>
          <w:sz w:val="24"/>
          <w:highlight w:val="none"/>
          <w14:textFill>
            <w14:solidFill>
              <w14:schemeClr w14:val="tx1"/>
            </w14:solidFill>
          </w14:textFill>
        </w:rPr>
        <w:t>开启记录</w:t>
      </w:r>
      <w:r>
        <w:rPr>
          <w:rFonts w:hint="eastAsia" w:ascii="仿宋" w:hAnsi="仿宋" w:eastAsia="仿宋" w:cs="仿宋"/>
          <w:color w:val="000000" w:themeColor="text1"/>
          <w:spacing w:val="8"/>
          <w:sz w:val="24"/>
          <w:highlight w:val="none"/>
          <w14:textFill>
            <w14:solidFill>
              <w14:schemeClr w14:val="tx1"/>
            </w14:solidFill>
          </w14:textFill>
        </w:rPr>
        <w:t>；</w:t>
      </w:r>
    </w:p>
    <w:p w14:paraId="59AD6820">
      <w:pPr>
        <w:spacing w:line="360" w:lineRule="auto"/>
        <w:ind w:firstLine="51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pacing w:val="5"/>
          <w:sz w:val="24"/>
          <w:highlight w:val="none"/>
          <w14:textFill>
            <w14:solidFill>
              <w14:schemeClr w14:val="tx1"/>
            </w14:solidFill>
          </w14:textFill>
        </w:rPr>
        <w:t>2</w:t>
      </w: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8"/>
          <w:sz w:val="24"/>
          <w:highlight w:val="none"/>
          <w14:textFill>
            <w14:solidFill>
              <w14:schemeClr w14:val="tx1"/>
            </w14:solidFill>
          </w14:textFill>
        </w:rPr>
        <w:t>评审</w:t>
      </w:r>
      <w:r>
        <w:rPr>
          <w:rFonts w:hint="eastAsia" w:ascii="仿宋" w:hAnsi="仿宋" w:eastAsia="仿宋" w:cs="仿宋"/>
          <w:color w:val="000000" w:themeColor="text1"/>
          <w:spacing w:val="7"/>
          <w:sz w:val="24"/>
          <w:highlight w:val="none"/>
          <w14:textFill>
            <w14:solidFill>
              <w14:schemeClr w14:val="tx1"/>
            </w14:solidFill>
          </w14:textFill>
        </w:rPr>
        <w:t>内容</w:t>
      </w: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7"/>
          <w:sz w:val="24"/>
          <w:highlight w:val="none"/>
          <w14:textFill>
            <w14:solidFill>
              <w14:schemeClr w14:val="tx1"/>
            </w14:solidFill>
          </w14:textFill>
        </w:rPr>
        <w:t>过程和结果</w:t>
      </w:r>
      <w:r>
        <w:rPr>
          <w:rFonts w:hint="eastAsia" w:ascii="仿宋" w:hAnsi="仿宋" w:eastAsia="仿宋" w:cs="仿宋"/>
          <w:color w:val="000000" w:themeColor="text1"/>
          <w:spacing w:val="9"/>
          <w:sz w:val="24"/>
          <w:highlight w:val="none"/>
          <w14:textFill>
            <w14:solidFill>
              <w14:schemeClr w14:val="tx1"/>
            </w14:solidFill>
          </w14:textFill>
        </w:rPr>
        <w:t>；</w:t>
      </w:r>
    </w:p>
    <w:p w14:paraId="0BAC83B2">
      <w:pPr>
        <w:spacing w:line="360" w:lineRule="auto"/>
        <w:ind w:firstLine="504"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w:t>
      </w:r>
      <w:r>
        <w:rPr>
          <w:rFonts w:hint="eastAsia" w:ascii="仿宋" w:hAnsi="仿宋" w:eastAsia="仿宋" w:cs="仿宋"/>
          <w:color w:val="000000" w:themeColor="text1"/>
          <w:spacing w:val="3"/>
          <w:sz w:val="24"/>
          <w:highlight w:val="none"/>
          <w14:textFill>
            <w14:solidFill>
              <w14:schemeClr w14:val="tx1"/>
            </w14:solidFill>
          </w14:textFill>
        </w:rPr>
        <w:t>3</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否决应价情况说明及依据（包括对应价竞争性认定的理由（若有</w:t>
      </w:r>
      <w:r>
        <w:rPr>
          <w:rFonts w:hint="eastAsia" w:ascii="仿宋" w:hAnsi="仿宋" w:eastAsia="仿宋" w:cs="仿宋"/>
          <w:color w:val="000000" w:themeColor="text1"/>
          <w:spacing w:val="7"/>
          <w:sz w:val="24"/>
          <w:highlight w:val="none"/>
          <w14:textFill>
            <w14:solidFill>
              <w14:schemeClr w14:val="tx1"/>
            </w14:solidFill>
          </w14:textFill>
        </w:rPr>
        <w:t>））；</w:t>
      </w:r>
    </w:p>
    <w:p w14:paraId="1B6FE646">
      <w:pPr>
        <w:spacing w:line="360" w:lineRule="auto"/>
        <w:ind w:firstLine="508"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7"/>
          <w:sz w:val="24"/>
          <w:highlight w:val="none"/>
          <w14:textFill>
            <w14:solidFill>
              <w14:schemeClr w14:val="tx1"/>
            </w14:solidFill>
          </w14:textFill>
        </w:rPr>
        <w:t>（</w:t>
      </w:r>
      <w:r>
        <w:rPr>
          <w:rFonts w:hint="eastAsia" w:ascii="仿宋" w:hAnsi="仿宋" w:eastAsia="仿宋" w:cs="仿宋"/>
          <w:color w:val="000000" w:themeColor="text1"/>
          <w:spacing w:val="4"/>
          <w:sz w:val="24"/>
          <w:highlight w:val="none"/>
          <w14:textFill>
            <w14:solidFill>
              <w14:schemeClr w14:val="tx1"/>
            </w14:solidFill>
          </w14:textFill>
        </w:rPr>
        <w:t>4</w:t>
      </w: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6"/>
          <w:sz w:val="24"/>
          <w:highlight w:val="none"/>
          <w14:textFill>
            <w14:solidFill>
              <w14:schemeClr w14:val="tx1"/>
            </w14:solidFill>
          </w14:textFill>
        </w:rPr>
        <w:t>询标澄清纪要</w:t>
      </w:r>
      <w:r>
        <w:rPr>
          <w:rFonts w:hint="eastAsia" w:ascii="仿宋" w:hAnsi="仿宋" w:eastAsia="仿宋" w:cs="仿宋"/>
          <w:color w:val="000000" w:themeColor="text1"/>
          <w:spacing w:val="9"/>
          <w:sz w:val="24"/>
          <w:highlight w:val="none"/>
          <w14:textFill>
            <w14:solidFill>
              <w14:schemeClr w14:val="tx1"/>
            </w14:solidFill>
          </w14:textFill>
        </w:rPr>
        <w:t>；</w:t>
      </w:r>
    </w:p>
    <w:p w14:paraId="2E04940E">
      <w:pPr>
        <w:spacing w:line="360" w:lineRule="auto"/>
        <w:ind w:firstLine="516" w:firstLineChars="200"/>
        <w:rPr>
          <w:rFonts w:hint="eastAsia" w:ascii="仿宋" w:hAnsi="仿宋" w:eastAsia="仿宋" w:cs="仿宋"/>
          <w:color w:val="000000" w:themeColor="text1"/>
          <w:spacing w:val="8"/>
          <w:sz w:val="24"/>
          <w:highlight w:val="none"/>
          <w14:textFill>
            <w14:solidFill>
              <w14:schemeClr w14:val="tx1"/>
            </w14:solidFill>
          </w14:textFill>
        </w:rPr>
      </w:pPr>
      <w:r>
        <w:rPr>
          <w:rFonts w:hint="eastAsia" w:ascii="仿宋" w:hAnsi="仿宋" w:eastAsia="仿宋" w:cs="仿宋"/>
          <w:color w:val="000000" w:themeColor="text1"/>
          <w:spacing w:val="9"/>
          <w:sz w:val="24"/>
          <w:highlight w:val="none"/>
          <w14:textFill>
            <w14:solidFill>
              <w14:schemeClr w14:val="tx1"/>
            </w14:solidFill>
          </w14:textFill>
        </w:rPr>
        <w:t>（</w:t>
      </w:r>
      <w:r>
        <w:rPr>
          <w:rFonts w:hint="eastAsia" w:ascii="仿宋" w:hAnsi="仿宋" w:eastAsia="仿宋" w:cs="仿宋"/>
          <w:color w:val="000000" w:themeColor="text1"/>
          <w:spacing w:val="4"/>
          <w:sz w:val="24"/>
          <w:highlight w:val="none"/>
          <w14:textFill>
            <w14:solidFill>
              <w14:schemeClr w14:val="tx1"/>
            </w14:solidFill>
          </w14:textFill>
        </w:rPr>
        <w:t>5</w:t>
      </w:r>
      <w:r>
        <w:rPr>
          <w:rFonts w:hint="eastAsia" w:ascii="仿宋" w:hAnsi="仿宋" w:eastAsia="仿宋" w:cs="仿宋"/>
          <w:color w:val="000000" w:themeColor="text1"/>
          <w:spacing w:val="10"/>
          <w:sz w:val="24"/>
          <w:highlight w:val="none"/>
          <w14:textFill>
            <w14:solidFill>
              <w14:schemeClr w14:val="tx1"/>
            </w14:solidFill>
          </w14:textFill>
        </w:rPr>
        <w:t>）</w:t>
      </w:r>
      <w:r>
        <w:rPr>
          <w:rFonts w:hint="eastAsia" w:ascii="仿宋" w:hAnsi="仿宋" w:eastAsia="仿宋" w:cs="仿宋"/>
          <w:color w:val="000000" w:themeColor="text1"/>
          <w:spacing w:val="8"/>
          <w:sz w:val="24"/>
          <w:highlight w:val="none"/>
          <w14:textFill>
            <w14:solidFill>
              <w14:schemeClr w14:val="tx1"/>
            </w14:solidFill>
          </w14:textFill>
        </w:rPr>
        <w:t>成交候选人的优劣对比和存在问题（</w:t>
      </w:r>
      <w:r>
        <w:rPr>
          <w:rFonts w:hint="eastAsia" w:ascii="仿宋" w:hAnsi="仿宋" w:eastAsia="仿宋" w:cs="仿宋"/>
          <w:color w:val="000000" w:themeColor="text1"/>
          <w:spacing w:val="6"/>
          <w:sz w:val="24"/>
          <w:highlight w:val="none"/>
          <w14:textFill>
            <w14:solidFill>
              <w14:schemeClr w14:val="tx1"/>
            </w14:solidFill>
          </w14:textFill>
        </w:rPr>
        <w:t>若有</w:t>
      </w:r>
      <w:r>
        <w:rPr>
          <w:rFonts w:hint="eastAsia" w:ascii="仿宋" w:hAnsi="仿宋" w:eastAsia="仿宋" w:cs="仿宋"/>
          <w:color w:val="000000" w:themeColor="text1"/>
          <w:spacing w:val="8"/>
          <w:sz w:val="24"/>
          <w:highlight w:val="none"/>
          <w14:textFill>
            <w14:solidFill>
              <w14:schemeClr w14:val="tx1"/>
            </w14:solidFill>
          </w14:textFill>
        </w:rPr>
        <w:t>）；</w:t>
      </w:r>
    </w:p>
    <w:p w14:paraId="4E93B283">
      <w:pPr>
        <w:spacing w:line="360" w:lineRule="auto"/>
        <w:ind w:firstLine="512" w:firstLineChars="200"/>
        <w:rPr>
          <w:rFonts w:hint="eastAsia" w:ascii="仿宋" w:hAnsi="仿宋" w:eastAsia="仿宋" w:cs="仿宋"/>
          <w:color w:val="000000" w:themeColor="text1"/>
          <w:spacing w:val="8"/>
          <w:sz w:val="24"/>
          <w:highlight w:val="none"/>
          <w14:textFill>
            <w14:solidFill>
              <w14:schemeClr w14:val="tx1"/>
            </w14:solidFill>
          </w14:textFill>
        </w:rPr>
      </w:pPr>
      <w:r>
        <w:rPr>
          <w:rFonts w:hint="eastAsia" w:ascii="仿宋" w:hAnsi="仿宋" w:eastAsia="仿宋" w:cs="仿宋"/>
          <w:color w:val="000000" w:themeColor="text1"/>
          <w:spacing w:val="8"/>
          <w:sz w:val="24"/>
          <w:highlight w:val="none"/>
          <w14:textFill>
            <w14:solidFill>
              <w14:schemeClr w14:val="tx1"/>
            </w14:solidFill>
          </w14:textFill>
        </w:rPr>
        <w:t>（6）评审小组成员的不同意见及理由（若有）；</w:t>
      </w:r>
    </w:p>
    <w:p w14:paraId="31D41EBB">
      <w:pPr>
        <w:spacing w:line="360" w:lineRule="auto"/>
        <w:ind w:firstLine="512" w:firstLineChars="200"/>
        <w:rPr>
          <w:rFonts w:hint="eastAsia" w:ascii="仿宋" w:hAnsi="仿宋" w:eastAsia="仿宋" w:cs="仿宋"/>
          <w:color w:val="000000" w:themeColor="text1"/>
          <w:spacing w:val="8"/>
          <w:sz w:val="24"/>
          <w:highlight w:val="none"/>
          <w14:textFill>
            <w14:solidFill>
              <w14:schemeClr w14:val="tx1"/>
            </w14:solidFill>
          </w14:textFill>
        </w:rPr>
      </w:pPr>
      <w:r>
        <w:rPr>
          <w:rFonts w:hint="eastAsia" w:ascii="仿宋" w:hAnsi="仿宋" w:eastAsia="仿宋" w:cs="仿宋"/>
          <w:color w:val="000000" w:themeColor="text1"/>
          <w:spacing w:val="8"/>
          <w:sz w:val="24"/>
          <w:highlight w:val="none"/>
          <w14:textFill>
            <w14:solidFill>
              <w14:schemeClr w14:val="tx1"/>
            </w14:solidFill>
          </w14:textFill>
        </w:rPr>
        <w:t>（7）其他建议。</w:t>
      </w:r>
    </w:p>
    <w:bookmarkEnd w:id="168"/>
    <w:bookmarkEnd w:id="169"/>
    <w:p w14:paraId="4E08AF16">
      <w:pPr>
        <w:spacing w:line="360" w:lineRule="auto"/>
        <w:rPr>
          <w:rFonts w:hint="eastAsia" w:ascii="仿宋" w:hAnsi="仿宋" w:eastAsia="仿宋" w:cs="仿宋"/>
          <w:color w:val="000000" w:themeColor="text1"/>
          <w:sz w:val="24"/>
          <w:highlight w:val="none"/>
          <w14:textFill>
            <w14:solidFill>
              <w14:schemeClr w14:val="tx1"/>
            </w14:solidFill>
          </w14:textFill>
        </w:rPr>
      </w:pPr>
    </w:p>
    <w:sectPr>
      <w:type w:val="continuous"/>
      <w:pgSz w:w="11906" w:h="16838"/>
      <w:pgMar w:top="1440" w:right="1474"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FC7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CDE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9FCDE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4CDD"/>
    <w:multiLevelType w:val="singleLevel"/>
    <w:tmpl w:val="81284CDD"/>
    <w:lvl w:ilvl="0" w:tentative="0">
      <w:start w:val="1"/>
      <w:numFmt w:val="chineseCounting"/>
      <w:suff w:val="nothing"/>
      <w:lvlText w:val="%1、"/>
      <w:lvlJc w:val="left"/>
      <w:rPr>
        <w:rFonts w:hint="eastAsia"/>
      </w:rPr>
    </w:lvl>
  </w:abstractNum>
  <w:abstractNum w:abstractNumId="1">
    <w:nsid w:val="8DEABC47"/>
    <w:multiLevelType w:val="singleLevel"/>
    <w:tmpl w:val="8DEABC47"/>
    <w:lvl w:ilvl="0" w:tentative="0">
      <w:start w:val="1"/>
      <w:numFmt w:val="decimal"/>
      <w:pStyle w:val="6"/>
      <w:lvlText w:val="%1."/>
      <w:lvlJc w:val="left"/>
      <w:pPr>
        <w:tabs>
          <w:tab w:val="left" w:pos="780"/>
        </w:tabs>
        <w:ind w:left="780" w:hanging="360"/>
      </w:pPr>
    </w:lvl>
  </w:abstractNum>
  <w:abstractNum w:abstractNumId="2">
    <w:nsid w:val="BE87A6C7"/>
    <w:multiLevelType w:val="singleLevel"/>
    <w:tmpl w:val="BE87A6C7"/>
    <w:lvl w:ilvl="0" w:tentative="0">
      <w:start w:val="1"/>
      <w:numFmt w:val="decimal"/>
      <w:lvlText w:val="%1."/>
      <w:lvlJc w:val="left"/>
      <w:pPr>
        <w:ind w:left="425" w:hanging="425"/>
      </w:pPr>
      <w:rPr>
        <w:rFonts w:hint="default"/>
      </w:rPr>
    </w:lvl>
  </w:abstractNum>
  <w:abstractNum w:abstractNumId="3">
    <w:nsid w:val="ED8714CD"/>
    <w:multiLevelType w:val="singleLevel"/>
    <w:tmpl w:val="ED8714CD"/>
    <w:lvl w:ilvl="0" w:tentative="0">
      <w:start w:val="1"/>
      <w:numFmt w:val="decimal"/>
      <w:lvlText w:val="%1."/>
      <w:lvlJc w:val="left"/>
      <w:pPr>
        <w:ind w:left="425" w:hanging="425"/>
      </w:pPr>
      <w:rPr>
        <w:rFonts w:hint="default"/>
      </w:rPr>
    </w:lvl>
  </w:abstractNum>
  <w:abstractNum w:abstractNumId="4">
    <w:nsid w:val="F73B1520"/>
    <w:multiLevelType w:val="multilevel"/>
    <w:tmpl w:val="F73B152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B7E4E23"/>
    <w:multiLevelType w:val="multilevel"/>
    <w:tmpl w:val="1B7E4E23"/>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3377E523"/>
    <w:multiLevelType w:val="singleLevel"/>
    <w:tmpl w:val="3377E523"/>
    <w:lvl w:ilvl="0" w:tentative="0">
      <w:start w:val="2"/>
      <w:numFmt w:val="decimal"/>
      <w:lvlText w:val="%1."/>
      <w:lvlJc w:val="left"/>
      <w:pPr>
        <w:tabs>
          <w:tab w:val="left" w:pos="312"/>
        </w:tabs>
      </w:pPr>
    </w:lvl>
  </w:abstractNum>
  <w:abstractNum w:abstractNumId="9">
    <w:nsid w:val="73B2D766"/>
    <w:multiLevelType w:val="singleLevel"/>
    <w:tmpl w:val="73B2D766"/>
    <w:lvl w:ilvl="0" w:tentative="0">
      <w:start w:val="1"/>
      <w:numFmt w:val="decimal"/>
      <w:pStyle w:val="7"/>
      <w:lvlText w:val="%1."/>
      <w:lvlJc w:val="left"/>
      <w:pPr>
        <w:tabs>
          <w:tab w:val="left" w:pos="360"/>
        </w:tabs>
        <w:ind w:left="360" w:hanging="360"/>
      </w:pPr>
    </w:lvl>
  </w:abstractNum>
  <w:abstractNum w:abstractNumId="10">
    <w:nsid w:val="7F64696D"/>
    <w:multiLevelType w:val="multilevel"/>
    <w:tmpl w:val="7F64696D"/>
    <w:lvl w:ilvl="0" w:tentative="0">
      <w:start w:val="1"/>
      <w:numFmt w:val="decimal"/>
      <w:pStyle w:val="70"/>
      <w:suff w:val="space"/>
      <w:lvlText w:val="表%1"/>
      <w:lvlJc w:val="center"/>
      <w:pPr>
        <w:ind w:left="0" w:firstLine="0"/>
      </w:pPr>
      <w:rPr>
        <w:rFonts w:hint="eastAsia" w:ascii="仿宋" w:hAnsi="仿宋" w:eastAsia="仿宋"/>
        <w:b w:val="0"/>
        <w:i w:val="0"/>
        <w:sz w:val="21"/>
        <w:szCs w:val="18"/>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1"/>
  </w:num>
  <w:num w:numId="3">
    <w:abstractNumId w:val="9"/>
  </w:num>
  <w:num w:numId="4">
    <w:abstractNumId w:val="10"/>
  </w:num>
  <w:num w:numId="5">
    <w:abstractNumId w:val="0"/>
  </w:num>
  <w:num w:numId="6">
    <w:abstractNumId w:val="5"/>
  </w:num>
  <w:num w:numId="7">
    <w:abstractNumId w:val="3"/>
  </w:num>
  <w:num w:numId="8">
    <w:abstractNumId w:val="2"/>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000000"/>
    <w:rsid w:val="369B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semiHidden="0" w:name="toc 2"/>
    <w:lsdException w:uiPriority="0" w:name="toc 3"/>
    <w:lsdException w:qFormat="1" w:unhideWhenUsed="0"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List Number 2"/>
    <w:basedOn w:val="1"/>
    <w:unhideWhenUsed/>
    <w:qFormat/>
    <w:uiPriority w:val="0"/>
    <w:pPr>
      <w:numPr>
        <w:ilvl w:val="0"/>
        <w:numId w:val="2"/>
      </w:numPr>
    </w:pPr>
  </w:style>
  <w:style w:type="paragraph" w:styleId="7">
    <w:name w:val="List Number"/>
    <w:basedOn w:val="1"/>
    <w:unhideWhenUsed/>
    <w:qFormat/>
    <w:uiPriority w:val="0"/>
    <w:pPr>
      <w:numPr>
        <w:ilvl w:val="0"/>
        <w:numId w:val="3"/>
      </w:numPr>
    </w:pPr>
  </w:style>
  <w:style w:type="paragraph" w:styleId="8">
    <w:name w:val="Normal Indent"/>
    <w:basedOn w:val="1"/>
    <w:next w:val="1"/>
    <w:qFormat/>
    <w:uiPriority w:val="0"/>
    <w:pPr>
      <w:ind w:firstLine="42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68"/>
    <w:unhideWhenUsed/>
    <w:qFormat/>
    <w:uiPriority w:val="0"/>
    <w:pPr>
      <w:jc w:val="left"/>
    </w:pPr>
  </w:style>
  <w:style w:type="paragraph" w:styleId="11">
    <w:name w:val="Body Text"/>
    <w:basedOn w:val="1"/>
    <w:next w:val="12"/>
    <w:qFormat/>
    <w:uiPriority w:val="0"/>
    <w:pPr>
      <w:autoSpaceDE w:val="0"/>
      <w:autoSpaceDN w:val="0"/>
      <w:adjustRightInd w:val="0"/>
      <w:spacing w:line="360" w:lineRule="auto"/>
    </w:pPr>
    <w:rPr>
      <w:rFonts w:ascii="宋体"/>
      <w:sz w:val="24"/>
      <w:lang w:val="zh-CN"/>
    </w:rPr>
  </w:style>
  <w:style w:type="paragraph" w:styleId="12">
    <w:name w:val="toc 4"/>
    <w:basedOn w:val="1"/>
    <w:next w:val="1"/>
    <w:qFormat/>
    <w:uiPriority w:val="39"/>
    <w:pPr>
      <w:ind w:left="840"/>
      <w:jc w:val="left"/>
    </w:pPr>
    <w:rPr>
      <w:rFonts w:cs="Calibri"/>
      <w:sz w:val="18"/>
      <w:szCs w:val="18"/>
    </w:rPr>
  </w:style>
  <w:style w:type="paragraph" w:styleId="13">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4">
    <w:name w:val="Plain Text"/>
    <w:basedOn w:val="1"/>
    <w:next w:val="1"/>
    <w:qFormat/>
    <w:uiPriority w:val="0"/>
    <w:rPr>
      <w:rFonts w:ascii="宋体" w:hAnsi="Courier New"/>
    </w:rPr>
  </w:style>
  <w:style w:type="paragraph" w:styleId="15">
    <w:name w:val="Date"/>
    <w:basedOn w:val="1"/>
    <w:next w:val="1"/>
    <w:qFormat/>
    <w:uiPriority w:val="0"/>
    <w:rPr>
      <w:spacing w:val="20"/>
      <w:sz w:val="28"/>
      <w:szCs w:val="20"/>
    </w:rPr>
  </w:style>
  <w:style w:type="paragraph" w:styleId="16">
    <w:name w:val="footer"/>
    <w:basedOn w:val="1"/>
    <w:link w:val="39"/>
    <w:qFormat/>
    <w:uiPriority w:val="0"/>
    <w:pPr>
      <w:tabs>
        <w:tab w:val="center" w:pos="4153"/>
        <w:tab w:val="right" w:pos="8306"/>
      </w:tabs>
      <w:snapToGrid w:val="0"/>
      <w:jc w:val="left"/>
    </w:pPr>
    <w:rPr>
      <w:sz w:val="18"/>
      <w:szCs w:val="18"/>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840"/>
        <w:tab w:val="right" w:leader="dot" w:pos="8296"/>
      </w:tabs>
    </w:pPr>
  </w:style>
  <w:style w:type="paragraph" w:styleId="19">
    <w:name w:val="toc 6"/>
    <w:basedOn w:val="1"/>
    <w:next w:val="1"/>
    <w:qFormat/>
    <w:uiPriority w:val="0"/>
    <w:pPr>
      <w:ind w:left="2100" w:leftChars="1000"/>
    </w:pPr>
    <w:rPr>
      <w:rFonts w:ascii="Calibri" w:hAnsi="Calibri" w:eastAsia="微软雅黑"/>
    </w:rPr>
  </w:style>
  <w:style w:type="paragraph" w:styleId="20">
    <w:name w:val="toc 2"/>
    <w:basedOn w:val="1"/>
    <w:next w:val="1"/>
    <w:unhideWhenUsed/>
    <w:qFormat/>
    <w:uiPriority w:val="0"/>
    <w:pPr>
      <w:ind w:left="420" w:left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qFormat/>
    <w:uiPriority w:val="99"/>
    <w:pPr>
      <w:spacing w:before="240" w:after="60"/>
      <w:jc w:val="center"/>
    </w:pPr>
    <w:rPr>
      <w:rFonts w:ascii="等线 Light" w:hAnsi="等线 Light" w:eastAsia="等线 Light"/>
      <w:b/>
      <w:kern w:val="0"/>
      <w:szCs w:val="20"/>
    </w:rPr>
  </w:style>
  <w:style w:type="paragraph" w:styleId="24">
    <w:name w:val="annotation subject"/>
    <w:basedOn w:val="10"/>
    <w:next w:val="10"/>
    <w:link w:val="69"/>
    <w:unhideWhenUsed/>
    <w:qFormat/>
    <w:uiPriority w:val="0"/>
    <w:rPr>
      <w:b/>
      <w:bCs/>
    </w:rPr>
  </w:style>
  <w:style w:type="paragraph" w:styleId="25">
    <w:name w:val="Body Text First Indent"/>
    <w:basedOn w:val="11"/>
    <w:next w:val="1"/>
    <w:qFormat/>
    <w:uiPriority w:val="0"/>
    <w:pPr>
      <w:ind w:firstLine="420"/>
    </w:pPr>
  </w:style>
  <w:style w:type="paragraph" w:styleId="26">
    <w:name w:val="Body Text First Indent 2"/>
    <w:basedOn w:val="13"/>
    <w:next w:val="1"/>
    <w:qFormat/>
    <w:uiPriority w:val="0"/>
    <w:pPr>
      <w:adjustRightInd/>
      <w:spacing w:after="120" w:line="240" w:lineRule="auto"/>
      <w:ind w:left="420" w:leftChars="200" w:firstLine="210"/>
    </w:pPr>
    <w:rPr>
      <w:sz w:val="21"/>
    </w:rPr>
  </w:style>
  <w:style w:type="table" w:styleId="28">
    <w:name w:val="Table Grid"/>
    <w:basedOn w:val="2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unhideWhenUsed/>
    <w:qFormat/>
    <w:uiPriority w:val="0"/>
    <w:rPr>
      <w:color w:val="0000FF"/>
      <w:u w:val="single"/>
    </w:rPr>
  </w:style>
  <w:style w:type="character" w:styleId="32">
    <w:name w:val="annotation reference"/>
    <w:basedOn w:val="29"/>
    <w:unhideWhenUsed/>
    <w:qFormat/>
    <w:uiPriority w:val="0"/>
    <w:rPr>
      <w:sz w:val="21"/>
      <w:szCs w:val="21"/>
    </w:rPr>
  </w:style>
  <w:style w:type="character" w:styleId="33">
    <w:name w:val="HTML Sample"/>
    <w:basedOn w:val="29"/>
    <w:qFormat/>
    <w:uiPriority w:val="0"/>
    <w:rPr>
      <w:rFonts w:ascii="Courier New" w:hAnsi="Courier New"/>
    </w:rPr>
  </w:style>
  <w:style w:type="paragraph" w:customStyle="1" w:styleId="34">
    <w:name w:val="正文首行缩进 21"/>
    <w:basedOn w:val="35"/>
    <w:qFormat/>
    <w:uiPriority w:val="99"/>
    <w:pPr>
      <w:spacing w:line="200" w:lineRule="atLeast"/>
      <w:ind w:firstLine="420"/>
    </w:pPr>
    <w:rPr>
      <w:rFonts w:ascii="宋体" w:hAnsi="Courier New"/>
      <w:spacing w:val="-4"/>
      <w:sz w:val="18"/>
    </w:rPr>
  </w:style>
  <w:style w:type="paragraph" w:customStyle="1" w:styleId="35">
    <w:name w:val="正文缩进1"/>
    <w:basedOn w:val="1"/>
    <w:next w:val="3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_Style 2"/>
    <w:basedOn w:val="1"/>
    <w:qFormat/>
    <w:uiPriority w:val="0"/>
    <w:pPr>
      <w:ind w:firstLine="200" w:firstLineChars="200"/>
    </w:pPr>
    <w:rPr>
      <w:rFonts w:ascii="Calibri" w:hAnsi="Calibri"/>
      <w:sz w:val="28"/>
      <w:szCs w:val="22"/>
    </w:rPr>
  </w:style>
  <w:style w:type="paragraph" w:customStyle="1" w:styleId="37">
    <w:name w:val="[Normal]"/>
    <w:qFormat/>
    <w:uiPriority w:val="0"/>
    <w:rPr>
      <w:rFonts w:ascii="宋体" w:hAnsi="宋体" w:eastAsia="宋体" w:cs="Times New Roman"/>
      <w:sz w:val="24"/>
      <w:szCs w:val="22"/>
      <w:lang w:val="zh-CN" w:eastAsia="zh-CN" w:bidi="ar-SA"/>
    </w:rPr>
  </w:style>
  <w:style w:type="character" w:customStyle="1" w:styleId="38">
    <w:name w:val="页眉 字符"/>
    <w:basedOn w:val="29"/>
    <w:link w:val="17"/>
    <w:qFormat/>
    <w:uiPriority w:val="0"/>
    <w:rPr>
      <w:kern w:val="2"/>
      <w:sz w:val="18"/>
      <w:szCs w:val="18"/>
    </w:rPr>
  </w:style>
  <w:style w:type="character" w:customStyle="1" w:styleId="39">
    <w:name w:val="页脚 字符"/>
    <w:basedOn w:val="29"/>
    <w:link w:val="16"/>
    <w:qFormat/>
    <w:uiPriority w:val="0"/>
    <w:rPr>
      <w:kern w:val="2"/>
      <w:sz w:val="18"/>
      <w:szCs w:val="18"/>
    </w:rPr>
  </w:style>
  <w:style w:type="paragraph" w:customStyle="1" w:styleId="40">
    <w:name w:val="纯文本1"/>
    <w:basedOn w:val="1"/>
    <w:unhideWhenUsed/>
    <w:qFormat/>
    <w:uiPriority w:val="99"/>
    <w:rPr>
      <w:rFonts w:ascii="宋体" w:hAnsi="Courier New"/>
    </w:rPr>
  </w:style>
  <w:style w:type="paragraph" w:customStyle="1" w:styleId="41">
    <w:name w:val="Other|1"/>
    <w:basedOn w:val="1"/>
    <w:qFormat/>
    <w:uiPriority w:val="0"/>
    <w:rPr>
      <w:rFonts w:ascii="宋体" w:hAnsi="宋体" w:cs="宋体"/>
      <w:sz w:val="20"/>
      <w:szCs w:val="20"/>
      <w:lang w:val="zh-TW" w:eastAsia="zh-TW" w:bidi="zh-TW"/>
    </w:rPr>
  </w:style>
  <w:style w:type="paragraph" w:customStyle="1" w:styleId="42">
    <w:name w:val="Body text|1"/>
    <w:basedOn w:val="1"/>
    <w:qFormat/>
    <w:uiPriority w:val="0"/>
    <w:pPr>
      <w:spacing w:after="240"/>
      <w:jc w:val="center"/>
    </w:pPr>
    <w:rPr>
      <w:rFonts w:ascii="宋体" w:hAnsi="宋体" w:cs="宋体"/>
      <w:sz w:val="28"/>
      <w:szCs w:val="28"/>
      <w:lang w:val="zh-TW" w:eastAsia="zh-TW" w:bidi="zh-TW"/>
    </w:rPr>
  </w:style>
  <w:style w:type="paragraph" w:customStyle="1" w:styleId="43">
    <w:name w:val="表格文字"/>
    <w:basedOn w:val="44"/>
    <w:next w:val="11"/>
    <w:qFormat/>
    <w:uiPriority w:val="99"/>
    <w:pPr>
      <w:adjustRightInd w:val="0"/>
      <w:spacing w:line="420" w:lineRule="atLeast"/>
      <w:jc w:val="left"/>
      <w:textAlignment w:val="baseline"/>
    </w:pPr>
    <w:rPr>
      <w:rFonts w:ascii="Times New Roman" w:hAnsi="Times New Roman"/>
      <w:kern w:val="0"/>
    </w:rPr>
  </w:style>
  <w:style w:type="paragraph" w:customStyle="1" w:styleId="44">
    <w:name w:val="正文11"/>
    <w:basedOn w:val="45"/>
    <w:next w:val="43"/>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45">
    <w:name w:val="Normal_0"/>
    <w:basedOn w:val="46"/>
    <w:qFormat/>
    <w:uiPriority w:val="99"/>
    <w:rPr>
      <w:rFonts w:ascii="Times New Roman" w:hAnsi="Times New Roman" w:cs="Calibri"/>
      <w:szCs w:val="21"/>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列出段落1"/>
    <w:basedOn w:val="1"/>
    <w:qFormat/>
    <w:uiPriority w:val="0"/>
    <w:pPr>
      <w:ind w:firstLine="420" w:firstLineChars="200"/>
    </w:pPr>
    <w:rPr>
      <w:rFonts w:ascii="Calibri" w:hAnsi="Calibri" w:eastAsia="微软雅黑"/>
    </w:rPr>
  </w:style>
  <w:style w:type="paragraph" w:customStyle="1" w:styleId="48">
    <w:name w:val="列出段落2"/>
    <w:basedOn w:val="1"/>
    <w:qFormat/>
    <w:uiPriority w:val="99"/>
    <w:pPr>
      <w:ind w:firstLine="420" w:firstLineChars="200"/>
    </w:pPr>
  </w:style>
  <w:style w:type="paragraph" w:customStyle="1" w:styleId="49">
    <w:name w:val="表正文"/>
    <w:basedOn w:val="1"/>
    <w:next w:val="14"/>
    <w:qFormat/>
    <w:uiPriority w:val="0"/>
    <w:rPr>
      <w:rFonts w:ascii="宋体" w:hAnsi="Courier New"/>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样式 标题 1 + 四号 加粗"/>
    <w:basedOn w:val="2"/>
    <w:qFormat/>
    <w:uiPriority w:val="0"/>
  </w:style>
  <w:style w:type="character" w:customStyle="1" w:styleId="54">
    <w:name w:val="标题 2 字符"/>
    <w:link w:val="3"/>
    <w:qFormat/>
    <w:uiPriority w:val="0"/>
    <w:rPr>
      <w:rFonts w:ascii="仿宋_GB2312" w:hAnsi="仿宋" w:eastAsia="仿宋_GB2312"/>
      <w:b/>
      <w:bCs/>
      <w:sz w:val="32"/>
      <w:szCs w:val="32"/>
      <w:lang w:val="zh-CN"/>
    </w:rPr>
  </w:style>
  <w:style w:type="paragraph" w:customStyle="1" w:styleId="55">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56">
    <w:name w:val="标题2"/>
    <w:basedOn w:val="5"/>
    <w:next w:val="1"/>
    <w:link w:val="57"/>
    <w:qFormat/>
    <w:uiPriority w:val="0"/>
    <w:pPr>
      <w:spacing w:before="0" w:beforeLines="50" w:after="0" w:afterLines="50" w:line="360" w:lineRule="auto"/>
      <w:ind w:firstLine="397"/>
      <w:jc w:val="left"/>
    </w:pPr>
    <w:rPr>
      <w:rFonts w:ascii="黑体" w:hAnsi="宋体"/>
    </w:rPr>
  </w:style>
  <w:style w:type="character" w:customStyle="1" w:styleId="57">
    <w:name w:val="标题2 Char"/>
    <w:link w:val="56"/>
    <w:qFormat/>
    <w:uiPriority w:val="0"/>
    <w:rPr>
      <w:rFonts w:ascii="黑体" w:hAnsi="宋体"/>
    </w:rPr>
  </w:style>
  <w:style w:type="table" w:customStyle="1" w:styleId="58">
    <w:name w:val="Table Normal"/>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customStyle="1" w:styleId="59">
    <w:name w:val="List Paragraph"/>
    <w:basedOn w:val="1"/>
    <w:qFormat/>
    <w:uiPriority w:val="99"/>
    <w:pPr>
      <w:ind w:firstLine="420" w:firstLineChars="200"/>
    </w:pPr>
  </w:style>
  <w:style w:type="character" w:customStyle="1" w:styleId="60">
    <w:name w:val="font141"/>
    <w:basedOn w:val="29"/>
    <w:qFormat/>
    <w:uiPriority w:val="0"/>
    <w:rPr>
      <w:rFonts w:hint="default" w:ascii="Arial" w:hAnsi="Arial" w:cs="Arial"/>
      <w:b/>
      <w:color w:val="000000"/>
      <w:sz w:val="20"/>
      <w:szCs w:val="20"/>
      <w:u w:val="none"/>
    </w:rPr>
  </w:style>
  <w:style w:type="character" w:customStyle="1" w:styleId="61">
    <w:name w:val="font81"/>
    <w:basedOn w:val="29"/>
    <w:qFormat/>
    <w:uiPriority w:val="0"/>
    <w:rPr>
      <w:rFonts w:hint="eastAsia" w:ascii="宋体" w:hAnsi="宋体" w:eastAsia="宋体" w:cs="宋体"/>
      <w:b/>
      <w:color w:val="000000"/>
      <w:sz w:val="20"/>
      <w:szCs w:val="20"/>
      <w:u w:val="none"/>
    </w:rPr>
  </w:style>
  <w:style w:type="paragraph" w:customStyle="1" w:styleId="62">
    <w:name w:val="a正文"/>
    <w:basedOn w:val="1"/>
    <w:qFormat/>
    <w:uiPriority w:val="0"/>
    <w:pPr>
      <w:spacing w:line="360" w:lineRule="auto"/>
      <w:ind w:firstLine="480" w:firstLineChars="200"/>
    </w:pPr>
    <w:rPr>
      <w:rFonts w:hint="eastAsia" w:ascii="仿宋" w:hAnsi="仿宋" w:eastAsia="仿宋" w:cs="仿宋"/>
      <w:sz w:val="24"/>
    </w:rPr>
  </w:style>
  <w:style w:type="paragraph" w:customStyle="1" w:styleId="63">
    <w:name w:val="dyibufen"/>
    <w:basedOn w:val="1"/>
    <w:qFormat/>
    <w:uiPriority w:val="99"/>
    <w:pPr>
      <w:spacing w:line="360" w:lineRule="auto"/>
      <w:jc w:val="center"/>
      <w:outlineLvl w:val="0"/>
    </w:pPr>
    <w:rPr>
      <w:rFonts w:ascii="宋体" w:hAnsi="宋体"/>
      <w:b/>
      <w:color w:val="000000"/>
      <w:sz w:val="32"/>
      <w:szCs w:val="32"/>
    </w:rPr>
  </w:style>
  <w:style w:type="paragraph" w:customStyle="1" w:styleId="64">
    <w:name w:val="正文段"/>
    <w:basedOn w:val="1"/>
    <w:qFormat/>
    <w:uiPriority w:val="99"/>
    <w:pPr>
      <w:widowControl/>
      <w:snapToGrid w:val="0"/>
      <w:spacing w:afterLines="50"/>
      <w:ind w:firstLine="200" w:firstLineChars="200"/>
    </w:pPr>
    <w:rPr>
      <w:kern w:val="0"/>
      <w:sz w:val="24"/>
      <w:szCs w:val="20"/>
    </w:rPr>
  </w:style>
  <w:style w:type="paragraph" w:customStyle="1" w:styleId="65">
    <w:name w:val="样式 列表编号 + 段后: 0.5 行"/>
    <w:basedOn w:val="7"/>
    <w:qFormat/>
    <w:uiPriority w:val="99"/>
    <w:pPr>
      <w:tabs>
        <w:tab w:val="left" w:pos="780"/>
      </w:tabs>
      <w:spacing w:afterLines="50"/>
      <w:ind w:left="400" w:leftChars="200" w:hanging="200" w:hangingChars="200"/>
    </w:pPr>
    <w:rPr>
      <w:sz w:val="24"/>
    </w:rPr>
  </w:style>
  <w:style w:type="character" w:customStyle="1" w:styleId="66">
    <w:name w:val="font01"/>
    <w:basedOn w:val="29"/>
    <w:qFormat/>
    <w:uiPriority w:val="0"/>
    <w:rPr>
      <w:rFonts w:hint="eastAsia" w:ascii="宋体" w:hAnsi="宋体" w:eastAsia="宋体" w:cs="宋体"/>
      <w:color w:val="000000"/>
      <w:sz w:val="24"/>
      <w:szCs w:val="24"/>
      <w:u w:val="none"/>
    </w:r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批注文字 字符"/>
    <w:basedOn w:val="29"/>
    <w:link w:val="10"/>
    <w:semiHidden/>
    <w:qFormat/>
    <w:uiPriority w:val="0"/>
    <w:rPr>
      <w:kern w:val="2"/>
      <w:sz w:val="21"/>
      <w:szCs w:val="24"/>
    </w:rPr>
  </w:style>
  <w:style w:type="character" w:customStyle="1" w:styleId="69">
    <w:name w:val="批注主题 字符"/>
    <w:basedOn w:val="68"/>
    <w:link w:val="24"/>
    <w:semiHidden/>
    <w:qFormat/>
    <w:uiPriority w:val="0"/>
    <w:rPr>
      <w:b/>
      <w:bCs/>
      <w:kern w:val="2"/>
      <w:sz w:val="21"/>
      <w:szCs w:val="24"/>
    </w:rPr>
  </w:style>
  <w:style w:type="paragraph" w:customStyle="1" w:styleId="70">
    <w:name w:val="正文 表标题"/>
    <w:next w:val="1"/>
    <w:qFormat/>
    <w:uiPriority w:val="0"/>
    <w:pPr>
      <w:keepNext/>
      <w:numPr>
        <w:ilvl w:val="0"/>
        <w:numId w:val="4"/>
      </w:numPr>
      <w:spacing w:before="156" w:beforeLines="50" w:after="156" w:afterLines="50"/>
      <w:jc w:val="center"/>
    </w:pPr>
    <w:rPr>
      <w:rFonts w:ascii="Times New Roman" w:hAnsi="Times New Roman" w:eastAsia="黑体" w:cs="Times New Roman"/>
      <w:kern w:val="2"/>
      <w:sz w:val="24"/>
      <w:szCs w:val="24"/>
      <w:lang w:val="en-GB" w:eastAsia="zh-CN" w:bidi="ar-SA"/>
    </w:rPr>
  </w:style>
  <w:style w:type="paragraph" w:customStyle="1" w:styleId="71">
    <w:name w:val="Table Paragraph"/>
    <w:basedOn w:val="1"/>
    <w:qFormat/>
    <w:uiPriority w:val="1"/>
    <w:pPr>
      <w:jc w:val="left"/>
    </w:pPr>
    <w:rPr>
      <w:rFonts w:ascii="宋体" w:hAnsi="宋体" w:eastAsia="宋体" w:cs="宋体"/>
      <w:kern w:val="0"/>
      <w:sz w:val="22"/>
      <w:szCs w:val="22"/>
      <w:lang w:eastAsia="en-US"/>
    </w:rPr>
  </w:style>
  <w:style w:type="paragraph" w:customStyle="1" w:styleId="7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28042</Words>
  <Characters>29842</Characters>
  <Lines>138</Lines>
  <Paragraphs>38</Paragraphs>
  <TotalTime>2</TotalTime>
  <ScaleCrop>false</ScaleCrop>
  <LinksUpToDate>false</LinksUpToDate>
  <CharactersWithSpaces>30857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2021-05-17T19:00:00Z</dcterms:created>
  <dc:creator>Administrator</dc:creator>
  <cp:lastModifiedBy>默</cp:lastModifiedBy>
  <cp:lastPrinted>2024-06-07T14:31:00Z</cp:lastPrinted>
  <dcterms:modified xsi:type="dcterms:W3CDTF">2024-10-22T13:45:28Z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E1B80532FD74403E815654CED0DA54FE_13</vt:lpwstr>
  </property>
</Properties>
</file>