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ED0E2">
      <w:pPr>
        <w:jc w:val="center"/>
        <w:rPr>
          <w:rFonts w:ascii="宋体" w:hAnsi="宋体"/>
          <w:color w:val="auto"/>
          <w:sz w:val="84"/>
          <w:szCs w:val="84"/>
          <w:highlight w:val="none"/>
        </w:rPr>
      </w:pPr>
      <w:bookmarkStart w:id="0" w:name="_Toc97372564"/>
      <w:r>
        <w:rPr>
          <w:rFonts w:hint="eastAsia" w:ascii="宋体" w:hAnsi="宋体"/>
          <w:color w:val="auto"/>
          <w:sz w:val="84"/>
          <w:szCs w:val="84"/>
          <w:highlight w:val="none"/>
        </w:rPr>
        <w:t>国内采购文件</w:t>
      </w:r>
    </w:p>
    <w:p w14:paraId="5BC5150B">
      <w:pPr>
        <w:rPr>
          <w:rFonts w:ascii="宋体" w:hAnsi="宋体"/>
          <w:color w:val="auto"/>
          <w:highlight w:val="none"/>
        </w:rPr>
      </w:pPr>
    </w:p>
    <w:p w14:paraId="5000A7E2">
      <w:pPr>
        <w:rPr>
          <w:rFonts w:ascii="宋体" w:hAnsi="宋体"/>
          <w:color w:val="auto"/>
          <w:highlight w:val="none"/>
        </w:rPr>
      </w:pPr>
    </w:p>
    <w:p w14:paraId="30CCCE16">
      <w:pPr>
        <w:rPr>
          <w:rFonts w:ascii="宋体" w:hAnsi="宋体"/>
          <w:color w:val="auto"/>
          <w:highlight w:val="none"/>
        </w:rPr>
      </w:pPr>
    </w:p>
    <w:p w14:paraId="2798930B">
      <w:pPr>
        <w:rPr>
          <w:rFonts w:ascii="宋体" w:hAnsi="宋体"/>
          <w:color w:val="auto"/>
          <w:highlight w:val="none"/>
        </w:rPr>
      </w:pPr>
    </w:p>
    <w:p w14:paraId="06B429B0">
      <w:pPr>
        <w:rPr>
          <w:rFonts w:ascii="宋体" w:hAnsi="宋体"/>
          <w:color w:val="auto"/>
          <w:highlight w:val="none"/>
        </w:rPr>
      </w:pPr>
    </w:p>
    <w:p w14:paraId="36DD2BCA">
      <w:pPr>
        <w:rPr>
          <w:rFonts w:ascii="宋体" w:hAnsi="宋体"/>
          <w:color w:val="auto"/>
          <w:highlight w:val="none"/>
        </w:rPr>
      </w:pPr>
    </w:p>
    <w:p w14:paraId="778FFAC1">
      <w:pPr>
        <w:rPr>
          <w:rFonts w:ascii="宋体" w:hAnsi="宋体"/>
          <w:color w:val="auto"/>
          <w:highlight w:val="none"/>
        </w:rPr>
      </w:pPr>
    </w:p>
    <w:p w14:paraId="63F16077">
      <w:pPr>
        <w:rPr>
          <w:rFonts w:ascii="宋体" w:hAnsi="宋体"/>
          <w:color w:val="auto"/>
          <w:highlight w:val="none"/>
        </w:rPr>
      </w:pPr>
    </w:p>
    <w:p w14:paraId="0DE56BE9">
      <w:pPr>
        <w:jc w:val="center"/>
        <w:rPr>
          <w:rFonts w:ascii="宋体" w:hAnsi="宋体" w:cs="宋体"/>
          <w:bCs/>
          <w:color w:val="auto"/>
          <w:spacing w:val="-20"/>
          <w:position w:val="-6"/>
          <w:sz w:val="48"/>
          <w:szCs w:val="48"/>
          <w:highlight w:val="none"/>
        </w:rPr>
      </w:pPr>
      <w:r>
        <w:rPr>
          <w:rFonts w:hint="eastAsia" w:ascii="宋体" w:hAnsi="宋体" w:cs="宋体"/>
          <w:bCs/>
          <w:color w:val="auto"/>
          <w:spacing w:val="-20"/>
          <w:position w:val="-6"/>
          <w:sz w:val="48"/>
          <w:szCs w:val="48"/>
          <w:highlight w:val="none"/>
        </w:rPr>
        <w:t>宁海县公共交通有限公司</w:t>
      </w:r>
      <w:r>
        <w:rPr>
          <w:rFonts w:hint="eastAsia" w:ascii="宋体" w:hAnsi="宋体" w:cs="宋体"/>
          <w:bCs/>
          <w:color w:val="auto"/>
          <w:spacing w:val="-20"/>
          <w:position w:val="-6"/>
          <w:sz w:val="48"/>
          <w:szCs w:val="48"/>
          <w:highlight w:val="none"/>
          <w:lang w:eastAsia="zh-CN"/>
        </w:rPr>
        <w:t>2024年</w:t>
      </w:r>
      <w:r>
        <w:rPr>
          <w:rFonts w:hint="eastAsia" w:ascii="宋体" w:hAnsi="宋体" w:cs="宋体"/>
          <w:bCs/>
          <w:color w:val="auto"/>
          <w:spacing w:val="-20"/>
          <w:position w:val="-6"/>
          <w:sz w:val="48"/>
          <w:szCs w:val="48"/>
          <w:highlight w:val="none"/>
        </w:rPr>
        <w:t>纯电动公交客车采购项目</w:t>
      </w:r>
    </w:p>
    <w:p w14:paraId="2BAE4014">
      <w:pPr>
        <w:rPr>
          <w:rFonts w:ascii="方正小标宋简体" w:eastAsia="方正小标宋简体"/>
          <w:color w:val="auto"/>
          <w:sz w:val="44"/>
          <w:szCs w:val="44"/>
          <w:highlight w:val="none"/>
        </w:rPr>
      </w:pPr>
    </w:p>
    <w:p w14:paraId="44F6FF50">
      <w:pPr>
        <w:jc w:val="center"/>
        <w:rPr>
          <w:rFonts w:ascii="宋体" w:hAnsi="宋体"/>
          <w:color w:val="auto"/>
          <w:sz w:val="32"/>
          <w:szCs w:val="32"/>
          <w:highlight w:val="none"/>
        </w:rPr>
      </w:pPr>
    </w:p>
    <w:p w14:paraId="795570BB">
      <w:pPr>
        <w:jc w:val="center"/>
        <w:rPr>
          <w:rFonts w:hint="eastAsia" w:ascii="宋体" w:hAnsi="宋体" w:eastAsia="宋体" w:cs="宋体"/>
          <w:color w:val="auto"/>
          <w:sz w:val="32"/>
          <w:highlight w:val="none"/>
          <w:lang w:eastAsia="zh-CN"/>
        </w:rPr>
      </w:pPr>
      <w:r>
        <w:rPr>
          <w:rFonts w:hint="eastAsia" w:ascii="宋体" w:hAnsi="宋体" w:cs="宋体"/>
          <w:color w:val="auto"/>
          <w:sz w:val="32"/>
          <w:highlight w:val="none"/>
          <w:lang w:eastAsia="zh-CN"/>
        </w:rPr>
        <w:t>ZGZB-NHCG2024071</w:t>
      </w:r>
    </w:p>
    <w:p w14:paraId="0DEAFD93">
      <w:pPr>
        <w:rPr>
          <w:rFonts w:ascii="方正小标宋简体" w:eastAsia="方正小标宋简体"/>
          <w:color w:val="auto"/>
          <w:sz w:val="24"/>
          <w:highlight w:val="none"/>
        </w:rPr>
      </w:pPr>
    </w:p>
    <w:p w14:paraId="44716027">
      <w:pPr>
        <w:rPr>
          <w:rFonts w:ascii="方正小标宋简体" w:eastAsia="方正小标宋简体"/>
          <w:color w:val="auto"/>
          <w:sz w:val="24"/>
          <w:highlight w:val="none"/>
        </w:rPr>
      </w:pPr>
    </w:p>
    <w:p w14:paraId="78267894">
      <w:pPr>
        <w:rPr>
          <w:rFonts w:ascii="方正小标宋简体" w:eastAsia="方正小标宋简体"/>
          <w:color w:val="auto"/>
          <w:sz w:val="24"/>
          <w:highlight w:val="none"/>
        </w:rPr>
      </w:pPr>
    </w:p>
    <w:p w14:paraId="1131269F">
      <w:pPr>
        <w:rPr>
          <w:rFonts w:ascii="方正小标宋简体" w:eastAsia="方正小标宋简体"/>
          <w:color w:val="auto"/>
          <w:sz w:val="24"/>
          <w:highlight w:val="none"/>
        </w:rPr>
      </w:pPr>
    </w:p>
    <w:p w14:paraId="714BF6C6">
      <w:pPr>
        <w:spacing w:line="480" w:lineRule="auto"/>
        <w:rPr>
          <w:rFonts w:ascii="方正小标宋简体" w:eastAsia="方正小标宋简体"/>
          <w:color w:val="auto"/>
          <w:sz w:val="24"/>
          <w:highlight w:val="none"/>
        </w:rPr>
      </w:pPr>
    </w:p>
    <w:p w14:paraId="7AB3EA98">
      <w:pPr>
        <w:spacing w:line="480" w:lineRule="auto"/>
        <w:rPr>
          <w:rFonts w:ascii="方正小标宋简体" w:eastAsia="方正小标宋简体"/>
          <w:color w:val="auto"/>
          <w:sz w:val="24"/>
          <w:highlight w:val="none"/>
        </w:rPr>
      </w:pPr>
    </w:p>
    <w:p w14:paraId="7A66584E">
      <w:pPr>
        <w:spacing w:line="480" w:lineRule="auto"/>
        <w:rPr>
          <w:rFonts w:ascii="方正小标宋简体" w:eastAsia="方正小标宋简体"/>
          <w:color w:val="auto"/>
          <w:sz w:val="24"/>
          <w:highlight w:val="none"/>
        </w:rPr>
      </w:pPr>
    </w:p>
    <w:p w14:paraId="43962E34">
      <w:pPr>
        <w:spacing w:line="480" w:lineRule="auto"/>
        <w:ind w:firstLine="480" w:firstLineChars="150"/>
        <w:rPr>
          <w:rFonts w:ascii="宋体" w:hAnsi="宋体" w:cs="宋体"/>
          <w:color w:val="auto"/>
          <w:sz w:val="32"/>
          <w:highlight w:val="none"/>
        </w:rPr>
      </w:pPr>
      <w:r>
        <w:rPr>
          <w:rFonts w:hint="eastAsia" w:ascii="宋体" w:hAnsi="宋体"/>
          <w:color w:val="auto"/>
          <w:sz w:val="32"/>
          <w:highlight w:val="none"/>
        </w:rPr>
        <w:t>招  标  人：</w:t>
      </w:r>
      <w:r>
        <w:rPr>
          <w:rFonts w:hint="eastAsia" w:ascii="宋体" w:hAnsi="宋体" w:cs="宋体"/>
          <w:color w:val="auto"/>
          <w:sz w:val="32"/>
          <w:highlight w:val="none"/>
        </w:rPr>
        <w:t>宁海县公共交通有限公司</w:t>
      </w:r>
    </w:p>
    <w:p w14:paraId="7120A102">
      <w:pPr>
        <w:spacing w:line="480" w:lineRule="auto"/>
        <w:ind w:firstLine="480" w:firstLineChars="150"/>
        <w:rPr>
          <w:rFonts w:ascii="宋体" w:hAnsi="宋体"/>
          <w:color w:val="auto"/>
          <w:sz w:val="32"/>
          <w:highlight w:val="none"/>
        </w:rPr>
      </w:pPr>
      <w:r>
        <w:rPr>
          <w:rFonts w:hint="eastAsia" w:ascii="宋体" w:hAnsi="宋体"/>
          <w:color w:val="auto"/>
          <w:sz w:val="32"/>
          <w:highlight w:val="none"/>
        </w:rPr>
        <w:t xml:space="preserve">招标代理人: </w:t>
      </w:r>
      <w:r>
        <w:rPr>
          <w:rFonts w:hint="eastAsia" w:ascii="宋体" w:hAnsi="宋体" w:cs="宋体"/>
          <w:color w:val="auto"/>
          <w:sz w:val="32"/>
          <w:highlight w:val="none"/>
        </w:rPr>
        <w:t>中冠工程管理咨询有限公司</w:t>
      </w:r>
    </w:p>
    <w:p w14:paraId="71B82DB0">
      <w:pPr>
        <w:pStyle w:val="23"/>
        <w:snapToGrid w:val="0"/>
        <w:spacing w:line="360" w:lineRule="auto"/>
        <w:ind w:firstLine="480" w:firstLineChars="150"/>
        <w:contextualSpacing/>
        <w:rPr>
          <w:b/>
          <w:color w:val="auto"/>
          <w:sz w:val="48"/>
          <w:highlight w:val="none"/>
        </w:rPr>
      </w:pPr>
      <w:r>
        <w:rPr>
          <w:rFonts w:hint="eastAsia" w:hAnsi="宋体" w:cs="宋体"/>
          <w:color w:val="auto"/>
          <w:sz w:val="32"/>
          <w:highlight w:val="none"/>
        </w:rPr>
        <w:t>时      间：二○二</w:t>
      </w:r>
      <w:r>
        <w:rPr>
          <w:rFonts w:hint="eastAsia" w:hAnsi="宋体" w:cs="宋体"/>
          <w:color w:val="auto"/>
          <w:sz w:val="32"/>
          <w:highlight w:val="none"/>
          <w:lang w:val="en-US" w:eastAsia="zh-CN"/>
        </w:rPr>
        <w:t>四</w:t>
      </w:r>
      <w:r>
        <w:rPr>
          <w:rFonts w:hint="eastAsia" w:hAnsi="宋体" w:cs="宋体"/>
          <w:color w:val="auto"/>
          <w:sz w:val="32"/>
          <w:highlight w:val="none"/>
        </w:rPr>
        <w:t>年</w:t>
      </w:r>
      <w:r>
        <w:rPr>
          <w:rFonts w:hint="eastAsia" w:hAnsi="宋体" w:cs="宋体"/>
          <w:color w:val="auto"/>
          <w:sz w:val="32"/>
          <w:highlight w:val="none"/>
          <w:lang w:val="en-US" w:eastAsia="zh-CN"/>
        </w:rPr>
        <w:t>八</w:t>
      </w:r>
      <w:r>
        <w:rPr>
          <w:rFonts w:hint="eastAsia" w:hAnsi="宋体" w:cs="宋体"/>
          <w:color w:val="auto"/>
          <w:sz w:val="32"/>
          <w:highlight w:val="none"/>
        </w:rPr>
        <w:t>月</w:t>
      </w:r>
    </w:p>
    <w:p w14:paraId="13EB8CFA">
      <w:pPr>
        <w:spacing w:line="360" w:lineRule="auto"/>
        <w:ind w:right="-57"/>
        <w:contextualSpacing/>
        <w:rPr>
          <w:color w:val="auto"/>
          <w:w w:val="80"/>
          <w:sz w:val="32"/>
          <w:szCs w:val="32"/>
          <w:highlight w:val="none"/>
        </w:rPr>
        <w:sectPr>
          <w:headerReference r:id="rId5" w:type="first"/>
          <w:headerReference r:id="rId3" w:type="default"/>
          <w:footerReference r:id="rId6" w:type="default"/>
          <w:headerReference r:id="rId4" w:type="even"/>
          <w:footerReference r:id="rId7" w:type="even"/>
          <w:pgSz w:w="11907" w:h="16840"/>
          <w:pgMar w:top="1247" w:right="1559" w:bottom="1304" w:left="1560" w:header="720" w:footer="720" w:gutter="0"/>
          <w:pgNumType w:start="1"/>
          <w:cols w:space="720" w:num="1"/>
          <w:titlePg/>
          <w:docGrid w:linePitch="285" w:charSpace="0"/>
        </w:sectPr>
      </w:pPr>
    </w:p>
    <w:p w14:paraId="02193DD7">
      <w:pPr>
        <w:jc w:val="center"/>
        <w:outlineLvl w:val="0"/>
        <w:rPr>
          <w:color w:val="auto"/>
          <w:sz w:val="44"/>
          <w:szCs w:val="44"/>
          <w:highlight w:val="none"/>
        </w:rPr>
      </w:pPr>
      <w:r>
        <w:rPr>
          <w:rFonts w:hint="eastAsia"/>
          <w:color w:val="auto"/>
          <w:sz w:val="44"/>
          <w:szCs w:val="44"/>
          <w:highlight w:val="none"/>
        </w:rPr>
        <w:t>目录</w:t>
      </w:r>
    </w:p>
    <w:p w14:paraId="20197428">
      <w:pPr>
        <w:jc w:val="center"/>
        <w:outlineLvl w:val="0"/>
        <w:rPr>
          <w:color w:val="auto"/>
          <w:sz w:val="44"/>
          <w:szCs w:val="44"/>
          <w:highlight w:val="none"/>
        </w:rPr>
      </w:pPr>
    </w:p>
    <w:p w14:paraId="5F573B3F">
      <w:pPr>
        <w:pStyle w:val="30"/>
        <w:rPr>
          <w:rFonts w:ascii="Calibri" w:hAnsi="Calibri"/>
          <w:color w:val="auto"/>
          <w:sz w:val="21"/>
          <w:szCs w:val="22"/>
          <w:highlight w:val="none"/>
        </w:rPr>
      </w:pPr>
      <w:r>
        <w:rPr>
          <w:color w:val="auto"/>
          <w:w w:val="80"/>
          <w:szCs w:val="24"/>
          <w:highlight w:val="none"/>
        </w:rPr>
        <w:fldChar w:fldCharType="begin"/>
      </w:r>
      <w:r>
        <w:rPr>
          <w:color w:val="auto"/>
          <w:w w:val="80"/>
          <w:szCs w:val="24"/>
          <w:highlight w:val="none"/>
        </w:rPr>
        <w:instrText xml:space="preserve"> TOC \h \z \u \t "标题 1,2,目次、标准名称标题,1,章标题,2,标题,1"</w:instrText>
      </w:r>
      <w:r>
        <w:rPr>
          <w:color w:val="auto"/>
          <w:w w:val="80"/>
          <w:szCs w:val="24"/>
          <w:highlight w:val="none"/>
        </w:rPr>
        <w:fldChar w:fldCharType="separate"/>
      </w:r>
      <w:r>
        <w:rPr>
          <w:color w:val="auto"/>
          <w:highlight w:val="none"/>
        </w:rPr>
        <w:fldChar w:fldCharType="begin"/>
      </w:r>
      <w:r>
        <w:rPr>
          <w:color w:val="auto"/>
          <w:highlight w:val="none"/>
        </w:rPr>
        <w:instrText xml:space="preserve"> HYPERLINK \l "_Toc435088062" </w:instrText>
      </w:r>
      <w:r>
        <w:rPr>
          <w:color w:val="auto"/>
          <w:highlight w:val="none"/>
        </w:rPr>
        <w:fldChar w:fldCharType="separate"/>
      </w:r>
      <w:r>
        <w:rPr>
          <w:rStyle w:val="50"/>
          <w:rFonts w:hint="eastAsia"/>
          <w:color w:val="auto"/>
          <w:kern w:val="44"/>
          <w:highlight w:val="none"/>
        </w:rPr>
        <w:t>第一部分采购公告</w:t>
      </w:r>
      <w:r>
        <w:rPr>
          <w:color w:val="auto"/>
          <w:highlight w:val="none"/>
        </w:rPr>
        <w:tab/>
      </w:r>
      <w:r>
        <w:rPr>
          <w:rFonts w:hint="eastAsia"/>
          <w:color w:val="auto"/>
          <w:highlight w:val="none"/>
        </w:rPr>
        <w:t>2</w:t>
      </w:r>
      <w:r>
        <w:rPr>
          <w:rFonts w:hint="eastAsia"/>
          <w:color w:val="auto"/>
          <w:highlight w:val="none"/>
        </w:rPr>
        <w:fldChar w:fldCharType="end"/>
      </w:r>
    </w:p>
    <w:p w14:paraId="470825CC">
      <w:pPr>
        <w:pStyle w:val="30"/>
        <w:rPr>
          <w:rFonts w:hint="eastAsia" w:ascii="Calibri" w:hAnsi="Calibri" w:eastAsia="宋体"/>
          <w:color w:val="auto"/>
          <w:sz w:val="21"/>
          <w:szCs w:val="22"/>
          <w:highlight w:val="none"/>
          <w:lang w:eastAsia="zh-CN"/>
        </w:rPr>
      </w:pPr>
      <w:r>
        <w:rPr>
          <w:color w:val="auto"/>
          <w:highlight w:val="none"/>
        </w:rPr>
        <w:fldChar w:fldCharType="begin"/>
      </w:r>
      <w:r>
        <w:rPr>
          <w:color w:val="auto"/>
          <w:highlight w:val="none"/>
        </w:rPr>
        <w:instrText xml:space="preserve"> HYPERLINK \l "_Toc435088063" </w:instrText>
      </w:r>
      <w:r>
        <w:rPr>
          <w:color w:val="auto"/>
          <w:highlight w:val="none"/>
        </w:rPr>
        <w:fldChar w:fldCharType="separate"/>
      </w:r>
      <w:r>
        <w:rPr>
          <w:rStyle w:val="50"/>
          <w:rFonts w:hint="eastAsia"/>
          <w:color w:val="auto"/>
          <w:kern w:val="44"/>
          <w:highlight w:val="none"/>
        </w:rPr>
        <w:t>第二部分投标资料表</w:t>
      </w:r>
      <w:r>
        <w:rPr>
          <w:color w:val="auto"/>
          <w:highlight w:val="none"/>
        </w:rPr>
        <w:tab/>
      </w:r>
      <w:r>
        <w:rPr>
          <w:color w:val="auto"/>
          <w:highlight w:val="none"/>
        </w:rPr>
        <w:fldChar w:fldCharType="end"/>
      </w:r>
      <w:r>
        <w:rPr>
          <w:rFonts w:hint="eastAsia"/>
          <w:color w:val="auto"/>
          <w:highlight w:val="none"/>
          <w:lang w:val="en-US" w:eastAsia="zh-CN"/>
        </w:rPr>
        <w:t>8</w:t>
      </w:r>
    </w:p>
    <w:p w14:paraId="051CDD3C">
      <w:pPr>
        <w:pStyle w:val="30"/>
        <w:rPr>
          <w:rFonts w:hint="default" w:ascii="Calibri" w:hAnsi="Calibri" w:eastAsia="宋体"/>
          <w:color w:val="auto"/>
          <w:sz w:val="21"/>
          <w:szCs w:val="22"/>
          <w:highlight w:val="none"/>
          <w:lang w:val="en-US" w:eastAsia="zh-CN"/>
        </w:rPr>
      </w:pPr>
      <w:r>
        <w:rPr>
          <w:color w:val="auto"/>
          <w:highlight w:val="none"/>
        </w:rPr>
        <w:fldChar w:fldCharType="begin"/>
      </w:r>
      <w:r>
        <w:rPr>
          <w:color w:val="auto"/>
          <w:highlight w:val="none"/>
        </w:rPr>
        <w:instrText xml:space="preserve"> HYPERLINK \l "_Toc435088064" </w:instrText>
      </w:r>
      <w:r>
        <w:rPr>
          <w:color w:val="auto"/>
          <w:highlight w:val="none"/>
        </w:rPr>
        <w:fldChar w:fldCharType="separate"/>
      </w:r>
      <w:r>
        <w:rPr>
          <w:rStyle w:val="50"/>
          <w:rFonts w:hint="eastAsia"/>
          <w:color w:val="auto"/>
          <w:kern w:val="44"/>
          <w:highlight w:val="none"/>
        </w:rPr>
        <w:t>第三部分投标人须知</w:t>
      </w:r>
      <w:r>
        <w:rPr>
          <w:color w:val="auto"/>
          <w:highlight w:val="none"/>
        </w:rPr>
        <w:tab/>
      </w:r>
      <w:r>
        <w:rPr>
          <w:color w:val="auto"/>
          <w:highlight w:val="none"/>
        </w:rPr>
        <w:fldChar w:fldCharType="end"/>
      </w:r>
      <w:r>
        <w:rPr>
          <w:rFonts w:hint="eastAsia"/>
          <w:color w:val="auto"/>
          <w:highlight w:val="none"/>
          <w:lang w:val="en-US" w:eastAsia="zh-CN"/>
        </w:rPr>
        <w:t>12</w:t>
      </w:r>
    </w:p>
    <w:p w14:paraId="4A3758B8">
      <w:pPr>
        <w:pStyle w:val="30"/>
        <w:rPr>
          <w:rFonts w:hint="default" w:ascii="Calibri" w:hAnsi="Calibri" w:eastAsia="宋体"/>
          <w:color w:val="auto"/>
          <w:sz w:val="21"/>
          <w:szCs w:val="22"/>
          <w:highlight w:val="none"/>
          <w:lang w:val="en-US" w:eastAsia="zh-CN"/>
        </w:rPr>
      </w:pPr>
      <w:r>
        <w:rPr>
          <w:color w:val="auto"/>
          <w:highlight w:val="none"/>
        </w:rPr>
        <w:fldChar w:fldCharType="begin"/>
      </w:r>
      <w:r>
        <w:rPr>
          <w:color w:val="auto"/>
          <w:highlight w:val="none"/>
        </w:rPr>
        <w:instrText xml:space="preserve"> HYPERLINK \l "_Toc435088076" </w:instrText>
      </w:r>
      <w:r>
        <w:rPr>
          <w:color w:val="auto"/>
          <w:highlight w:val="none"/>
        </w:rPr>
        <w:fldChar w:fldCharType="separate"/>
      </w:r>
      <w:r>
        <w:rPr>
          <w:rStyle w:val="50"/>
          <w:rFonts w:hint="eastAsia"/>
          <w:color w:val="auto"/>
          <w:kern w:val="44"/>
          <w:highlight w:val="none"/>
        </w:rPr>
        <w:t>第四部分评标办法及标准</w:t>
      </w:r>
      <w:r>
        <w:rPr>
          <w:color w:val="auto"/>
          <w:highlight w:val="none"/>
        </w:rPr>
        <w:tab/>
      </w:r>
      <w:r>
        <w:rPr>
          <w:color w:val="auto"/>
          <w:highlight w:val="none"/>
        </w:rPr>
        <w:fldChar w:fldCharType="end"/>
      </w:r>
      <w:r>
        <w:rPr>
          <w:rFonts w:hint="eastAsia"/>
          <w:color w:val="auto"/>
          <w:highlight w:val="none"/>
          <w:lang w:val="en-US" w:eastAsia="zh-CN"/>
        </w:rPr>
        <w:t>22</w:t>
      </w:r>
    </w:p>
    <w:p w14:paraId="4580DF01">
      <w:pPr>
        <w:pStyle w:val="30"/>
        <w:rPr>
          <w:rFonts w:hint="default" w:ascii="Calibri" w:hAnsi="Calibri" w:eastAsia="宋体"/>
          <w:color w:val="auto"/>
          <w:sz w:val="21"/>
          <w:szCs w:val="22"/>
          <w:highlight w:val="none"/>
          <w:lang w:val="en-US" w:eastAsia="zh-CN"/>
        </w:rPr>
      </w:pPr>
      <w:r>
        <w:rPr>
          <w:color w:val="auto"/>
          <w:highlight w:val="none"/>
        </w:rPr>
        <w:fldChar w:fldCharType="begin"/>
      </w:r>
      <w:r>
        <w:rPr>
          <w:color w:val="auto"/>
          <w:highlight w:val="none"/>
        </w:rPr>
        <w:instrText xml:space="preserve"> HYPERLINK \l "_Toc435088077" </w:instrText>
      </w:r>
      <w:r>
        <w:rPr>
          <w:color w:val="auto"/>
          <w:highlight w:val="none"/>
        </w:rPr>
        <w:fldChar w:fldCharType="separate"/>
      </w:r>
      <w:r>
        <w:rPr>
          <w:rStyle w:val="50"/>
          <w:rFonts w:hint="eastAsia"/>
          <w:color w:val="auto"/>
          <w:kern w:val="44"/>
          <w:highlight w:val="none"/>
        </w:rPr>
        <w:t>第五部分采购内容及要求</w:t>
      </w:r>
      <w:r>
        <w:rPr>
          <w:color w:val="auto"/>
          <w:highlight w:val="none"/>
        </w:rPr>
        <w:tab/>
      </w:r>
      <w:r>
        <w:rPr>
          <w:color w:val="auto"/>
          <w:highlight w:val="none"/>
        </w:rPr>
        <w:fldChar w:fldCharType="end"/>
      </w:r>
      <w:r>
        <w:rPr>
          <w:rFonts w:hint="eastAsia"/>
          <w:color w:val="auto"/>
          <w:highlight w:val="none"/>
          <w:lang w:val="en-US" w:eastAsia="zh-CN"/>
        </w:rPr>
        <w:t>28</w:t>
      </w:r>
    </w:p>
    <w:p w14:paraId="385B2C65">
      <w:pPr>
        <w:pStyle w:val="30"/>
        <w:rPr>
          <w:rFonts w:hint="default" w:ascii="Calibri" w:hAnsi="Calibri" w:eastAsia="宋体"/>
          <w:color w:val="auto"/>
          <w:sz w:val="21"/>
          <w:szCs w:val="22"/>
          <w:highlight w:val="none"/>
          <w:lang w:val="en-US" w:eastAsia="zh-CN"/>
        </w:rPr>
      </w:pPr>
      <w:r>
        <w:rPr>
          <w:color w:val="auto"/>
          <w:highlight w:val="none"/>
        </w:rPr>
        <w:fldChar w:fldCharType="begin"/>
      </w:r>
      <w:r>
        <w:rPr>
          <w:color w:val="auto"/>
          <w:highlight w:val="none"/>
        </w:rPr>
        <w:instrText xml:space="preserve"> HYPERLINK \l "_Toc435088080" </w:instrText>
      </w:r>
      <w:r>
        <w:rPr>
          <w:color w:val="auto"/>
          <w:highlight w:val="none"/>
        </w:rPr>
        <w:fldChar w:fldCharType="separate"/>
      </w:r>
      <w:r>
        <w:rPr>
          <w:rStyle w:val="50"/>
          <w:rFonts w:hint="eastAsia"/>
          <w:color w:val="auto"/>
          <w:kern w:val="44"/>
          <w:highlight w:val="none"/>
        </w:rPr>
        <w:t>第六部分拟签订的合同</w:t>
      </w:r>
      <w:r>
        <w:rPr>
          <w:color w:val="auto"/>
          <w:highlight w:val="none"/>
        </w:rPr>
        <w:tab/>
      </w:r>
      <w:r>
        <w:rPr>
          <w:color w:val="auto"/>
          <w:highlight w:val="none"/>
        </w:rPr>
        <w:fldChar w:fldCharType="end"/>
      </w:r>
      <w:r>
        <w:rPr>
          <w:rFonts w:hint="eastAsia"/>
          <w:color w:val="auto"/>
          <w:highlight w:val="none"/>
          <w:lang w:val="en-US" w:eastAsia="zh-CN"/>
        </w:rPr>
        <w:t>76</w:t>
      </w:r>
    </w:p>
    <w:p w14:paraId="4ABEA316">
      <w:pPr>
        <w:pStyle w:val="30"/>
        <w:rPr>
          <w:rFonts w:hint="eastAsia" w:eastAsia="宋体"/>
          <w:color w:val="auto"/>
          <w:w w:val="80"/>
          <w:sz w:val="32"/>
          <w:highlight w:val="none"/>
          <w:lang w:val="en-US" w:eastAsia="zh-CN"/>
        </w:rPr>
      </w:pPr>
      <w:r>
        <w:rPr>
          <w:color w:val="auto"/>
          <w:highlight w:val="none"/>
        </w:rPr>
        <w:fldChar w:fldCharType="begin"/>
      </w:r>
      <w:r>
        <w:rPr>
          <w:color w:val="auto"/>
          <w:highlight w:val="none"/>
        </w:rPr>
        <w:instrText xml:space="preserve"> HYPERLINK \l "_Toc435088081" </w:instrText>
      </w:r>
      <w:r>
        <w:rPr>
          <w:color w:val="auto"/>
          <w:highlight w:val="none"/>
        </w:rPr>
        <w:fldChar w:fldCharType="separate"/>
      </w:r>
      <w:r>
        <w:rPr>
          <w:rStyle w:val="50"/>
          <w:rFonts w:hint="eastAsia"/>
          <w:color w:val="auto"/>
          <w:kern w:val="44"/>
          <w:highlight w:val="none"/>
        </w:rPr>
        <w:t>第七部分格式与表格</w:t>
      </w:r>
      <w:r>
        <w:rPr>
          <w:color w:val="auto"/>
          <w:highlight w:val="none"/>
        </w:rPr>
        <w:tab/>
      </w:r>
      <w:r>
        <w:rPr>
          <w:color w:val="auto"/>
          <w:highlight w:val="none"/>
        </w:rPr>
        <w:fldChar w:fldCharType="end"/>
      </w:r>
      <w:r>
        <w:rPr>
          <w:rFonts w:hint="eastAsia"/>
          <w:color w:val="auto"/>
          <w:highlight w:val="none"/>
          <w:lang w:val="en-US" w:eastAsia="zh-CN"/>
        </w:rPr>
        <w:t>7</w:t>
      </w:r>
      <w:r>
        <w:rPr>
          <w:color w:val="auto"/>
          <w:w w:val="80"/>
          <w:szCs w:val="24"/>
          <w:highlight w:val="none"/>
        </w:rPr>
        <w:fldChar w:fldCharType="end"/>
      </w:r>
      <w:r>
        <w:rPr>
          <w:rFonts w:hint="eastAsia"/>
          <w:color w:val="auto"/>
          <w:w w:val="80"/>
          <w:szCs w:val="24"/>
          <w:highlight w:val="none"/>
          <w:lang w:val="en-US" w:eastAsia="zh-CN"/>
        </w:rPr>
        <w:t>8</w:t>
      </w:r>
    </w:p>
    <w:p w14:paraId="14731B01">
      <w:pPr>
        <w:rPr>
          <w:color w:val="auto"/>
          <w:highlight w:val="none"/>
        </w:rPr>
      </w:pPr>
    </w:p>
    <w:p w14:paraId="147C393A">
      <w:pPr>
        <w:rPr>
          <w:color w:val="auto"/>
          <w:highlight w:val="none"/>
        </w:rPr>
      </w:pPr>
    </w:p>
    <w:p w14:paraId="4E882B02">
      <w:pPr>
        <w:rPr>
          <w:color w:val="auto"/>
          <w:highlight w:val="none"/>
        </w:rPr>
      </w:pPr>
    </w:p>
    <w:p w14:paraId="5C537C29">
      <w:pPr>
        <w:rPr>
          <w:color w:val="auto"/>
          <w:highlight w:val="none"/>
        </w:rPr>
      </w:pPr>
    </w:p>
    <w:p w14:paraId="1CC36AEF">
      <w:pPr>
        <w:rPr>
          <w:color w:val="auto"/>
          <w:highlight w:val="none"/>
        </w:rPr>
      </w:pPr>
    </w:p>
    <w:p w14:paraId="11CC770A">
      <w:pPr>
        <w:rPr>
          <w:color w:val="auto"/>
          <w:highlight w:val="none"/>
        </w:rPr>
      </w:pPr>
    </w:p>
    <w:p w14:paraId="4BD920F6">
      <w:pPr>
        <w:rPr>
          <w:color w:val="auto"/>
          <w:highlight w:val="none"/>
        </w:rPr>
      </w:pPr>
    </w:p>
    <w:p w14:paraId="52BE5B1D">
      <w:pPr>
        <w:rPr>
          <w:color w:val="auto"/>
          <w:highlight w:val="none"/>
        </w:rPr>
      </w:pPr>
    </w:p>
    <w:p w14:paraId="3E69B5ED">
      <w:pPr>
        <w:rPr>
          <w:color w:val="auto"/>
          <w:highlight w:val="none"/>
        </w:rPr>
      </w:pPr>
    </w:p>
    <w:p w14:paraId="61713738">
      <w:pPr>
        <w:rPr>
          <w:color w:val="auto"/>
          <w:highlight w:val="none"/>
        </w:rPr>
      </w:pPr>
    </w:p>
    <w:p w14:paraId="1959FA69">
      <w:pPr>
        <w:rPr>
          <w:color w:val="auto"/>
          <w:highlight w:val="none"/>
        </w:rPr>
      </w:pPr>
    </w:p>
    <w:p w14:paraId="13C177C3">
      <w:pPr>
        <w:rPr>
          <w:color w:val="auto"/>
          <w:highlight w:val="none"/>
        </w:rPr>
      </w:pPr>
    </w:p>
    <w:p w14:paraId="52D7078E">
      <w:pPr>
        <w:rPr>
          <w:color w:val="auto"/>
          <w:highlight w:val="none"/>
        </w:rPr>
      </w:pPr>
    </w:p>
    <w:p w14:paraId="71064E4B">
      <w:pPr>
        <w:rPr>
          <w:color w:val="auto"/>
          <w:highlight w:val="none"/>
        </w:rPr>
      </w:pPr>
    </w:p>
    <w:p w14:paraId="4AC3A410">
      <w:pPr>
        <w:rPr>
          <w:color w:val="auto"/>
          <w:highlight w:val="none"/>
        </w:rPr>
      </w:pPr>
    </w:p>
    <w:p w14:paraId="4C39DDDF">
      <w:pPr>
        <w:rPr>
          <w:color w:val="auto"/>
          <w:highlight w:val="none"/>
        </w:rPr>
      </w:pPr>
    </w:p>
    <w:p w14:paraId="27116780">
      <w:pPr>
        <w:rPr>
          <w:color w:val="auto"/>
          <w:highlight w:val="none"/>
        </w:rPr>
      </w:pPr>
    </w:p>
    <w:p w14:paraId="1A0A0F5F">
      <w:pPr>
        <w:rPr>
          <w:color w:val="auto"/>
          <w:highlight w:val="none"/>
        </w:rPr>
      </w:pPr>
    </w:p>
    <w:p w14:paraId="0CB48DDF">
      <w:pPr>
        <w:rPr>
          <w:color w:val="auto"/>
          <w:highlight w:val="none"/>
        </w:rPr>
      </w:pPr>
    </w:p>
    <w:p w14:paraId="2411201A">
      <w:pPr>
        <w:rPr>
          <w:color w:val="auto"/>
          <w:highlight w:val="none"/>
        </w:rPr>
      </w:pPr>
    </w:p>
    <w:p w14:paraId="1D2A2805">
      <w:pPr>
        <w:rPr>
          <w:color w:val="auto"/>
          <w:highlight w:val="none"/>
        </w:rPr>
      </w:pPr>
    </w:p>
    <w:p w14:paraId="4216751C">
      <w:pPr>
        <w:rPr>
          <w:color w:val="auto"/>
          <w:highlight w:val="none"/>
        </w:rPr>
      </w:pPr>
    </w:p>
    <w:p w14:paraId="07B7A697">
      <w:pPr>
        <w:rPr>
          <w:color w:val="auto"/>
          <w:highlight w:val="none"/>
        </w:rPr>
      </w:pPr>
    </w:p>
    <w:p w14:paraId="4124D559">
      <w:pPr>
        <w:rPr>
          <w:color w:val="auto"/>
          <w:highlight w:val="none"/>
        </w:rPr>
      </w:pPr>
    </w:p>
    <w:p w14:paraId="17B37C7D">
      <w:pPr>
        <w:rPr>
          <w:color w:val="auto"/>
          <w:highlight w:val="none"/>
        </w:rPr>
      </w:pPr>
    </w:p>
    <w:p w14:paraId="72535882">
      <w:pPr>
        <w:rPr>
          <w:color w:val="auto"/>
          <w:highlight w:val="none"/>
        </w:rPr>
      </w:pPr>
    </w:p>
    <w:p w14:paraId="7B3FAA0D">
      <w:pPr>
        <w:rPr>
          <w:color w:val="auto"/>
          <w:highlight w:val="none"/>
        </w:rPr>
      </w:pPr>
    </w:p>
    <w:p w14:paraId="40602A12">
      <w:pPr>
        <w:rPr>
          <w:color w:val="auto"/>
          <w:highlight w:val="none"/>
        </w:rPr>
      </w:pPr>
    </w:p>
    <w:p w14:paraId="353EAC16">
      <w:pPr>
        <w:rPr>
          <w:color w:val="auto"/>
          <w:highlight w:val="none"/>
        </w:rPr>
      </w:pPr>
    </w:p>
    <w:p w14:paraId="260592D9">
      <w:pPr>
        <w:rPr>
          <w:color w:val="auto"/>
          <w:highlight w:val="none"/>
        </w:rPr>
      </w:pPr>
    </w:p>
    <w:p w14:paraId="3702E7D3">
      <w:pPr>
        <w:rPr>
          <w:color w:val="auto"/>
          <w:highlight w:val="none"/>
        </w:rPr>
      </w:pPr>
    </w:p>
    <w:p w14:paraId="1D96494C">
      <w:pPr>
        <w:rPr>
          <w:color w:val="auto"/>
          <w:highlight w:val="none"/>
        </w:rPr>
      </w:pPr>
    </w:p>
    <w:p w14:paraId="669841C3">
      <w:pPr>
        <w:rPr>
          <w:color w:val="auto"/>
          <w:highlight w:val="none"/>
        </w:rPr>
      </w:pPr>
    </w:p>
    <w:p w14:paraId="03932947">
      <w:pPr>
        <w:rPr>
          <w:color w:val="auto"/>
          <w:highlight w:val="none"/>
        </w:rPr>
      </w:pPr>
    </w:p>
    <w:p w14:paraId="0F603457">
      <w:pPr>
        <w:rPr>
          <w:color w:val="auto"/>
          <w:highlight w:val="none"/>
        </w:rPr>
      </w:pPr>
    </w:p>
    <w:p w14:paraId="512B907E">
      <w:pPr>
        <w:rPr>
          <w:color w:val="auto"/>
          <w:highlight w:val="none"/>
        </w:rPr>
      </w:pPr>
    </w:p>
    <w:p w14:paraId="4DC53DE5">
      <w:pPr>
        <w:rPr>
          <w:color w:val="auto"/>
          <w:highlight w:val="none"/>
        </w:rPr>
      </w:pPr>
    </w:p>
    <w:p w14:paraId="555F04C3">
      <w:pPr>
        <w:rPr>
          <w:color w:val="auto"/>
          <w:highlight w:val="none"/>
        </w:rPr>
      </w:pPr>
    </w:p>
    <w:p w14:paraId="37491EC4">
      <w:pPr>
        <w:rPr>
          <w:color w:val="auto"/>
          <w:highlight w:val="none"/>
        </w:rPr>
      </w:pPr>
    </w:p>
    <w:p w14:paraId="448E17D5">
      <w:pPr>
        <w:pStyle w:val="41"/>
        <w:rPr>
          <w:rFonts w:ascii="Times New Roman" w:hAnsi="Times New Roman"/>
          <w:color w:val="auto"/>
          <w:kern w:val="44"/>
          <w:highlight w:val="none"/>
        </w:rPr>
      </w:pPr>
      <w:bookmarkStart w:id="1" w:name="_Toc262312595"/>
      <w:bookmarkStart w:id="2" w:name="_Toc263083249"/>
      <w:bookmarkStart w:id="3" w:name="_Toc435088062"/>
      <w:r>
        <w:rPr>
          <w:rFonts w:hint="eastAsia" w:ascii="Times New Roman" w:hAnsi="Times New Roman"/>
          <w:color w:val="auto"/>
          <w:kern w:val="44"/>
          <w:highlight w:val="none"/>
        </w:rPr>
        <w:t>第一部分</w:t>
      </w:r>
      <w:bookmarkEnd w:id="1"/>
      <w:bookmarkEnd w:id="2"/>
      <w:r>
        <w:rPr>
          <w:rFonts w:hint="eastAsia" w:ascii="Times New Roman" w:hAnsi="Times New Roman"/>
          <w:color w:val="auto"/>
          <w:kern w:val="44"/>
          <w:highlight w:val="none"/>
        </w:rPr>
        <w:t>采购公告</w:t>
      </w:r>
      <w:bookmarkEnd w:id="3"/>
    </w:p>
    <w:p w14:paraId="21E6888C">
      <w:pPr>
        <w:widowControl/>
        <w:pBdr>
          <w:top w:val="single" w:color="auto" w:sz="4" w:space="1"/>
          <w:left w:val="single" w:color="auto" w:sz="4" w:space="4"/>
          <w:bottom w:val="single" w:color="auto" w:sz="4" w:space="1"/>
          <w:right w:val="single" w:color="auto" w:sz="4" w:space="4"/>
        </w:pBdr>
        <w:wordWrap w:val="0"/>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宋体" w:hAnsi="宋体" w:cs="Arial"/>
          <w:color w:val="auto"/>
          <w:kern w:val="0"/>
          <w:szCs w:val="21"/>
          <w:highlight w:val="none"/>
          <w:u w:val="single"/>
        </w:rPr>
        <w:t>宁海县公共交通有限公司</w:t>
      </w:r>
      <w:r>
        <w:rPr>
          <w:rFonts w:hint="eastAsia" w:ascii="宋体" w:hAnsi="宋体" w:cs="Arial"/>
          <w:color w:val="auto"/>
          <w:kern w:val="0"/>
          <w:szCs w:val="21"/>
          <w:highlight w:val="none"/>
          <w:u w:val="single"/>
          <w:lang w:eastAsia="zh-CN"/>
        </w:rPr>
        <w:t>2024年</w:t>
      </w:r>
      <w:r>
        <w:rPr>
          <w:rFonts w:hint="eastAsia" w:ascii="宋体" w:hAnsi="宋体" w:cs="Arial"/>
          <w:color w:val="auto"/>
          <w:kern w:val="0"/>
          <w:szCs w:val="21"/>
          <w:highlight w:val="none"/>
          <w:u w:val="single"/>
        </w:rPr>
        <w:t>纯电动公交客车采购项目</w:t>
      </w:r>
      <w:r>
        <w:rPr>
          <w:rFonts w:hint="eastAsia" w:ascii="宋体" w:hAnsi="宋体" w:cs="Arial"/>
          <w:color w:val="auto"/>
          <w:kern w:val="0"/>
          <w:szCs w:val="21"/>
          <w:highlight w:val="none"/>
        </w:rPr>
        <w:t>的潜在投标人</w:t>
      </w:r>
      <w:r>
        <w:rPr>
          <w:rFonts w:ascii="宋体" w:hAnsi="宋体" w:cs="Arial"/>
          <w:color w:val="auto"/>
          <w:kern w:val="0"/>
          <w:szCs w:val="21"/>
          <w:highlight w:val="none"/>
        </w:rPr>
        <w:t>应在</w:t>
      </w:r>
      <w:r>
        <w:rPr>
          <w:rFonts w:hint="eastAsia" w:ascii="宋体" w:hAnsi="宋体" w:cs="Arial"/>
          <w:color w:val="auto"/>
          <w:kern w:val="0"/>
          <w:szCs w:val="21"/>
          <w:highlight w:val="none"/>
        </w:rPr>
        <w:t>乐采云平台</w:t>
      </w:r>
      <w:r>
        <w:rPr>
          <w:rFonts w:ascii="宋体" w:hAnsi="宋体" w:cs="Arial"/>
          <w:color w:val="auto"/>
          <w:kern w:val="0"/>
          <w:szCs w:val="21"/>
          <w:highlight w:val="none"/>
        </w:rPr>
        <w:t>获取招标文件，并于</w:t>
      </w:r>
      <w:r>
        <w:rPr>
          <w:rFonts w:hint="eastAsia" w:ascii="宋体" w:hAnsi="宋体" w:cs="Arial"/>
          <w:color w:val="auto"/>
          <w:kern w:val="0"/>
          <w:szCs w:val="21"/>
          <w:highlight w:val="none"/>
          <w:u w:val="single"/>
          <w:lang w:eastAsia="zh-CN"/>
        </w:rPr>
        <w:t>2024年</w:t>
      </w:r>
      <w:r>
        <w:rPr>
          <w:rFonts w:hint="eastAsia" w:ascii="宋体" w:hAnsi="宋体" w:cs="Arial"/>
          <w:color w:val="auto"/>
          <w:kern w:val="0"/>
          <w:szCs w:val="21"/>
          <w:highlight w:val="none"/>
          <w:u w:val="single"/>
          <w:lang w:val="en-US" w:eastAsia="zh-CN"/>
        </w:rPr>
        <w:t>9</w:t>
      </w:r>
      <w:r>
        <w:rPr>
          <w:rFonts w:hint="eastAsia" w:ascii="宋体" w:hAnsi="宋体" w:cs="Arial"/>
          <w:color w:val="auto"/>
          <w:kern w:val="0"/>
          <w:szCs w:val="21"/>
          <w:highlight w:val="none"/>
          <w:u w:val="single"/>
        </w:rPr>
        <w:t>月</w:t>
      </w:r>
      <w:r>
        <w:rPr>
          <w:rFonts w:hint="eastAsia" w:ascii="宋体" w:hAnsi="宋体" w:cs="Arial"/>
          <w:color w:val="auto"/>
          <w:kern w:val="0"/>
          <w:szCs w:val="21"/>
          <w:highlight w:val="none"/>
          <w:u w:val="single"/>
          <w:lang w:val="en-US" w:eastAsia="zh-CN"/>
        </w:rPr>
        <w:t>24</w:t>
      </w:r>
      <w:r>
        <w:rPr>
          <w:rFonts w:hint="eastAsia" w:ascii="宋体" w:hAnsi="宋体" w:cs="Arial"/>
          <w:color w:val="auto"/>
          <w:kern w:val="0"/>
          <w:szCs w:val="21"/>
          <w:highlight w:val="none"/>
          <w:u w:val="single"/>
        </w:rPr>
        <w:t>日09点00分</w:t>
      </w:r>
      <w:r>
        <w:rPr>
          <w:rFonts w:hint="eastAsia" w:ascii="宋体" w:hAnsi="宋体" w:cs="Arial"/>
          <w:color w:val="auto"/>
          <w:kern w:val="0"/>
          <w:szCs w:val="21"/>
          <w:highlight w:val="none"/>
        </w:rPr>
        <w:t>（北京时间）前递交投标文件。</w:t>
      </w:r>
    </w:p>
    <w:p w14:paraId="6694286E">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一、项目基本情况</w:t>
      </w:r>
    </w:p>
    <w:p w14:paraId="6B1CB336">
      <w:pPr>
        <w:widowControl/>
        <w:spacing w:before="100" w:beforeAutospacing="1" w:after="100" w:afterAutospacing="1" w:line="405" w:lineRule="atLeast"/>
        <w:ind w:firstLine="420"/>
        <w:jc w:val="left"/>
        <w:rPr>
          <w:rFonts w:hint="eastAsia" w:ascii="Arial" w:hAnsi="Arial" w:eastAsia="宋体" w:cs="Arial"/>
          <w:color w:val="auto"/>
          <w:kern w:val="0"/>
          <w:szCs w:val="21"/>
          <w:highlight w:val="none"/>
          <w:lang w:eastAsia="zh-CN"/>
        </w:rPr>
      </w:pPr>
      <w:r>
        <w:rPr>
          <w:rFonts w:hint="eastAsia" w:ascii="宋体" w:hAnsi="宋体" w:cs="Arial"/>
          <w:color w:val="auto"/>
          <w:kern w:val="0"/>
          <w:szCs w:val="21"/>
          <w:highlight w:val="none"/>
        </w:rPr>
        <w:t>项目编号：</w:t>
      </w:r>
      <w:r>
        <w:rPr>
          <w:rFonts w:hint="eastAsia" w:ascii="宋体" w:hAnsi="宋体" w:cs="Arial"/>
          <w:color w:val="auto"/>
          <w:kern w:val="0"/>
          <w:szCs w:val="21"/>
          <w:highlight w:val="none"/>
          <w:lang w:eastAsia="zh-CN"/>
        </w:rPr>
        <w:t>ZGZB-NHCG2024071</w:t>
      </w:r>
    </w:p>
    <w:p w14:paraId="0509B06B">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项目名称：宁海县公共交通有限公司</w:t>
      </w:r>
      <w:r>
        <w:rPr>
          <w:rFonts w:hint="eastAsia" w:ascii="宋体" w:hAnsi="宋体" w:cs="Arial"/>
          <w:color w:val="auto"/>
          <w:kern w:val="0"/>
          <w:szCs w:val="21"/>
          <w:highlight w:val="none"/>
          <w:lang w:eastAsia="zh-CN"/>
        </w:rPr>
        <w:t>2024年</w:t>
      </w:r>
      <w:r>
        <w:rPr>
          <w:rFonts w:hint="eastAsia" w:ascii="宋体" w:hAnsi="宋体" w:cs="Arial"/>
          <w:color w:val="auto"/>
          <w:kern w:val="0"/>
          <w:szCs w:val="21"/>
          <w:highlight w:val="none"/>
        </w:rPr>
        <w:t>纯电动公交客车采购项目</w:t>
      </w:r>
    </w:p>
    <w:p w14:paraId="0528CAC2">
      <w:pPr>
        <w:widowControl/>
        <w:spacing w:before="100" w:beforeAutospacing="1" w:after="100" w:afterAutospacing="1" w:line="405" w:lineRule="atLeast"/>
        <w:ind w:firstLine="420"/>
        <w:jc w:val="left"/>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rPr>
        <w:t>采购预算：</w:t>
      </w:r>
      <w:r>
        <w:rPr>
          <w:rFonts w:hint="eastAsia" w:ascii="宋体" w:hAnsi="宋体" w:cs="Arial"/>
          <w:color w:val="auto"/>
          <w:kern w:val="0"/>
          <w:szCs w:val="21"/>
          <w:highlight w:val="none"/>
          <w:lang w:val="en-US" w:eastAsia="zh-CN"/>
        </w:rPr>
        <w:t>28320000元，其中</w:t>
      </w:r>
      <w:r>
        <w:rPr>
          <w:rFonts w:hint="eastAsia" w:ascii="宋体" w:hAnsi="宋体" w:cs="Arial"/>
          <w:color w:val="auto"/>
          <w:kern w:val="0"/>
          <w:szCs w:val="21"/>
          <w:highlight w:val="none"/>
        </w:rPr>
        <w:t>标项一</w:t>
      </w:r>
      <w:r>
        <w:rPr>
          <w:rFonts w:hint="eastAsia" w:ascii="宋体" w:hAnsi="宋体" w:cs="Arial"/>
          <w:color w:val="auto"/>
          <w:kern w:val="0"/>
          <w:szCs w:val="21"/>
          <w:highlight w:val="none"/>
          <w:lang w:val="en-US" w:eastAsia="zh-CN"/>
        </w:rPr>
        <w:t>12240000元，标项二9760000元，标项三720000元，标项四5600000元。</w:t>
      </w:r>
    </w:p>
    <w:p w14:paraId="102D70B2">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采购需求：</w:t>
      </w:r>
    </w:p>
    <w:p w14:paraId="1B7561D7">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标项一：</w:t>
      </w:r>
      <w:r>
        <w:rPr>
          <w:rFonts w:hint="eastAsia" w:ascii="宋体" w:hAnsi="宋体" w:cs="Arial"/>
          <w:color w:val="auto"/>
          <w:kern w:val="0"/>
          <w:szCs w:val="21"/>
          <w:highlight w:val="none"/>
          <w:lang w:eastAsia="zh-CN"/>
        </w:rPr>
        <w:t>宁海县公共交通有限公司2024年纯电动公交客车采购项目</w:t>
      </w:r>
      <w:r>
        <w:rPr>
          <w:rFonts w:hint="eastAsia" w:ascii="宋体" w:hAnsi="宋体" w:cs="Arial"/>
          <w:color w:val="auto"/>
          <w:kern w:val="0"/>
          <w:szCs w:val="21"/>
          <w:highlight w:val="none"/>
        </w:rPr>
        <w:t>标项（子包）一</w:t>
      </w:r>
    </w:p>
    <w:p w14:paraId="48EB642F">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预算金额（元）：</w:t>
      </w:r>
      <w:r>
        <w:rPr>
          <w:rFonts w:hint="eastAsia" w:ascii="宋体" w:hAnsi="宋体" w:cs="Arial"/>
          <w:color w:val="auto"/>
          <w:kern w:val="0"/>
          <w:szCs w:val="21"/>
          <w:highlight w:val="none"/>
          <w:lang w:val="en-US" w:eastAsia="zh-CN"/>
        </w:rPr>
        <w:t>12240000元</w:t>
      </w:r>
    </w:p>
    <w:p w14:paraId="2FC8E42C">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简要规格描述或项目基本概况介绍、用途：</w:t>
      </w:r>
      <w:r>
        <w:rPr>
          <w:rFonts w:hint="eastAsia" w:ascii="宋体" w:hAnsi="宋体" w:cs="Arial"/>
          <w:color w:val="auto"/>
          <w:kern w:val="0"/>
          <w:szCs w:val="21"/>
          <w:highlight w:val="none"/>
          <w:lang w:val="en-US" w:eastAsia="zh-CN"/>
        </w:rPr>
        <w:t>采购7</w:t>
      </w:r>
      <w:r>
        <w:rPr>
          <w:rFonts w:hint="eastAsia" w:ascii="宋体" w:hAnsi="宋体" w:cs="Arial"/>
          <w:color w:val="auto"/>
          <w:kern w:val="0"/>
          <w:szCs w:val="21"/>
          <w:highlight w:val="none"/>
        </w:rPr>
        <w:t>米一级踏步纯电动公交客车</w:t>
      </w:r>
      <w:r>
        <w:rPr>
          <w:rFonts w:hint="eastAsia" w:ascii="宋体" w:hAnsi="宋体" w:cs="Arial"/>
          <w:color w:val="auto"/>
          <w:kern w:val="0"/>
          <w:szCs w:val="21"/>
          <w:highlight w:val="none"/>
          <w:lang w:val="en-US" w:eastAsia="zh-CN"/>
        </w:rPr>
        <w:t>17辆，技术参数要求</w:t>
      </w:r>
      <w:r>
        <w:rPr>
          <w:rFonts w:hint="eastAsia" w:ascii="宋体" w:hAnsi="宋体" w:cs="Arial"/>
          <w:color w:val="auto"/>
          <w:kern w:val="0"/>
          <w:szCs w:val="21"/>
          <w:highlight w:val="none"/>
        </w:rPr>
        <w:t>详见采购文件第五</w:t>
      </w:r>
      <w:r>
        <w:rPr>
          <w:rFonts w:hint="eastAsia" w:ascii="宋体" w:hAnsi="宋体" w:cs="Arial"/>
          <w:color w:val="auto"/>
          <w:kern w:val="0"/>
          <w:szCs w:val="21"/>
          <w:highlight w:val="none"/>
          <w:lang w:val="en-US" w:eastAsia="zh-CN"/>
        </w:rPr>
        <w:t>部分</w:t>
      </w:r>
      <w:r>
        <w:rPr>
          <w:rFonts w:hint="eastAsia" w:ascii="宋体" w:hAnsi="宋体" w:cs="Arial"/>
          <w:color w:val="auto"/>
          <w:kern w:val="0"/>
          <w:szCs w:val="21"/>
          <w:highlight w:val="none"/>
        </w:rPr>
        <w:t>“采购内容与要求”。</w:t>
      </w:r>
    </w:p>
    <w:p w14:paraId="7B43FFDB">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标项二：</w:t>
      </w:r>
      <w:r>
        <w:rPr>
          <w:rFonts w:hint="eastAsia" w:ascii="宋体" w:hAnsi="宋体" w:cs="Arial"/>
          <w:color w:val="auto"/>
          <w:kern w:val="0"/>
          <w:szCs w:val="21"/>
          <w:highlight w:val="none"/>
          <w:lang w:eastAsia="zh-CN"/>
        </w:rPr>
        <w:t>宁海县公共交通有限公司2024年纯电动公交客车采购项目</w:t>
      </w:r>
      <w:r>
        <w:rPr>
          <w:rFonts w:hint="eastAsia" w:ascii="宋体" w:hAnsi="宋体" w:cs="Arial"/>
          <w:color w:val="auto"/>
          <w:kern w:val="0"/>
          <w:szCs w:val="21"/>
          <w:highlight w:val="none"/>
        </w:rPr>
        <w:t>标项（子包）二</w:t>
      </w:r>
    </w:p>
    <w:p w14:paraId="003EDF02">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预算金额（元）：</w:t>
      </w:r>
      <w:r>
        <w:rPr>
          <w:rFonts w:hint="eastAsia" w:ascii="宋体" w:hAnsi="宋体" w:cs="Arial"/>
          <w:color w:val="auto"/>
          <w:kern w:val="0"/>
          <w:szCs w:val="21"/>
          <w:highlight w:val="none"/>
          <w:lang w:val="en-US" w:eastAsia="zh-CN"/>
        </w:rPr>
        <w:t>9760000元</w:t>
      </w:r>
    </w:p>
    <w:p w14:paraId="1E2A10A8">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简要规格描述或项目基本概况介绍、用途</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采购6.6</w:t>
      </w:r>
      <w:r>
        <w:rPr>
          <w:rFonts w:hint="eastAsia" w:ascii="宋体" w:hAnsi="宋体" w:cs="Arial"/>
          <w:color w:val="auto"/>
          <w:kern w:val="0"/>
          <w:szCs w:val="21"/>
          <w:highlight w:val="none"/>
        </w:rPr>
        <w:t>米</w:t>
      </w:r>
      <w:r>
        <w:rPr>
          <w:rFonts w:hint="eastAsia" w:ascii="宋体" w:hAnsi="宋体" w:cs="Arial"/>
          <w:color w:val="auto"/>
          <w:kern w:val="0"/>
          <w:szCs w:val="21"/>
          <w:highlight w:val="none"/>
          <w:lang w:val="en-US" w:eastAsia="zh-CN"/>
        </w:rPr>
        <w:t>二</w:t>
      </w:r>
      <w:r>
        <w:rPr>
          <w:rFonts w:hint="eastAsia" w:ascii="宋体" w:hAnsi="宋体" w:cs="Arial"/>
          <w:color w:val="auto"/>
          <w:kern w:val="0"/>
          <w:szCs w:val="21"/>
          <w:highlight w:val="none"/>
        </w:rPr>
        <w:t>级踏步纯电动公交客车</w:t>
      </w:r>
      <w:r>
        <w:rPr>
          <w:rFonts w:hint="eastAsia" w:ascii="宋体" w:hAnsi="宋体" w:cs="Arial"/>
          <w:color w:val="auto"/>
          <w:kern w:val="0"/>
          <w:szCs w:val="21"/>
          <w:highlight w:val="none"/>
          <w:lang w:val="en-US" w:eastAsia="zh-CN"/>
        </w:rPr>
        <w:t>16辆，技术参数要求</w:t>
      </w:r>
      <w:r>
        <w:rPr>
          <w:rFonts w:hint="eastAsia" w:ascii="宋体" w:hAnsi="宋体" w:cs="Arial"/>
          <w:color w:val="auto"/>
          <w:kern w:val="0"/>
          <w:szCs w:val="21"/>
          <w:highlight w:val="none"/>
        </w:rPr>
        <w:t>详见采购文件第五</w:t>
      </w:r>
      <w:r>
        <w:rPr>
          <w:rFonts w:hint="eastAsia" w:ascii="宋体" w:hAnsi="宋体" w:cs="Arial"/>
          <w:color w:val="auto"/>
          <w:kern w:val="0"/>
          <w:szCs w:val="21"/>
          <w:highlight w:val="none"/>
          <w:lang w:val="en-US" w:eastAsia="zh-CN"/>
        </w:rPr>
        <w:t>部分</w:t>
      </w:r>
      <w:r>
        <w:rPr>
          <w:rFonts w:hint="eastAsia" w:ascii="宋体" w:hAnsi="宋体" w:cs="Arial"/>
          <w:color w:val="auto"/>
          <w:kern w:val="0"/>
          <w:szCs w:val="21"/>
          <w:highlight w:val="none"/>
        </w:rPr>
        <w:t>“采购内容与要求”。</w:t>
      </w:r>
    </w:p>
    <w:p w14:paraId="7A9FBAF0">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标项三：</w:t>
      </w:r>
      <w:r>
        <w:rPr>
          <w:rFonts w:hint="eastAsia" w:ascii="宋体" w:hAnsi="宋体" w:cs="Arial"/>
          <w:color w:val="auto"/>
          <w:kern w:val="0"/>
          <w:szCs w:val="21"/>
          <w:highlight w:val="none"/>
          <w:lang w:eastAsia="zh-CN"/>
        </w:rPr>
        <w:t>宁海县公共交通有限公司2024年纯电动公交客车采购项目</w:t>
      </w:r>
      <w:r>
        <w:rPr>
          <w:rFonts w:hint="eastAsia" w:ascii="宋体" w:hAnsi="宋体" w:cs="Arial"/>
          <w:color w:val="auto"/>
          <w:kern w:val="0"/>
          <w:szCs w:val="21"/>
          <w:highlight w:val="none"/>
        </w:rPr>
        <w:t>标项（子包）三</w:t>
      </w:r>
    </w:p>
    <w:p w14:paraId="2EE64D5C">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预算金额（元）：</w:t>
      </w:r>
      <w:r>
        <w:rPr>
          <w:rFonts w:hint="eastAsia" w:ascii="宋体" w:hAnsi="宋体" w:cs="Arial"/>
          <w:color w:val="auto"/>
          <w:kern w:val="0"/>
          <w:szCs w:val="21"/>
          <w:highlight w:val="none"/>
          <w:lang w:val="en-US" w:eastAsia="zh-CN"/>
        </w:rPr>
        <w:t>720000元</w:t>
      </w:r>
    </w:p>
    <w:p w14:paraId="0EF0A776">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简要规格描述或项目基本概况介绍、用途</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采购7米纯电动公路客运车1辆，技术参数要求</w:t>
      </w:r>
      <w:r>
        <w:rPr>
          <w:rFonts w:hint="eastAsia" w:ascii="宋体" w:hAnsi="宋体" w:cs="Arial"/>
          <w:color w:val="auto"/>
          <w:kern w:val="0"/>
          <w:szCs w:val="21"/>
          <w:highlight w:val="none"/>
        </w:rPr>
        <w:t>详见采购文件第五章“采购内容与要求”。</w:t>
      </w:r>
    </w:p>
    <w:p w14:paraId="257C329B">
      <w:pPr>
        <w:widowControl/>
        <w:spacing w:before="100" w:beforeAutospacing="1" w:after="100" w:afterAutospacing="1" w:line="405" w:lineRule="atLeast"/>
        <w:ind w:firstLine="420"/>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lang w:eastAsia="zh-CN"/>
        </w:rPr>
        <w:t>标项</w:t>
      </w:r>
      <w:r>
        <w:rPr>
          <w:rFonts w:hint="eastAsia" w:ascii="宋体" w:hAnsi="宋体" w:cs="Arial"/>
          <w:color w:val="auto"/>
          <w:kern w:val="0"/>
          <w:szCs w:val="21"/>
          <w:highlight w:val="none"/>
          <w:lang w:val="en-US" w:eastAsia="zh-CN"/>
        </w:rPr>
        <w:t>四</w:t>
      </w:r>
      <w:r>
        <w:rPr>
          <w:rFonts w:hint="eastAsia" w:ascii="宋体" w:hAnsi="宋体" w:cs="Arial"/>
          <w:color w:val="auto"/>
          <w:kern w:val="0"/>
          <w:szCs w:val="21"/>
          <w:highlight w:val="none"/>
          <w:lang w:eastAsia="zh-CN"/>
        </w:rPr>
        <w:t>：宁海县公共交通有限公司2024年纯电动公交客车采购项目</w:t>
      </w:r>
      <w:r>
        <w:rPr>
          <w:rFonts w:hint="eastAsia" w:ascii="宋体" w:hAnsi="宋体" w:cs="Arial"/>
          <w:color w:val="auto"/>
          <w:kern w:val="0"/>
          <w:szCs w:val="21"/>
          <w:highlight w:val="none"/>
        </w:rPr>
        <w:t>标项（子包）</w:t>
      </w:r>
      <w:r>
        <w:rPr>
          <w:rFonts w:hint="eastAsia" w:ascii="宋体" w:hAnsi="宋体" w:cs="Arial"/>
          <w:color w:val="auto"/>
          <w:kern w:val="0"/>
          <w:szCs w:val="21"/>
          <w:highlight w:val="none"/>
          <w:lang w:val="en-US" w:eastAsia="zh-CN"/>
        </w:rPr>
        <w:t>四</w:t>
      </w:r>
    </w:p>
    <w:p w14:paraId="4721B60A">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预算金额（元）：</w:t>
      </w:r>
      <w:r>
        <w:rPr>
          <w:rFonts w:hint="eastAsia" w:ascii="宋体" w:hAnsi="宋体" w:cs="Arial"/>
          <w:color w:val="auto"/>
          <w:kern w:val="0"/>
          <w:szCs w:val="21"/>
          <w:highlight w:val="none"/>
          <w:lang w:val="en-US" w:eastAsia="zh-CN"/>
        </w:rPr>
        <w:t>5600000元</w:t>
      </w:r>
    </w:p>
    <w:p w14:paraId="78B05F19">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简要规格描述或项目基本概况介绍、用途</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采购7</w:t>
      </w:r>
      <w:r>
        <w:rPr>
          <w:rFonts w:hint="eastAsia" w:ascii="宋体" w:hAnsi="宋体" w:cs="Arial"/>
          <w:color w:val="auto"/>
          <w:kern w:val="0"/>
          <w:szCs w:val="21"/>
          <w:highlight w:val="none"/>
          <w:lang w:eastAsia="zh-CN"/>
        </w:rPr>
        <w:t>米一级踏步纯电动公交客车</w:t>
      </w:r>
      <w:r>
        <w:rPr>
          <w:rFonts w:hint="eastAsia" w:ascii="宋体" w:hAnsi="宋体" w:cs="Arial"/>
          <w:color w:val="auto"/>
          <w:kern w:val="0"/>
          <w:szCs w:val="21"/>
          <w:highlight w:val="none"/>
          <w:lang w:val="en-US" w:eastAsia="zh-CN"/>
        </w:rPr>
        <w:t>8辆，技术参数要求</w:t>
      </w:r>
      <w:r>
        <w:rPr>
          <w:rFonts w:hint="eastAsia" w:ascii="宋体" w:hAnsi="宋体" w:cs="Arial"/>
          <w:color w:val="auto"/>
          <w:kern w:val="0"/>
          <w:szCs w:val="21"/>
          <w:highlight w:val="none"/>
        </w:rPr>
        <w:t>详见采购文件第五章“采购内容与要求”。</w:t>
      </w:r>
    </w:p>
    <w:p w14:paraId="4D918B5C">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合同履行期限：采购人交货通知发出后</w:t>
      </w:r>
      <w:r>
        <w:rPr>
          <w:rFonts w:hint="eastAsia" w:ascii="宋体" w:hAnsi="宋体" w:cs="Arial"/>
          <w:color w:val="auto"/>
          <w:kern w:val="0"/>
          <w:szCs w:val="21"/>
          <w:highlight w:val="none"/>
          <w:lang w:val="en-US" w:eastAsia="zh-CN"/>
        </w:rPr>
        <w:t>40</w:t>
      </w:r>
      <w:r>
        <w:rPr>
          <w:rFonts w:hint="eastAsia" w:ascii="宋体" w:hAnsi="宋体" w:cs="Arial"/>
          <w:color w:val="auto"/>
          <w:kern w:val="0"/>
          <w:szCs w:val="21"/>
          <w:highlight w:val="none"/>
        </w:rPr>
        <w:t>个日历天内交货至采购人指定地点并提请采购人验收。</w:t>
      </w:r>
    </w:p>
    <w:p w14:paraId="6F738E4E">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宋体" w:hAnsi="宋体" w:cs="Arial"/>
          <w:color w:val="auto"/>
          <w:kern w:val="0"/>
          <w:szCs w:val="21"/>
          <w:highlight w:val="none"/>
        </w:rPr>
        <w:t>本项目不接受联合体投标。</w:t>
      </w:r>
    </w:p>
    <w:p w14:paraId="0076561D">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二、申请人的资格要求：</w:t>
      </w:r>
    </w:p>
    <w:p w14:paraId="2C1AFC99">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1.本项目的基本资格条件要求：</w:t>
      </w:r>
      <w:r>
        <w:rPr>
          <w:rFonts w:ascii="宋体" w:hAnsi="宋体" w:cs="Arial"/>
          <w:color w:val="auto"/>
          <w:kern w:val="0"/>
          <w:szCs w:val="21"/>
          <w:highlight w:val="none"/>
        </w:rPr>
        <w:t>1</w:t>
      </w:r>
      <w:r>
        <w:rPr>
          <w:rFonts w:hint="eastAsia" w:ascii="宋体" w:hAnsi="宋体" w:cs="Arial"/>
          <w:color w:val="auto"/>
          <w:kern w:val="0"/>
          <w:szCs w:val="21"/>
          <w:highlight w:val="none"/>
        </w:rPr>
        <w:t>）具有独立承担民事责任的能力；2）具有良好的商业信誉和健全的</w:t>
      </w:r>
      <w:r>
        <w:rPr>
          <w:color w:val="auto"/>
          <w:highlight w:val="none"/>
        </w:rPr>
        <w:fldChar w:fldCharType="begin"/>
      </w:r>
      <w:r>
        <w:rPr>
          <w:color w:val="auto"/>
          <w:highlight w:val="none"/>
        </w:rPr>
        <w:instrText xml:space="preserve"> HYPERLINK "https://www.baidu.com/s?wd=%E8%B4%A2%E5%8A%A1%E4%BC%9A%E8%AE%A1%E5%88%B6%E5%BA%A6&amp;tn=SE_PcZhidaonwhc_ngpagmjz&amp;rsv_dl=gh_pc_zhidao" \t "_blank" </w:instrText>
      </w:r>
      <w:r>
        <w:rPr>
          <w:color w:val="auto"/>
          <w:highlight w:val="none"/>
        </w:rPr>
        <w:fldChar w:fldCharType="separate"/>
      </w:r>
      <w:r>
        <w:rPr>
          <w:rFonts w:hint="eastAsia" w:ascii="宋体" w:hAnsi="宋体" w:cs="Arial"/>
          <w:color w:val="auto"/>
          <w:kern w:val="0"/>
          <w:szCs w:val="21"/>
          <w:highlight w:val="none"/>
        </w:rPr>
        <w:t>财务会计制度</w:t>
      </w:r>
      <w:r>
        <w:rPr>
          <w:rFonts w:hint="eastAsia" w:ascii="宋体" w:hAnsi="宋体" w:cs="Arial"/>
          <w:color w:val="auto"/>
          <w:kern w:val="0"/>
          <w:szCs w:val="21"/>
          <w:highlight w:val="none"/>
        </w:rPr>
        <w:fldChar w:fldCharType="end"/>
      </w:r>
      <w:r>
        <w:rPr>
          <w:rFonts w:hint="eastAsia" w:ascii="宋体" w:hAnsi="宋体" w:cs="Arial"/>
          <w:color w:val="auto"/>
          <w:kern w:val="0"/>
          <w:szCs w:val="21"/>
          <w:highlight w:val="none"/>
        </w:rPr>
        <w:t>；3）具有履行合同所必需的设备和专业技术能力；</w:t>
      </w:r>
      <w:r>
        <w:rPr>
          <w:rFonts w:ascii="宋体" w:hAnsi="宋体" w:cs="Arial"/>
          <w:color w:val="auto"/>
          <w:kern w:val="0"/>
          <w:szCs w:val="21"/>
          <w:highlight w:val="none"/>
        </w:rPr>
        <w:t>4</w:t>
      </w:r>
      <w:r>
        <w:rPr>
          <w:rFonts w:hint="eastAsia" w:ascii="宋体" w:hAnsi="宋体" w:cs="Arial"/>
          <w:color w:val="auto"/>
          <w:kern w:val="0"/>
          <w:szCs w:val="21"/>
          <w:highlight w:val="none"/>
        </w:rPr>
        <w:t>）有依法缴纳税收和</w:t>
      </w:r>
      <w:r>
        <w:rPr>
          <w:color w:val="auto"/>
          <w:highlight w:val="none"/>
        </w:rPr>
        <w:fldChar w:fldCharType="begin"/>
      </w:r>
      <w:r>
        <w:rPr>
          <w:color w:val="auto"/>
          <w:highlight w:val="none"/>
        </w:rPr>
        <w:instrText xml:space="preserve"> HYPERLINK "https://www.baidu.com/s?wd=%E7%A4%BE%E4%BC%9A%E4%BF%9D%E9%9A%9C%E8%B5%84%E9%87%91&amp;tn=SE_PcZhidaonwhc_ngpagmjz&amp;rsv_dl=gh_pc_zhidao" \t "_blank" </w:instrText>
      </w:r>
      <w:r>
        <w:rPr>
          <w:color w:val="auto"/>
          <w:highlight w:val="none"/>
        </w:rPr>
        <w:fldChar w:fldCharType="separate"/>
      </w:r>
      <w:r>
        <w:rPr>
          <w:rFonts w:hint="eastAsia" w:ascii="宋体" w:hAnsi="宋体" w:cs="Arial"/>
          <w:color w:val="auto"/>
          <w:kern w:val="0"/>
          <w:szCs w:val="21"/>
          <w:highlight w:val="none"/>
        </w:rPr>
        <w:t>社会保障资金</w:t>
      </w:r>
      <w:r>
        <w:rPr>
          <w:rFonts w:hint="eastAsia" w:ascii="宋体" w:hAnsi="宋体" w:cs="Arial"/>
          <w:color w:val="auto"/>
          <w:kern w:val="0"/>
          <w:szCs w:val="21"/>
          <w:highlight w:val="none"/>
        </w:rPr>
        <w:fldChar w:fldCharType="end"/>
      </w:r>
      <w:r>
        <w:rPr>
          <w:rFonts w:hint="eastAsia" w:ascii="宋体" w:hAnsi="宋体" w:cs="Arial"/>
          <w:color w:val="auto"/>
          <w:kern w:val="0"/>
          <w:szCs w:val="21"/>
          <w:highlight w:val="none"/>
        </w:rPr>
        <w:t>的良好记录；</w:t>
      </w:r>
      <w:r>
        <w:rPr>
          <w:rFonts w:ascii="宋体" w:hAnsi="宋体" w:cs="Arial"/>
          <w:color w:val="auto"/>
          <w:kern w:val="0"/>
          <w:szCs w:val="21"/>
          <w:highlight w:val="none"/>
        </w:rPr>
        <w:t>5</w:t>
      </w:r>
      <w:r>
        <w:rPr>
          <w:rFonts w:hint="eastAsia" w:ascii="宋体" w:hAnsi="宋体" w:cs="Arial"/>
          <w:color w:val="auto"/>
          <w:kern w:val="0"/>
          <w:szCs w:val="21"/>
          <w:highlight w:val="none"/>
        </w:rPr>
        <w:t>）参加采购活动前三年内，在经营活动中没有重大违法记录；</w:t>
      </w:r>
      <w:r>
        <w:rPr>
          <w:rFonts w:ascii="宋体" w:hAnsi="宋体" w:cs="Arial"/>
          <w:color w:val="auto"/>
          <w:kern w:val="0"/>
          <w:szCs w:val="21"/>
          <w:highlight w:val="none"/>
        </w:rPr>
        <w:t>6</w:t>
      </w:r>
      <w:r>
        <w:rPr>
          <w:rFonts w:hint="eastAsia" w:ascii="宋体" w:hAnsi="宋体" w:cs="Arial"/>
          <w:color w:val="auto"/>
          <w:kern w:val="0"/>
          <w:szCs w:val="21"/>
          <w:highlight w:val="none"/>
        </w:rPr>
        <w:t>）法律、行政法规规定的其他条件。</w:t>
      </w:r>
    </w:p>
    <w:p w14:paraId="6B23A315">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2.本项目的特定资格要求：必须是具有独立法人资格的投标货物的制造商或代理商，如为代理商的须提供制造商针对本项目的唯一授权函；</w:t>
      </w:r>
    </w:p>
    <w:p w14:paraId="072D1068">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3.单位负责人为同一人或者存在直接控股、管理关系的不同供应商，不得参加本采购活动；</w:t>
      </w:r>
    </w:p>
    <w:p w14:paraId="59656B4F">
      <w:pPr>
        <w:widowControl/>
        <w:wordWrap w:val="0"/>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4.投标人和投标人的法定代表人（或负责人）/负责人未被列入失信被执行人、重大税收违法案件当事人名单、政府采购严重违法失信行为记录名单等。</w:t>
      </w:r>
    </w:p>
    <w:p w14:paraId="37C8AA61">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三、获取招标文件</w:t>
      </w:r>
    </w:p>
    <w:p w14:paraId="62BA6A8A">
      <w:pPr>
        <w:widowControl/>
        <w:spacing w:before="100" w:beforeAutospacing="1" w:after="100" w:afterAutospacing="1" w:line="405" w:lineRule="atLeast"/>
        <w:ind w:firstLine="420"/>
        <w:rPr>
          <w:bCs/>
          <w:color w:val="auto"/>
          <w:szCs w:val="24"/>
          <w:highlight w:val="none"/>
        </w:rPr>
      </w:pPr>
      <w:r>
        <w:rPr>
          <w:rFonts w:hint="eastAsia"/>
          <w:bCs/>
          <w:color w:val="auto"/>
          <w:szCs w:val="24"/>
          <w:highlight w:val="none"/>
        </w:rPr>
        <w:t>时间：提交投标文件截止时间前。</w:t>
      </w:r>
    </w:p>
    <w:p w14:paraId="6B82A6BB">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地点：</w:t>
      </w:r>
      <w:r>
        <w:rPr>
          <w:rFonts w:cs="宋体"/>
          <w:color w:val="auto"/>
          <w:szCs w:val="21"/>
          <w:highlight w:val="none"/>
        </w:rPr>
        <w:t>浙江国企采购乐彩云平台（</w:t>
      </w:r>
      <w:r>
        <w:rPr>
          <w:color w:val="auto"/>
          <w:highlight w:val="none"/>
        </w:rPr>
        <w:fldChar w:fldCharType="begin"/>
      </w:r>
      <w:r>
        <w:rPr>
          <w:color w:val="auto"/>
          <w:highlight w:val="none"/>
        </w:rPr>
        <w:instrText xml:space="preserve"> HYPERLINK "https://nbsc.lecaiyun.com/" </w:instrText>
      </w:r>
      <w:r>
        <w:rPr>
          <w:color w:val="auto"/>
          <w:highlight w:val="none"/>
        </w:rPr>
        <w:fldChar w:fldCharType="separate"/>
      </w:r>
      <w:r>
        <w:rPr>
          <w:rStyle w:val="50"/>
          <w:rFonts w:cs="宋体"/>
          <w:color w:val="auto"/>
          <w:szCs w:val="21"/>
          <w:highlight w:val="none"/>
        </w:rPr>
        <w:t>https://nbsc.lecaiyun.com/</w:t>
      </w:r>
      <w:r>
        <w:rPr>
          <w:rStyle w:val="50"/>
          <w:rFonts w:cs="宋体"/>
          <w:color w:val="auto"/>
          <w:szCs w:val="21"/>
          <w:highlight w:val="none"/>
        </w:rPr>
        <w:fldChar w:fldCharType="end"/>
      </w:r>
      <w:r>
        <w:rPr>
          <w:rFonts w:cs="宋体"/>
          <w:color w:val="auto"/>
          <w:szCs w:val="21"/>
          <w:highlight w:val="none"/>
        </w:rPr>
        <w:t>）</w:t>
      </w:r>
      <w:r>
        <w:rPr>
          <w:rFonts w:hint="eastAsia" w:ascii="宋体" w:hAnsi="宋体" w:cs="Arial"/>
          <w:color w:val="auto"/>
          <w:kern w:val="0"/>
          <w:szCs w:val="21"/>
          <w:highlight w:val="none"/>
        </w:rPr>
        <w:t>。</w:t>
      </w:r>
    </w:p>
    <w:p w14:paraId="6A178DD6">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方式：通过</w:t>
      </w:r>
      <w:r>
        <w:rPr>
          <w:rFonts w:cs="宋体"/>
          <w:color w:val="auto"/>
          <w:szCs w:val="21"/>
          <w:highlight w:val="none"/>
        </w:rPr>
        <w:t>浙江国企采购乐彩云平台（</w:t>
      </w:r>
      <w:r>
        <w:rPr>
          <w:color w:val="auto"/>
          <w:highlight w:val="none"/>
        </w:rPr>
        <w:fldChar w:fldCharType="begin"/>
      </w:r>
      <w:r>
        <w:rPr>
          <w:color w:val="auto"/>
          <w:highlight w:val="none"/>
        </w:rPr>
        <w:instrText xml:space="preserve"> HYPERLINK "https://nbsc.lecaiyun.com/" </w:instrText>
      </w:r>
      <w:r>
        <w:rPr>
          <w:color w:val="auto"/>
          <w:highlight w:val="none"/>
        </w:rPr>
        <w:fldChar w:fldCharType="separate"/>
      </w:r>
      <w:r>
        <w:rPr>
          <w:rStyle w:val="50"/>
          <w:rFonts w:cs="宋体"/>
          <w:color w:val="auto"/>
          <w:szCs w:val="21"/>
          <w:highlight w:val="none"/>
        </w:rPr>
        <w:t>https://nbsc.lecaiyun.com/</w:t>
      </w:r>
      <w:r>
        <w:rPr>
          <w:rStyle w:val="50"/>
          <w:rFonts w:cs="宋体"/>
          <w:color w:val="auto"/>
          <w:szCs w:val="21"/>
          <w:highlight w:val="none"/>
        </w:rPr>
        <w:fldChar w:fldCharType="end"/>
      </w:r>
      <w:r>
        <w:rPr>
          <w:rFonts w:cs="宋体"/>
          <w:color w:val="auto"/>
          <w:szCs w:val="21"/>
          <w:highlight w:val="none"/>
        </w:rPr>
        <w:t>）下载</w:t>
      </w:r>
      <w:r>
        <w:rPr>
          <w:rFonts w:hint="eastAsia" w:ascii="宋体" w:hAnsi="宋体" w:cs="Arial"/>
          <w:color w:val="auto"/>
          <w:kern w:val="0"/>
          <w:szCs w:val="21"/>
          <w:highlight w:val="none"/>
        </w:rPr>
        <w:t>。</w:t>
      </w:r>
    </w:p>
    <w:p w14:paraId="7DDFC8BF">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售价：500/份，</w:t>
      </w:r>
      <w:r>
        <w:rPr>
          <w:rFonts w:hint="eastAsia"/>
          <w:bCs/>
          <w:color w:val="auto"/>
          <w:szCs w:val="24"/>
          <w:highlight w:val="none"/>
        </w:rPr>
        <w:t>采购文件售后不退。</w:t>
      </w:r>
    </w:p>
    <w:p w14:paraId="6239C068">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宋体" w:hAnsi="宋体" w:cs="Arial"/>
          <w:color w:val="auto"/>
          <w:kern w:val="0"/>
          <w:szCs w:val="21"/>
          <w:highlight w:val="none"/>
        </w:rPr>
        <w:t>供应商需按照《浙江省政府采购供应商注册及诚信管理暂行办法》的规定在“浙江政府采购网(http://zfcg.czt.zj.gov.cn)”注册登记，成为浙江省政府采购网上注册入库的正式供应商。尚未正式注册入库的供应商，请注意注册所需时间。</w:t>
      </w:r>
    </w:p>
    <w:p w14:paraId="45779CE2">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本招标公告附件中的招标文件仅供阅览使用，供应商应在规定的招标文件获取期限内在乐采云平台登录供应商注册的账号后获取招标文件，未按上述方式获取招标文件的，不得对招标文件提起质疑。</w:t>
      </w:r>
    </w:p>
    <w:p w14:paraId="5A279EC9">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四、提交投标文件截止时间、开标时间和地点</w:t>
      </w:r>
    </w:p>
    <w:p w14:paraId="773D438F">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1.供应商</w:t>
      </w:r>
      <w:r>
        <w:rPr>
          <w:rFonts w:hint="eastAsia" w:ascii="宋体" w:hAnsi="宋体" w:cs="Arial"/>
          <w:color w:val="auto"/>
          <w:kern w:val="0"/>
          <w:szCs w:val="21"/>
          <w:highlight w:val="none"/>
          <w:lang w:eastAsia="zh-CN"/>
        </w:rPr>
        <w:t>2024年</w:t>
      </w:r>
      <w:r>
        <w:rPr>
          <w:rFonts w:hint="eastAsia" w:ascii="宋体" w:hAnsi="宋体" w:cs="Arial"/>
          <w:color w:val="auto"/>
          <w:kern w:val="0"/>
          <w:szCs w:val="21"/>
          <w:highlight w:val="none"/>
          <w:lang w:val="en-US" w:eastAsia="zh-CN"/>
        </w:rPr>
        <w:t>9</w:t>
      </w:r>
      <w:r>
        <w:rPr>
          <w:rFonts w:hint="eastAsia" w:ascii="宋体" w:hAnsi="宋体" w:cs="Arial"/>
          <w:color w:val="auto"/>
          <w:kern w:val="0"/>
          <w:szCs w:val="21"/>
          <w:highlight w:val="none"/>
        </w:rPr>
        <w:t>月</w:t>
      </w:r>
      <w:r>
        <w:rPr>
          <w:rFonts w:hint="eastAsia" w:ascii="宋体" w:hAnsi="宋体" w:cs="Arial"/>
          <w:color w:val="auto"/>
          <w:kern w:val="0"/>
          <w:szCs w:val="21"/>
          <w:highlight w:val="none"/>
          <w:lang w:val="en-US" w:eastAsia="zh-CN"/>
        </w:rPr>
        <w:t>24</w:t>
      </w:r>
      <w:r>
        <w:rPr>
          <w:rFonts w:hint="eastAsia" w:ascii="宋体" w:hAnsi="宋体" w:cs="Arial"/>
          <w:color w:val="auto"/>
          <w:kern w:val="0"/>
          <w:szCs w:val="21"/>
          <w:highlight w:val="none"/>
        </w:rPr>
        <w:t>日09点00分（北京时间）前将电子投标文件上传到国企采购乐彩云平台（https://nbsc.lecaiyun.com/），未上传电子投标文件的，视为供应商放弃投标。</w:t>
      </w:r>
    </w:p>
    <w:p w14:paraId="4E4BF3D4">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2.供应商如提供备份投标文件的，应于</w:t>
      </w:r>
      <w:r>
        <w:rPr>
          <w:rFonts w:hint="eastAsia" w:ascii="宋体" w:hAnsi="宋体" w:cs="Arial"/>
          <w:color w:val="auto"/>
          <w:kern w:val="0"/>
          <w:szCs w:val="21"/>
          <w:highlight w:val="none"/>
          <w:lang w:eastAsia="zh-CN"/>
        </w:rPr>
        <w:t>2024年</w:t>
      </w:r>
      <w:r>
        <w:rPr>
          <w:rFonts w:hint="eastAsia" w:ascii="宋体" w:hAnsi="宋体" w:cs="Arial"/>
          <w:color w:val="auto"/>
          <w:kern w:val="0"/>
          <w:szCs w:val="21"/>
          <w:highlight w:val="none"/>
          <w:lang w:val="en-US" w:eastAsia="zh-CN"/>
        </w:rPr>
        <w:t>9</w:t>
      </w:r>
      <w:r>
        <w:rPr>
          <w:rFonts w:hint="eastAsia" w:ascii="宋体" w:hAnsi="宋体" w:cs="Arial"/>
          <w:color w:val="auto"/>
          <w:kern w:val="0"/>
          <w:szCs w:val="21"/>
          <w:highlight w:val="none"/>
        </w:rPr>
        <w:t>月</w:t>
      </w:r>
      <w:r>
        <w:rPr>
          <w:rFonts w:hint="eastAsia" w:ascii="宋体" w:hAnsi="宋体" w:cs="Arial"/>
          <w:color w:val="auto"/>
          <w:kern w:val="0"/>
          <w:szCs w:val="21"/>
          <w:highlight w:val="none"/>
          <w:lang w:val="en-US" w:eastAsia="zh-CN"/>
        </w:rPr>
        <w:t>24</w:t>
      </w:r>
      <w:r>
        <w:rPr>
          <w:rFonts w:hint="eastAsia" w:ascii="宋体" w:hAnsi="宋体" w:cs="Arial"/>
          <w:color w:val="auto"/>
          <w:kern w:val="0"/>
          <w:szCs w:val="21"/>
          <w:highlight w:val="none"/>
        </w:rPr>
        <w:t>日09点00分（北京时间）前，将以U盘存储的电子备份投标文件和纸质备份投标文件分别密封，安排相关人员（原则上不超过一名）将投标文件（电子备份投标文件和纸质备份投标文件）递交至宁海县公共资源交易中心（宁海县桃源街道金水东路5号五楼，详见五楼大厅公告），逾期送达或未密封将予以拒收。供应商仅提供备份投标文件（包括以U盘存储的电子备份投标文件或纸质备份投标）的，投标无效。</w:t>
      </w:r>
    </w:p>
    <w:p w14:paraId="254335CD">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3.如因系统或部分电子投标文件无法解密，而采用纸质备份投标文件线下评审程序时，供应商在投标截止时间前未提交纸质备份投标文件的，视为供应商放弃投标。</w:t>
      </w:r>
    </w:p>
    <w:p w14:paraId="6B02B3FA">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4.开标时间：</w:t>
      </w:r>
      <w:r>
        <w:rPr>
          <w:rFonts w:hint="eastAsia" w:ascii="宋体" w:hAnsi="宋体" w:cs="Arial"/>
          <w:color w:val="auto"/>
          <w:kern w:val="0"/>
          <w:szCs w:val="21"/>
          <w:highlight w:val="none"/>
          <w:lang w:eastAsia="zh-CN"/>
        </w:rPr>
        <w:t>2024年</w:t>
      </w:r>
      <w:r>
        <w:rPr>
          <w:rFonts w:hint="eastAsia" w:ascii="宋体" w:hAnsi="宋体" w:cs="Arial"/>
          <w:color w:val="auto"/>
          <w:kern w:val="0"/>
          <w:szCs w:val="21"/>
          <w:highlight w:val="none"/>
          <w:lang w:val="en-US" w:eastAsia="zh-CN"/>
        </w:rPr>
        <w:t>9</w:t>
      </w:r>
      <w:r>
        <w:rPr>
          <w:rFonts w:hint="eastAsia" w:ascii="宋体" w:hAnsi="宋体" w:cs="Arial"/>
          <w:color w:val="auto"/>
          <w:kern w:val="0"/>
          <w:szCs w:val="21"/>
          <w:highlight w:val="none"/>
        </w:rPr>
        <w:t>月</w:t>
      </w:r>
      <w:r>
        <w:rPr>
          <w:rFonts w:hint="eastAsia" w:ascii="宋体" w:hAnsi="宋体" w:cs="Arial"/>
          <w:color w:val="auto"/>
          <w:kern w:val="0"/>
          <w:szCs w:val="21"/>
          <w:highlight w:val="none"/>
          <w:lang w:val="en-US" w:eastAsia="zh-CN"/>
        </w:rPr>
        <w:t>24</w:t>
      </w:r>
      <w:r>
        <w:rPr>
          <w:rFonts w:hint="eastAsia" w:ascii="宋体" w:hAnsi="宋体" w:cs="Arial"/>
          <w:color w:val="auto"/>
          <w:kern w:val="0"/>
          <w:szCs w:val="21"/>
          <w:highlight w:val="none"/>
        </w:rPr>
        <w:t>日09点00分（北京时间）。</w:t>
      </w:r>
    </w:p>
    <w:p w14:paraId="7544F22F">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5.开标地点：宁海县公共资源交易中心（宁海县桃源街道金水东路5号五楼，详见五楼大厅公告）。本项目通过“国企采购乐彩云平台（https://nbsc.lecaiyun.com/）”实行在线制作并提交投标文件（电子投标）。</w:t>
      </w:r>
    </w:p>
    <w:p w14:paraId="367A4E86">
      <w:pPr>
        <w:widowControl/>
        <w:spacing w:before="100" w:beforeAutospacing="1" w:after="100" w:afterAutospacing="1" w:line="405" w:lineRule="atLeast"/>
        <w:ind w:firstLine="420"/>
        <w:jc w:val="left"/>
        <w:rPr>
          <w:rFonts w:cs="宋体"/>
          <w:color w:val="auto"/>
          <w:szCs w:val="21"/>
          <w:highlight w:val="none"/>
        </w:rPr>
      </w:pPr>
      <w:r>
        <w:rPr>
          <w:rFonts w:hint="eastAsia" w:ascii="宋体" w:hAnsi="宋体" w:cs="Arial"/>
          <w:color w:val="auto"/>
          <w:kern w:val="0"/>
          <w:szCs w:val="21"/>
          <w:highlight w:val="none"/>
        </w:rPr>
        <w:t>6.采购代理机构在招标文件规定的时间通过政府乐采云平台组织开标、开启投标文件，所有供应商均应准时在线参加。开标时间后30分钟内（</w:t>
      </w:r>
      <w:r>
        <w:rPr>
          <w:rFonts w:hint="eastAsia" w:ascii="宋体" w:hAnsi="宋体" w:cs="Arial"/>
          <w:color w:val="auto"/>
          <w:kern w:val="0"/>
          <w:szCs w:val="21"/>
          <w:highlight w:val="none"/>
          <w:lang w:eastAsia="zh-CN"/>
        </w:rPr>
        <w:t>2024年</w:t>
      </w:r>
      <w:r>
        <w:rPr>
          <w:rFonts w:hint="eastAsia" w:ascii="宋体" w:hAnsi="宋体" w:cs="Arial"/>
          <w:color w:val="auto"/>
          <w:kern w:val="0"/>
          <w:szCs w:val="21"/>
          <w:highlight w:val="none"/>
          <w:lang w:val="en-US" w:eastAsia="zh-CN"/>
        </w:rPr>
        <w:t>9</w:t>
      </w:r>
      <w:r>
        <w:rPr>
          <w:rFonts w:hint="eastAsia" w:ascii="宋体" w:hAnsi="宋体" w:cs="Arial"/>
          <w:color w:val="auto"/>
          <w:kern w:val="0"/>
          <w:szCs w:val="21"/>
          <w:highlight w:val="none"/>
        </w:rPr>
        <w:t>月</w:t>
      </w:r>
      <w:r>
        <w:rPr>
          <w:rFonts w:hint="eastAsia" w:ascii="宋体" w:hAnsi="宋体" w:cs="Arial"/>
          <w:color w:val="auto"/>
          <w:kern w:val="0"/>
          <w:szCs w:val="21"/>
          <w:highlight w:val="none"/>
          <w:lang w:val="en-US" w:eastAsia="zh-CN"/>
        </w:rPr>
        <w:t>24</w:t>
      </w:r>
      <w:r>
        <w:rPr>
          <w:rFonts w:hint="eastAsia" w:ascii="宋体" w:hAnsi="宋体" w:cs="Arial"/>
          <w:color w:val="auto"/>
          <w:kern w:val="0"/>
          <w:szCs w:val="21"/>
          <w:highlight w:val="none"/>
        </w:rPr>
        <w:t>日09点30分前）供应商可以登录政府乐采云平台，用“项目采购-开标评标”功能解密投标文件。若供应商在规定时间内（</w:t>
      </w:r>
      <w:r>
        <w:rPr>
          <w:rFonts w:hint="eastAsia" w:ascii="宋体" w:hAnsi="宋体" w:cs="Arial"/>
          <w:color w:val="auto"/>
          <w:kern w:val="0"/>
          <w:szCs w:val="21"/>
          <w:highlight w:val="none"/>
          <w:lang w:eastAsia="zh-CN"/>
        </w:rPr>
        <w:t>2024年</w:t>
      </w:r>
      <w:r>
        <w:rPr>
          <w:rFonts w:hint="eastAsia" w:ascii="宋体" w:hAnsi="宋体" w:cs="Arial"/>
          <w:color w:val="auto"/>
          <w:kern w:val="0"/>
          <w:szCs w:val="21"/>
          <w:highlight w:val="none"/>
          <w:lang w:val="en-US" w:eastAsia="zh-CN"/>
        </w:rPr>
        <w:t>9</w:t>
      </w:r>
      <w:r>
        <w:rPr>
          <w:rFonts w:hint="eastAsia" w:ascii="宋体" w:hAnsi="宋体" w:cs="Arial"/>
          <w:color w:val="auto"/>
          <w:kern w:val="0"/>
          <w:szCs w:val="21"/>
          <w:highlight w:val="none"/>
        </w:rPr>
        <w:t>月</w:t>
      </w:r>
      <w:r>
        <w:rPr>
          <w:rFonts w:hint="eastAsia" w:ascii="宋体" w:hAnsi="宋体" w:cs="Arial"/>
          <w:color w:val="auto"/>
          <w:kern w:val="0"/>
          <w:szCs w:val="21"/>
          <w:highlight w:val="none"/>
          <w:lang w:val="en-US" w:eastAsia="zh-CN"/>
        </w:rPr>
        <w:t>24</w:t>
      </w:r>
      <w:r>
        <w:rPr>
          <w:rFonts w:hint="eastAsia" w:ascii="宋体" w:hAnsi="宋体" w:cs="Arial"/>
          <w:color w:val="auto"/>
          <w:kern w:val="0"/>
          <w:szCs w:val="21"/>
          <w:highlight w:val="none"/>
        </w:rPr>
        <w:t>日09点30分</w:t>
      </w:r>
      <w:r>
        <w:rPr>
          <w:rFonts w:hint="eastAsia" w:ascii="宋体" w:hAnsi="宋体" w:cs="Arial"/>
          <w:color w:val="auto"/>
          <w:kern w:val="0"/>
          <w:szCs w:val="21"/>
          <w:highlight w:val="none"/>
          <w:shd w:val="clear" w:color="auto" w:fill="FFFFFF"/>
        </w:rPr>
        <w:t>前</w:t>
      </w:r>
      <w:r>
        <w:rPr>
          <w:rFonts w:hint="eastAsia" w:ascii="宋体" w:hAnsi="宋体" w:cs="Arial"/>
          <w:color w:val="auto"/>
          <w:kern w:val="0"/>
          <w:szCs w:val="21"/>
          <w:highlight w:val="none"/>
        </w:rPr>
        <w:t>）无法解密或解密失败，可使用电子备份投标文件进行或使用纸质备份投标文件进行线下评标。</w:t>
      </w:r>
    </w:p>
    <w:p w14:paraId="07C31B22">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五、公告期限</w:t>
      </w:r>
    </w:p>
    <w:p w14:paraId="364AE70A">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自本公告发布之日起5个工作日。</w:t>
      </w:r>
    </w:p>
    <w:p w14:paraId="06FF1A37">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六、</w:t>
      </w:r>
      <w:r>
        <w:rPr>
          <w:rFonts w:hint="eastAsia" w:ascii="Arial" w:hAnsi="Arial" w:eastAsia="微软雅黑" w:cs="Arial"/>
          <w:color w:val="auto"/>
          <w:kern w:val="0"/>
          <w:szCs w:val="21"/>
          <w:highlight w:val="none"/>
        </w:rPr>
        <w:t>其他补充事宜</w:t>
      </w:r>
    </w:p>
    <w:p w14:paraId="1E85AAF8">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1C93B437">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2.投标与开标注意事项：</w:t>
      </w:r>
    </w:p>
    <w:p w14:paraId="6681FCED">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2.1本项目实行网上投标，采用电子响应文件。若供应商参与投标，自行承担投标一切费用。</w:t>
      </w:r>
    </w:p>
    <w:p w14:paraId="287D3709">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2.2标前准备：各供应商应在开标前确保成为浙江政府采购网正式注册入库供应商，并完成CA数字证书办理。同时供应商须保证在政府乐采云平台注册的手机号码通讯畅通，能够及时收到评标过程中发送的询标通知。因未注册入库、未办理CA数字证书、手机通讯不畅等原因造成无法投标、投标失败或响应不及时等后果由供应商自行承担。</w:t>
      </w:r>
    </w:p>
    <w:p w14:paraId="6489A02D">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2.3响应文件制作：</w:t>
      </w:r>
    </w:p>
    <w:p w14:paraId="03DE9FFD">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2.3.1应按照本项目采购文件和政府乐采云平台的要求编制、加密并递交响应文件。供应商在使用系统进行投标的过程中遇到涉及平台使用的任何问题，可致电政府乐采云平台技术支持热线咨询，联系方式：400-8817190。</w:t>
      </w:r>
    </w:p>
    <w:p w14:paraId="03BB9DCA">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2.3.2供应商通过政府乐采云平台电子投标工具制作响应文件，电子投标工具请供应商自行前往浙江政府采购网下载并安装，响应文件制作具体流程详见政府乐采云平台。</w:t>
      </w:r>
    </w:p>
    <w:p w14:paraId="23F203F5">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2.3.3以U盘存储的电子备份响应文件1份，按政府乐采云平台要求制作的电子备份响应文件，以用于异常情况处理。</w:t>
      </w:r>
    </w:p>
    <w:p w14:paraId="46F6F379">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2.3.4本项目供应商仍应准备纸质响应文件。当电子开评标无法正常进行时，即转为线下评标。若在此种情况下，由于供应商未提交纸质响应文件而导致该供应商放弃投标，由供应商自行承担。</w:t>
      </w:r>
    </w:p>
    <w:p w14:paraId="16D8C5DE">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2.4本采购公告附件中的采购文件仅供阅览使用，供应商应在规定的采购文件获取期限内在企采云平台登录供应商注册的账号后获取采购文件，未按上述方式获取采购文件的，不得对采购文件提起质疑投诉。</w:t>
      </w:r>
    </w:p>
    <w:p w14:paraId="3F1F26F3">
      <w:pPr>
        <w:widowControl/>
        <w:wordWrap w:val="0"/>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2.5供应商应于提交响应文件截止时间前将电子响应文件上传到政府乐采云平台www.zcygov.cn，未上传电子响应文件，视为供应商放弃投标。</w:t>
      </w:r>
    </w:p>
    <w:p w14:paraId="26B5FEEA">
      <w:pPr>
        <w:widowControl/>
        <w:wordWrap w:val="0"/>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2.6供应商电子备份响应文件和纸质响应文件的投标方式：供应商可采用邮寄（含快递）方式或现场方式递交。</w:t>
      </w:r>
    </w:p>
    <w:p w14:paraId="38B45A3B">
      <w:pPr>
        <w:widowControl/>
        <w:wordWrap w:val="0"/>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2.6.1采用邮寄方式递交的，需按以下要求递交：各供应商在响应文件提交截止时间前将响应文件邮寄至规定地点，由采购代理工作人员进行签收，各供应商自行考虑邮寄在途时间，邮寄过程中无论何种因素导致响应文件未按时递交的后果，均由供应商自行负责。响应文件递交时间以采购代理实际收到响应文件的时间为准。采用邮寄方式递交的必须在提交投标文件截止时间</w:t>
      </w:r>
      <w:r>
        <w:rPr>
          <w:rFonts w:hint="eastAsia" w:ascii="宋体" w:hAnsi="宋体" w:cs="Arial"/>
          <w:color w:val="auto"/>
          <w:kern w:val="0"/>
          <w:szCs w:val="21"/>
          <w:highlight w:val="none"/>
          <w:lang w:val="en-US" w:eastAsia="zh-CN"/>
        </w:rPr>
        <w:t>前一天的</w:t>
      </w:r>
      <w:r>
        <w:rPr>
          <w:rFonts w:hint="eastAsia" w:ascii="宋体" w:hAnsi="宋体" w:cs="Arial"/>
          <w:color w:val="auto"/>
          <w:kern w:val="0"/>
          <w:szCs w:val="21"/>
          <w:highlight w:val="none"/>
        </w:rPr>
        <w:t>16:00前到件，邮寄地址为：宁波市宁海县兴工二路29号三楼，收件人：周工 联系方式：15257871020。供应商自行安排好邮寄事宜，招标代理机构不对邮寄过程中的任何事情负责。</w:t>
      </w:r>
    </w:p>
    <w:p w14:paraId="66755F74">
      <w:pPr>
        <w:widowControl/>
        <w:wordWrap w:val="0"/>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请各供应商确保密封包装在邮寄过程密封包装完好，因邮寄过程的密封破损造成不符合开标要求的，本采购代理及采购人概不负责。</w:t>
      </w:r>
    </w:p>
    <w:p w14:paraId="634D8E7B">
      <w:pPr>
        <w:widowControl/>
        <w:wordWrap w:val="0"/>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2.6.2采用现场方式送达的，需按以下要求递交：所有供应商相关人员在投标截止时间前将备份响应文件送至投标地点。响应文件递交时需同时递交供应商的法定代表人（或其委托代理人）联系方式，并保证开标期间联系方式的畅通。</w:t>
      </w:r>
    </w:p>
    <w:p w14:paraId="4D3D3E1F">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hint="eastAsia" w:ascii="Arial" w:hAnsi="Arial" w:eastAsia="微软雅黑" w:cs="Arial"/>
          <w:color w:val="auto"/>
          <w:kern w:val="0"/>
          <w:szCs w:val="21"/>
          <w:highlight w:val="none"/>
        </w:rPr>
        <w:t>七</w:t>
      </w:r>
      <w:r>
        <w:rPr>
          <w:rFonts w:ascii="Arial" w:hAnsi="Arial" w:eastAsia="微软雅黑" w:cs="Arial"/>
          <w:color w:val="auto"/>
          <w:kern w:val="0"/>
          <w:szCs w:val="21"/>
          <w:highlight w:val="none"/>
        </w:rPr>
        <w:t>、</w:t>
      </w:r>
      <w:r>
        <w:rPr>
          <w:rFonts w:hint="eastAsia" w:ascii="Arial" w:hAnsi="Arial" w:eastAsia="微软雅黑" w:cs="Arial"/>
          <w:color w:val="auto"/>
          <w:kern w:val="0"/>
          <w:szCs w:val="21"/>
          <w:highlight w:val="none"/>
        </w:rPr>
        <w:t>投标</w:t>
      </w:r>
      <w:r>
        <w:rPr>
          <w:rFonts w:ascii="Arial" w:hAnsi="Arial" w:eastAsia="微软雅黑" w:cs="Arial"/>
          <w:color w:val="auto"/>
          <w:kern w:val="0"/>
          <w:szCs w:val="21"/>
          <w:highlight w:val="none"/>
        </w:rPr>
        <w:t>保证金</w:t>
      </w:r>
    </w:p>
    <w:p w14:paraId="12FB9B36">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1. 投标保证金：</w:t>
      </w:r>
      <w:r>
        <w:rPr>
          <w:rFonts w:hint="eastAsia" w:ascii="宋体" w:hAnsi="宋体" w:cs="Arial"/>
          <w:color w:val="auto"/>
          <w:kern w:val="0"/>
          <w:szCs w:val="21"/>
          <w:highlight w:val="none"/>
          <w:lang w:eastAsia="zh-CN"/>
        </w:rPr>
        <w:t>标项（子包）</w:t>
      </w:r>
      <w:r>
        <w:rPr>
          <w:rFonts w:hint="eastAsia" w:ascii="宋体" w:hAnsi="宋体" w:cs="Arial"/>
          <w:color w:val="auto"/>
          <w:kern w:val="0"/>
          <w:szCs w:val="21"/>
          <w:highlight w:val="none"/>
        </w:rPr>
        <w:t>一人民币</w:t>
      </w:r>
      <w:r>
        <w:rPr>
          <w:rFonts w:hint="eastAsia" w:ascii="宋体" w:hAnsi="宋体" w:cs="Arial"/>
          <w:color w:val="auto"/>
          <w:kern w:val="0"/>
          <w:szCs w:val="21"/>
          <w:highlight w:val="none"/>
          <w:lang w:val="en-US" w:eastAsia="zh-CN"/>
        </w:rPr>
        <w:t>贰</w:t>
      </w:r>
      <w:r>
        <w:rPr>
          <w:rFonts w:hint="eastAsia" w:ascii="宋体" w:hAnsi="宋体" w:cs="Arial"/>
          <w:color w:val="auto"/>
          <w:kern w:val="0"/>
          <w:szCs w:val="21"/>
          <w:highlight w:val="none"/>
        </w:rPr>
        <w:t>拾万元整（￥</w:t>
      </w:r>
      <w:r>
        <w:rPr>
          <w:rFonts w:hint="eastAsia" w:ascii="宋体" w:hAnsi="宋体" w:cs="Arial"/>
          <w:color w:val="auto"/>
          <w:kern w:val="0"/>
          <w:szCs w:val="21"/>
          <w:highlight w:val="none"/>
          <w:lang w:val="en-US" w:eastAsia="zh-CN"/>
        </w:rPr>
        <w:t>2</w:t>
      </w:r>
      <w:r>
        <w:rPr>
          <w:rFonts w:hint="eastAsia" w:ascii="宋体" w:hAnsi="宋体" w:cs="Arial"/>
          <w:color w:val="auto"/>
          <w:kern w:val="0"/>
          <w:szCs w:val="21"/>
          <w:highlight w:val="none"/>
        </w:rPr>
        <w:t>00000.00），</w:t>
      </w:r>
      <w:r>
        <w:rPr>
          <w:rFonts w:hint="eastAsia" w:ascii="宋体" w:hAnsi="宋体" w:cs="Arial"/>
          <w:color w:val="auto"/>
          <w:kern w:val="0"/>
          <w:szCs w:val="21"/>
          <w:highlight w:val="none"/>
          <w:lang w:eastAsia="zh-CN"/>
        </w:rPr>
        <w:t>标项（子包）</w:t>
      </w:r>
      <w:r>
        <w:rPr>
          <w:rFonts w:hint="eastAsia" w:ascii="宋体" w:hAnsi="宋体" w:cs="Arial"/>
          <w:color w:val="auto"/>
          <w:kern w:val="0"/>
          <w:szCs w:val="21"/>
          <w:highlight w:val="none"/>
        </w:rPr>
        <w:t>二人民币</w:t>
      </w:r>
      <w:r>
        <w:rPr>
          <w:rFonts w:hint="eastAsia" w:ascii="宋体" w:hAnsi="宋体" w:cs="Arial"/>
          <w:color w:val="auto"/>
          <w:kern w:val="0"/>
          <w:szCs w:val="21"/>
          <w:highlight w:val="none"/>
          <w:lang w:val="en-US" w:eastAsia="zh-CN"/>
        </w:rPr>
        <w:t>壹</w:t>
      </w:r>
      <w:r>
        <w:rPr>
          <w:rFonts w:hint="eastAsia" w:ascii="宋体" w:hAnsi="宋体" w:cs="Arial"/>
          <w:color w:val="auto"/>
          <w:kern w:val="0"/>
          <w:szCs w:val="21"/>
          <w:highlight w:val="none"/>
        </w:rPr>
        <w:t>拾万元整（￥</w:t>
      </w:r>
      <w:r>
        <w:rPr>
          <w:rFonts w:hint="eastAsia" w:ascii="宋体" w:hAnsi="宋体" w:cs="Arial"/>
          <w:color w:val="auto"/>
          <w:kern w:val="0"/>
          <w:szCs w:val="21"/>
          <w:highlight w:val="none"/>
          <w:lang w:val="en-US" w:eastAsia="zh-CN"/>
        </w:rPr>
        <w:t>1</w:t>
      </w:r>
      <w:r>
        <w:rPr>
          <w:rFonts w:hint="eastAsia" w:ascii="宋体" w:hAnsi="宋体" w:cs="Arial"/>
          <w:color w:val="auto"/>
          <w:kern w:val="0"/>
          <w:szCs w:val="21"/>
          <w:highlight w:val="none"/>
        </w:rPr>
        <w:t>00000.00），</w:t>
      </w:r>
      <w:r>
        <w:rPr>
          <w:rFonts w:hint="eastAsia" w:ascii="宋体" w:hAnsi="宋体" w:cs="Arial"/>
          <w:color w:val="auto"/>
          <w:kern w:val="0"/>
          <w:szCs w:val="21"/>
          <w:highlight w:val="none"/>
          <w:lang w:eastAsia="zh-CN"/>
        </w:rPr>
        <w:t>标项（子包）</w:t>
      </w:r>
      <w:r>
        <w:rPr>
          <w:rFonts w:hint="eastAsia" w:ascii="宋体" w:hAnsi="宋体" w:cs="Arial"/>
          <w:color w:val="auto"/>
          <w:kern w:val="0"/>
          <w:szCs w:val="21"/>
          <w:highlight w:val="none"/>
        </w:rPr>
        <w:t>三人民币</w:t>
      </w:r>
      <w:r>
        <w:rPr>
          <w:rFonts w:hint="eastAsia" w:ascii="宋体" w:hAnsi="宋体" w:cs="Arial"/>
          <w:color w:val="auto"/>
          <w:kern w:val="0"/>
          <w:szCs w:val="21"/>
          <w:highlight w:val="none"/>
          <w:lang w:val="en-US" w:eastAsia="zh-CN"/>
        </w:rPr>
        <w:t>壹</w:t>
      </w:r>
      <w:r>
        <w:rPr>
          <w:rFonts w:hint="eastAsia" w:ascii="宋体" w:hAnsi="宋体" w:cs="Arial"/>
          <w:color w:val="auto"/>
          <w:kern w:val="0"/>
          <w:szCs w:val="21"/>
          <w:highlight w:val="none"/>
        </w:rPr>
        <w:t>万元整（￥</w:t>
      </w:r>
      <w:r>
        <w:rPr>
          <w:rFonts w:hint="eastAsia" w:ascii="宋体" w:hAnsi="宋体" w:cs="Arial"/>
          <w:color w:val="auto"/>
          <w:kern w:val="0"/>
          <w:szCs w:val="21"/>
          <w:highlight w:val="none"/>
          <w:lang w:val="en-US" w:eastAsia="zh-CN"/>
        </w:rPr>
        <w:t>1</w:t>
      </w:r>
      <w:r>
        <w:rPr>
          <w:rFonts w:hint="eastAsia" w:ascii="宋体" w:hAnsi="宋体" w:cs="Arial"/>
          <w:color w:val="auto"/>
          <w:kern w:val="0"/>
          <w:szCs w:val="21"/>
          <w:highlight w:val="none"/>
        </w:rPr>
        <w:t>0000.00），</w:t>
      </w:r>
      <w:r>
        <w:rPr>
          <w:rFonts w:hint="eastAsia" w:ascii="宋体" w:hAnsi="宋体" w:cs="Arial"/>
          <w:color w:val="auto"/>
          <w:kern w:val="0"/>
          <w:szCs w:val="21"/>
          <w:highlight w:val="none"/>
          <w:lang w:eastAsia="zh-CN"/>
        </w:rPr>
        <w:t>标项（子包）</w:t>
      </w:r>
      <w:r>
        <w:rPr>
          <w:rFonts w:hint="eastAsia" w:ascii="宋体" w:hAnsi="宋体" w:cs="Arial"/>
          <w:color w:val="auto"/>
          <w:kern w:val="0"/>
          <w:szCs w:val="21"/>
          <w:highlight w:val="none"/>
          <w:lang w:val="en-US" w:eastAsia="zh-CN"/>
        </w:rPr>
        <w:t>四</w:t>
      </w:r>
      <w:r>
        <w:rPr>
          <w:rFonts w:hint="eastAsia" w:ascii="宋体" w:hAnsi="宋体" w:cs="Arial"/>
          <w:color w:val="auto"/>
          <w:kern w:val="0"/>
          <w:szCs w:val="21"/>
          <w:highlight w:val="none"/>
        </w:rPr>
        <w:t>人民币</w:t>
      </w:r>
      <w:r>
        <w:rPr>
          <w:rFonts w:hint="eastAsia" w:ascii="宋体" w:hAnsi="宋体" w:cs="Arial"/>
          <w:color w:val="auto"/>
          <w:kern w:val="0"/>
          <w:szCs w:val="21"/>
          <w:highlight w:val="none"/>
          <w:lang w:val="en-US" w:eastAsia="zh-CN"/>
        </w:rPr>
        <w:t>壹</w:t>
      </w:r>
      <w:r>
        <w:rPr>
          <w:rFonts w:hint="eastAsia" w:ascii="宋体" w:hAnsi="宋体" w:cs="Arial"/>
          <w:color w:val="auto"/>
          <w:kern w:val="0"/>
          <w:szCs w:val="21"/>
          <w:highlight w:val="none"/>
        </w:rPr>
        <w:t>拾万元整（￥</w:t>
      </w:r>
      <w:r>
        <w:rPr>
          <w:rFonts w:hint="eastAsia" w:ascii="宋体" w:hAnsi="宋体" w:cs="Arial"/>
          <w:color w:val="auto"/>
          <w:kern w:val="0"/>
          <w:szCs w:val="21"/>
          <w:highlight w:val="none"/>
          <w:lang w:val="en-US" w:eastAsia="zh-CN"/>
        </w:rPr>
        <w:t>1</w:t>
      </w:r>
      <w:r>
        <w:rPr>
          <w:rFonts w:hint="eastAsia" w:ascii="宋体" w:hAnsi="宋体" w:cs="Arial"/>
          <w:color w:val="auto"/>
          <w:kern w:val="0"/>
          <w:szCs w:val="21"/>
          <w:highlight w:val="none"/>
        </w:rPr>
        <w:t>0</w:t>
      </w:r>
      <w:r>
        <w:rPr>
          <w:rFonts w:hint="eastAsia" w:ascii="宋体" w:hAnsi="宋体" w:cs="Arial"/>
          <w:color w:val="auto"/>
          <w:kern w:val="0"/>
          <w:szCs w:val="21"/>
          <w:highlight w:val="none"/>
          <w:lang w:val="en-US" w:eastAsia="zh-CN"/>
        </w:rPr>
        <w:t>0</w:t>
      </w:r>
      <w:r>
        <w:rPr>
          <w:rFonts w:hint="eastAsia" w:ascii="宋体" w:hAnsi="宋体" w:cs="Arial"/>
          <w:color w:val="auto"/>
          <w:kern w:val="0"/>
          <w:szCs w:val="21"/>
          <w:highlight w:val="none"/>
        </w:rPr>
        <w:t>000.00）。</w:t>
      </w:r>
    </w:p>
    <w:p w14:paraId="64ACA11D">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2. 投标保证金交纳形式：</w:t>
      </w:r>
      <w:r>
        <w:rPr>
          <w:rFonts w:hint="eastAsia" w:ascii="宋体" w:hAnsi="宋体" w:cs="Arial"/>
          <w:color w:val="auto"/>
          <w:kern w:val="0"/>
          <w:szCs w:val="21"/>
          <w:highlight w:val="none"/>
          <w:lang w:val="en-US" w:eastAsia="zh-CN"/>
        </w:rPr>
        <w:t>网银转账、</w:t>
      </w:r>
      <w:r>
        <w:rPr>
          <w:rFonts w:hint="eastAsia" w:ascii="宋体" w:hAnsi="宋体" w:cs="Arial"/>
          <w:color w:val="auto"/>
          <w:kern w:val="0"/>
          <w:szCs w:val="21"/>
          <w:highlight w:val="none"/>
        </w:rPr>
        <w:t>电汇、支票、汇票、本票等采购人认可的非现金形式。</w:t>
      </w:r>
    </w:p>
    <w:p w14:paraId="5A107AE0">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八、对本次招标提出询问，请按以下方式联系。</w:t>
      </w:r>
    </w:p>
    <w:p w14:paraId="64275720">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宋体" w:hAnsi="宋体" w:cs="Arial"/>
          <w:color w:val="auto"/>
          <w:kern w:val="0"/>
          <w:szCs w:val="21"/>
          <w:highlight w:val="none"/>
        </w:rPr>
        <w:t>1.采购人信息</w:t>
      </w:r>
    </w:p>
    <w:p w14:paraId="0D8D253D">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采购人：</w:t>
      </w:r>
      <w:r>
        <w:rPr>
          <w:rFonts w:hint="eastAsia" w:ascii="宋体" w:hAnsi="宋体" w:cs="Arial"/>
          <w:color w:val="auto"/>
          <w:kern w:val="0"/>
          <w:szCs w:val="21"/>
          <w:highlight w:val="none"/>
          <w:u w:val="single"/>
        </w:rPr>
        <w:t>宁海县公共交通有限公司</w:t>
      </w:r>
    </w:p>
    <w:p w14:paraId="64689CDE">
      <w:pPr>
        <w:widowControl/>
        <w:spacing w:before="100" w:beforeAutospacing="1" w:after="100" w:afterAutospacing="1" w:line="405" w:lineRule="atLeast"/>
        <w:ind w:firstLine="420"/>
        <w:jc w:val="left"/>
        <w:rPr>
          <w:rFonts w:ascii="宋体" w:hAnsi="宋体" w:cs="Arial"/>
          <w:color w:val="auto"/>
          <w:kern w:val="0"/>
          <w:szCs w:val="21"/>
          <w:highlight w:val="none"/>
          <w:u w:val="single"/>
        </w:rPr>
      </w:pPr>
      <w:r>
        <w:rPr>
          <w:rFonts w:hint="eastAsia" w:ascii="宋体" w:hAnsi="宋体" w:cs="Arial"/>
          <w:color w:val="auto"/>
          <w:kern w:val="0"/>
          <w:szCs w:val="21"/>
          <w:highlight w:val="none"/>
        </w:rPr>
        <w:t>地址：</w:t>
      </w:r>
      <w:r>
        <w:rPr>
          <w:rFonts w:hint="eastAsia" w:ascii="宋体" w:hAnsi="宋体" w:cs="Arial"/>
          <w:color w:val="auto"/>
          <w:kern w:val="0"/>
          <w:szCs w:val="21"/>
          <w:highlight w:val="none"/>
          <w:u w:val="single"/>
        </w:rPr>
        <w:t>宁海正学东路58号</w:t>
      </w:r>
    </w:p>
    <w:p w14:paraId="18D417D4">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联系人：</w:t>
      </w:r>
      <w:r>
        <w:rPr>
          <w:rFonts w:hint="eastAsia" w:ascii="宋体" w:hAnsi="宋体" w:cs="Arial"/>
          <w:color w:val="auto"/>
          <w:kern w:val="0"/>
          <w:szCs w:val="21"/>
          <w:highlight w:val="none"/>
          <w:u w:val="single"/>
          <w:lang w:val="en-US" w:eastAsia="zh-CN"/>
        </w:rPr>
        <w:t>周</w:t>
      </w:r>
      <w:r>
        <w:rPr>
          <w:rFonts w:hint="eastAsia" w:ascii="宋体" w:hAnsi="宋体" w:cs="Arial"/>
          <w:color w:val="auto"/>
          <w:kern w:val="0"/>
          <w:szCs w:val="21"/>
          <w:highlight w:val="none"/>
          <w:u w:val="single"/>
        </w:rPr>
        <w:t>先生</w:t>
      </w:r>
    </w:p>
    <w:p w14:paraId="6596DF9E">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联系方式：</w:t>
      </w:r>
      <w:r>
        <w:rPr>
          <w:rFonts w:hint="eastAsia" w:ascii="宋体" w:hAnsi="宋体" w:cs="Arial"/>
          <w:color w:val="auto"/>
          <w:kern w:val="0"/>
          <w:szCs w:val="21"/>
          <w:highlight w:val="none"/>
          <w:u w:val="single"/>
        </w:rPr>
        <w:t>0574-59955599</w:t>
      </w:r>
    </w:p>
    <w:p w14:paraId="267C1EB6">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宋体" w:hAnsi="宋体" w:cs="Arial"/>
          <w:color w:val="auto"/>
          <w:kern w:val="0"/>
          <w:szCs w:val="21"/>
          <w:highlight w:val="none"/>
        </w:rPr>
        <w:t>2.采购代理机构信息</w:t>
      </w:r>
    </w:p>
    <w:p w14:paraId="4CC1AACF">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ascii="宋体" w:hAnsi="宋体" w:cs="Arial"/>
          <w:color w:val="auto"/>
          <w:kern w:val="0"/>
          <w:szCs w:val="21"/>
          <w:highlight w:val="none"/>
        </w:rPr>
        <w:t>代理机构：</w:t>
      </w:r>
      <w:r>
        <w:rPr>
          <w:rFonts w:hint="eastAsia" w:ascii="宋体" w:hAnsi="宋体" w:cs="Arial"/>
          <w:color w:val="auto"/>
          <w:kern w:val="0"/>
          <w:szCs w:val="21"/>
          <w:highlight w:val="none"/>
          <w:u w:val="single"/>
        </w:rPr>
        <w:t>中冠</w:t>
      </w:r>
      <w:r>
        <w:rPr>
          <w:rFonts w:ascii="宋体" w:hAnsi="宋体" w:cs="Arial"/>
          <w:color w:val="auto"/>
          <w:kern w:val="0"/>
          <w:szCs w:val="21"/>
          <w:highlight w:val="none"/>
          <w:u w:val="single"/>
        </w:rPr>
        <w:t>工程管理咨询有限公司</w:t>
      </w:r>
    </w:p>
    <w:p w14:paraId="7F693548">
      <w:pPr>
        <w:widowControl/>
        <w:spacing w:before="100" w:beforeAutospacing="1" w:after="100" w:afterAutospacing="1" w:line="405" w:lineRule="atLeast"/>
        <w:ind w:firstLine="420"/>
        <w:jc w:val="left"/>
        <w:rPr>
          <w:rFonts w:ascii="宋体" w:hAnsi="宋体" w:cs="Arial"/>
          <w:color w:val="auto"/>
          <w:kern w:val="0"/>
          <w:szCs w:val="21"/>
          <w:highlight w:val="none"/>
          <w:u w:val="single"/>
        </w:rPr>
      </w:pPr>
      <w:r>
        <w:rPr>
          <w:rFonts w:ascii="宋体" w:hAnsi="宋体" w:cs="Arial"/>
          <w:color w:val="auto"/>
          <w:kern w:val="0"/>
          <w:szCs w:val="21"/>
          <w:highlight w:val="none"/>
        </w:rPr>
        <w:t>联系地址：</w:t>
      </w:r>
      <w:r>
        <w:rPr>
          <w:rFonts w:ascii="宋体" w:hAnsi="宋体" w:cs="Arial"/>
          <w:color w:val="auto"/>
          <w:kern w:val="0"/>
          <w:szCs w:val="21"/>
          <w:highlight w:val="none"/>
          <w:u w:val="single"/>
        </w:rPr>
        <w:t>宁海县兴工二路29号</w:t>
      </w:r>
    </w:p>
    <w:p w14:paraId="7FA430CB">
      <w:pPr>
        <w:widowControl/>
        <w:spacing w:before="100" w:beforeAutospacing="1" w:after="100" w:afterAutospacing="1" w:line="405" w:lineRule="atLeast"/>
        <w:ind w:firstLine="420"/>
        <w:jc w:val="left"/>
        <w:rPr>
          <w:rFonts w:ascii="宋体" w:hAnsi="宋体" w:cs="Arial"/>
          <w:color w:val="auto"/>
          <w:kern w:val="0"/>
          <w:szCs w:val="21"/>
          <w:highlight w:val="none"/>
          <w:u w:val="single"/>
        </w:rPr>
      </w:pPr>
      <w:r>
        <w:rPr>
          <w:rFonts w:hint="eastAsia" w:ascii="宋体" w:hAnsi="宋体" w:cs="Arial"/>
          <w:color w:val="auto"/>
          <w:kern w:val="0"/>
          <w:szCs w:val="21"/>
          <w:highlight w:val="none"/>
        </w:rPr>
        <w:t>项目联系人：</w:t>
      </w:r>
      <w:r>
        <w:rPr>
          <w:rFonts w:hint="eastAsia" w:ascii="宋体" w:hAnsi="宋体" w:cs="Arial"/>
          <w:color w:val="auto"/>
          <w:kern w:val="0"/>
          <w:szCs w:val="21"/>
          <w:highlight w:val="none"/>
          <w:u w:val="single"/>
        </w:rPr>
        <w:t>周全</w:t>
      </w:r>
    </w:p>
    <w:p w14:paraId="03FF8B1C">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ascii="宋体" w:hAnsi="宋体" w:cs="Arial"/>
          <w:color w:val="auto"/>
          <w:kern w:val="0"/>
          <w:szCs w:val="21"/>
          <w:highlight w:val="none"/>
        </w:rPr>
        <w:t>联系方式</w:t>
      </w:r>
      <w:r>
        <w:rPr>
          <w:rFonts w:hint="eastAsia" w:ascii="宋体" w:hAnsi="宋体" w:cs="Arial"/>
          <w:color w:val="auto"/>
          <w:kern w:val="0"/>
          <w:szCs w:val="21"/>
          <w:highlight w:val="none"/>
        </w:rPr>
        <w:t>：</w:t>
      </w:r>
      <w:r>
        <w:rPr>
          <w:rFonts w:hint="eastAsia" w:ascii="宋体" w:hAnsi="宋体" w:cs="Arial"/>
          <w:color w:val="auto"/>
          <w:kern w:val="0"/>
          <w:szCs w:val="21"/>
          <w:highlight w:val="none"/>
          <w:u w:val="single"/>
        </w:rPr>
        <w:t>15257871020</w:t>
      </w:r>
    </w:p>
    <w:p w14:paraId="7494757C">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bookmarkStart w:id="4" w:name="_Hlt21454969"/>
      <w:bookmarkEnd w:id="4"/>
      <w:bookmarkStart w:id="5" w:name="_Hlt21454953"/>
      <w:bookmarkEnd w:id="5"/>
      <w:bookmarkStart w:id="6" w:name="_Hlt21454954"/>
      <w:bookmarkEnd w:id="6"/>
      <w:bookmarkStart w:id="7" w:name="_Hlt21454952"/>
      <w:bookmarkEnd w:id="7"/>
      <w:r>
        <w:rPr>
          <w:rFonts w:hint="eastAsia" w:ascii="宋体" w:hAnsi="宋体" w:cs="Arial"/>
          <w:color w:val="auto"/>
          <w:kern w:val="0"/>
          <w:szCs w:val="21"/>
          <w:highlight w:val="none"/>
        </w:rPr>
        <w:t>3.监管部门及联系方式</w:t>
      </w:r>
    </w:p>
    <w:p w14:paraId="6A6F1FCD">
      <w:pPr>
        <w:widowControl/>
        <w:spacing w:before="100" w:beforeAutospacing="1" w:after="100" w:afterAutospacing="1" w:line="405" w:lineRule="atLeast"/>
        <w:ind w:firstLine="420" w:firstLineChars="200"/>
        <w:jc w:val="left"/>
        <w:rPr>
          <w:rFonts w:ascii="宋体" w:hAnsi="宋体" w:cs="Arial"/>
          <w:color w:val="auto"/>
          <w:kern w:val="0"/>
          <w:szCs w:val="21"/>
          <w:highlight w:val="none"/>
        </w:rPr>
      </w:pPr>
      <w:r>
        <w:rPr>
          <w:rFonts w:hint="eastAsia" w:ascii="宋体" w:hAnsi="宋体" w:cs="Arial"/>
          <w:color w:val="auto"/>
          <w:kern w:val="0"/>
          <w:szCs w:val="21"/>
          <w:highlight w:val="none"/>
        </w:rPr>
        <w:t>采购监督管理部门：</w:t>
      </w:r>
      <w:r>
        <w:rPr>
          <w:rFonts w:hint="eastAsia" w:ascii="宋体" w:hAnsi="宋体" w:cs="Arial"/>
          <w:color w:val="auto"/>
          <w:kern w:val="0"/>
          <w:szCs w:val="21"/>
          <w:highlight w:val="none"/>
          <w:u w:val="single"/>
        </w:rPr>
        <w:t>宁海县交通集团有限公司监察审计部</w:t>
      </w:r>
    </w:p>
    <w:p w14:paraId="1A4786F0">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地址：</w:t>
      </w:r>
      <w:r>
        <w:rPr>
          <w:rFonts w:hint="eastAsia" w:ascii="宋体" w:hAnsi="宋体" w:cs="Arial"/>
          <w:color w:val="auto"/>
          <w:kern w:val="0"/>
          <w:szCs w:val="21"/>
          <w:highlight w:val="none"/>
          <w:u w:val="single"/>
        </w:rPr>
        <w:t>宁海县兴海北路99号</w:t>
      </w:r>
    </w:p>
    <w:p w14:paraId="5D949579">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联系人：</w:t>
      </w:r>
      <w:r>
        <w:rPr>
          <w:rFonts w:hint="eastAsia" w:ascii="宋体" w:hAnsi="宋体" w:cs="Arial"/>
          <w:color w:val="auto"/>
          <w:kern w:val="0"/>
          <w:szCs w:val="21"/>
          <w:highlight w:val="none"/>
          <w:u w:val="single"/>
        </w:rPr>
        <w:t>王女士</w:t>
      </w:r>
    </w:p>
    <w:p w14:paraId="7972E7E0">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联系电话/传真：</w:t>
      </w:r>
      <w:r>
        <w:rPr>
          <w:rFonts w:ascii="宋体" w:hAnsi="宋体" w:cs="Arial"/>
          <w:color w:val="auto"/>
          <w:kern w:val="0"/>
          <w:szCs w:val="21"/>
          <w:highlight w:val="none"/>
          <w:u w:val="single"/>
        </w:rPr>
        <w:t>0574-59957059</w:t>
      </w:r>
    </w:p>
    <w:p w14:paraId="2F0428E5">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Arial" w:hAnsi="Arial" w:eastAsia="微软雅黑" w:cs="Arial"/>
          <w:color w:val="auto"/>
          <w:kern w:val="0"/>
          <w:szCs w:val="21"/>
          <w:highlight w:val="none"/>
        </w:rPr>
        <w:t>八、财务信息：</w:t>
      </w:r>
    </w:p>
    <w:p w14:paraId="293FB9FA">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投标保证金及中标服务费账号：</w:t>
      </w:r>
    </w:p>
    <w:p w14:paraId="6620C2C5">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开户银行：中信银行宁波宁海支行</w:t>
      </w:r>
    </w:p>
    <w:p w14:paraId="7CAA9650">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户名：中冠工程管理咨询有限公司宁海分公司</w:t>
      </w:r>
    </w:p>
    <w:p w14:paraId="0A0F1A25">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账号：8114701013500025347</w:t>
      </w:r>
    </w:p>
    <w:p w14:paraId="19F31CD4">
      <w:pPr>
        <w:tabs>
          <w:tab w:val="left" w:pos="426"/>
        </w:tabs>
        <w:spacing w:line="440" w:lineRule="exact"/>
        <w:contextualSpacing/>
        <w:rPr>
          <w:color w:val="auto"/>
          <w:szCs w:val="24"/>
          <w:highlight w:val="none"/>
        </w:rPr>
        <w:sectPr>
          <w:footerReference r:id="rId9" w:type="first"/>
          <w:footerReference r:id="rId8" w:type="default"/>
          <w:pgSz w:w="11907" w:h="16840"/>
          <w:pgMar w:top="1304" w:right="1588" w:bottom="1304" w:left="1588" w:header="720" w:footer="720" w:gutter="0"/>
          <w:pgNumType w:start="1"/>
          <w:cols w:space="720" w:num="1"/>
          <w:titlePg/>
          <w:docGrid w:linePitch="285" w:charSpace="0"/>
        </w:sectPr>
      </w:pPr>
    </w:p>
    <w:p w14:paraId="33B38C41">
      <w:pPr>
        <w:tabs>
          <w:tab w:val="left" w:pos="426"/>
        </w:tabs>
        <w:spacing w:line="440" w:lineRule="exact"/>
        <w:contextualSpacing/>
        <w:rPr>
          <w:color w:val="auto"/>
          <w:szCs w:val="24"/>
          <w:highlight w:val="none"/>
        </w:rPr>
      </w:pPr>
    </w:p>
    <w:p w14:paraId="2D836726">
      <w:pPr>
        <w:pStyle w:val="41"/>
        <w:rPr>
          <w:rFonts w:ascii="Times New Roman" w:hAnsi="Times New Roman"/>
          <w:color w:val="auto"/>
          <w:w w:val="80"/>
          <w:highlight w:val="none"/>
        </w:rPr>
      </w:pPr>
      <w:bookmarkStart w:id="8" w:name="_Toc435088063"/>
      <w:r>
        <w:rPr>
          <w:rFonts w:hint="eastAsia" w:ascii="Times New Roman" w:hAnsi="Times New Roman"/>
          <w:color w:val="auto"/>
          <w:kern w:val="44"/>
          <w:highlight w:val="none"/>
        </w:rPr>
        <w:t>第二部分投标资料表</w:t>
      </w:r>
      <w:bookmarkEnd w:id="8"/>
    </w:p>
    <w:tbl>
      <w:tblPr>
        <w:tblStyle w:val="45"/>
        <w:tblW w:w="9258"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4"/>
        <w:gridCol w:w="8544"/>
      </w:tblGrid>
      <w:tr w14:paraId="0209EB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7" w:hRule="atLeast"/>
          <w:tblHeader/>
          <w:jc w:val="center"/>
        </w:trPr>
        <w:tc>
          <w:tcPr>
            <w:tcW w:w="714" w:type="dxa"/>
            <w:tcBorders>
              <w:bottom w:val="single" w:color="auto" w:sz="4" w:space="0"/>
            </w:tcBorders>
            <w:vAlign w:val="center"/>
          </w:tcPr>
          <w:p w14:paraId="0C1EDE6C">
            <w:pPr>
              <w:spacing w:line="340" w:lineRule="exact"/>
              <w:ind w:left="-108" w:right="-113"/>
              <w:contextualSpacing/>
              <w:rPr>
                <w:rFonts w:ascii="Arial" w:hAnsi="Arial" w:eastAsia="黑体"/>
                <w:b/>
                <w:bCs/>
                <w:color w:val="auto"/>
                <w:sz w:val="32"/>
                <w:szCs w:val="24"/>
                <w:highlight w:val="none"/>
              </w:rPr>
            </w:pPr>
            <w:r>
              <w:rPr>
                <w:rFonts w:hint="eastAsia"/>
                <w:color w:val="auto"/>
                <w:szCs w:val="24"/>
                <w:highlight w:val="none"/>
              </w:rPr>
              <w:t>序号</w:t>
            </w:r>
          </w:p>
        </w:tc>
        <w:tc>
          <w:tcPr>
            <w:tcW w:w="8544" w:type="dxa"/>
            <w:tcBorders>
              <w:bottom w:val="single" w:color="auto" w:sz="4" w:space="0"/>
            </w:tcBorders>
            <w:vAlign w:val="center"/>
          </w:tcPr>
          <w:p w14:paraId="3AF97B42">
            <w:pPr>
              <w:spacing w:line="340" w:lineRule="exact"/>
              <w:contextualSpacing/>
              <w:jc w:val="center"/>
              <w:rPr>
                <w:color w:val="auto"/>
                <w:szCs w:val="24"/>
                <w:highlight w:val="none"/>
              </w:rPr>
            </w:pPr>
            <w:r>
              <w:rPr>
                <w:rFonts w:hint="eastAsia"/>
                <w:color w:val="auto"/>
                <w:szCs w:val="24"/>
                <w:highlight w:val="none"/>
              </w:rPr>
              <w:t>内容</w:t>
            </w:r>
          </w:p>
        </w:tc>
      </w:tr>
      <w:tr w14:paraId="71C91A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9258" w:type="dxa"/>
            <w:gridSpan w:val="2"/>
            <w:tcBorders>
              <w:top w:val="single" w:color="auto" w:sz="4" w:space="0"/>
              <w:bottom w:val="single" w:color="auto" w:sz="2" w:space="0"/>
            </w:tcBorders>
            <w:vAlign w:val="center"/>
          </w:tcPr>
          <w:p w14:paraId="063413BA">
            <w:pPr>
              <w:spacing w:line="340" w:lineRule="exact"/>
              <w:contextualSpacing/>
              <w:jc w:val="center"/>
              <w:rPr>
                <w:color w:val="auto"/>
                <w:szCs w:val="24"/>
                <w:highlight w:val="none"/>
              </w:rPr>
            </w:pPr>
            <w:r>
              <w:rPr>
                <w:rFonts w:hint="eastAsia"/>
                <w:color w:val="auto"/>
                <w:szCs w:val="24"/>
                <w:highlight w:val="none"/>
              </w:rPr>
              <w:t>说明部分</w:t>
            </w:r>
          </w:p>
        </w:tc>
      </w:tr>
      <w:tr w14:paraId="0B2141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14" w:type="dxa"/>
            <w:vMerge w:val="restart"/>
            <w:vAlign w:val="center"/>
          </w:tcPr>
          <w:p w14:paraId="18C716C1">
            <w:pPr>
              <w:autoSpaceDE w:val="0"/>
              <w:autoSpaceDN w:val="0"/>
              <w:snapToGrid w:val="0"/>
              <w:spacing w:line="440" w:lineRule="exact"/>
              <w:ind w:left="-95" w:right="-129"/>
              <w:contextualSpacing/>
              <w:jc w:val="center"/>
              <w:rPr>
                <w:color w:val="auto"/>
                <w:szCs w:val="21"/>
                <w:highlight w:val="none"/>
              </w:rPr>
            </w:pPr>
            <w:r>
              <w:rPr>
                <w:rFonts w:hint="eastAsia"/>
                <w:color w:val="auto"/>
                <w:szCs w:val="21"/>
                <w:highlight w:val="none"/>
              </w:rPr>
              <w:t>2.1</w:t>
            </w:r>
          </w:p>
        </w:tc>
        <w:tc>
          <w:tcPr>
            <w:tcW w:w="8544" w:type="dxa"/>
            <w:vAlign w:val="center"/>
          </w:tcPr>
          <w:p w14:paraId="0F3E2BCF">
            <w:pPr>
              <w:tabs>
                <w:tab w:val="left" w:pos="1580"/>
                <w:tab w:val="left" w:pos="3436"/>
                <w:tab w:val="left" w:pos="5512"/>
              </w:tabs>
              <w:spacing w:line="440" w:lineRule="exact"/>
              <w:ind w:left="21"/>
              <w:contextualSpacing/>
              <w:rPr>
                <w:color w:val="auto"/>
                <w:szCs w:val="24"/>
                <w:highlight w:val="none"/>
              </w:rPr>
            </w:pPr>
            <w:r>
              <w:rPr>
                <w:rFonts w:hint="eastAsia"/>
                <w:color w:val="auto"/>
                <w:szCs w:val="24"/>
                <w:highlight w:val="none"/>
              </w:rPr>
              <w:t>采购人：宁海县公共交通有限公司</w:t>
            </w:r>
          </w:p>
          <w:p w14:paraId="4F4ADE51">
            <w:pPr>
              <w:tabs>
                <w:tab w:val="left" w:pos="426"/>
              </w:tabs>
              <w:spacing w:line="440" w:lineRule="exact"/>
              <w:contextualSpacing/>
              <w:rPr>
                <w:color w:val="auto"/>
                <w:szCs w:val="24"/>
                <w:highlight w:val="none"/>
              </w:rPr>
            </w:pPr>
            <w:r>
              <w:rPr>
                <w:rFonts w:hint="eastAsia"/>
                <w:color w:val="auto"/>
                <w:szCs w:val="24"/>
                <w:highlight w:val="none"/>
              </w:rPr>
              <w:t>联系人：</w:t>
            </w:r>
            <w:r>
              <w:rPr>
                <w:rFonts w:hint="eastAsia"/>
                <w:color w:val="auto"/>
                <w:szCs w:val="24"/>
                <w:highlight w:val="none"/>
                <w:lang w:val="en-US" w:eastAsia="zh-CN"/>
              </w:rPr>
              <w:t>周</w:t>
            </w:r>
            <w:r>
              <w:rPr>
                <w:rFonts w:hint="eastAsia"/>
                <w:color w:val="auto"/>
                <w:szCs w:val="24"/>
                <w:highlight w:val="none"/>
              </w:rPr>
              <w:t>先生</w:t>
            </w:r>
            <w:r>
              <w:rPr>
                <w:rFonts w:hint="eastAsia"/>
                <w:color w:val="auto"/>
                <w:szCs w:val="24"/>
                <w:highlight w:val="none"/>
                <w:lang w:val="en-US" w:eastAsia="zh-CN"/>
              </w:rPr>
              <w:t xml:space="preserve">    </w:t>
            </w:r>
            <w:r>
              <w:rPr>
                <w:rFonts w:hint="eastAsia"/>
                <w:color w:val="auto"/>
                <w:szCs w:val="24"/>
                <w:highlight w:val="none"/>
              </w:rPr>
              <w:t>联系电话：0574-59955599</w:t>
            </w:r>
          </w:p>
        </w:tc>
      </w:tr>
      <w:tr w14:paraId="4312C1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714" w:type="dxa"/>
            <w:vMerge w:val="continue"/>
            <w:vAlign w:val="center"/>
          </w:tcPr>
          <w:p w14:paraId="11CF536B">
            <w:pPr>
              <w:autoSpaceDE w:val="0"/>
              <w:autoSpaceDN w:val="0"/>
              <w:snapToGrid w:val="0"/>
              <w:spacing w:line="440" w:lineRule="exact"/>
              <w:ind w:left="-95" w:right="-129"/>
              <w:contextualSpacing/>
              <w:jc w:val="center"/>
              <w:rPr>
                <w:color w:val="auto"/>
                <w:szCs w:val="21"/>
                <w:highlight w:val="none"/>
              </w:rPr>
            </w:pPr>
          </w:p>
        </w:tc>
        <w:tc>
          <w:tcPr>
            <w:tcW w:w="8544" w:type="dxa"/>
            <w:vAlign w:val="center"/>
          </w:tcPr>
          <w:p w14:paraId="79EF4683">
            <w:pPr>
              <w:tabs>
                <w:tab w:val="left" w:pos="1580"/>
                <w:tab w:val="left" w:pos="3436"/>
                <w:tab w:val="left" w:pos="5512"/>
              </w:tabs>
              <w:spacing w:line="440" w:lineRule="exact"/>
              <w:ind w:left="23"/>
              <w:contextualSpacing/>
              <w:rPr>
                <w:color w:val="auto"/>
                <w:szCs w:val="24"/>
                <w:highlight w:val="none"/>
              </w:rPr>
            </w:pPr>
            <w:r>
              <w:rPr>
                <w:color w:val="auto"/>
                <w:szCs w:val="24"/>
                <w:highlight w:val="none"/>
              </w:rPr>
              <w:t>代理机构：</w:t>
            </w:r>
            <w:r>
              <w:rPr>
                <w:rFonts w:hint="eastAsia"/>
                <w:color w:val="auto"/>
                <w:szCs w:val="24"/>
                <w:highlight w:val="none"/>
              </w:rPr>
              <w:t>中冠</w:t>
            </w:r>
            <w:r>
              <w:rPr>
                <w:color w:val="auto"/>
                <w:szCs w:val="24"/>
                <w:highlight w:val="none"/>
              </w:rPr>
              <w:t>工程管理咨询有限公司</w:t>
            </w:r>
          </w:p>
          <w:p w14:paraId="58E9FD23">
            <w:pPr>
              <w:tabs>
                <w:tab w:val="left" w:pos="1580"/>
                <w:tab w:val="left" w:pos="3436"/>
                <w:tab w:val="left" w:pos="5512"/>
              </w:tabs>
              <w:spacing w:line="440" w:lineRule="exact"/>
              <w:ind w:left="23"/>
              <w:contextualSpacing/>
              <w:rPr>
                <w:color w:val="auto"/>
                <w:szCs w:val="24"/>
                <w:highlight w:val="none"/>
              </w:rPr>
            </w:pPr>
            <w:r>
              <w:rPr>
                <w:color w:val="auto"/>
                <w:szCs w:val="24"/>
                <w:highlight w:val="none"/>
              </w:rPr>
              <w:t>联系地址：宁海县兴工二路29号</w:t>
            </w:r>
          </w:p>
          <w:p w14:paraId="41955F0A">
            <w:pPr>
              <w:tabs>
                <w:tab w:val="left" w:pos="1785"/>
                <w:tab w:val="left" w:pos="3436"/>
                <w:tab w:val="left" w:pos="5512"/>
              </w:tabs>
              <w:spacing w:line="440" w:lineRule="exact"/>
              <w:ind w:left="23"/>
              <w:contextualSpacing/>
              <w:rPr>
                <w:color w:val="auto"/>
                <w:szCs w:val="24"/>
                <w:highlight w:val="none"/>
              </w:rPr>
            </w:pPr>
            <w:r>
              <w:rPr>
                <w:rFonts w:hint="eastAsia"/>
                <w:color w:val="auto"/>
                <w:szCs w:val="24"/>
                <w:highlight w:val="none"/>
              </w:rPr>
              <w:t>联系人：周全</w:t>
            </w:r>
            <w:r>
              <w:rPr>
                <w:rFonts w:hint="eastAsia"/>
                <w:color w:val="auto"/>
                <w:szCs w:val="24"/>
                <w:highlight w:val="none"/>
              </w:rPr>
              <w:tab/>
            </w:r>
            <w:r>
              <w:rPr>
                <w:rFonts w:hint="eastAsia"/>
                <w:color w:val="auto"/>
                <w:szCs w:val="24"/>
                <w:highlight w:val="none"/>
              </w:rPr>
              <w:t>电话/传真：0574-83556096</w:t>
            </w:r>
          </w:p>
        </w:tc>
      </w:tr>
      <w:tr w14:paraId="45627F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714" w:type="dxa"/>
            <w:tcBorders>
              <w:top w:val="single" w:color="auto" w:sz="4" w:space="0"/>
              <w:bottom w:val="single" w:color="auto" w:sz="2" w:space="0"/>
            </w:tcBorders>
            <w:vAlign w:val="center"/>
          </w:tcPr>
          <w:p w14:paraId="431988B7">
            <w:pPr>
              <w:spacing w:line="440" w:lineRule="exact"/>
              <w:contextualSpacing/>
              <w:jc w:val="center"/>
              <w:rPr>
                <w:color w:val="auto"/>
                <w:szCs w:val="24"/>
                <w:highlight w:val="none"/>
              </w:rPr>
            </w:pPr>
            <w:r>
              <w:rPr>
                <w:rFonts w:hint="eastAsia"/>
                <w:color w:val="auto"/>
                <w:szCs w:val="21"/>
                <w:highlight w:val="none"/>
              </w:rPr>
              <w:t>2.2</w:t>
            </w:r>
          </w:p>
        </w:tc>
        <w:tc>
          <w:tcPr>
            <w:tcW w:w="8544" w:type="dxa"/>
            <w:tcBorders>
              <w:top w:val="single" w:color="auto" w:sz="4" w:space="0"/>
              <w:bottom w:val="single" w:color="auto" w:sz="2" w:space="0"/>
            </w:tcBorders>
            <w:vAlign w:val="center"/>
          </w:tcPr>
          <w:p w14:paraId="365D2434">
            <w:pPr>
              <w:spacing w:line="440" w:lineRule="exact"/>
              <w:contextualSpacing/>
              <w:rPr>
                <w:color w:val="auto"/>
                <w:szCs w:val="22"/>
                <w:highlight w:val="none"/>
              </w:rPr>
            </w:pPr>
            <w:r>
              <w:rPr>
                <w:rFonts w:hint="eastAsia"/>
                <w:color w:val="auto"/>
                <w:szCs w:val="24"/>
                <w:highlight w:val="none"/>
              </w:rPr>
              <w:t>经批准的本次采购方式：公开招标</w:t>
            </w:r>
          </w:p>
        </w:tc>
      </w:tr>
      <w:tr w14:paraId="318D0B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9258" w:type="dxa"/>
            <w:gridSpan w:val="2"/>
            <w:vAlign w:val="center"/>
          </w:tcPr>
          <w:p w14:paraId="449EC40F">
            <w:pPr>
              <w:spacing w:line="340" w:lineRule="exact"/>
              <w:ind w:left="-108" w:right="-113"/>
              <w:contextualSpacing/>
              <w:jc w:val="center"/>
              <w:rPr>
                <w:color w:val="auto"/>
                <w:szCs w:val="24"/>
                <w:highlight w:val="none"/>
              </w:rPr>
            </w:pPr>
            <w:r>
              <w:rPr>
                <w:rFonts w:hint="eastAsia"/>
                <w:color w:val="auto"/>
                <w:szCs w:val="24"/>
                <w:highlight w:val="none"/>
              </w:rPr>
              <w:t>投标报价和货币</w:t>
            </w:r>
          </w:p>
        </w:tc>
      </w:tr>
      <w:tr w14:paraId="3CC9DB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714" w:type="dxa"/>
            <w:vAlign w:val="center"/>
          </w:tcPr>
          <w:p w14:paraId="6D38AFCA">
            <w:pPr>
              <w:spacing w:line="340" w:lineRule="exact"/>
              <w:ind w:left="-108" w:right="-113"/>
              <w:contextualSpacing/>
              <w:jc w:val="center"/>
              <w:rPr>
                <w:color w:val="auto"/>
                <w:szCs w:val="24"/>
                <w:highlight w:val="none"/>
              </w:rPr>
            </w:pPr>
            <w:r>
              <w:rPr>
                <w:rFonts w:hint="eastAsia"/>
                <w:color w:val="auto"/>
                <w:szCs w:val="24"/>
                <w:highlight w:val="none"/>
              </w:rPr>
              <w:t>★2.3</w:t>
            </w:r>
          </w:p>
        </w:tc>
        <w:tc>
          <w:tcPr>
            <w:tcW w:w="8544" w:type="dxa"/>
            <w:vAlign w:val="center"/>
          </w:tcPr>
          <w:p w14:paraId="6DBA2B30">
            <w:pPr>
              <w:spacing w:line="340" w:lineRule="exact"/>
              <w:ind w:left="-108" w:right="-113"/>
              <w:contextualSpacing/>
              <w:jc w:val="left"/>
              <w:rPr>
                <w:color w:val="auto"/>
                <w:szCs w:val="24"/>
                <w:highlight w:val="none"/>
              </w:rPr>
            </w:pPr>
            <w:r>
              <w:rPr>
                <w:rFonts w:hint="eastAsia"/>
                <w:color w:val="auto"/>
                <w:szCs w:val="24"/>
                <w:highlight w:val="none"/>
              </w:rPr>
              <w:t>投标报价：</w:t>
            </w:r>
          </w:p>
          <w:p w14:paraId="48992AF2">
            <w:pPr>
              <w:spacing w:line="340" w:lineRule="exact"/>
              <w:ind w:left="-108" w:right="-113"/>
              <w:contextualSpacing/>
              <w:jc w:val="left"/>
              <w:rPr>
                <w:color w:val="auto"/>
                <w:szCs w:val="24"/>
                <w:highlight w:val="none"/>
              </w:rPr>
            </w:pPr>
            <w:r>
              <w:rPr>
                <w:rFonts w:hint="eastAsia"/>
                <w:color w:val="auto"/>
                <w:szCs w:val="24"/>
                <w:highlight w:val="none"/>
              </w:rPr>
              <w:t>1、本项目投标应以人民币报价；</w:t>
            </w:r>
          </w:p>
          <w:p w14:paraId="17CEF318">
            <w:pPr>
              <w:spacing w:line="340" w:lineRule="exact"/>
              <w:ind w:left="-108" w:right="-113"/>
              <w:contextualSpacing/>
              <w:jc w:val="left"/>
              <w:rPr>
                <w:color w:val="auto"/>
                <w:szCs w:val="24"/>
                <w:highlight w:val="none"/>
              </w:rPr>
            </w:pPr>
            <w:r>
              <w:rPr>
                <w:rFonts w:hint="eastAsia"/>
                <w:color w:val="auto"/>
                <w:szCs w:val="24"/>
                <w:highlight w:val="none"/>
              </w:rPr>
              <w:t>2、不论投标结果如何，投标人均应自行承担所有与投标有关的全部费用。</w:t>
            </w:r>
          </w:p>
          <w:p w14:paraId="2CBB09FF">
            <w:pPr>
              <w:spacing w:line="340" w:lineRule="exact"/>
              <w:ind w:left="-108" w:right="-113"/>
              <w:contextualSpacing/>
              <w:jc w:val="left"/>
              <w:rPr>
                <w:b/>
                <w:color w:val="auto"/>
                <w:szCs w:val="24"/>
                <w:highlight w:val="none"/>
              </w:rPr>
            </w:pPr>
            <w:r>
              <w:rPr>
                <w:rFonts w:hint="eastAsia"/>
                <w:color w:val="auto"/>
                <w:szCs w:val="24"/>
                <w:highlight w:val="none"/>
              </w:rPr>
              <w:t>3、</w:t>
            </w:r>
            <w:r>
              <w:rPr>
                <w:rFonts w:hint="eastAsia"/>
                <w:b/>
                <w:color w:val="auto"/>
                <w:szCs w:val="24"/>
                <w:highlight w:val="none"/>
              </w:rPr>
              <w:t>最高限价：</w:t>
            </w:r>
            <w:r>
              <w:rPr>
                <w:rFonts w:hint="eastAsia"/>
                <w:b/>
                <w:color w:val="auto"/>
                <w:szCs w:val="24"/>
                <w:highlight w:val="none"/>
                <w:lang w:eastAsia="zh-CN"/>
              </w:rPr>
              <w:t>标项（子包）</w:t>
            </w:r>
            <w:r>
              <w:rPr>
                <w:rFonts w:hint="eastAsia"/>
                <w:b/>
                <w:color w:val="auto"/>
                <w:szCs w:val="24"/>
                <w:highlight w:val="none"/>
              </w:rPr>
              <w:t>一单价</w:t>
            </w:r>
            <w:r>
              <w:rPr>
                <w:rFonts w:hint="eastAsia"/>
                <w:b/>
                <w:color w:val="auto"/>
                <w:szCs w:val="24"/>
                <w:highlight w:val="none"/>
                <w:lang w:val="en-US" w:eastAsia="zh-CN"/>
              </w:rPr>
              <w:t>72</w:t>
            </w:r>
            <w:r>
              <w:rPr>
                <w:rFonts w:hint="eastAsia"/>
                <w:b/>
                <w:color w:val="auto"/>
                <w:szCs w:val="24"/>
                <w:highlight w:val="none"/>
              </w:rPr>
              <w:t>万元/辆，总价</w:t>
            </w:r>
            <w:r>
              <w:rPr>
                <w:rFonts w:hint="eastAsia"/>
                <w:b/>
                <w:color w:val="auto"/>
                <w:szCs w:val="24"/>
                <w:highlight w:val="none"/>
                <w:lang w:val="en-US" w:eastAsia="zh-CN"/>
              </w:rPr>
              <w:t>1224</w:t>
            </w:r>
            <w:r>
              <w:rPr>
                <w:rFonts w:hint="eastAsia"/>
                <w:b/>
                <w:color w:val="auto"/>
                <w:szCs w:val="24"/>
                <w:highlight w:val="none"/>
              </w:rPr>
              <w:t>.00万元；</w:t>
            </w:r>
            <w:r>
              <w:rPr>
                <w:rFonts w:hint="eastAsia"/>
                <w:b/>
                <w:color w:val="auto"/>
                <w:szCs w:val="24"/>
                <w:highlight w:val="none"/>
                <w:lang w:eastAsia="zh-CN"/>
              </w:rPr>
              <w:t>标项（子包）</w:t>
            </w:r>
            <w:r>
              <w:rPr>
                <w:rFonts w:hint="eastAsia"/>
                <w:b/>
                <w:color w:val="auto"/>
                <w:szCs w:val="24"/>
                <w:highlight w:val="none"/>
              </w:rPr>
              <w:t>二单价</w:t>
            </w:r>
            <w:r>
              <w:rPr>
                <w:rFonts w:hint="eastAsia"/>
                <w:b/>
                <w:color w:val="auto"/>
                <w:szCs w:val="24"/>
                <w:highlight w:val="none"/>
                <w:lang w:val="en-US" w:eastAsia="zh-CN"/>
              </w:rPr>
              <w:t>61</w:t>
            </w:r>
            <w:r>
              <w:rPr>
                <w:rFonts w:hint="eastAsia"/>
                <w:b/>
                <w:color w:val="auto"/>
                <w:szCs w:val="24"/>
                <w:highlight w:val="none"/>
              </w:rPr>
              <w:t>.00万元/辆，总价</w:t>
            </w:r>
            <w:r>
              <w:rPr>
                <w:rFonts w:hint="eastAsia"/>
                <w:b/>
                <w:color w:val="auto"/>
                <w:szCs w:val="24"/>
                <w:highlight w:val="none"/>
                <w:lang w:val="en-US" w:eastAsia="zh-CN"/>
              </w:rPr>
              <w:t>976</w:t>
            </w:r>
            <w:r>
              <w:rPr>
                <w:rFonts w:hint="eastAsia"/>
                <w:b/>
                <w:color w:val="auto"/>
                <w:szCs w:val="24"/>
                <w:highlight w:val="none"/>
              </w:rPr>
              <w:t>.00万元；</w:t>
            </w:r>
            <w:r>
              <w:rPr>
                <w:rFonts w:hint="eastAsia"/>
                <w:b/>
                <w:color w:val="auto"/>
                <w:szCs w:val="24"/>
                <w:highlight w:val="none"/>
                <w:lang w:eastAsia="zh-CN"/>
              </w:rPr>
              <w:t>标项（子包）</w:t>
            </w:r>
            <w:r>
              <w:rPr>
                <w:rFonts w:hint="eastAsia"/>
                <w:b/>
                <w:color w:val="auto"/>
                <w:szCs w:val="24"/>
                <w:highlight w:val="none"/>
              </w:rPr>
              <w:t>三单价</w:t>
            </w:r>
            <w:r>
              <w:rPr>
                <w:rFonts w:hint="eastAsia"/>
                <w:b/>
                <w:color w:val="auto"/>
                <w:szCs w:val="24"/>
                <w:highlight w:val="none"/>
                <w:lang w:val="en-US" w:eastAsia="zh-CN"/>
              </w:rPr>
              <w:t>72</w:t>
            </w:r>
            <w:r>
              <w:rPr>
                <w:rFonts w:hint="eastAsia"/>
                <w:b/>
                <w:color w:val="auto"/>
                <w:szCs w:val="24"/>
                <w:highlight w:val="none"/>
              </w:rPr>
              <w:t>万元/辆，总价</w:t>
            </w:r>
            <w:r>
              <w:rPr>
                <w:rFonts w:hint="eastAsia"/>
                <w:b/>
                <w:color w:val="auto"/>
                <w:szCs w:val="24"/>
                <w:highlight w:val="none"/>
                <w:lang w:val="en-US" w:eastAsia="zh-CN"/>
              </w:rPr>
              <w:t>72</w:t>
            </w:r>
            <w:r>
              <w:rPr>
                <w:rFonts w:hint="eastAsia"/>
                <w:b/>
                <w:color w:val="auto"/>
                <w:szCs w:val="24"/>
                <w:highlight w:val="none"/>
              </w:rPr>
              <w:t>.00万元；</w:t>
            </w:r>
            <w:r>
              <w:rPr>
                <w:rFonts w:hint="eastAsia"/>
                <w:b/>
                <w:color w:val="auto"/>
                <w:szCs w:val="24"/>
                <w:highlight w:val="none"/>
                <w:lang w:eastAsia="zh-CN"/>
              </w:rPr>
              <w:t>标项（子包）</w:t>
            </w:r>
            <w:r>
              <w:rPr>
                <w:rFonts w:hint="eastAsia"/>
                <w:b/>
                <w:color w:val="auto"/>
                <w:szCs w:val="24"/>
                <w:highlight w:val="none"/>
                <w:lang w:val="en-US" w:eastAsia="zh-CN"/>
              </w:rPr>
              <w:t>四</w:t>
            </w:r>
            <w:r>
              <w:rPr>
                <w:rFonts w:hint="eastAsia"/>
                <w:b/>
                <w:color w:val="auto"/>
                <w:szCs w:val="24"/>
                <w:highlight w:val="none"/>
              </w:rPr>
              <w:t>单价</w:t>
            </w:r>
            <w:r>
              <w:rPr>
                <w:rFonts w:hint="eastAsia"/>
                <w:b/>
                <w:color w:val="auto"/>
                <w:szCs w:val="24"/>
                <w:highlight w:val="none"/>
                <w:lang w:val="en-US" w:eastAsia="zh-CN"/>
              </w:rPr>
              <w:t>70</w:t>
            </w:r>
            <w:r>
              <w:rPr>
                <w:rFonts w:hint="eastAsia"/>
                <w:b/>
                <w:color w:val="auto"/>
                <w:szCs w:val="24"/>
                <w:highlight w:val="none"/>
              </w:rPr>
              <w:t>万元/辆，总价</w:t>
            </w:r>
            <w:r>
              <w:rPr>
                <w:rFonts w:hint="eastAsia"/>
                <w:b/>
                <w:color w:val="auto"/>
                <w:szCs w:val="24"/>
                <w:highlight w:val="none"/>
                <w:lang w:val="en-US" w:eastAsia="zh-CN"/>
              </w:rPr>
              <w:t>560</w:t>
            </w:r>
            <w:r>
              <w:rPr>
                <w:rFonts w:hint="eastAsia"/>
                <w:b/>
                <w:color w:val="auto"/>
                <w:szCs w:val="24"/>
                <w:highlight w:val="none"/>
              </w:rPr>
              <w:t>.00万元；供应商投标报价超过上述规定的单价和总价的，其投标将做无效标处理。</w:t>
            </w:r>
          </w:p>
          <w:p w14:paraId="33D91E7A">
            <w:pPr>
              <w:spacing w:line="340" w:lineRule="exact"/>
              <w:ind w:left="-108" w:right="-113"/>
              <w:contextualSpacing/>
              <w:jc w:val="left"/>
              <w:rPr>
                <w:color w:val="auto"/>
                <w:szCs w:val="24"/>
                <w:highlight w:val="none"/>
              </w:rPr>
            </w:pPr>
            <w:r>
              <w:rPr>
                <w:rFonts w:hint="eastAsia"/>
                <w:color w:val="auto"/>
                <w:szCs w:val="24"/>
                <w:highlight w:val="none"/>
              </w:rPr>
              <w:t>4、投标报价是履行合同的最终价格，应包括货物原价、货物运至项目现场的运输费、装卸费、保管费、保险费、培训费、售后服务、利润、税金等一切与本次采购相关的费用。</w:t>
            </w:r>
          </w:p>
          <w:p w14:paraId="5C0D29ED">
            <w:pPr>
              <w:spacing w:line="340" w:lineRule="exact"/>
              <w:ind w:left="-108" w:right="-113"/>
              <w:contextualSpacing/>
              <w:jc w:val="left"/>
              <w:rPr>
                <w:color w:val="auto"/>
                <w:szCs w:val="24"/>
                <w:highlight w:val="none"/>
              </w:rPr>
            </w:pPr>
            <w:r>
              <w:rPr>
                <w:rFonts w:hint="eastAsia"/>
                <w:color w:val="auto"/>
                <w:szCs w:val="24"/>
                <w:highlight w:val="none"/>
              </w:rPr>
              <w:t>5、采购数量：</w:t>
            </w:r>
            <w:r>
              <w:rPr>
                <w:rFonts w:hint="eastAsia"/>
                <w:color w:val="auto"/>
                <w:szCs w:val="24"/>
                <w:highlight w:val="none"/>
                <w:lang w:eastAsia="zh-CN"/>
              </w:rPr>
              <w:t>标项（子包）</w:t>
            </w:r>
            <w:r>
              <w:rPr>
                <w:rFonts w:hint="eastAsia"/>
                <w:color w:val="auto"/>
                <w:szCs w:val="24"/>
                <w:highlight w:val="none"/>
              </w:rPr>
              <w:t>一</w:t>
            </w:r>
            <w:r>
              <w:rPr>
                <w:rFonts w:hint="eastAsia"/>
                <w:color w:val="auto"/>
                <w:szCs w:val="24"/>
                <w:highlight w:val="none"/>
                <w:lang w:val="en-US" w:eastAsia="zh-CN"/>
              </w:rPr>
              <w:t>17</w:t>
            </w:r>
            <w:r>
              <w:rPr>
                <w:rFonts w:hint="eastAsia"/>
                <w:color w:val="auto"/>
                <w:szCs w:val="24"/>
                <w:highlight w:val="none"/>
              </w:rPr>
              <w:t>辆，</w:t>
            </w:r>
            <w:r>
              <w:rPr>
                <w:rFonts w:hint="eastAsia"/>
                <w:color w:val="auto"/>
                <w:szCs w:val="24"/>
                <w:highlight w:val="none"/>
                <w:lang w:eastAsia="zh-CN"/>
              </w:rPr>
              <w:t>标项（子包）</w:t>
            </w:r>
            <w:r>
              <w:rPr>
                <w:rFonts w:hint="eastAsia"/>
                <w:color w:val="auto"/>
                <w:szCs w:val="24"/>
                <w:highlight w:val="none"/>
              </w:rPr>
              <w:t>二</w:t>
            </w:r>
            <w:r>
              <w:rPr>
                <w:rFonts w:hint="eastAsia"/>
                <w:color w:val="auto"/>
                <w:szCs w:val="24"/>
                <w:highlight w:val="none"/>
                <w:lang w:val="en-US" w:eastAsia="zh-CN"/>
              </w:rPr>
              <w:t>16</w:t>
            </w:r>
            <w:r>
              <w:rPr>
                <w:rFonts w:hint="eastAsia"/>
                <w:color w:val="auto"/>
                <w:szCs w:val="24"/>
                <w:highlight w:val="none"/>
              </w:rPr>
              <w:t>辆，</w:t>
            </w:r>
            <w:r>
              <w:rPr>
                <w:rFonts w:hint="eastAsia"/>
                <w:color w:val="auto"/>
                <w:szCs w:val="24"/>
                <w:highlight w:val="none"/>
                <w:lang w:eastAsia="zh-CN"/>
              </w:rPr>
              <w:t>标项（子包）</w:t>
            </w:r>
            <w:r>
              <w:rPr>
                <w:rFonts w:hint="eastAsia"/>
                <w:color w:val="auto"/>
                <w:szCs w:val="24"/>
                <w:highlight w:val="none"/>
              </w:rPr>
              <w:t>三</w:t>
            </w:r>
            <w:r>
              <w:rPr>
                <w:rFonts w:hint="eastAsia"/>
                <w:color w:val="auto"/>
                <w:szCs w:val="24"/>
                <w:highlight w:val="none"/>
                <w:lang w:val="en-US" w:eastAsia="zh-CN"/>
              </w:rPr>
              <w:t>1</w:t>
            </w:r>
            <w:r>
              <w:rPr>
                <w:rFonts w:hint="eastAsia"/>
                <w:color w:val="auto"/>
                <w:szCs w:val="24"/>
                <w:highlight w:val="none"/>
              </w:rPr>
              <w:t>辆，</w:t>
            </w:r>
            <w:r>
              <w:rPr>
                <w:rFonts w:hint="eastAsia"/>
                <w:color w:val="auto"/>
                <w:szCs w:val="24"/>
                <w:highlight w:val="none"/>
                <w:lang w:eastAsia="zh-CN"/>
              </w:rPr>
              <w:t>标项（子包）</w:t>
            </w:r>
            <w:r>
              <w:rPr>
                <w:rFonts w:hint="eastAsia"/>
                <w:color w:val="auto"/>
                <w:szCs w:val="24"/>
                <w:highlight w:val="none"/>
                <w:lang w:val="en-US" w:eastAsia="zh-CN"/>
              </w:rPr>
              <w:t>四8</w:t>
            </w:r>
            <w:r>
              <w:rPr>
                <w:rFonts w:hint="eastAsia"/>
                <w:color w:val="auto"/>
                <w:szCs w:val="24"/>
                <w:highlight w:val="none"/>
              </w:rPr>
              <w:t>辆</w:t>
            </w:r>
            <w:r>
              <w:rPr>
                <w:rFonts w:hint="eastAsia"/>
                <w:color w:val="auto"/>
                <w:szCs w:val="24"/>
                <w:highlight w:val="none"/>
                <w:lang w:eastAsia="zh-CN"/>
              </w:rPr>
              <w:t>，</w:t>
            </w:r>
            <w:r>
              <w:rPr>
                <w:rFonts w:hint="eastAsia"/>
                <w:color w:val="auto"/>
                <w:szCs w:val="24"/>
                <w:highlight w:val="none"/>
              </w:rPr>
              <w:t>具体以采购人书面通知要求交付的数量为准（自接到通知之日起</w:t>
            </w:r>
            <w:r>
              <w:rPr>
                <w:rFonts w:hint="eastAsia"/>
                <w:color w:val="auto"/>
                <w:szCs w:val="24"/>
                <w:highlight w:val="none"/>
                <w:lang w:val="en-US" w:eastAsia="zh-CN"/>
              </w:rPr>
              <w:t>40</w:t>
            </w:r>
            <w:r>
              <w:rPr>
                <w:rFonts w:hint="eastAsia"/>
                <w:color w:val="auto"/>
                <w:szCs w:val="24"/>
                <w:highlight w:val="none"/>
              </w:rPr>
              <w:t>个日历天交车），结算时按实际交付数量和中标单价结算，供应商不得有异议，不得以实际交付数量和本采购文件内所述的采购数量不符为由提出索赔。</w:t>
            </w:r>
          </w:p>
        </w:tc>
      </w:tr>
      <w:tr w14:paraId="167951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1" w:hRule="atLeast"/>
          <w:jc w:val="center"/>
        </w:trPr>
        <w:tc>
          <w:tcPr>
            <w:tcW w:w="714" w:type="dxa"/>
            <w:vAlign w:val="center"/>
          </w:tcPr>
          <w:p w14:paraId="1617A973">
            <w:pPr>
              <w:spacing w:line="340" w:lineRule="exact"/>
              <w:ind w:left="-108" w:right="-113"/>
              <w:contextualSpacing/>
              <w:jc w:val="center"/>
              <w:rPr>
                <w:color w:val="auto"/>
                <w:szCs w:val="24"/>
                <w:highlight w:val="none"/>
              </w:rPr>
            </w:pPr>
            <w:r>
              <w:rPr>
                <w:rFonts w:hint="eastAsia"/>
                <w:color w:val="auto"/>
                <w:szCs w:val="24"/>
                <w:highlight w:val="none"/>
              </w:rPr>
              <w:t>2.4</w:t>
            </w:r>
          </w:p>
        </w:tc>
        <w:tc>
          <w:tcPr>
            <w:tcW w:w="8544" w:type="dxa"/>
            <w:vAlign w:val="center"/>
          </w:tcPr>
          <w:p w14:paraId="26C96272">
            <w:pPr>
              <w:spacing w:line="340" w:lineRule="exact"/>
              <w:ind w:left="-108" w:right="-113"/>
              <w:contextualSpacing/>
              <w:jc w:val="left"/>
              <w:rPr>
                <w:color w:val="auto"/>
                <w:szCs w:val="24"/>
                <w:highlight w:val="none"/>
              </w:rPr>
            </w:pPr>
            <w:r>
              <w:rPr>
                <w:rFonts w:hint="eastAsia"/>
                <w:color w:val="auto"/>
                <w:szCs w:val="24"/>
                <w:highlight w:val="none"/>
              </w:rPr>
              <w:t>投标货币：人民币</w:t>
            </w:r>
          </w:p>
        </w:tc>
      </w:tr>
      <w:tr w14:paraId="674FCA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9258" w:type="dxa"/>
            <w:gridSpan w:val="2"/>
            <w:vAlign w:val="center"/>
          </w:tcPr>
          <w:p w14:paraId="14A7A98C">
            <w:pPr>
              <w:spacing w:line="340" w:lineRule="exact"/>
              <w:ind w:left="-108" w:right="-113"/>
              <w:contextualSpacing/>
              <w:jc w:val="center"/>
              <w:rPr>
                <w:color w:val="auto"/>
                <w:szCs w:val="24"/>
                <w:highlight w:val="none"/>
              </w:rPr>
            </w:pPr>
            <w:r>
              <w:rPr>
                <w:rFonts w:hint="eastAsia"/>
                <w:color w:val="auto"/>
                <w:szCs w:val="24"/>
                <w:highlight w:val="none"/>
              </w:rPr>
              <w:t>投标书的编制和递交</w:t>
            </w:r>
          </w:p>
        </w:tc>
      </w:tr>
      <w:tr w14:paraId="502A2F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3" w:hRule="atLeast"/>
          <w:jc w:val="center"/>
        </w:trPr>
        <w:tc>
          <w:tcPr>
            <w:tcW w:w="714" w:type="dxa"/>
            <w:vAlign w:val="center"/>
          </w:tcPr>
          <w:p w14:paraId="6C216D54">
            <w:pPr>
              <w:spacing w:line="340" w:lineRule="exact"/>
              <w:ind w:left="-108" w:right="-113"/>
              <w:contextualSpacing/>
              <w:jc w:val="center"/>
              <w:rPr>
                <w:color w:val="auto"/>
                <w:szCs w:val="24"/>
                <w:highlight w:val="none"/>
              </w:rPr>
            </w:pPr>
            <w:r>
              <w:rPr>
                <w:rFonts w:hint="eastAsia"/>
                <w:color w:val="auto"/>
                <w:szCs w:val="24"/>
                <w:highlight w:val="none"/>
              </w:rPr>
              <w:t>2.5</w:t>
            </w:r>
          </w:p>
        </w:tc>
        <w:tc>
          <w:tcPr>
            <w:tcW w:w="8544" w:type="dxa"/>
            <w:vAlign w:val="center"/>
          </w:tcPr>
          <w:p w14:paraId="13C23AB6">
            <w:pPr>
              <w:tabs>
                <w:tab w:val="left" w:pos="426"/>
              </w:tabs>
              <w:spacing w:line="440" w:lineRule="exact"/>
              <w:contextualSpacing/>
              <w:rPr>
                <w:color w:val="auto"/>
                <w:szCs w:val="24"/>
                <w:highlight w:val="none"/>
              </w:rPr>
            </w:pPr>
            <w:r>
              <w:rPr>
                <w:rFonts w:hint="eastAsia"/>
                <w:color w:val="auto"/>
                <w:szCs w:val="24"/>
                <w:highlight w:val="none"/>
              </w:rPr>
              <w:t>本次采购对合格的投标人的专门规定与审查方法：</w:t>
            </w:r>
          </w:p>
          <w:p w14:paraId="1F5D7F98">
            <w:pPr>
              <w:tabs>
                <w:tab w:val="left" w:pos="426"/>
              </w:tabs>
              <w:spacing w:line="440" w:lineRule="exact"/>
              <w:contextualSpacing/>
              <w:rPr>
                <w:color w:val="auto"/>
                <w:szCs w:val="24"/>
                <w:highlight w:val="none"/>
              </w:rPr>
            </w:pPr>
            <w:r>
              <w:rPr>
                <w:rFonts w:hint="eastAsia"/>
                <w:color w:val="auto"/>
                <w:szCs w:val="24"/>
                <w:highlight w:val="none"/>
              </w:rPr>
              <w:t>投标人资格要求：详见本采购文件第一章。</w:t>
            </w:r>
          </w:p>
          <w:p w14:paraId="36C1BA45">
            <w:pPr>
              <w:tabs>
                <w:tab w:val="left" w:pos="426"/>
              </w:tabs>
              <w:spacing w:line="440" w:lineRule="exact"/>
              <w:contextualSpacing/>
              <w:rPr>
                <w:color w:val="auto"/>
                <w:szCs w:val="24"/>
                <w:highlight w:val="none"/>
              </w:rPr>
            </w:pPr>
            <w:r>
              <w:rPr>
                <w:rFonts w:hint="eastAsia"/>
                <w:color w:val="auto"/>
                <w:szCs w:val="24"/>
                <w:highlight w:val="none"/>
              </w:rPr>
              <w:t>资格审查：资格后审。</w:t>
            </w:r>
          </w:p>
          <w:p w14:paraId="35708170">
            <w:pPr>
              <w:tabs>
                <w:tab w:val="left" w:pos="426"/>
              </w:tabs>
              <w:spacing w:line="440" w:lineRule="exact"/>
              <w:contextualSpacing/>
              <w:rPr>
                <w:color w:val="auto"/>
                <w:szCs w:val="24"/>
                <w:highlight w:val="none"/>
              </w:rPr>
            </w:pPr>
            <w:r>
              <w:rPr>
                <w:rFonts w:hint="eastAsia"/>
                <w:b/>
                <w:color w:val="auto"/>
                <w:szCs w:val="24"/>
                <w:highlight w:val="none"/>
              </w:rPr>
              <w:t>投标供应商</w:t>
            </w:r>
            <w:r>
              <w:rPr>
                <w:rFonts w:hint="eastAsia" w:ascii="宋体" w:hAnsi="宋体" w:cs="Arial"/>
                <w:b/>
                <w:color w:val="auto"/>
                <w:kern w:val="0"/>
                <w:szCs w:val="21"/>
                <w:highlight w:val="none"/>
              </w:rPr>
              <w:t>为代理商的，提供的制造商针对本项目的唯一授权函范围仅限本次采购的货物标的，后续的技术协议等由采购人和制造商协商签订。允许同一代理商在不同</w:t>
            </w:r>
            <w:r>
              <w:rPr>
                <w:rFonts w:hint="eastAsia" w:ascii="宋体" w:hAnsi="宋体" w:cs="Arial"/>
                <w:b/>
                <w:color w:val="auto"/>
                <w:kern w:val="0"/>
                <w:szCs w:val="21"/>
                <w:highlight w:val="none"/>
                <w:lang w:eastAsia="zh-CN"/>
              </w:rPr>
              <w:t>标项（子包）</w:t>
            </w:r>
            <w:r>
              <w:rPr>
                <w:rFonts w:hint="eastAsia" w:ascii="宋体" w:hAnsi="宋体" w:cs="Arial"/>
                <w:b/>
                <w:color w:val="auto"/>
                <w:kern w:val="0"/>
                <w:szCs w:val="21"/>
                <w:highlight w:val="none"/>
              </w:rPr>
              <w:t>代理不同品牌，但不得在同一</w:t>
            </w:r>
            <w:r>
              <w:rPr>
                <w:rFonts w:hint="eastAsia" w:ascii="宋体" w:hAnsi="宋体" w:cs="Arial"/>
                <w:b/>
                <w:color w:val="auto"/>
                <w:kern w:val="0"/>
                <w:szCs w:val="21"/>
                <w:highlight w:val="none"/>
                <w:lang w:eastAsia="zh-CN"/>
              </w:rPr>
              <w:t>标项（子包）</w:t>
            </w:r>
            <w:r>
              <w:rPr>
                <w:rFonts w:hint="eastAsia" w:ascii="宋体" w:hAnsi="宋体" w:cs="Arial"/>
                <w:b/>
                <w:color w:val="auto"/>
                <w:kern w:val="0"/>
                <w:szCs w:val="21"/>
                <w:highlight w:val="none"/>
              </w:rPr>
              <w:t>中同时代理2个以上品牌。</w:t>
            </w:r>
          </w:p>
        </w:tc>
      </w:tr>
      <w:tr w14:paraId="5AEDAE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42" w:hRule="atLeast"/>
          <w:jc w:val="center"/>
        </w:trPr>
        <w:tc>
          <w:tcPr>
            <w:tcW w:w="714" w:type="dxa"/>
            <w:vAlign w:val="center"/>
          </w:tcPr>
          <w:p w14:paraId="23B9715C">
            <w:pPr>
              <w:spacing w:line="340" w:lineRule="exact"/>
              <w:ind w:left="-108" w:right="-113"/>
              <w:contextualSpacing/>
              <w:jc w:val="center"/>
              <w:rPr>
                <w:color w:val="auto"/>
                <w:szCs w:val="24"/>
                <w:highlight w:val="none"/>
              </w:rPr>
            </w:pPr>
            <w:r>
              <w:rPr>
                <w:rFonts w:hint="eastAsia"/>
                <w:color w:val="auto"/>
                <w:szCs w:val="24"/>
                <w:highlight w:val="none"/>
              </w:rPr>
              <w:t>2.6</w:t>
            </w:r>
          </w:p>
        </w:tc>
        <w:tc>
          <w:tcPr>
            <w:tcW w:w="8544" w:type="dxa"/>
            <w:vAlign w:val="center"/>
          </w:tcPr>
          <w:p w14:paraId="095F40D8">
            <w:pPr>
              <w:spacing w:line="440" w:lineRule="exact"/>
              <w:contextualSpacing/>
              <w:rPr>
                <w:color w:val="auto"/>
                <w:szCs w:val="24"/>
                <w:highlight w:val="none"/>
              </w:rPr>
            </w:pPr>
            <w:r>
              <w:rPr>
                <w:rFonts w:hint="eastAsia"/>
                <w:color w:val="auto"/>
                <w:szCs w:val="24"/>
                <w:highlight w:val="none"/>
              </w:rPr>
              <w:t>投标有效期： 90天</w:t>
            </w:r>
          </w:p>
        </w:tc>
      </w:tr>
      <w:tr w14:paraId="10A17A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42" w:hRule="atLeast"/>
          <w:jc w:val="center"/>
        </w:trPr>
        <w:tc>
          <w:tcPr>
            <w:tcW w:w="714" w:type="dxa"/>
            <w:vAlign w:val="center"/>
          </w:tcPr>
          <w:p w14:paraId="70906E54">
            <w:pPr>
              <w:spacing w:line="340" w:lineRule="exact"/>
              <w:ind w:left="-108" w:right="-113"/>
              <w:contextualSpacing/>
              <w:jc w:val="center"/>
              <w:rPr>
                <w:color w:val="auto"/>
                <w:szCs w:val="24"/>
                <w:highlight w:val="none"/>
              </w:rPr>
            </w:pPr>
            <w:r>
              <w:rPr>
                <w:rFonts w:hint="eastAsia"/>
                <w:color w:val="auto"/>
                <w:szCs w:val="24"/>
                <w:highlight w:val="none"/>
              </w:rPr>
              <w:t>2.7</w:t>
            </w:r>
          </w:p>
        </w:tc>
        <w:tc>
          <w:tcPr>
            <w:tcW w:w="8544" w:type="dxa"/>
            <w:vAlign w:val="center"/>
          </w:tcPr>
          <w:p w14:paraId="0489583E">
            <w:pPr>
              <w:autoSpaceDE w:val="0"/>
              <w:autoSpaceDN w:val="0"/>
              <w:snapToGrid w:val="0"/>
              <w:spacing w:line="400" w:lineRule="exact"/>
              <w:contextualSpacing/>
              <w:rPr>
                <w:color w:val="auto"/>
                <w:szCs w:val="24"/>
                <w:highlight w:val="none"/>
              </w:rPr>
            </w:pPr>
            <w:r>
              <w:rPr>
                <w:rFonts w:hint="eastAsia"/>
                <w:color w:val="auto"/>
                <w:szCs w:val="24"/>
                <w:highlight w:val="none"/>
              </w:rPr>
              <w:t>投标文件的编制：</w:t>
            </w:r>
          </w:p>
          <w:p w14:paraId="6294081E">
            <w:pPr>
              <w:spacing w:line="440" w:lineRule="exact"/>
              <w:rPr>
                <w:color w:val="auto"/>
                <w:szCs w:val="24"/>
                <w:highlight w:val="none"/>
              </w:rPr>
            </w:pPr>
            <w:r>
              <w:rPr>
                <w:rFonts w:hint="eastAsia"/>
                <w:color w:val="auto"/>
                <w:szCs w:val="24"/>
                <w:highlight w:val="none"/>
              </w:rPr>
              <w:t>本项目实行网上投标，供应商应按</w:t>
            </w:r>
            <w:r>
              <w:rPr>
                <w:rFonts w:hint="eastAsia"/>
                <w:color w:val="auto"/>
                <w:szCs w:val="24"/>
                <w:highlight w:val="none"/>
                <w:lang w:eastAsia="zh-CN"/>
              </w:rPr>
              <w:t>标项（子包）</w:t>
            </w:r>
            <w:r>
              <w:rPr>
                <w:rFonts w:hint="eastAsia"/>
                <w:color w:val="auto"/>
                <w:szCs w:val="24"/>
                <w:highlight w:val="none"/>
              </w:rPr>
              <w:t>准备以下投标文件：</w:t>
            </w:r>
          </w:p>
          <w:p w14:paraId="0701B70A">
            <w:pPr>
              <w:spacing w:line="440" w:lineRule="exact"/>
              <w:rPr>
                <w:color w:val="auto"/>
                <w:szCs w:val="24"/>
                <w:highlight w:val="none"/>
              </w:rPr>
            </w:pPr>
            <w:r>
              <w:rPr>
                <w:rFonts w:hint="eastAsia"/>
                <w:color w:val="auto"/>
                <w:szCs w:val="24"/>
                <w:highlight w:val="none"/>
              </w:rPr>
              <w:t>（1）上传到浙江国企采购乐彩云平台的电子投标文件1份，</w:t>
            </w:r>
            <w:r>
              <w:rPr>
                <w:rFonts w:hint="eastAsia" w:ascii="宋体" w:hAnsi="宋体" w:cs="宋体"/>
                <w:color w:val="auto"/>
                <w:szCs w:val="21"/>
                <w:highlight w:val="none"/>
              </w:rPr>
              <w:t>由</w:t>
            </w:r>
            <w:r>
              <w:rPr>
                <w:rFonts w:hint="eastAsia" w:ascii="宋体" w:hAnsi="宋体" w:cs="宋体"/>
                <w:b/>
                <w:color w:val="auto"/>
                <w:szCs w:val="21"/>
                <w:highlight w:val="none"/>
                <w:u w:val="single"/>
              </w:rPr>
              <w:t>资格证明文件</w:t>
            </w:r>
            <w:r>
              <w:rPr>
                <w:rFonts w:hint="eastAsia" w:ascii="宋体" w:hAnsi="宋体" w:cs="宋体"/>
                <w:b/>
                <w:bCs/>
                <w:color w:val="auto"/>
                <w:szCs w:val="21"/>
                <w:highlight w:val="none"/>
                <w:u w:val="single"/>
              </w:rPr>
              <w:t>、</w:t>
            </w:r>
            <w:r>
              <w:rPr>
                <w:rFonts w:hint="eastAsia" w:ascii="宋体" w:hAnsi="宋体" w:cs="宋体"/>
                <w:b/>
                <w:color w:val="auto"/>
                <w:szCs w:val="21"/>
                <w:highlight w:val="none"/>
                <w:u w:val="single"/>
              </w:rPr>
              <w:t>报价文件、</w:t>
            </w:r>
            <w:r>
              <w:rPr>
                <w:rFonts w:hint="eastAsia" w:ascii="宋体" w:hAnsi="宋体" w:cs="宋体"/>
                <w:b/>
                <w:bCs/>
                <w:color w:val="auto"/>
                <w:szCs w:val="21"/>
                <w:highlight w:val="none"/>
                <w:u w:val="single"/>
              </w:rPr>
              <w:t>技术商务文件</w:t>
            </w:r>
            <w:r>
              <w:rPr>
                <w:rFonts w:hint="eastAsia" w:ascii="宋体" w:hAnsi="宋体" w:cs="宋体"/>
                <w:color w:val="auto"/>
                <w:szCs w:val="21"/>
                <w:highlight w:val="none"/>
              </w:rPr>
              <w:t>组成</w:t>
            </w:r>
            <w:r>
              <w:rPr>
                <w:rFonts w:hint="eastAsia"/>
                <w:color w:val="auto"/>
                <w:szCs w:val="24"/>
                <w:highlight w:val="none"/>
              </w:rPr>
              <w:t>。</w:t>
            </w:r>
          </w:p>
          <w:p w14:paraId="32817D68">
            <w:pPr>
              <w:spacing w:line="440" w:lineRule="exact"/>
              <w:rPr>
                <w:color w:val="auto"/>
                <w:szCs w:val="24"/>
                <w:highlight w:val="none"/>
              </w:rPr>
            </w:pPr>
            <w:r>
              <w:rPr>
                <w:rFonts w:hint="eastAsia"/>
                <w:color w:val="auto"/>
                <w:szCs w:val="24"/>
                <w:highlight w:val="none"/>
              </w:rPr>
              <w:t>（2）以U盘存储的电子备份投标文件1份，</w:t>
            </w:r>
            <w:r>
              <w:rPr>
                <w:rFonts w:hint="eastAsia" w:ascii="宋体" w:hAnsi="宋体" w:cs="宋体"/>
                <w:color w:val="auto"/>
                <w:szCs w:val="21"/>
                <w:highlight w:val="none"/>
              </w:rPr>
              <w:t>由</w:t>
            </w:r>
            <w:r>
              <w:rPr>
                <w:rFonts w:hint="eastAsia" w:ascii="宋体" w:hAnsi="宋体" w:cs="宋体"/>
                <w:b/>
                <w:color w:val="auto"/>
                <w:szCs w:val="21"/>
                <w:highlight w:val="none"/>
                <w:u w:val="single"/>
              </w:rPr>
              <w:t>资格证明文件</w:t>
            </w:r>
            <w:r>
              <w:rPr>
                <w:rFonts w:hint="eastAsia" w:ascii="宋体" w:hAnsi="宋体" w:cs="宋体"/>
                <w:b/>
                <w:bCs/>
                <w:color w:val="auto"/>
                <w:szCs w:val="21"/>
                <w:highlight w:val="none"/>
                <w:u w:val="single"/>
              </w:rPr>
              <w:t>、</w:t>
            </w:r>
            <w:r>
              <w:rPr>
                <w:rFonts w:hint="eastAsia" w:ascii="宋体" w:hAnsi="宋体" w:cs="宋体"/>
                <w:b/>
                <w:color w:val="auto"/>
                <w:szCs w:val="21"/>
                <w:highlight w:val="none"/>
                <w:u w:val="single"/>
              </w:rPr>
              <w:t>报价文件、</w:t>
            </w:r>
            <w:r>
              <w:rPr>
                <w:rFonts w:hint="eastAsia" w:ascii="宋体" w:hAnsi="宋体" w:cs="宋体"/>
                <w:b/>
                <w:bCs/>
                <w:color w:val="auto"/>
                <w:szCs w:val="21"/>
                <w:highlight w:val="none"/>
                <w:u w:val="single"/>
              </w:rPr>
              <w:t>技术商务文件</w:t>
            </w:r>
            <w:r>
              <w:rPr>
                <w:rFonts w:hint="eastAsia" w:ascii="宋体" w:hAnsi="宋体" w:cs="宋体"/>
                <w:color w:val="auto"/>
                <w:szCs w:val="21"/>
                <w:highlight w:val="none"/>
              </w:rPr>
              <w:t>组成</w:t>
            </w:r>
            <w:r>
              <w:rPr>
                <w:rFonts w:hint="eastAsia"/>
                <w:color w:val="auto"/>
                <w:szCs w:val="24"/>
                <w:highlight w:val="none"/>
              </w:rPr>
              <w:t>。</w:t>
            </w:r>
          </w:p>
          <w:p w14:paraId="1B0418B2">
            <w:pPr>
              <w:autoSpaceDE w:val="0"/>
              <w:autoSpaceDN w:val="0"/>
              <w:snapToGrid w:val="0"/>
              <w:spacing w:line="400" w:lineRule="exact"/>
              <w:contextualSpacing/>
              <w:rPr>
                <w:rFonts w:ascii="宋体" w:hAnsi="宋体" w:cs="宋体"/>
                <w:color w:val="auto"/>
                <w:highlight w:val="none"/>
              </w:rPr>
            </w:pPr>
            <w:r>
              <w:rPr>
                <w:rFonts w:hint="eastAsia"/>
                <w:color w:val="auto"/>
                <w:szCs w:val="24"/>
                <w:highlight w:val="none"/>
              </w:rPr>
              <w:t>上传到浙江国企采购乐彩云平台的电子投标文件、以U盘存储的电子备份投标文件内容须保持一致。上传到浙江国企采购乐彩云平台的电子投标文件</w:t>
            </w:r>
            <w:r>
              <w:rPr>
                <w:rFonts w:hint="eastAsia" w:ascii="宋体" w:hAnsi="宋体" w:cs="宋体"/>
                <w:color w:val="auto"/>
                <w:highlight w:val="none"/>
              </w:rPr>
              <w:t>供应商应根据“乐采云供应商项目采购-电子招投标操作指南”及本采购文件规定的格式和顺序编制电子投标文件并进行关联定位。</w:t>
            </w:r>
          </w:p>
          <w:p w14:paraId="7E63BADD">
            <w:pPr>
              <w:autoSpaceDE w:val="0"/>
              <w:autoSpaceDN w:val="0"/>
              <w:snapToGrid w:val="0"/>
              <w:spacing w:line="400" w:lineRule="exact"/>
              <w:contextualSpacing/>
              <w:rPr>
                <w:color w:val="auto"/>
                <w:szCs w:val="24"/>
                <w:highlight w:val="none"/>
              </w:rPr>
            </w:pPr>
            <w:r>
              <w:rPr>
                <w:rFonts w:hint="eastAsia"/>
                <w:color w:val="auto"/>
                <w:szCs w:val="24"/>
                <w:highlight w:val="none"/>
              </w:rPr>
              <w:t>U盘存储的电子备份投标文件单独装袋按要求密封做好标记。</w:t>
            </w:r>
          </w:p>
          <w:p w14:paraId="0212BDFD">
            <w:pPr>
              <w:autoSpaceDE w:val="0"/>
              <w:autoSpaceDN w:val="0"/>
              <w:snapToGrid w:val="0"/>
              <w:spacing w:line="400" w:lineRule="exact"/>
              <w:contextualSpacing/>
              <w:rPr>
                <w:color w:val="auto"/>
                <w:szCs w:val="24"/>
                <w:highlight w:val="none"/>
              </w:rPr>
            </w:pPr>
            <w:r>
              <w:rPr>
                <w:color w:val="auto"/>
                <w:szCs w:val="24"/>
                <w:highlight w:val="none"/>
              </w:rPr>
              <w:t>中标供应商在中标通知书领取之前需向招标代理机构另外再提供纸质版投标文件</w:t>
            </w:r>
            <w:r>
              <w:rPr>
                <w:rFonts w:hint="eastAsia"/>
                <w:color w:val="auto"/>
                <w:szCs w:val="24"/>
                <w:highlight w:val="none"/>
              </w:rPr>
              <w:t>1正2副。</w:t>
            </w:r>
          </w:p>
        </w:tc>
      </w:tr>
      <w:tr w14:paraId="30FB6A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21" w:hRule="atLeast"/>
          <w:jc w:val="center"/>
        </w:trPr>
        <w:tc>
          <w:tcPr>
            <w:tcW w:w="714" w:type="dxa"/>
            <w:vAlign w:val="center"/>
          </w:tcPr>
          <w:p w14:paraId="5CDA0BB4">
            <w:pPr>
              <w:spacing w:line="340" w:lineRule="exact"/>
              <w:ind w:left="-108" w:right="-113"/>
              <w:contextualSpacing/>
              <w:jc w:val="center"/>
              <w:rPr>
                <w:color w:val="auto"/>
                <w:szCs w:val="24"/>
                <w:highlight w:val="none"/>
              </w:rPr>
            </w:pPr>
            <w:r>
              <w:rPr>
                <w:rFonts w:hint="eastAsia"/>
                <w:color w:val="auto"/>
                <w:szCs w:val="24"/>
                <w:highlight w:val="none"/>
              </w:rPr>
              <w:t>★2.8</w:t>
            </w:r>
          </w:p>
        </w:tc>
        <w:tc>
          <w:tcPr>
            <w:tcW w:w="8544" w:type="dxa"/>
            <w:vAlign w:val="center"/>
          </w:tcPr>
          <w:p w14:paraId="6AB686DD">
            <w:pPr>
              <w:tabs>
                <w:tab w:val="left" w:pos="1580"/>
                <w:tab w:val="left" w:pos="3436"/>
                <w:tab w:val="left" w:pos="5512"/>
              </w:tabs>
              <w:spacing w:line="400" w:lineRule="exact"/>
              <w:ind w:left="21"/>
              <w:contextualSpacing/>
              <w:rPr>
                <w:rFonts w:ascii="宋体" w:hAnsi="宋体" w:cs="Arial"/>
                <w:color w:val="auto"/>
                <w:kern w:val="0"/>
                <w:szCs w:val="21"/>
                <w:highlight w:val="none"/>
              </w:rPr>
            </w:pPr>
            <w:r>
              <w:rPr>
                <w:rFonts w:hint="eastAsia" w:ascii="宋体" w:hAnsi="宋体" w:cs="Arial"/>
                <w:color w:val="auto"/>
                <w:kern w:val="0"/>
                <w:szCs w:val="21"/>
                <w:highlight w:val="none"/>
              </w:rPr>
              <w:t>投标保证金：</w:t>
            </w:r>
            <w:r>
              <w:rPr>
                <w:rFonts w:hint="eastAsia" w:ascii="宋体" w:hAnsi="宋体" w:cs="Arial"/>
                <w:color w:val="auto"/>
                <w:kern w:val="0"/>
                <w:szCs w:val="21"/>
                <w:highlight w:val="none"/>
                <w:lang w:eastAsia="zh-CN"/>
              </w:rPr>
              <w:t>标项（子包）</w:t>
            </w:r>
            <w:r>
              <w:rPr>
                <w:rFonts w:hint="eastAsia" w:ascii="宋体" w:hAnsi="宋体" w:cs="Arial"/>
                <w:color w:val="auto"/>
                <w:kern w:val="0"/>
                <w:szCs w:val="21"/>
                <w:highlight w:val="none"/>
              </w:rPr>
              <w:t>一人民币</w:t>
            </w:r>
            <w:r>
              <w:rPr>
                <w:rFonts w:hint="eastAsia" w:ascii="宋体" w:hAnsi="宋体" w:cs="Arial"/>
                <w:color w:val="auto"/>
                <w:kern w:val="0"/>
                <w:szCs w:val="21"/>
                <w:highlight w:val="none"/>
                <w:lang w:val="en-US" w:eastAsia="zh-CN"/>
              </w:rPr>
              <w:t>贰</w:t>
            </w:r>
            <w:r>
              <w:rPr>
                <w:rFonts w:hint="eastAsia" w:ascii="宋体" w:hAnsi="宋体" w:cs="Arial"/>
                <w:color w:val="auto"/>
                <w:kern w:val="0"/>
                <w:szCs w:val="21"/>
                <w:highlight w:val="none"/>
              </w:rPr>
              <w:t>拾万元整（￥</w:t>
            </w:r>
            <w:r>
              <w:rPr>
                <w:rFonts w:hint="eastAsia" w:ascii="宋体" w:hAnsi="宋体" w:cs="Arial"/>
                <w:color w:val="auto"/>
                <w:kern w:val="0"/>
                <w:szCs w:val="21"/>
                <w:highlight w:val="none"/>
                <w:lang w:val="en-US" w:eastAsia="zh-CN"/>
              </w:rPr>
              <w:t>2</w:t>
            </w:r>
            <w:r>
              <w:rPr>
                <w:rFonts w:hint="eastAsia" w:ascii="宋体" w:hAnsi="宋体" w:cs="Arial"/>
                <w:color w:val="auto"/>
                <w:kern w:val="0"/>
                <w:szCs w:val="21"/>
                <w:highlight w:val="none"/>
              </w:rPr>
              <w:t>00000.00），</w:t>
            </w:r>
            <w:r>
              <w:rPr>
                <w:rFonts w:hint="eastAsia" w:ascii="宋体" w:hAnsi="宋体" w:cs="Arial"/>
                <w:color w:val="auto"/>
                <w:kern w:val="0"/>
                <w:szCs w:val="21"/>
                <w:highlight w:val="none"/>
                <w:lang w:eastAsia="zh-CN"/>
              </w:rPr>
              <w:t>标项（子包）</w:t>
            </w:r>
            <w:r>
              <w:rPr>
                <w:rFonts w:hint="eastAsia" w:ascii="宋体" w:hAnsi="宋体" w:cs="Arial"/>
                <w:color w:val="auto"/>
                <w:kern w:val="0"/>
                <w:szCs w:val="21"/>
                <w:highlight w:val="none"/>
              </w:rPr>
              <w:t>二人民币</w:t>
            </w:r>
            <w:r>
              <w:rPr>
                <w:rFonts w:hint="eastAsia" w:ascii="宋体" w:hAnsi="宋体" w:cs="Arial"/>
                <w:color w:val="auto"/>
                <w:kern w:val="0"/>
                <w:szCs w:val="21"/>
                <w:highlight w:val="none"/>
                <w:lang w:val="en-US" w:eastAsia="zh-CN"/>
              </w:rPr>
              <w:t>壹</w:t>
            </w:r>
            <w:r>
              <w:rPr>
                <w:rFonts w:hint="eastAsia" w:ascii="宋体" w:hAnsi="宋体" w:cs="Arial"/>
                <w:color w:val="auto"/>
                <w:kern w:val="0"/>
                <w:szCs w:val="21"/>
                <w:highlight w:val="none"/>
              </w:rPr>
              <w:t>拾万元整（￥</w:t>
            </w:r>
            <w:r>
              <w:rPr>
                <w:rFonts w:hint="eastAsia" w:ascii="宋体" w:hAnsi="宋体" w:cs="Arial"/>
                <w:color w:val="auto"/>
                <w:kern w:val="0"/>
                <w:szCs w:val="21"/>
                <w:highlight w:val="none"/>
                <w:lang w:val="en-US" w:eastAsia="zh-CN"/>
              </w:rPr>
              <w:t>1</w:t>
            </w:r>
            <w:r>
              <w:rPr>
                <w:rFonts w:hint="eastAsia" w:ascii="宋体" w:hAnsi="宋体" w:cs="Arial"/>
                <w:color w:val="auto"/>
                <w:kern w:val="0"/>
                <w:szCs w:val="21"/>
                <w:highlight w:val="none"/>
              </w:rPr>
              <w:t>00000.00），</w:t>
            </w:r>
            <w:r>
              <w:rPr>
                <w:rFonts w:hint="eastAsia" w:ascii="宋体" w:hAnsi="宋体" w:cs="Arial"/>
                <w:color w:val="auto"/>
                <w:kern w:val="0"/>
                <w:szCs w:val="21"/>
                <w:highlight w:val="none"/>
                <w:lang w:eastAsia="zh-CN"/>
              </w:rPr>
              <w:t>标项（子包）</w:t>
            </w:r>
            <w:r>
              <w:rPr>
                <w:rFonts w:hint="eastAsia" w:ascii="宋体" w:hAnsi="宋体" w:cs="Arial"/>
                <w:color w:val="auto"/>
                <w:kern w:val="0"/>
                <w:szCs w:val="21"/>
                <w:highlight w:val="none"/>
              </w:rPr>
              <w:t>三人民币</w:t>
            </w:r>
            <w:r>
              <w:rPr>
                <w:rFonts w:hint="eastAsia" w:ascii="宋体" w:hAnsi="宋体" w:cs="Arial"/>
                <w:color w:val="auto"/>
                <w:kern w:val="0"/>
                <w:szCs w:val="21"/>
                <w:highlight w:val="none"/>
                <w:lang w:val="en-US" w:eastAsia="zh-CN"/>
              </w:rPr>
              <w:t>壹</w:t>
            </w:r>
            <w:r>
              <w:rPr>
                <w:rFonts w:hint="eastAsia" w:ascii="宋体" w:hAnsi="宋体" w:cs="Arial"/>
                <w:color w:val="auto"/>
                <w:kern w:val="0"/>
                <w:szCs w:val="21"/>
                <w:highlight w:val="none"/>
              </w:rPr>
              <w:t>万元整（￥</w:t>
            </w:r>
            <w:r>
              <w:rPr>
                <w:rFonts w:hint="eastAsia" w:ascii="宋体" w:hAnsi="宋体" w:cs="Arial"/>
                <w:color w:val="auto"/>
                <w:kern w:val="0"/>
                <w:szCs w:val="21"/>
                <w:highlight w:val="none"/>
                <w:lang w:val="en-US" w:eastAsia="zh-CN"/>
              </w:rPr>
              <w:t>1</w:t>
            </w:r>
            <w:r>
              <w:rPr>
                <w:rFonts w:hint="eastAsia" w:ascii="宋体" w:hAnsi="宋体" w:cs="Arial"/>
                <w:color w:val="auto"/>
                <w:kern w:val="0"/>
                <w:szCs w:val="21"/>
                <w:highlight w:val="none"/>
              </w:rPr>
              <w:t>0000.00），</w:t>
            </w:r>
            <w:r>
              <w:rPr>
                <w:rFonts w:hint="eastAsia" w:ascii="宋体" w:hAnsi="宋体" w:cs="Arial"/>
                <w:color w:val="auto"/>
                <w:kern w:val="0"/>
                <w:szCs w:val="21"/>
                <w:highlight w:val="none"/>
                <w:lang w:eastAsia="zh-CN"/>
              </w:rPr>
              <w:t>标项（子包）</w:t>
            </w:r>
            <w:r>
              <w:rPr>
                <w:rFonts w:hint="eastAsia" w:ascii="宋体" w:hAnsi="宋体" w:cs="Arial"/>
                <w:color w:val="auto"/>
                <w:kern w:val="0"/>
                <w:szCs w:val="21"/>
                <w:highlight w:val="none"/>
                <w:lang w:val="en-US" w:eastAsia="zh-CN"/>
              </w:rPr>
              <w:t>四</w:t>
            </w:r>
            <w:r>
              <w:rPr>
                <w:rFonts w:hint="eastAsia" w:ascii="宋体" w:hAnsi="宋体" w:cs="Arial"/>
                <w:color w:val="auto"/>
                <w:kern w:val="0"/>
                <w:szCs w:val="21"/>
                <w:highlight w:val="none"/>
              </w:rPr>
              <w:t>人民币</w:t>
            </w:r>
            <w:r>
              <w:rPr>
                <w:rFonts w:hint="eastAsia" w:ascii="宋体" w:hAnsi="宋体" w:cs="Arial"/>
                <w:color w:val="auto"/>
                <w:kern w:val="0"/>
                <w:szCs w:val="21"/>
                <w:highlight w:val="none"/>
                <w:lang w:val="en-US" w:eastAsia="zh-CN"/>
              </w:rPr>
              <w:t>壹</w:t>
            </w:r>
            <w:r>
              <w:rPr>
                <w:rFonts w:hint="eastAsia" w:ascii="宋体" w:hAnsi="宋体" w:cs="Arial"/>
                <w:color w:val="auto"/>
                <w:kern w:val="0"/>
                <w:szCs w:val="21"/>
                <w:highlight w:val="none"/>
              </w:rPr>
              <w:t>拾万元整（￥</w:t>
            </w:r>
            <w:r>
              <w:rPr>
                <w:rFonts w:hint="eastAsia" w:ascii="宋体" w:hAnsi="宋体" w:cs="Arial"/>
                <w:color w:val="auto"/>
                <w:kern w:val="0"/>
                <w:szCs w:val="21"/>
                <w:highlight w:val="none"/>
                <w:lang w:val="en-US" w:eastAsia="zh-CN"/>
              </w:rPr>
              <w:t>1</w:t>
            </w:r>
            <w:r>
              <w:rPr>
                <w:rFonts w:hint="eastAsia" w:ascii="宋体" w:hAnsi="宋体" w:cs="Arial"/>
                <w:color w:val="auto"/>
                <w:kern w:val="0"/>
                <w:szCs w:val="21"/>
                <w:highlight w:val="none"/>
              </w:rPr>
              <w:t>0</w:t>
            </w:r>
            <w:r>
              <w:rPr>
                <w:rFonts w:hint="eastAsia" w:ascii="宋体" w:hAnsi="宋体" w:cs="Arial"/>
                <w:color w:val="auto"/>
                <w:kern w:val="0"/>
                <w:szCs w:val="21"/>
                <w:highlight w:val="none"/>
                <w:lang w:val="en-US" w:eastAsia="zh-CN"/>
              </w:rPr>
              <w:t>0</w:t>
            </w:r>
            <w:r>
              <w:rPr>
                <w:rFonts w:hint="eastAsia" w:ascii="宋体" w:hAnsi="宋体" w:cs="Arial"/>
                <w:color w:val="auto"/>
                <w:kern w:val="0"/>
                <w:szCs w:val="21"/>
                <w:highlight w:val="none"/>
              </w:rPr>
              <w:t>000.00）。</w:t>
            </w:r>
          </w:p>
          <w:p w14:paraId="1A063832">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中标人的投标保证金在签订合同，在支付招标代理费后退还。未中标人的投标保证金在中标通知书发出之日起５个工作日内退还。</w:t>
            </w:r>
          </w:p>
          <w:p w14:paraId="4A052217">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投标保证金交纳形式：</w:t>
            </w:r>
            <w:r>
              <w:rPr>
                <w:rFonts w:hint="eastAsia"/>
                <w:color w:val="auto"/>
                <w:szCs w:val="24"/>
                <w:highlight w:val="none"/>
                <w:lang w:val="en-US" w:eastAsia="zh-CN"/>
              </w:rPr>
              <w:t>网银转账、</w:t>
            </w:r>
            <w:r>
              <w:rPr>
                <w:rFonts w:hint="eastAsia"/>
                <w:color w:val="auto"/>
                <w:szCs w:val="24"/>
                <w:highlight w:val="none"/>
              </w:rPr>
              <w:t>电汇、支票、汇票、本票等采购人认可的非现金形式。</w:t>
            </w:r>
          </w:p>
          <w:p w14:paraId="46BE8A75">
            <w:pPr>
              <w:spacing w:line="400" w:lineRule="exact"/>
              <w:contextualSpacing/>
              <w:rPr>
                <w:rFonts w:hint="eastAsia"/>
                <w:b/>
                <w:color w:val="auto"/>
                <w:highlight w:val="none"/>
              </w:rPr>
            </w:pPr>
            <w:r>
              <w:rPr>
                <w:rFonts w:hint="eastAsia"/>
                <w:b/>
                <w:color w:val="auto"/>
                <w:highlight w:val="none"/>
              </w:rPr>
              <w:t>投标保证金必须于</w:t>
            </w:r>
            <w:r>
              <w:rPr>
                <w:rFonts w:hint="eastAsia"/>
                <w:b/>
                <w:color w:val="auto"/>
                <w:highlight w:val="none"/>
                <w:lang w:eastAsia="zh-CN"/>
              </w:rPr>
              <w:t>2024年</w:t>
            </w:r>
            <w:r>
              <w:rPr>
                <w:rFonts w:hint="eastAsia"/>
                <w:b/>
                <w:color w:val="auto"/>
                <w:highlight w:val="none"/>
                <w:lang w:val="en-US" w:eastAsia="zh-CN"/>
              </w:rPr>
              <w:t>9</w:t>
            </w:r>
            <w:r>
              <w:rPr>
                <w:rFonts w:hint="eastAsia"/>
                <w:b/>
                <w:color w:val="auto"/>
                <w:highlight w:val="none"/>
              </w:rPr>
              <w:t>月</w:t>
            </w:r>
            <w:r>
              <w:rPr>
                <w:rFonts w:hint="eastAsia"/>
                <w:b/>
                <w:color w:val="auto"/>
                <w:highlight w:val="none"/>
                <w:lang w:val="en-US" w:eastAsia="zh-CN"/>
              </w:rPr>
              <w:t>23</w:t>
            </w:r>
            <w:r>
              <w:rPr>
                <w:rFonts w:hint="eastAsia"/>
                <w:b/>
                <w:color w:val="auto"/>
                <w:highlight w:val="none"/>
              </w:rPr>
              <w:t>日1</w:t>
            </w:r>
            <w:r>
              <w:rPr>
                <w:rFonts w:hint="eastAsia"/>
                <w:b/>
                <w:color w:val="auto"/>
                <w:highlight w:val="none"/>
                <w:lang w:val="en-US" w:eastAsia="zh-CN"/>
              </w:rPr>
              <w:t>7</w:t>
            </w:r>
            <w:r>
              <w:rPr>
                <w:rFonts w:hint="eastAsia"/>
                <w:b/>
                <w:color w:val="auto"/>
                <w:highlight w:val="none"/>
              </w:rPr>
              <w:t>：00前确认入账，未在上述时间内确认入账的投标人将被拒绝。</w:t>
            </w:r>
          </w:p>
          <w:p w14:paraId="0BCBEE41">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开户银行：中信银行宁波宁海支行</w:t>
            </w:r>
          </w:p>
          <w:p w14:paraId="09C46D7A">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户名：中冠工程管理咨询有限公司宁海分公司</w:t>
            </w:r>
          </w:p>
          <w:p w14:paraId="7B143FE7">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账号：8114701013500025347</w:t>
            </w:r>
          </w:p>
        </w:tc>
      </w:tr>
      <w:tr w14:paraId="4203A5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60" w:hRule="atLeast"/>
          <w:jc w:val="center"/>
        </w:trPr>
        <w:tc>
          <w:tcPr>
            <w:tcW w:w="9258" w:type="dxa"/>
            <w:gridSpan w:val="2"/>
            <w:vAlign w:val="center"/>
          </w:tcPr>
          <w:p w14:paraId="689A3722">
            <w:pPr>
              <w:spacing w:line="340" w:lineRule="exact"/>
              <w:ind w:left="-108" w:right="-113"/>
              <w:contextualSpacing/>
              <w:jc w:val="center"/>
              <w:rPr>
                <w:color w:val="auto"/>
                <w:szCs w:val="24"/>
                <w:highlight w:val="none"/>
              </w:rPr>
            </w:pPr>
            <w:r>
              <w:rPr>
                <w:rFonts w:hint="eastAsia"/>
                <w:color w:val="auto"/>
                <w:szCs w:val="24"/>
                <w:highlight w:val="none"/>
              </w:rPr>
              <w:t>合同条款资料</w:t>
            </w:r>
          </w:p>
        </w:tc>
      </w:tr>
      <w:tr w14:paraId="1D3AD0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7" w:hRule="atLeast"/>
          <w:jc w:val="center"/>
        </w:trPr>
        <w:tc>
          <w:tcPr>
            <w:tcW w:w="714" w:type="dxa"/>
            <w:vAlign w:val="center"/>
          </w:tcPr>
          <w:p w14:paraId="39AAA4AE">
            <w:pPr>
              <w:spacing w:line="340" w:lineRule="exact"/>
              <w:ind w:left="-108" w:right="-113"/>
              <w:contextualSpacing/>
              <w:jc w:val="center"/>
              <w:rPr>
                <w:color w:val="auto"/>
                <w:szCs w:val="24"/>
                <w:highlight w:val="none"/>
              </w:rPr>
            </w:pPr>
            <w:r>
              <w:rPr>
                <w:rFonts w:hint="eastAsia"/>
                <w:color w:val="auto"/>
                <w:szCs w:val="24"/>
                <w:highlight w:val="none"/>
              </w:rPr>
              <w:t>2.9</w:t>
            </w:r>
          </w:p>
        </w:tc>
        <w:tc>
          <w:tcPr>
            <w:tcW w:w="8544" w:type="dxa"/>
            <w:vAlign w:val="center"/>
          </w:tcPr>
          <w:p w14:paraId="0FAE0456">
            <w:pPr>
              <w:spacing w:line="340" w:lineRule="exact"/>
              <w:ind w:left="-108" w:right="-113"/>
              <w:contextualSpacing/>
              <w:jc w:val="left"/>
              <w:rPr>
                <w:color w:val="auto"/>
                <w:szCs w:val="24"/>
                <w:highlight w:val="none"/>
              </w:rPr>
            </w:pPr>
            <w:r>
              <w:rPr>
                <w:rFonts w:hint="eastAsia"/>
                <w:color w:val="auto"/>
                <w:szCs w:val="24"/>
                <w:highlight w:val="none"/>
              </w:rPr>
              <w:t>签订合同时间：中标通知书发出后30日内。</w:t>
            </w:r>
          </w:p>
        </w:tc>
      </w:tr>
      <w:tr w14:paraId="60FA20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1" w:hRule="atLeast"/>
          <w:jc w:val="center"/>
        </w:trPr>
        <w:tc>
          <w:tcPr>
            <w:tcW w:w="714" w:type="dxa"/>
            <w:vAlign w:val="center"/>
          </w:tcPr>
          <w:p w14:paraId="19A29FD0">
            <w:pPr>
              <w:spacing w:line="340" w:lineRule="exact"/>
              <w:ind w:left="-108" w:right="-113"/>
              <w:contextualSpacing/>
              <w:jc w:val="center"/>
              <w:rPr>
                <w:color w:val="auto"/>
                <w:szCs w:val="24"/>
                <w:highlight w:val="none"/>
              </w:rPr>
            </w:pPr>
            <w:r>
              <w:rPr>
                <w:rFonts w:hint="eastAsia"/>
                <w:color w:val="auto"/>
                <w:szCs w:val="24"/>
                <w:highlight w:val="none"/>
              </w:rPr>
              <w:t>★2.10</w:t>
            </w:r>
          </w:p>
        </w:tc>
        <w:tc>
          <w:tcPr>
            <w:tcW w:w="8544" w:type="dxa"/>
            <w:vAlign w:val="center"/>
          </w:tcPr>
          <w:p w14:paraId="2ACA4730">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付款方法和条件：</w:t>
            </w:r>
          </w:p>
          <w:p w14:paraId="57B7DC18">
            <w:pPr>
              <w:tabs>
                <w:tab w:val="left" w:pos="1580"/>
                <w:tab w:val="left" w:pos="3436"/>
                <w:tab w:val="left" w:pos="5512"/>
              </w:tabs>
              <w:spacing w:line="400" w:lineRule="exact"/>
              <w:ind w:left="21"/>
              <w:contextualSpacing/>
              <w:rPr>
                <w:color w:val="auto"/>
                <w:szCs w:val="24"/>
                <w:highlight w:val="none"/>
              </w:rPr>
            </w:pPr>
            <w:bookmarkStart w:id="126" w:name="_GoBack"/>
            <w:bookmarkEnd w:id="126"/>
            <w:r>
              <w:rPr>
                <w:color w:val="auto"/>
                <w:szCs w:val="24"/>
                <w:highlight w:val="none"/>
              </w:rPr>
              <w:t>1、中标人随货提交车辆的全额购车发票</w:t>
            </w:r>
            <w:r>
              <w:rPr>
                <w:rFonts w:hint="eastAsia"/>
                <w:color w:val="auto"/>
                <w:szCs w:val="24"/>
                <w:highlight w:val="none"/>
              </w:rPr>
              <w:t>，</w:t>
            </w:r>
            <w:r>
              <w:rPr>
                <w:color w:val="auto"/>
                <w:szCs w:val="24"/>
                <w:highlight w:val="none"/>
              </w:rPr>
              <w:t>采购人在货到验收合格上牌后</w:t>
            </w:r>
            <w:r>
              <w:rPr>
                <w:rFonts w:hint="eastAsia"/>
                <w:color w:val="auto"/>
                <w:szCs w:val="24"/>
                <w:highlight w:val="none"/>
              </w:rPr>
              <w:t>10个工作日内支付合同结算价的30%</w:t>
            </w:r>
            <w:r>
              <w:rPr>
                <w:color w:val="auto"/>
                <w:szCs w:val="24"/>
                <w:highlight w:val="none"/>
              </w:rPr>
              <w:t>；使用</w:t>
            </w:r>
            <w:r>
              <w:rPr>
                <w:rFonts w:hint="eastAsia"/>
                <w:color w:val="auto"/>
                <w:szCs w:val="24"/>
                <w:highlight w:val="none"/>
              </w:rPr>
              <w:t>叁个</w:t>
            </w:r>
            <w:r>
              <w:rPr>
                <w:color w:val="auto"/>
                <w:szCs w:val="24"/>
                <w:highlight w:val="none"/>
              </w:rPr>
              <w:t>月后车辆磨合期无重大质量问题</w:t>
            </w:r>
            <w:r>
              <w:rPr>
                <w:rFonts w:hint="eastAsia"/>
                <w:color w:val="auto"/>
                <w:szCs w:val="24"/>
                <w:highlight w:val="none"/>
              </w:rPr>
              <w:t>，</w:t>
            </w:r>
            <w:r>
              <w:rPr>
                <w:color w:val="auto"/>
                <w:szCs w:val="24"/>
                <w:highlight w:val="none"/>
              </w:rPr>
              <w:t>采购人在收到</w:t>
            </w:r>
            <w:r>
              <w:rPr>
                <w:rFonts w:hint="eastAsia"/>
                <w:color w:val="auto"/>
                <w:szCs w:val="24"/>
                <w:highlight w:val="none"/>
              </w:rPr>
              <w:t>中标人</w:t>
            </w:r>
            <w:r>
              <w:rPr>
                <w:color w:val="auto"/>
                <w:szCs w:val="24"/>
                <w:highlight w:val="none"/>
              </w:rPr>
              <w:t>开具的合同</w:t>
            </w:r>
            <w:r>
              <w:rPr>
                <w:rFonts w:hint="eastAsia"/>
                <w:color w:val="auto"/>
                <w:szCs w:val="24"/>
                <w:highlight w:val="none"/>
              </w:rPr>
              <w:t>结算价60</w:t>
            </w:r>
            <w:r>
              <w:rPr>
                <w:color w:val="auto"/>
                <w:szCs w:val="24"/>
                <w:highlight w:val="none"/>
              </w:rPr>
              <w:t>﹪的等额收据后，</w:t>
            </w:r>
            <w:r>
              <w:rPr>
                <w:rFonts w:hint="eastAsia"/>
                <w:color w:val="auto"/>
                <w:szCs w:val="24"/>
                <w:highlight w:val="none"/>
              </w:rPr>
              <w:t>10个工作日内支付收据金额。</w:t>
            </w:r>
          </w:p>
          <w:p w14:paraId="6A38F452">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2、整车质量保证期到期采购人确认无异议后，</w:t>
            </w:r>
            <w:r>
              <w:rPr>
                <w:color w:val="auto"/>
                <w:szCs w:val="24"/>
                <w:highlight w:val="none"/>
              </w:rPr>
              <w:t>采购人在收到</w:t>
            </w:r>
            <w:r>
              <w:rPr>
                <w:rFonts w:hint="eastAsia"/>
                <w:color w:val="auto"/>
                <w:szCs w:val="24"/>
                <w:highlight w:val="none"/>
              </w:rPr>
              <w:t>中标人</w:t>
            </w:r>
            <w:r>
              <w:rPr>
                <w:color w:val="auto"/>
                <w:szCs w:val="24"/>
                <w:highlight w:val="none"/>
              </w:rPr>
              <w:t>开具的合同</w:t>
            </w:r>
            <w:r>
              <w:rPr>
                <w:rFonts w:hint="eastAsia"/>
                <w:color w:val="auto"/>
                <w:szCs w:val="24"/>
                <w:highlight w:val="none"/>
              </w:rPr>
              <w:t>结算价5</w:t>
            </w:r>
            <w:r>
              <w:rPr>
                <w:color w:val="auto"/>
                <w:szCs w:val="24"/>
                <w:highlight w:val="none"/>
              </w:rPr>
              <w:t>﹪的等额收据后，</w:t>
            </w:r>
            <w:r>
              <w:rPr>
                <w:rFonts w:hint="eastAsia"/>
                <w:color w:val="auto"/>
                <w:szCs w:val="24"/>
                <w:highlight w:val="none"/>
              </w:rPr>
              <w:t>10个工作日内支付收据金额。</w:t>
            </w:r>
          </w:p>
          <w:p w14:paraId="56E0FEAC">
            <w:pPr>
              <w:spacing w:line="360" w:lineRule="auto"/>
              <w:rPr>
                <w:rFonts w:hint="eastAsia" w:ascii="宋体" w:hAnsi="宋体"/>
                <w:color w:val="FF0000"/>
                <w:szCs w:val="21"/>
                <w:highlight w:val="none"/>
                <w:lang w:eastAsia="zh-CN"/>
              </w:rPr>
            </w:pPr>
            <w:r>
              <w:rPr>
                <w:rFonts w:hint="eastAsia"/>
                <w:color w:val="auto"/>
                <w:szCs w:val="24"/>
                <w:highlight w:val="none"/>
              </w:rPr>
              <w:t>3、主要部件八年质量保证期到期采购人确认无异议后，</w:t>
            </w:r>
            <w:r>
              <w:rPr>
                <w:color w:val="auto"/>
                <w:szCs w:val="24"/>
                <w:highlight w:val="none"/>
              </w:rPr>
              <w:t>采购人在收到</w:t>
            </w:r>
            <w:r>
              <w:rPr>
                <w:rFonts w:hint="eastAsia"/>
                <w:color w:val="auto"/>
                <w:szCs w:val="24"/>
                <w:highlight w:val="none"/>
              </w:rPr>
              <w:t>中标人</w:t>
            </w:r>
            <w:r>
              <w:rPr>
                <w:color w:val="auto"/>
                <w:szCs w:val="24"/>
                <w:highlight w:val="none"/>
              </w:rPr>
              <w:t>开具的合同</w:t>
            </w:r>
            <w:r>
              <w:rPr>
                <w:rFonts w:hint="eastAsia"/>
                <w:color w:val="auto"/>
                <w:szCs w:val="24"/>
                <w:highlight w:val="none"/>
              </w:rPr>
              <w:t>结算价5</w:t>
            </w:r>
            <w:r>
              <w:rPr>
                <w:color w:val="auto"/>
                <w:szCs w:val="24"/>
                <w:highlight w:val="none"/>
              </w:rPr>
              <w:t>﹪的等额收据后，</w:t>
            </w:r>
            <w:r>
              <w:rPr>
                <w:rFonts w:hint="eastAsia"/>
                <w:color w:val="auto"/>
                <w:szCs w:val="24"/>
                <w:highlight w:val="none"/>
              </w:rPr>
              <w:t>10个工作日内支付收据金额。中标人可以在整车质量保证期到期后向采购人提供对等金额的银行保函，采购人在收到对等金额的银行保函后10个工作日内向中标人支付5%的主要部件八年质量保证金，</w:t>
            </w:r>
            <w:r>
              <w:rPr>
                <w:rFonts w:hint="eastAsia" w:ascii="宋体" w:hAnsi="宋体"/>
                <w:color w:val="auto"/>
                <w:szCs w:val="21"/>
                <w:highlight w:val="none"/>
              </w:rPr>
              <w:t>银行保函</w:t>
            </w:r>
            <w:r>
              <w:rPr>
                <w:rFonts w:hint="eastAsia"/>
                <w:color w:val="auto"/>
                <w:szCs w:val="24"/>
                <w:highlight w:val="none"/>
              </w:rPr>
              <w:t>在主要部件八年质保期满后一次结清（不计利息）。</w:t>
            </w:r>
          </w:p>
        </w:tc>
      </w:tr>
      <w:tr w14:paraId="5C4D68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4" w:hRule="atLeast"/>
          <w:jc w:val="center"/>
        </w:trPr>
        <w:tc>
          <w:tcPr>
            <w:tcW w:w="714" w:type="dxa"/>
            <w:vAlign w:val="center"/>
          </w:tcPr>
          <w:p w14:paraId="0A66E330">
            <w:pPr>
              <w:spacing w:line="340" w:lineRule="exact"/>
              <w:ind w:left="-108" w:right="-113"/>
              <w:contextualSpacing/>
              <w:jc w:val="center"/>
              <w:rPr>
                <w:color w:val="auto"/>
                <w:szCs w:val="24"/>
                <w:highlight w:val="none"/>
              </w:rPr>
            </w:pPr>
            <w:r>
              <w:rPr>
                <w:rFonts w:hint="eastAsia"/>
                <w:color w:val="auto"/>
                <w:szCs w:val="24"/>
                <w:highlight w:val="none"/>
              </w:rPr>
              <w:t>2.11</w:t>
            </w:r>
          </w:p>
        </w:tc>
        <w:tc>
          <w:tcPr>
            <w:tcW w:w="8544" w:type="dxa"/>
            <w:vAlign w:val="center"/>
          </w:tcPr>
          <w:p w14:paraId="0C77BBB8">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售后技术服务要求：所投产品质保期内提供免费上门服务，接到用户维修电话</w:t>
            </w:r>
            <w:r>
              <w:rPr>
                <w:color w:val="auto"/>
                <w:szCs w:val="24"/>
                <w:highlight w:val="none"/>
              </w:rPr>
              <w:t>1</w:t>
            </w:r>
            <w:r>
              <w:rPr>
                <w:rFonts w:hint="eastAsia"/>
                <w:color w:val="auto"/>
                <w:szCs w:val="24"/>
                <w:highlight w:val="none"/>
              </w:rPr>
              <w:t>个小时内响应，</w:t>
            </w:r>
            <w:r>
              <w:rPr>
                <w:color w:val="auto"/>
                <w:szCs w:val="24"/>
                <w:highlight w:val="none"/>
              </w:rPr>
              <w:t>24</w:t>
            </w:r>
            <w:r>
              <w:rPr>
                <w:rFonts w:hint="eastAsia"/>
                <w:color w:val="auto"/>
                <w:szCs w:val="24"/>
                <w:highlight w:val="none"/>
              </w:rPr>
              <w:t>个小时内修复。</w:t>
            </w:r>
          </w:p>
        </w:tc>
      </w:tr>
      <w:tr w14:paraId="0D8029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60" w:hRule="atLeast"/>
          <w:jc w:val="center"/>
        </w:trPr>
        <w:tc>
          <w:tcPr>
            <w:tcW w:w="714" w:type="dxa"/>
            <w:vAlign w:val="center"/>
          </w:tcPr>
          <w:p w14:paraId="01DFC553">
            <w:pPr>
              <w:spacing w:line="340" w:lineRule="exact"/>
              <w:ind w:left="-108" w:right="-113"/>
              <w:contextualSpacing/>
              <w:jc w:val="center"/>
              <w:rPr>
                <w:color w:val="auto"/>
                <w:szCs w:val="24"/>
                <w:highlight w:val="none"/>
              </w:rPr>
            </w:pPr>
            <w:r>
              <w:rPr>
                <w:rFonts w:hint="eastAsia"/>
                <w:color w:val="auto"/>
                <w:szCs w:val="24"/>
                <w:highlight w:val="none"/>
              </w:rPr>
              <w:t>★2.12</w:t>
            </w:r>
          </w:p>
        </w:tc>
        <w:tc>
          <w:tcPr>
            <w:tcW w:w="8544" w:type="dxa"/>
            <w:vAlign w:val="center"/>
          </w:tcPr>
          <w:p w14:paraId="29E18EDC">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交货时间：采购人交货通知发出后4</w:t>
            </w:r>
            <w:r>
              <w:rPr>
                <w:rFonts w:hint="eastAsia"/>
                <w:color w:val="auto"/>
                <w:szCs w:val="24"/>
                <w:highlight w:val="none"/>
                <w:lang w:val="en-US" w:eastAsia="zh-CN"/>
              </w:rPr>
              <w:t>0</w:t>
            </w:r>
            <w:r>
              <w:rPr>
                <w:rFonts w:hint="eastAsia"/>
                <w:color w:val="auto"/>
                <w:szCs w:val="24"/>
                <w:highlight w:val="none"/>
              </w:rPr>
              <w:t>个日历天内交货至采购人指定地点并提请采购人验收。</w:t>
            </w:r>
          </w:p>
        </w:tc>
      </w:tr>
      <w:tr w14:paraId="7C7D91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14" w:type="dxa"/>
            <w:vAlign w:val="center"/>
          </w:tcPr>
          <w:p w14:paraId="78A2D5C6">
            <w:pPr>
              <w:spacing w:line="340" w:lineRule="exact"/>
              <w:ind w:left="-108" w:right="-113"/>
              <w:contextualSpacing/>
              <w:jc w:val="center"/>
              <w:rPr>
                <w:color w:val="auto"/>
                <w:szCs w:val="24"/>
                <w:highlight w:val="none"/>
              </w:rPr>
            </w:pPr>
            <w:r>
              <w:rPr>
                <w:rFonts w:hint="eastAsia"/>
                <w:color w:val="auto"/>
                <w:szCs w:val="24"/>
                <w:highlight w:val="none"/>
              </w:rPr>
              <w:t>2.13</w:t>
            </w:r>
          </w:p>
        </w:tc>
        <w:tc>
          <w:tcPr>
            <w:tcW w:w="8544" w:type="dxa"/>
            <w:vAlign w:val="center"/>
          </w:tcPr>
          <w:p w14:paraId="04FE0C55">
            <w:pPr>
              <w:tabs>
                <w:tab w:val="left" w:pos="1580"/>
                <w:tab w:val="left" w:pos="3436"/>
                <w:tab w:val="left" w:pos="5512"/>
              </w:tabs>
              <w:spacing w:line="400" w:lineRule="exact"/>
              <w:ind w:left="21"/>
              <w:contextualSpacing/>
              <w:rPr>
                <w:color w:val="auto"/>
                <w:szCs w:val="24"/>
                <w:highlight w:val="none"/>
              </w:rPr>
            </w:pPr>
            <w:r>
              <w:rPr>
                <w:color w:val="auto"/>
                <w:szCs w:val="24"/>
                <w:highlight w:val="none"/>
              </w:rPr>
              <w:t>履约保证金金额：合同</w:t>
            </w:r>
            <w:r>
              <w:rPr>
                <w:rFonts w:hint="eastAsia"/>
                <w:color w:val="auto"/>
                <w:szCs w:val="24"/>
                <w:highlight w:val="none"/>
              </w:rPr>
              <w:t>总价</w:t>
            </w:r>
            <w:r>
              <w:rPr>
                <w:color w:val="auto"/>
                <w:szCs w:val="24"/>
                <w:highlight w:val="none"/>
              </w:rPr>
              <w:t>的</w:t>
            </w:r>
            <w:r>
              <w:rPr>
                <w:rFonts w:hint="eastAsia"/>
                <w:color w:val="auto"/>
                <w:szCs w:val="24"/>
                <w:highlight w:val="none"/>
                <w:lang w:val="en-US" w:eastAsia="zh-CN"/>
              </w:rPr>
              <w:t>1</w:t>
            </w:r>
            <w:r>
              <w:rPr>
                <w:color w:val="auto"/>
                <w:szCs w:val="24"/>
                <w:highlight w:val="none"/>
              </w:rPr>
              <w:t>％</w:t>
            </w:r>
          </w:p>
          <w:p w14:paraId="1ABC5A37">
            <w:pPr>
              <w:tabs>
                <w:tab w:val="left" w:pos="1580"/>
                <w:tab w:val="left" w:pos="3436"/>
                <w:tab w:val="left" w:pos="5512"/>
              </w:tabs>
              <w:spacing w:line="400" w:lineRule="exact"/>
              <w:ind w:left="21"/>
              <w:contextualSpacing/>
              <w:rPr>
                <w:color w:val="auto"/>
                <w:szCs w:val="24"/>
                <w:highlight w:val="none"/>
              </w:rPr>
            </w:pPr>
            <w:r>
              <w:rPr>
                <w:color w:val="auto"/>
                <w:szCs w:val="24"/>
                <w:highlight w:val="none"/>
              </w:rPr>
              <w:t>履约保证金形式：</w:t>
            </w:r>
            <w:r>
              <w:rPr>
                <w:rFonts w:hint="eastAsia"/>
                <w:color w:val="auto"/>
                <w:szCs w:val="24"/>
                <w:highlight w:val="none"/>
              </w:rPr>
              <w:t>履约保证金应以银行保函或者保证金的方式提供。如以银行保函形式提供</w:t>
            </w:r>
          </w:p>
          <w:p w14:paraId="05BDF944">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的，其保函出具银行须满足以下条件之一：1、中标单位基本账户银行；2、项目所在地或中</w:t>
            </w:r>
          </w:p>
          <w:p w14:paraId="7357DD2C">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标单位注册地国有银行或股份制商业银行的支行及其以上级别银行。履约保证期从合同签订</w:t>
            </w:r>
          </w:p>
          <w:p w14:paraId="0627B899">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至验收合格之日（验收延后，保函有效期相应延长，费用由中标人承担）</w:t>
            </w:r>
            <w:r>
              <w:rPr>
                <w:color w:val="auto"/>
                <w:szCs w:val="24"/>
                <w:highlight w:val="none"/>
              </w:rPr>
              <w:t>。在车辆验收合格</w:t>
            </w:r>
          </w:p>
          <w:p w14:paraId="37C0F202">
            <w:pPr>
              <w:tabs>
                <w:tab w:val="left" w:pos="1580"/>
                <w:tab w:val="left" w:pos="3436"/>
                <w:tab w:val="left" w:pos="5512"/>
              </w:tabs>
              <w:spacing w:line="400" w:lineRule="exact"/>
              <w:ind w:left="21"/>
              <w:contextualSpacing/>
              <w:rPr>
                <w:color w:val="auto"/>
                <w:szCs w:val="24"/>
                <w:highlight w:val="none"/>
              </w:rPr>
            </w:pPr>
            <w:r>
              <w:rPr>
                <w:color w:val="auto"/>
                <w:szCs w:val="24"/>
                <w:highlight w:val="none"/>
              </w:rPr>
              <w:t>后5个工作日内无息退还。</w:t>
            </w:r>
          </w:p>
        </w:tc>
      </w:tr>
      <w:tr w14:paraId="7FCA87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14" w:type="dxa"/>
            <w:vAlign w:val="center"/>
          </w:tcPr>
          <w:p w14:paraId="47BF876D">
            <w:pPr>
              <w:spacing w:line="340" w:lineRule="exact"/>
              <w:ind w:left="-108" w:right="-113"/>
              <w:contextualSpacing/>
              <w:jc w:val="center"/>
              <w:rPr>
                <w:color w:val="auto"/>
                <w:szCs w:val="24"/>
                <w:highlight w:val="none"/>
              </w:rPr>
            </w:pPr>
            <w:r>
              <w:rPr>
                <w:rFonts w:hint="eastAsia"/>
                <w:color w:val="auto"/>
                <w:szCs w:val="24"/>
                <w:highlight w:val="none"/>
              </w:rPr>
              <w:t>★2.14</w:t>
            </w:r>
          </w:p>
        </w:tc>
        <w:tc>
          <w:tcPr>
            <w:tcW w:w="8544" w:type="dxa"/>
            <w:vAlign w:val="center"/>
          </w:tcPr>
          <w:p w14:paraId="77AF82A8">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中标人须</w:t>
            </w:r>
            <w:r>
              <w:rPr>
                <w:rFonts w:hint="eastAsia"/>
                <w:color w:val="auto"/>
                <w:szCs w:val="24"/>
                <w:highlight w:val="none"/>
                <w:lang w:val="en-US" w:eastAsia="zh-CN"/>
              </w:rPr>
              <w:t>按照</w:t>
            </w:r>
            <w:r>
              <w:rPr>
                <w:rFonts w:hint="eastAsia"/>
                <w:color w:val="auto"/>
                <w:szCs w:val="24"/>
                <w:highlight w:val="none"/>
              </w:rPr>
              <w:t>采购人</w:t>
            </w:r>
            <w:r>
              <w:rPr>
                <w:rFonts w:hint="eastAsia"/>
                <w:color w:val="auto"/>
                <w:szCs w:val="24"/>
                <w:highlight w:val="none"/>
                <w:lang w:val="en-US" w:eastAsia="zh-CN"/>
              </w:rPr>
              <w:t>要求，负责所有车辆的检测及上牌（采购人配合）</w:t>
            </w:r>
            <w:r>
              <w:rPr>
                <w:rFonts w:hint="eastAsia"/>
                <w:color w:val="auto"/>
                <w:szCs w:val="24"/>
                <w:highlight w:val="none"/>
              </w:rPr>
              <w:t>，对上牌过程中出现的质量相关问题负责。</w:t>
            </w:r>
          </w:p>
        </w:tc>
      </w:tr>
      <w:tr w14:paraId="0736B7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14" w:type="dxa"/>
            <w:vAlign w:val="center"/>
          </w:tcPr>
          <w:p w14:paraId="1C7128B0">
            <w:pPr>
              <w:spacing w:line="340" w:lineRule="exact"/>
              <w:ind w:left="-108" w:right="-113"/>
              <w:contextualSpacing/>
              <w:jc w:val="center"/>
              <w:rPr>
                <w:color w:val="auto"/>
                <w:szCs w:val="24"/>
                <w:highlight w:val="none"/>
              </w:rPr>
            </w:pPr>
            <w:r>
              <w:rPr>
                <w:rFonts w:hint="eastAsia"/>
                <w:color w:val="auto"/>
                <w:szCs w:val="24"/>
                <w:highlight w:val="none"/>
              </w:rPr>
              <w:t>2.15</w:t>
            </w:r>
          </w:p>
        </w:tc>
        <w:tc>
          <w:tcPr>
            <w:tcW w:w="8544" w:type="dxa"/>
            <w:vAlign w:val="center"/>
          </w:tcPr>
          <w:p w14:paraId="0616FB78">
            <w:pPr>
              <w:spacing w:line="340" w:lineRule="exact"/>
              <w:ind w:left="-108" w:right="-113"/>
              <w:contextualSpacing/>
              <w:jc w:val="left"/>
              <w:rPr>
                <w:rFonts w:hint="eastAsia"/>
                <w:color w:val="auto"/>
                <w:szCs w:val="24"/>
                <w:highlight w:val="none"/>
              </w:rPr>
            </w:pPr>
            <w:r>
              <w:rPr>
                <w:rFonts w:hint="eastAsia"/>
                <w:color w:val="auto"/>
                <w:szCs w:val="24"/>
                <w:highlight w:val="none"/>
              </w:rPr>
              <w:t>其他：不得转包，不得分包。</w:t>
            </w:r>
          </w:p>
          <w:p w14:paraId="2829927F">
            <w:pPr>
              <w:spacing w:line="340" w:lineRule="exact"/>
              <w:ind w:left="-108" w:right="-113"/>
              <w:contextualSpacing/>
              <w:jc w:val="left"/>
              <w:rPr>
                <w:rFonts w:hint="default" w:eastAsia="宋体"/>
                <w:color w:val="auto"/>
                <w:szCs w:val="24"/>
                <w:highlight w:val="none"/>
                <w:lang w:val="en-US" w:eastAsia="zh-CN"/>
              </w:rPr>
            </w:pPr>
            <w:r>
              <w:rPr>
                <w:rFonts w:hint="eastAsia"/>
                <w:color w:val="auto"/>
                <w:szCs w:val="24"/>
                <w:highlight w:val="none"/>
                <w:lang w:val="en-US" w:eastAsia="zh-CN"/>
              </w:rPr>
              <w:t>本项目所涉及的国标、行标、地方标准或强制性规范标准，执行最新标准。</w:t>
            </w:r>
          </w:p>
          <w:p w14:paraId="1E4E529D">
            <w:pPr>
              <w:spacing w:line="340" w:lineRule="exact"/>
              <w:ind w:left="-108" w:right="-113"/>
              <w:contextualSpacing/>
              <w:jc w:val="left"/>
              <w:rPr>
                <w:color w:val="auto"/>
                <w:szCs w:val="24"/>
                <w:highlight w:val="none"/>
              </w:rPr>
            </w:pPr>
            <w:r>
              <w:rPr>
                <w:rFonts w:hint="eastAsia" w:ascii="宋体" w:hAnsi="宋体"/>
                <w:color w:val="auto"/>
                <w:szCs w:val="21"/>
                <w:highlight w:val="none"/>
              </w:rPr>
              <w:t>同意采购人对投标文件内容的真实性和有效性进行任何形式的监督审查、验证</w:t>
            </w:r>
            <w:r>
              <w:rPr>
                <w:rFonts w:hint="eastAsia" w:ascii="宋体" w:hAnsi="宋体"/>
                <w:bCs/>
                <w:color w:val="auto"/>
                <w:szCs w:val="21"/>
                <w:highlight w:val="none"/>
              </w:rPr>
              <w:t>。</w:t>
            </w:r>
          </w:p>
        </w:tc>
      </w:tr>
      <w:tr w14:paraId="65E94D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jc w:val="center"/>
        </w:trPr>
        <w:tc>
          <w:tcPr>
            <w:tcW w:w="9258" w:type="dxa"/>
            <w:gridSpan w:val="2"/>
            <w:vAlign w:val="center"/>
          </w:tcPr>
          <w:p w14:paraId="6507720F">
            <w:pPr>
              <w:spacing w:line="340" w:lineRule="exact"/>
              <w:ind w:left="-108" w:right="-113"/>
              <w:contextualSpacing/>
              <w:jc w:val="center"/>
              <w:rPr>
                <w:color w:val="auto"/>
                <w:szCs w:val="24"/>
                <w:highlight w:val="none"/>
              </w:rPr>
            </w:pPr>
            <w:r>
              <w:rPr>
                <w:rFonts w:hint="eastAsia"/>
                <w:color w:val="auto"/>
                <w:szCs w:val="24"/>
                <w:highlight w:val="none"/>
              </w:rPr>
              <w:t>招标代理费</w:t>
            </w:r>
          </w:p>
        </w:tc>
      </w:tr>
      <w:tr w14:paraId="286318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01" w:hRule="atLeast"/>
          <w:jc w:val="center"/>
        </w:trPr>
        <w:tc>
          <w:tcPr>
            <w:tcW w:w="9258" w:type="dxa"/>
            <w:gridSpan w:val="2"/>
            <w:vAlign w:val="center"/>
          </w:tcPr>
          <w:p w14:paraId="6959EF3E">
            <w:pPr>
              <w:spacing w:line="440" w:lineRule="exact"/>
              <w:contextualSpacing/>
              <w:rPr>
                <w:color w:val="auto"/>
                <w:szCs w:val="24"/>
                <w:highlight w:val="none"/>
              </w:rPr>
            </w:pPr>
            <w:r>
              <w:rPr>
                <w:rFonts w:hint="eastAsia"/>
                <w:color w:val="auto"/>
                <w:szCs w:val="24"/>
                <w:highlight w:val="none"/>
              </w:rPr>
              <w:t>1.中标人与采购人签订合同后，本采购代理机构参照宁波市招投标协会颁发的《宁波市招标（采购）代理服务收费指导意见》的货物招标费率标准的40%</w:t>
            </w:r>
            <w:r>
              <w:rPr>
                <w:rFonts w:hint="eastAsia" w:ascii="宋体" w:hAnsi="宋体" w:cs="宋体"/>
                <w:color w:val="auto"/>
                <w:highlight w:val="none"/>
              </w:rPr>
              <w:t>按照差额定率累进法计取</w:t>
            </w:r>
            <w:r>
              <w:rPr>
                <w:rFonts w:hint="eastAsia"/>
                <w:color w:val="auto"/>
                <w:szCs w:val="24"/>
                <w:highlight w:val="none"/>
              </w:rPr>
              <w:t>，按照各</w:t>
            </w:r>
            <w:r>
              <w:rPr>
                <w:rFonts w:hint="eastAsia"/>
                <w:color w:val="auto"/>
                <w:szCs w:val="24"/>
                <w:highlight w:val="none"/>
                <w:lang w:eastAsia="zh-CN"/>
              </w:rPr>
              <w:t>标项（子包）</w:t>
            </w:r>
            <w:r>
              <w:rPr>
                <w:rFonts w:hint="eastAsia"/>
                <w:color w:val="auto"/>
                <w:szCs w:val="24"/>
                <w:highlight w:val="none"/>
              </w:rPr>
              <w:t>中标人中标的总金额，分别向该</w:t>
            </w:r>
            <w:r>
              <w:rPr>
                <w:rFonts w:hint="eastAsia"/>
                <w:color w:val="auto"/>
                <w:szCs w:val="24"/>
                <w:highlight w:val="none"/>
                <w:lang w:eastAsia="zh-CN"/>
              </w:rPr>
              <w:t>标项（子包）</w:t>
            </w:r>
            <w:r>
              <w:rPr>
                <w:rFonts w:hint="eastAsia"/>
                <w:color w:val="auto"/>
                <w:szCs w:val="24"/>
                <w:highlight w:val="none"/>
              </w:rPr>
              <w:t>中标人收取招标代理费；收费标准如下：</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753"/>
              <w:gridCol w:w="1241"/>
              <w:gridCol w:w="1241"/>
              <w:gridCol w:w="1243"/>
            </w:tblGrid>
            <w:tr w14:paraId="0562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9" w:hRule="atLeast"/>
                <w:jc w:val="center"/>
              </w:trPr>
              <w:tc>
                <w:tcPr>
                  <w:tcW w:w="3753" w:type="dxa"/>
                  <w:tcBorders>
                    <w:tl2br w:val="single" w:color="auto" w:sz="4" w:space="0"/>
                  </w:tcBorders>
                  <w:tcMar>
                    <w:top w:w="30" w:type="dxa"/>
                    <w:left w:w="150" w:type="dxa"/>
                    <w:bottom w:w="30" w:type="dxa"/>
                    <w:right w:w="150" w:type="dxa"/>
                  </w:tcMar>
                  <w:vAlign w:val="center"/>
                </w:tcPr>
                <w:p w14:paraId="460507A5">
                  <w:pPr>
                    <w:spacing w:line="312" w:lineRule="auto"/>
                    <w:jc w:val="right"/>
                    <w:rPr>
                      <w:rFonts w:ascii="宋体" w:hAnsi="宋体" w:cs="宋体"/>
                      <w:color w:val="auto"/>
                      <w:highlight w:val="none"/>
                    </w:rPr>
                  </w:pPr>
                </w:p>
                <w:p w14:paraId="31AAB770">
                  <w:pPr>
                    <w:snapToGrid w:val="0"/>
                    <w:rPr>
                      <w:rFonts w:ascii="宋体" w:hAnsi="宋体" w:cs="宋体"/>
                      <w:color w:val="auto"/>
                      <w:highlight w:val="none"/>
                    </w:rPr>
                  </w:pPr>
                  <w:r>
                    <w:rPr>
                      <w:rFonts w:hint="eastAsia" w:ascii="宋体" w:hAnsi="宋体" w:cs="宋体"/>
                      <w:color w:val="auto"/>
                      <w:highlight w:val="none"/>
                    </w:rPr>
                    <w:t>金额（万元）</w:t>
                  </w:r>
                </w:p>
                <w:p w14:paraId="7EAE975C">
                  <w:pPr>
                    <w:snapToGrid w:val="0"/>
                    <w:rPr>
                      <w:rFonts w:ascii="宋体" w:hAnsi="宋体" w:cs="宋体"/>
                      <w:color w:val="auto"/>
                      <w:highlight w:val="none"/>
                    </w:rPr>
                  </w:pPr>
                  <w:r>
                    <w:rPr>
                      <w:rFonts w:hint="eastAsia" w:ascii="宋体" w:hAnsi="宋体" w:cs="宋体"/>
                      <w:color w:val="auto"/>
                      <w:highlight w:val="none"/>
                    </w:rPr>
                    <w:t>费率</w:t>
                  </w:r>
                </w:p>
                <w:p w14:paraId="4A4B6A83">
                  <w:pPr>
                    <w:spacing w:line="312" w:lineRule="auto"/>
                    <w:rPr>
                      <w:rFonts w:ascii="宋体" w:hAnsi="宋体" w:cs="宋体"/>
                      <w:color w:val="auto"/>
                      <w:highlight w:val="none"/>
                    </w:rPr>
                  </w:pPr>
                  <w:r>
                    <w:rPr>
                      <w:rFonts w:hint="eastAsia" w:ascii="宋体" w:hAnsi="宋体" w:cs="宋体"/>
                      <w:color w:val="auto"/>
                      <w:highlight w:val="none"/>
                    </w:rPr>
                    <w:t>服务类型</w:t>
                  </w:r>
                </w:p>
              </w:tc>
              <w:tc>
                <w:tcPr>
                  <w:tcW w:w="1241" w:type="dxa"/>
                  <w:tcMar>
                    <w:top w:w="30" w:type="dxa"/>
                    <w:left w:w="150" w:type="dxa"/>
                    <w:bottom w:w="30" w:type="dxa"/>
                    <w:right w:w="150" w:type="dxa"/>
                  </w:tcMar>
                  <w:vAlign w:val="center"/>
                </w:tcPr>
                <w:p w14:paraId="466E2BAD">
                  <w:pPr>
                    <w:spacing w:line="312" w:lineRule="auto"/>
                    <w:jc w:val="center"/>
                    <w:rPr>
                      <w:rFonts w:ascii="宋体" w:hAnsi="宋体" w:cs="宋体"/>
                      <w:color w:val="auto"/>
                      <w:highlight w:val="none"/>
                    </w:rPr>
                  </w:pPr>
                  <w:r>
                    <w:rPr>
                      <w:rFonts w:hint="eastAsia" w:ascii="宋体" w:hAnsi="宋体" w:cs="宋体"/>
                      <w:color w:val="auto"/>
                      <w:highlight w:val="none"/>
                    </w:rPr>
                    <w:t>货物招标</w:t>
                  </w:r>
                </w:p>
              </w:tc>
              <w:tc>
                <w:tcPr>
                  <w:tcW w:w="1241" w:type="dxa"/>
                  <w:tcMar>
                    <w:top w:w="30" w:type="dxa"/>
                    <w:left w:w="150" w:type="dxa"/>
                    <w:bottom w:w="30" w:type="dxa"/>
                    <w:right w:w="150" w:type="dxa"/>
                  </w:tcMar>
                  <w:vAlign w:val="center"/>
                </w:tcPr>
                <w:p w14:paraId="45A5E16E">
                  <w:pPr>
                    <w:spacing w:line="312" w:lineRule="auto"/>
                    <w:jc w:val="center"/>
                    <w:rPr>
                      <w:rFonts w:ascii="宋体" w:hAnsi="宋体" w:cs="宋体"/>
                      <w:color w:val="auto"/>
                      <w:highlight w:val="none"/>
                    </w:rPr>
                  </w:pPr>
                  <w:r>
                    <w:rPr>
                      <w:rFonts w:hint="eastAsia" w:ascii="宋体" w:hAnsi="宋体" w:cs="宋体"/>
                      <w:color w:val="auto"/>
                      <w:highlight w:val="none"/>
                    </w:rPr>
                    <w:t>服务招标</w:t>
                  </w:r>
                </w:p>
              </w:tc>
              <w:tc>
                <w:tcPr>
                  <w:tcW w:w="1243" w:type="dxa"/>
                  <w:tcMar>
                    <w:top w:w="30" w:type="dxa"/>
                    <w:left w:w="150" w:type="dxa"/>
                    <w:bottom w:w="30" w:type="dxa"/>
                    <w:right w:w="150" w:type="dxa"/>
                  </w:tcMar>
                  <w:vAlign w:val="center"/>
                </w:tcPr>
                <w:p w14:paraId="2B3604D8">
                  <w:pPr>
                    <w:spacing w:line="312" w:lineRule="auto"/>
                    <w:jc w:val="center"/>
                    <w:rPr>
                      <w:rFonts w:ascii="宋体" w:hAnsi="宋体" w:cs="宋体"/>
                      <w:color w:val="auto"/>
                      <w:highlight w:val="none"/>
                    </w:rPr>
                  </w:pPr>
                  <w:r>
                    <w:rPr>
                      <w:rFonts w:hint="eastAsia" w:ascii="宋体" w:hAnsi="宋体" w:cs="宋体"/>
                      <w:color w:val="auto"/>
                      <w:highlight w:val="none"/>
                    </w:rPr>
                    <w:t>工程招标</w:t>
                  </w:r>
                </w:p>
              </w:tc>
            </w:tr>
            <w:tr w14:paraId="4DF8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3" w:hRule="atLeast"/>
                <w:jc w:val="center"/>
              </w:trPr>
              <w:tc>
                <w:tcPr>
                  <w:tcW w:w="3753" w:type="dxa"/>
                  <w:tcMar>
                    <w:top w:w="30" w:type="dxa"/>
                    <w:left w:w="150" w:type="dxa"/>
                    <w:bottom w:w="30" w:type="dxa"/>
                    <w:right w:w="150" w:type="dxa"/>
                  </w:tcMar>
                  <w:vAlign w:val="center"/>
                </w:tcPr>
                <w:p w14:paraId="27335E67">
                  <w:pPr>
                    <w:spacing w:line="312" w:lineRule="auto"/>
                    <w:jc w:val="center"/>
                    <w:rPr>
                      <w:rFonts w:ascii="宋体" w:hAnsi="宋体" w:cs="宋体"/>
                      <w:color w:val="auto"/>
                      <w:highlight w:val="none"/>
                    </w:rPr>
                  </w:pPr>
                  <w:r>
                    <w:rPr>
                      <w:rFonts w:hint="eastAsia" w:ascii="宋体" w:hAnsi="宋体" w:cs="宋体"/>
                      <w:color w:val="auto"/>
                      <w:highlight w:val="none"/>
                    </w:rPr>
                    <w:t>100以下</w:t>
                  </w:r>
                </w:p>
              </w:tc>
              <w:tc>
                <w:tcPr>
                  <w:tcW w:w="1241" w:type="dxa"/>
                  <w:tcMar>
                    <w:top w:w="30" w:type="dxa"/>
                    <w:left w:w="150" w:type="dxa"/>
                    <w:bottom w:w="30" w:type="dxa"/>
                    <w:right w:w="150" w:type="dxa"/>
                  </w:tcMar>
                  <w:vAlign w:val="center"/>
                </w:tcPr>
                <w:p w14:paraId="09D97C89">
                  <w:pPr>
                    <w:spacing w:line="312" w:lineRule="auto"/>
                    <w:jc w:val="center"/>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w:t>
                  </w:r>
                </w:p>
              </w:tc>
              <w:tc>
                <w:tcPr>
                  <w:tcW w:w="1241" w:type="dxa"/>
                  <w:tcMar>
                    <w:top w:w="30" w:type="dxa"/>
                    <w:left w:w="150" w:type="dxa"/>
                    <w:bottom w:w="30" w:type="dxa"/>
                    <w:right w:w="150" w:type="dxa"/>
                  </w:tcMar>
                  <w:vAlign w:val="center"/>
                </w:tcPr>
                <w:p w14:paraId="337C9C94">
                  <w:pPr>
                    <w:spacing w:line="312" w:lineRule="auto"/>
                    <w:jc w:val="center"/>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w:t>
                  </w:r>
                </w:p>
              </w:tc>
              <w:tc>
                <w:tcPr>
                  <w:tcW w:w="1243" w:type="dxa"/>
                  <w:tcMar>
                    <w:top w:w="30" w:type="dxa"/>
                    <w:left w:w="150" w:type="dxa"/>
                    <w:bottom w:w="30" w:type="dxa"/>
                    <w:right w:w="150" w:type="dxa"/>
                  </w:tcMar>
                  <w:vAlign w:val="center"/>
                </w:tcPr>
                <w:p w14:paraId="21FCC517">
                  <w:pPr>
                    <w:spacing w:line="312" w:lineRule="auto"/>
                    <w:jc w:val="center"/>
                    <w:rPr>
                      <w:rFonts w:ascii="宋体" w:hAnsi="宋体" w:cs="宋体"/>
                      <w:color w:val="auto"/>
                      <w:highlight w:val="none"/>
                    </w:rPr>
                  </w:pPr>
                  <w:r>
                    <w:rPr>
                      <w:rFonts w:hint="eastAsia" w:ascii="宋体" w:hAnsi="宋体" w:cs="宋体"/>
                      <w:color w:val="auto"/>
                      <w:highlight w:val="none"/>
                    </w:rPr>
                    <w:t>1.0%</w:t>
                  </w:r>
                </w:p>
              </w:tc>
            </w:tr>
            <w:tr w14:paraId="3D20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3753" w:type="dxa"/>
                  <w:tcMar>
                    <w:top w:w="30" w:type="dxa"/>
                    <w:left w:w="150" w:type="dxa"/>
                    <w:bottom w:w="30" w:type="dxa"/>
                    <w:right w:w="150" w:type="dxa"/>
                  </w:tcMar>
                  <w:vAlign w:val="center"/>
                </w:tcPr>
                <w:p w14:paraId="2D0E145E">
                  <w:pPr>
                    <w:spacing w:line="312" w:lineRule="auto"/>
                    <w:jc w:val="center"/>
                    <w:rPr>
                      <w:rFonts w:ascii="宋体" w:hAnsi="宋体" w:cs="宋体"/>
                      <w:color w:val="auto"/>
                      <w:highlight w:val="none"/>
                    </w:rPr>
                  </w:pPr>
                  <w:r>
                    <w:rPr>
                      <w:rFonts w:hint="eastAsia" w:ascii="宋体" w:hAnsi="宋体" w:cs="宋体"/>
                      <w:color w:val="auto"/>
                      <w:highlight w:val="none"/>
                    </w:rPr>
                    <w:t>100-500</w:t>
                  </w:r>
                </w:p>
              </w:tc>
              <w:tc>
                <w:tcPr>
                  <w:tcW w:w="1241" w:type="dxa"/>
                  <w:tcMar>
                    <w:top w:w="30" w:type="dxa"/>
                    <w:left w:w="150" w:type="dxa"/>
                    <w:bottom w:w="30" w:type="dxa"/>
                    <w:right w:w="150" w:type="dxa"/>
                  </w:tcMar>
                  <w:vAlign w:val="center"/>
                </w:tcPr>
                <w:p w14:paraId="121D48C1">
                  <w:pPr>
                    <w:spacing w:line="312" w:lineRule="auto"/>
                    <w:jc w:val="center"/>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w:t>
                  </w:r>
                </w:p>
              </w:tc>
              <w:tc>
                <w:tcPr>
                  <w:tcW w:w="1241" w:type="dxa"/>
                  <w:tcMar>
                    <w:top w:w="30" w:type="dxa"/>
                    <w:left w:w="150" w:type="dxa"/>
                    <w:bottom w:w="30" w:type="dxa"/>
                    <w:right w:w="150" w:type="dxa"/>
                  </w:tcMar>
                  <w:vAlign w:val="center"/>
                </w:tcPr>
                <w:p w14:paraId="225E7828">
                  <w:pPr>
                    <w:spacing w:line="312" w:lineRule="auto"/>
                    <w:jc w:val="center"/>
                    <w:rPr>
                      <w:rFonts w:ascii="宋体" w:hAnsi="宋体" w:cs="宋体"/>
                      <w:color w:val="auto"/>
                      <w:highlight w:val="none"/>
                    </w:rPr>
                  </w:pPr>
                  <w:r>
                    <w:rPr>
                      <w:rFonts w:hint="eastAsia" w:ascii="宋体" w:hAnsi="宋体" w:cs="宋体"/>
                      <w:color w:val="auto"/>
                      <w:highlight w:val="none"/>
                    </w:rPr>
                    <w:t>0.</w:t>
                  </w:r>
                  <w:r>
                    <w:rPr>
                      <w:rFonts w:hint="eastAsia" w:ascii="宋体" w:hAnsi="宋体" w:cs="宋体"/>
                      <w:color w:val="auto"/>
                      <w:highlight w:val="none"/>
                      <w:lang w:val="en-US" w:eastAsia="zh-CN"/>
                    </w:rPr>
                    <w:t>9</w:t>
                  </w:r>
                  <w:r>
                    <w:rPr>
                      <w:rFonts w:hint="eastAsia" w:ascii="宋体" w:hAnsi="宋体" w:cs="宋体"/>
                      <w:color w:val="auto"/>
                      <w:highlight w:val="none"/>
                    </w:rPr>
                    <w:t>%</w:t>
                  </w:r>
                </w:p>
              </w:tc>
              <w:tc>
                <w:tcPr>
                  <w:tcW w:w="1243" w:type="dxa"/>
                  <w:tcMar>
                    <w:top w:w="30" w:type="dxa"/>
                    <w:left w:w="150" w:type="dxa"/>
                    <w:bottom w:w="30" w:type="dxa"/>
                    <w:right w:w="150" w:type="dxa"/>
                  </w:tcMar>
                  <w:vAlign w:val="center"/>
                </w:tcPr>
                <w:p w14:paraId="387C6C07">
                  <w:pPr>
                    <w:spacing w:line="312" w:lineRule="auto"/>
                    <w:jc w:val="center"/>
                    <w:rPr>
                      <w:rFonts w:ascii="宋体" w:hAnsi="宋体" w:cs="宋体"/>
                      <w:color w:val="auto"/>
                      <w:highlight w:val="none"/>
                    </w:rPr>
                  </w:pPr>
                  <w:r>
                    <w:rPr>
                      <w:rFonts w:hint="eastAsia" w:ascii="宋体" w:hAnsi="宋体" w:cs="宋体"/>
                      <w:color w:val="auto"/>
                      <w:highlight w:val="none"/>
                    </w:rPr>
                    <w:t>0.7%</w:t>
                  </w:r>
                </w:p>
              </w:tc>
            </w:tr>
            <w:tr w14:paraId="6269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3753" w:type="dxa"/>
                  <w:tcMar>
                    <w:top w:w="30" w:type="dxa"/>
                    <w:left w:w="150" w:type="dxa"/>
                    <w:bottom w:w="30" w:type="dxa"/>
                    <w:right w:w="150" w:type="dxa"/>
                  </w:tcMar>
                  <w:vAlign w:val="center"/>
                </w:tcPr>
                <w:p w14:paraId="17A8F102">
                  <w:pPr>
                    <w:spacing w:line="312" w:lineRule="auto"/>
                    <w:jc w:val="center"/>
                    <w:rPr>
                      <w:rFonts w:ascii="宋体" w:hAnsi="宋体" w:cs="宋体"/>
                      <w:color w:val="auto"/>
                      <w:highlight w:val="none"/>
                    </w:rPr>
                  </w:pPr>
                  <w:r>
                    <w:rPr>
                      <w:rFonts w:hint="eastAsia" w:ascii="宋体" w:hAnsi="宋体" w:cs="宋体"/>
                      <w:color w:val="auto"/>
                      <w:highlight w:val="none"/>
                    </w:rPr>
                    <w:t>500-1000</w:t>
                  </w:r>
                </w:p>
              </w:tc>
              <w:tc>
                <w:tcPr>
                  <w:tcW w:w="1241" w:type="dxa"/>
                  <w:tcMar>
                    <w:top w:w="30" w:type="dxa"/>
                    <w:left w:w="150" w:type="dxa"/>
                    <w:bottom w:w="30" w:type="dxa"/>
                    <w:right w:w="150" w:type="dxa"/>
                  </w:tcMar>
                  <w:vAlign w:val="center"/>
                </w:tcPr>
                <w:p w14:paraId="25D665DF">
                  <w:pPr>
                    <w:spacing w:line="312" w:lineRule="auto"/>
                    <w:jc w:val="center"/>
                    <w:rPr>
                      <w:rFonts w:ascii="宋体" w:hAnsi="宋体" w:cs="宋体"/>
                      <w:color w:val="auto"/>
                      <w:highlight w:val="none"/>
                    </w:rPr>
                  </w:pPr>
                  <w:r>
                    <w:rPr>
                      <w:rFonts w:hint="eastAsia" w:ascii="宋体" w:hAnsi="宋体" w:cs="宋体"/>
                      <w:color w:val="auto"/>
                      <w:highlight w:val="none"/>
                    </w:rPr>
                    <w:t>0.</w:t>
                  </w:r>
                  <w:r>
                    <w:rPr>
                      <w:rFonts w:hint="eastAsia" w:ascii="宋体" w:hAnsi="宋体" w:cs="宋体"/>
                      <w:color w:val="auto"/>
                      <w:highlight w:val="none"/>
                      <w:lang w:val="en-US" w:eastAsia="zh-CN"/>
                    </w:rPr>
                    <w:t>9</w:t>
                  </w:r>
                  <w:r>
                    <w:rPr>
                      <w:rFonts w:hint="eastAsia" w:ascii="宋体" w:hAnsi="宋体" w:cs="宋体"/>
                      <w:color w:val="auto"/>
                      <w:highlight w:val="none"/>
                    </w:rPr>
                    <w:t>%</w:t>
                  </w:r>
                </w:p>
              </w:tc>
              <w:tc>
                <w:tcPr>
                  <w:tcW w:w="1241" w:type="dxa"/>
                  <w:tcMar>
                    <w:top w:w="30" w:type="dxa"/>
                    <w:left w:w="150" w:type="dxa"/>
                    <w:bottom w:w="30" w:type="dxa"/>
                    <w:right w:w="150" w:type="dxa"/>
                  </w:tcMar>
                  <w:vAlign w:val="center"/>
                </w:tcPr>
                <w:p w14:paraId="4F2C8451">
                  <w:pPr>
                    <w:spacing w:line="312" w:lineRule="auto"/>
                    <w:jc w:val="center"/>
                    <w:rPr>
                      <w:rFonts w:ascii="宋体" w:hAnsi="宋体" w:cs="宋体"/>
                      <w:color w:val="auto"/>
                      <w:highlight w:val="none"/>
                    </w:rPr>
                  </w:pPr>
                  <w:r>
                    <w:rPr>
                      <w:rFonts w:hint="eastAsia" w:ascii="宋体" w:hAnsi="宋体" w:cs="宋体"/>
                      <w:color w:val="auto"/>
                      <w:highlight w:val="none"/>
                    </w:rPr>
                    <w:t>0.</w:t>
                  </w:r>
                  <w:r>
                    <w:rPr>
                      <w:rFonts w:hint="eastAsia" w:ascii="宋体" w:hAnsi="宋体" w:cs="宋体"/>
                      <w:color w:val="auto"/>
                      <w:highlight w:val="none"/>
                      <w:lang w:val="en-US" w:eastAsia="zh-CN"/>
                    </w:rPr>
                    <w:t>5</w:t>
                  </w:r>
                  <w:r>
                    <w:rPr>
                      <w:rFonts w:hint="eastAsia" w:ascii="宋体" w:hAnsi="宋体" w:cs="宋体"/>
                      <w:color w:val="auto"/>
                      <w:highlight w:val="none"/>
                    </w:rPr>
                    <w:t>%</w:t>
                  </w:r>
                </w:p>
              </w:tc>
              <w:tc>
                <w:tcPr>
                  <w:tcW w:w="1243" w:type="dxa"/>
                  <w:tcMar>
                    <w:top w:w="30" w:type="dxa"/>
                    <w:left w:w="150" w:type="dxa"/>
                    <w:bottom w:w="30" w:type="dxa"/>
                    <w:right w:w="150" w:type="dxa"/>
                  </w:tcMar>
                  <w:vAlign w:val="center"/>
                </w:tcPr>
                <w:p w14:paraId="37DF11CE">
                  <w:pPr>
                    <w:spacing w:line="312" w:lineRule="auto"/>
                    <w:jc w:val="center"/>
                    <w:rPr>
                      <w:rFonts w:ascii="宋体" w:hAnsi="宋体" w:cs="宋体"/>
                      <w:color w:val="auto"/>
                      <w:highlight w:val="none"/>
                    </w:rPr>
                  </w:pPr>
                  <w:r>
                    <w:rPr>
                      <w:rFonts w:hint="eastAsia" w:ascii="宋体" w:hAnsi="宋体" w:cs="宋体"/>
                      <w:color w:val="auto"/>
                      <w:highlight w:val="none"/>
                    </w:rPr>
                    <w:t>0.55%</w:t>
                  </w:r>
                </w:p>
              </w:tc>
            </w:tr>
            <w:tr w14:paraId="5E8E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3753" w:type="dxa"/>
                  <w:tcMar>
                    <w:top w:w="30" w:type="dxa"/>
                    <w:left w:w="150" w:type="dxa"/>
                    <w:bottom w:w="30" w:type="dxa"/>
                    <w:right w:w="150" w:type="dxa"/>
                  </w:tcMar>
                  <w:vAlign w:val="center"/>
                </w:tcPr>
                <w:p w14:paraId="32F3743E">
                  <w:pPr>
                    <w:spacing w:line="312" w:lineRule="auto"/>
                    <w:jc w:val="center"/>
                    <w:rPr>
                      <w:rFonts w:ascii="宋体" w:hAnsi="宋体" w:cs="宋体"/>
                      <w:color w:val="auto"/>
                      <w:highlight w:val="none"/>
                    </w:rPr>
                  </w:pPr>
                  <w:r>
                    <w:rPr>
                      <w:rFonts w:hint="eastAsia" w:ascii="宋体" w:hAnsi="宋体" w:cs="宋体"/>
                      <w:color w:val="auto"/>
                      <w:highlight w:val="none"/>
                    </w:rPr>
                    <w:t>1000-5000</w:t>
                  </w:r>
                </w:p>
              </w:tc>
              <w:tc>
                <w:tcPr>
                  <w:tcW w:w="1241" w:type="dxa"/>
                  <w:tcMar>
                    <w:top w:w="30" w:type="dxa"/>
                    <w:left w:w="150" w:type="dxa"/>
                    <w:bottom w:w="30" w:type="dxa"/>
                    <w:right w:w="150" w:type="dxa"/>
                  </w:tcMar>
                  <w:vAlign w:val="center"/>
                </w:tcPr>
                <w:p w14:paraId="58C7D831">
                  <w:pPr>
                    <w:spacing w:line="312" w:lineRule="auto"/>
                    <w:jc w:val="center"/>
                    <w:rPr>
                      <w:rFonts w:ascii="宋体" w:hAnsi="宋体" w:cs="宋体"/>
                      <w:color w:val="auto"/>
                      <w:highlight w:val="none"/>
                    </w:rPr>
                  </w:pPr>
                  <w:r>
                    <w:rPr>
                      <w:rFonts w:hint="eastAsia" w:ascii="宋体" w:hAnsi="宋体" w:cs="宋体"/>
                      <w:color w:val="auto"/>
                      <w:highlight w:val="none"/>
                    </w:rPr>
                    <w:t>0.</w:t>
                  </w:r>
                  <w:r>
                    <w:rPr>
                      <w:rFonts w:hint="eastAsia" w:ascii="宋体" w:hAnsi="宋体" w:cs="宋体"/>
                      <w:color w:val="auto"/>
                      <w:highlight w:val="none"/>
                      <w:lang w:val="en-US" w:eastAsia="zh-CN"/>
                    </w:rPr>
                    <w:t>6</w:t>
                  </w:r>
                  <w:r>
                    <w:rPr>
                      <w:rFonts w:hint="eastAsia" w:ascii="宋体" w:hAnsi="宋体" w:cs="宋体"/>
                      <w:color w:val="auto"/>
                      <w:highlight w:val="none"/>
                    </w:rPr>
                    <w:t>%</w:t>
                  </w:r>
                </w:p>
              </w:tc>
              <w:tc>
                <w:tcPr>
                  <w:tcW w:w="1241" w:type="dxa"/>
                  <w:tcMar>
                    <w:top w:w="30" w:type="dxa"/>
                    <w:left w:w="150" w:type="dxa"/>
                    <w:bottom w:w="30" w:type="dxa"/>
                    <w:right w:w="150" w:type="dxa"/>
                  </w:tcMar>
                  <w:vAlign w:val="center"/>
                </w:tcPr>
                <w:p w14:paraId="64DBEEB3">
                  <w:pPr>
                    <w:spacing w:line="312" w:lineRule="auto"/>
                    <w:jc w:val="center"/>
                    <w:rPr>
                      <w:rFonts w:ascii="宋体" w:hAnsi="宋体" w:cs="宋体"/>
                      <w:color w:val="auto"/>
                      <w:highlight w:val="none"/>
                    </w:rPr>
                  </w:pPr>
                  <w:r>
                    <w:rPr>
                      <w:rFonts w:hint="eastAsia" w:ascii="宋体" w:hAnsi="宋体" w:cs="宋体"/>
                      <w:color w:val="auto"/>
                      <w:highlight w:val="none"/>
                    </w:rPr>
                    <w:t>0.2%</w:t>
                  </w:r>
                </w:p>
              </w:tc>
              <w:tc>
                <w:tcPr>
                  <w:tcW w:w="1243" w:type="dxa"/>
                  <w:tcMar>
                    <w:top w:w="30" w:type="dxa"/>
                    <w:left w:w="150" w:type="dxa"/>
                    <w:bottom w:w="30" w:type="dxa"/>
                    <w:right w:w="150" w:type="dxa"/>
                  </w:tcMar>
                  <w:vAlign w:val="center"/>
                </w:tcPr>
                <w:p w14:paraId="6A9DDB92">
                  <w:pPr>
                    <w:spacing w:line="312" w:lineRule="auto"/>
                    <w:jc w:val="center"/>
                    <w:rPr>
                      <w:rFonts w:ascii="宋体" w:hAnsi="宋体" w:cs="宋体"/>
                      <w:color w:val="auto"/>
                      <w:highlight w:val="none"/>
                    </w:rPr>
                  </w:pPr>
                  <w:r>
                    <w:rPr>
                      <w:rFonts w:hint="eastAsia" w:ascii="宋体" w:hAnsi="宋体" w:cs="宋体"/>
                      <w:color w:val="auto"/>
                      <w:highlight w:val="none"/>
                    </w:rPr>
                    <w:t>0.35%</w:t>
                  </w:r>
                </w:p>
              </w:tc>
            </w:tr>
            <w:tr w14:paraId="2C96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jc w:val="center"/>
              </w:trPr>
              <w:tc>
                <w:tcPr>
                  <w:tcW w:w="3753" w:type="dxa"/>
                  <w:tcMar>
                    <w:top w:w="30" w:type="dxa"/>
                    <w:left w:w="150" w:type="dxa"/>
                    <w:bottom w:w="30" w:type="dxa"/>
                    <w:right w:w="150" w:type="dxa"/>
                  </w:tcMar>
                  <w:vAlign w:val="center"/>
                </w:tcPr>
                <w:p w14:paraId="19E3CADF">
                  <w:pPr>
                    <w:spacing w:line="312" w:lineRule="auto"/>
                    <w:jc w:val="center"/>
                    <w:rPr>
                      <w:rFonts w:ascii="宋体" w:hAnsi="宋体" w:cs="宋体"/>
                      <w:color w:val="auto"/>
                      <w:highlight w:val="none"/>
                    </w:rPr>
                  </w:pPr>
                  <w:r>
                    <w:rPr>
                      <w:rFonts w:hint="eastAsia" w:ascii="宋体" w:hAnsi="宋体" w:cs="宋体"/>
                      <w:color w:val="auto"/>
                      <w:highlight w:val="none"/>
                    </w:rPr>
                    <w:t>5000-10000</w:t>
                  </w:r>
                </w:p>
              </w:tc>
              <w:tc>
                <w:tcPr>
                  <w:tcW w:w="1241" w:type="dxa"/>
                  <w:tcMar>
                    <w:top w:w="30" w:type="dxa"/>
                    <w:left w:w="150" w:type="dxa"/>
                    <w:bottom w:w="30" w:type="dxa"/>
                    <w:right w:w="150" w:type="dxa"/>
                  </w:tcMar>
                  <w:vAlign w:val="center"/>
                </w:tcPr>
                <w:p w14:paraId="4CB9A361">
                  <w:pPr>
                    <w:spacing w:line="312" w:lineRule="auto"/>
                    <w:jc w:val="center"/>
                    <w:rPr>
                      <w:rFonts w:ascii="宋体" w:hAnsi="宋体" w:cs="宋体"/>
                      <w:color w:val="auto"/>
                      <w:highlight w:val="none"/>
                    </w:rPr>
                  </w:pPr>
                  <w:r>
                    <w:rPr>
                      <w:rFonts w:hint="eastAsia" w:ascii="宋体" w:hAnsi="宋体" w:cs="宋体"/>
                      <w:color w:val="auto"/>
                      <w:highlight w:val="none"/>
                    </w:rPr>
                    <w:t>0.2%</w:t>
                  </w:r>
                </w:p>
              </w:tc>
              <w:tc>
                <w:tcPr>
                  <w:tcW w:w="1241" w:type="dxa"/>
                  <w:tcMar>
                    <w:top w:w="30" w:type="dxa"/>
                    <w:left w:w="150" w:type="dxa"/>
                    <w:bottom w:w="30" w:type="dxa"/>
                    <w:right w:w="150" w:type="dxa"/>
                  </w:tcMar>
                  <w:vAlign w:val="center"/>
                </w:tcPr>
                <w:p w14:paraId="5BDE6811">
                  <w:pPr>
                    <w:spacing w:line="312" w:lineRule="auto"/>
                    <w:jc w:val="center"/>
                    <w:rPr>
                      <w:rFonts w:ascii="宋体" w:hAnsi="宋体" w:cs="宋体"/>
                      <w:color w:val="auto"/>
                      <w:highlight w:val="none"/>
                    </w:rPr>
                  </w:pPr>
                  <w:r>
                    <w:rPr>
                      <w:rFonts w:hint="eastAsia" w:ascii="宋体" w:hAnsi="宋体" w:cs="宋体"/>
                      <w:color w:val="auto"/>
                      <w:highlight w:val="none"/>
                    </w:rPr>
                    <w:t>0.1%</w:t>
                  </w:r>
                </w:p>
              </w:tc>
              <w:tc>
                <w:tcPr>
                  <w:tcW w:w="1243" w:type="dxa"/>
                  <w:tcMar>
                    <w:top w:w="30" w:type="dxa"/>
                    <w:left w:w="150" w:type="dxa"/>
                    <w:bottom w:w="30" w:type="dxa"/>
                    <w:right w:w="150" w:type="dxa"/>
                  </w:tcMar>
                  <w:vAlign w:val="center"/>
                </w:tcPr>
                <w:p w14:paraId="06FAABA5">
                  <w:pPr>
                    <w:spacing w:line="312" w:lineRule="auto"/>
                    <w:jc w:val="center"/>
                    <w:rPr>
                      <w:rFonts w:ascii="宋体" w:hAnsi="宋体" w:cs="宋体"/>
                      <w:color w:val="auto"/>
                      <w:highlight w:val="none"/>
                    </w:rPr>
                  </w:pPr>
                  <w:r>
                    <w:rPr>
                      <w:rFonts w:hint="eastAsia" w:ascii="宋体" w:hAnsi="宋体" w:cs="宋体"/>
                      <w:color w:val="auto"/>
                      <w:highlight w:val="none"/>
                    </w:rPr>
                    <w:t>0.2%</w:t>
                  </w:r>
                </w:p>
              </w:tc>
            </w:tr>
            <w:tr w14:paraId="56A5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4" w:hRule="atLeast"/>
                <w:jc w:val="center"/>
              </w:trPr>
              <w:tc>
                <w:tcPr>
                  <w:tcW w:w="3753" w:type="dxa"/>
                  <w:tcMar>
                    <w:top w:w="30" w:type="dxa"/>
                    <w:left w:w="150" w:type="dxa"/>
                    <w:bottom w:w="30" w:type="dxa"/>
                    <w:right w:w="150" w:type="dxa"/>
                  </w:tcMar>
                  <w:vAlign w:val="center"/>
                </w:tcPr>
                <w:p w14:paraId="0DBE26C8">
                  <w:pPr>
                    <w:spacing w:line="312" w:lineRule="auto"/>
                    <w:jc w:val="center"/>
                    <w:rPr>
                      <w:rFonts w:ascii="宋体" w:hAnsi="宋体" w:cs="宋体"/>
                      <w:color w:val="auto"/>
                      <w:highlight w:val="none"/>
                    </w:rPr>
                  </w:pPr>
                  <w:r>
                    <w:rPr>
                      <w:rFonts w:hint="eastAsia" w:ascii="宋体" w:hAnsi="宋体" w:cs="宋体"/>
                      <w:color w:val="auto"/>
                      <w:highlight w:val="none"/>
                    </w:rPr>
                    <w:t>1亿～</w:t>
                  </w:r>
                  <w:r>
                    <w:rPr>
                      <w:rFonts w:hint="eastAsia" w:ascii="宋体" w:hAnsi="宋体" w:cs="宋体"/>
                      <w:color w:val="auto"/>
                      <w:highlight w:val="none"/>
                      <w:lang w:val="en-US" w:eastAsia="zh-CN"/>
                    </w:rPr>
                    <w:t>10</w:t>
                  </w:r>
                  <w:r>
                    <w:rPr>
                      <w:rFonts w:hint="eastAsia" w:ascii="宋体" w:hAnsi="宋体" w:cs="宋体"/>
                      <w:color w:val="auto"/>
                      <w:highlight w:val="none"/>
                    </w:rPr>
                    <w:t>亿</w:t>
                  </w:r>
                </w:p>
              </w:tc>
              <w:tc>
                <w:tcPr>
                  <w:tcW w:w="1241" w:type="dxa"/>
                  <w:tcMar>
                    <w:top w:w="30" w:type="dxa"/>
                    <w:left w:w="150" w:type="dxa"/>
                    <w:bottom w:w="30" w:type="dxa"/>
                    <w:right w:w="150" w:type="dxa"/>
                  </w:tcMar>
                  <w:vAlign w:val="center"/>
                </w:tcPr>
                <w:p w14:paraId="5AA2D32D">
                  <w:pPr>
                    <w:spacing w:line="312" w:lineRule="auto"/>
                    <w:jc w:val="center"/>
                    <w:rPr>
                      <w:rFonts w:ascii="宋体" w:hAnsi="宋体" w:cs="宋体"/>
                      <w:color w:val="auto"/>
                      <w:highlight w:val="none"/>
                    </w:rPr>
                  </w:pPr>
                  <w:r>
                    <w:rPr>
                      <w:rFonts w:hint="eastAsia" w:ascii="宋体" w:hAnsi="宋体" w:cs="宋体"/>
                      <w:color w:val="auto"/>
                      <w:highlight w:val="none"/>
                    </w:rPr>
                    <w:t>0.05%</w:t>
                  </w:r>
                </w:p>
              </w:tc>
              <w:tc>
                <w:tcPr>
                  <w:tcW w:w="1241" w:type="dxa"/>
                  <w:tcMar>
                    <w:top w:w="30" w:type="dxa"/>
                    <w:left w:w="150" w:type="dxa"/>
                    <w:bottom w:w="30" w:type="dxa"/>
                    <w:right w:w="150" w:type="dxa"/>
                  </w:tcMar>
                  <w:vAlign w:val="center"/>
                </w:tcPr>
                <w:p w14:paraId="1BB8811E">
                  <w:pPr>
                    <w:spacing w:line="312" w:lineRule="auto"/>
                    <w:jc w:val="center"/>
                    <w:rPr>
                      <w:rFonts w:ascii="宋体" w:hAnsi="宋体" w:cs="宋体"/>
                      <w:color w:val="auto"/>
                      <w:highlight w:val="none"/>
                    </w:rPr>
                  </w:pPr>
                  <w:r>
                    <w:rPr>
                      <w:rFonts w:hint="eastAsia" w:ascii="宋体" w:hAnsi="宋体" w:cs="宋体"/>
                      <w:color w:val="auto"/>
                      <w:highlight w:val="none"/>
                    </w:rPr>
                    <w:t>0.05%</w:t>
                  </w:r>
                </w:p>
              </w:tc>
              <w:tc>
                <w:tcPr>
                  <w:tcW w:w="1243" w:type="dxa"/>
                  <w:tcMar>
                    <w:top w:w="30" w:type="dxa"/>
                    <w:left w:w="150" w:type="dxa"/>
                    <w:bottom w:w="30" w:type="dxa"/>
                    <w:right w:w="150" w:type="dxa"/>
                  </w:tcMar>
                  <w:vAlign w:val="center"/>
                </w:tcPr>
                <w:p w14:paraId="10777B4E">
                  <w:pPr>
                    <w:spacing w:line="312" w:lineRule="auto"/>
                    <w:jc w:val="center"/>
                    <w:rPr>
                      <w:rFonts w:ascii="宋体" w:hAnsi="宋体" w:cs="宋体"/>
                      <w:color w:val="auto"/>
                      <w:highlight w:val="none"/>
                    </w:rPr>
                  </w:pPr>
                  <w:r>
                    <w:rPr>
                      <w:rFonts w:hint="eastAsia" w:ascii="宋体" w:hAnsi="宋体" w:cs="宋体"/>
                      <w:color w:val="auto"/>
                      <w:highlight w:val="none"/>
                    </w:rPr>
                    <w:t>0.0</w:t>
                  </w:r>
                  <w:r>
                    <w:rPr>
                      <w:rFonts w:hint="eastAsia" w:ascii="宋体" w:hAnsi="宋体" w:cs="宋体"/>
                      <w:color w:val="auto"/>
                      <w:highlight w:val="none"/>
                      <w:lang w:val="en-US" w:eastAsia="zh-CN"/>
                    </w:rPr>
                    <w:t>4</w:t>
                  </w:r>
                  <w:r>
                    <w:rPr>
                      <w:rFonts w:hint="eastAsia" w:ascii="宋体" w:hAnsi="宋体" w:cs="宋体"/>
                      <w:color w:val="auto"/>
                      <w:highlight w:val="none"/>
                    </w:rPr>
                    <w:t>%</w:t>
                  </w:r>
                </w:p>
              </w:tc>
            </w:tr>
          </w:tbl>
          <w:p w14:paraId="07E8B8FE">
            <w:pPr>
              <w:spacing w:line="440" w:lineRule="exact"/>
              <w:ind w:left="143" w:hanging="142" w:hangingChars="68"/>
              <w:contextualSpacing/>
              <w:rPr>
                <w:color w:val="auto"/>
                <w:szCs w:val="24"/>
                <w:highlight w:val="none"/>
              </w:rPr>
            </w:pPr>
            <w:r>
              <w:rPr>
                <w:rFonts w:hint="eastAsia"/>
                <w:color w:val="auto"/>
                <w:szCs w:val="24"/>
                <w:highlight w:val="none"/>
              </w:rPr>
              <w:t>2.中标人在签订合同后5个工作日内向本招标代理机构支付招标代理费。</w:t>
            </w:r>
          </w:p>
        </w:tc>
      </w:tr>
    </w:tbl>
    <w:p w14:paraId="7002CE2F">
      <w:pPr>
        <w:pStyle w:val="41"/>
        <w:rPr>
          <w:rFonts w:ascii="Times New Roman" w:hAnsi="Times New Roman"/>
          <w:color w:val="auto"/>
          <w:kern w:val="44"/>
          <w:highlight w:val="none"/>
        </w:rPr>
      </w:pPr>
      <w:r>
        <w:rPr>
          <w:rFonts w:hint="eastAsia"/>
          <w:b/>
          <w:color w:val="auto"/>
          <w:sz w:val="24"/>
          <w:szCs w:val="24"/>
          <w:highlight w:val="none"/>
        </w:rPr>
        <w:t>本采购文件内打有“★”的条款系实质性条款，任何负偏离将导致投标被否决。</w:t>
      </w:r>
      <w:r>
        <w:rPr>
          <w:rFonts w:ascii="Times New Roman" w:hAnsi="Times New Roman"/>
          <w:color w:val="auto"/>
          <w:sz w:val="24"/>
          <w:szCs w:val="24"/>
          <w:highlight w:val="none"/>
        </w:rPr>
        <w:br w:type="page"/>
      </w:r>
      <w:bookmarkStart w:id="9" w:name="_Toc500334853"/>
      <w:bookmarkStart w:id="10" w:name="_Toc435088064"/>
      <w:bookmarkStart w:id="11" w:name="_Toc498429629"/>
      <w:bookmarkStart w:id="12" w:name="_Toc146800983"/>
      <w:bookmarkStart w:id="13" w:name="_Toc157022442"/>
      <w:bookmarkStart w:id="14" w:name="_Toc263083257"/>
      <w:r>
        <w:rPr>
          <w:rFonts w:hint="eastAsia" w:ascii="Times New Roman" w:hAnsi="Times New Roman"/>
          <w:color w:val="auto"/>
          <w:kern w:val="44"/>
          <w:highlight w:val="none"/>
        </w:rPr>
        <w:t>第三章投标人须知</w:t>
      </w:r>
    </w:p>
    <w:p w14:paraId="5F7EABBD">
      <w:pPr>
        <w:spacing w:line="380" w:lineRule="exact"/>
        <w:rPr>
          <w:rFonts w:ascii="宋体" w:hAnsi="宋体" w:cs="宋体"/>
          <w:color w:val="auto"/>
          <w:szCs w:val="21"/>
          <w:highlight w:val="none"/>
        </w:rPr>
      </w:pPr>
    </w:p>
    <w:p w14:paraId="2D2F5FD3">
      <w:pPr>
        <w:pStyle w:val="2"/>
        <w:spacing w:beforeLines="50" w:afterLines="50"/>
        <w:ind w:left="600"/>
        <w:rPr>
          <w:rFonts w:hAnsi="宋体" w:cs="宋体"/>
          <w:color w:val="auto"/>
          <w:sz w:val="21"/>
          <w:szCs w:val="21"/>
          <w:highlight w:val="none"/>
        </w:rPr>
      </w:pPr>
      <w:r>
        <w:rPr>
          <w:rFonts w:hint="eastAsia" w:hAnsi="宋体" w:cs="宋体"/>
          <w:color w:val="auto"/>
          <w:sz w:val="21"/>
          <w:szCs w:val="21"/>
          <w:highlight w:val="none"/>
        </w:rPr>
        <w:t>一、说明</w:t>
      </w:r>
    </w:p>
    <w:p w14:paraId="32E9525B">
      <w:pPr>
        <w:pStyle w:val="4"/>
        <w:tabs>
          <w:tab w:val="left" w:pos="350"/>
        </w:tabs>
        <w:spacing w:before="0" w:after="0" w:line="360" w:lineRule="auto"/>
        <w:contextualSpacing/>
        <w:rPr>
          <w:rFonts w:ascii="宋体" w:hAnsi="宋体" w:cs="宋体"/>
          <w:b w:val="0"/>
          <w:color w:val="auto"/>
          <w:sz w:val="21"/>
          <w:szCs w:val="21"/>
          <w:highlight w:val="none"/>
        </w:rPr>
      </w:pPr>
      <w:r>
        <w:rPr>
          <w:rFonts w:hint="eastAsia" w:ascii="宋体" w:hAnsi="宋体" w:cs="宋体"/>
          <w:b w:val="0"/>
          <w:color w:val="auto"/>
          <w:sz w:val="21"/>
          <w:szCs w:val="21"/>
          <w:highlight w:val="none"/>
        </w:rPr>
        <w:t>1、项目概况</w:t>
      </w:r>
    </w:p>
    <w:p w14:paraId="6D9A65F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1.1采购人的项目（载明在《投标资料表》中）已经国企采购行政管理部门批准。采购人委托中冠工程管理咨询有限公司代理本次招标采购工作。有关采购人、采购代理机构的名称、联系人、电话、传真等信息载明在《投标资料表》中。</w:t>
      </w:r>
    </w:p>
    <w:p w14:paraId="0706280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1.2经批准的本次采购方式载明在《投标资料表》中。</w:t>
      </w:r>
    </w:p>
    <w:p w14:paraId="6BF1098D">
      <w:pPr>
        <w:pStyle w:val="2"/>
        <w:spacing w:beforeLines="50" w:afterLines="50"/>
        <w:rPr>
          <w:rFonts w:hAnsi="宋体" w:cs="宋体"/>
          <w:color w:val="auto"/>
          <w:sz w:val="21"/>
          <w:szCs w:val="21"/>
          <w:highlight w:val="none"/>
        </w:rPr>
      </w:pPr>
      <w:r>
        <w:rPr>
          <w:rFonts w:hint="eastAsia" w:hAnsi="宋体" w:cs="宋体"/>
          <w:color w:val="auto"/>
          <w:sz w:val="21"/>
          <w:szCs w:val="21"/>
          <w:highlight w:val="none"/>
        </w:rPr>
        <w:t>二、投标人</w:t>
      </w:r>
    </w:p>
    <w:p w14:paraId="4850ADF0">
      <w:pPr>
        <w:pStyle w:val="4"/>
        <w:tabs>
          <w:tab w:val="left" w:pos="350"/>
        </w:tabs>
        <w:spacing w:before="0" w:after="0" w:line="360" w:lineRule="auto"/>
        <w:contextualSpacing/>
        <w:rPr>
          <w:rFonts w:ascii="宋体" w:hAnsi="宋体" w:cs="宋体"/>
          <w:b w:val="0"/>
          <w:color w:val="auto"/>
          <w:sz w:val="21"/>
          <w:szCs w:val="21"/>
          <w:highlight w:val="none"/>
        </w:rPr>
      </w:pPr>
      <w:r>
        <w:rPr>
          <w:rFonts w:hint="eastAsia" w:ascii="宋体" w:hAnsi="宋体" w:cs="宋体"/>
          <w:b w:val="0"/>
          <w:color w:val="auto"/>
          <w:sz w:val="21"/>
          <w:szCs w:val="21"/>
          <w:highlight w:val="none"/>
        </w:rPr>
        <w:t>2、合格的投标人</w:t>
      </w:r>
    </w:p>
    <w:p w14:paraId="4D3EB9A5">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2.1投标人应该是符合《投标资料表》的报名条件，符合、承认并承诺履行本招标文件各项要求的具有独立法人资格的中国境内企业或组织或其分支机构。</w:t>
      </w:r>
    </w:p>
    <w:p w14:paraId="187E61F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2.2参加本次投标活动的投标人应具备以下条件，并遵守国家有关的法律、法令和条例的规定：</w:t>
      </w:r>
    </w:p>
    <w:p w14:paraId="19E41A22">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389D1542">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（2）具有履行合同要求提供服务所必须的设备、人员和专业技术能力；</w:t>
      </w:r>
    </w:p>
    <w:p w14:paraId="3244196E">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（3）有依法缴纳税收和社会保障资金的良好纪录；</w:t>
      </w:r>
    </w:p>
    <w:p w14:paraId="58E647A5">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（4）参加本次投标活动之前三年内经营活动无重大违法纪录；</w:t>
      </w:r>
    </w:p>
    <w:p w14:paraId="4E85AC54">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（5）满足采购人为获得满意服务供应而提出的其他要求。（见《投标资料表》中要求）</w:t>
      </w:r>
    </w:p>
    <w:p w14:paraId="17C31199">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（6）单位负责人为同一人或者存在直接控股、管理关系的不同供应商，不得参加同一合同项下的采购活动。</w:t>
      </w:r>
    </w:p>
    <w:p w14:paraId="6F8CED26">
      <w:pPr>
        <w:pStyle w:val="4"/>
        <w:tabs>
          <w:tab w:val="left" w:pos="350"/>
        </w:tabs>
        <w:spacing w:before="0" w:after="0" w:line="360" w:lineRule="auto"/>
        <w:contextualSpacing/>
        <w:rPr>
          <w:rFonts w:ascii="宋体" w:hAnsi="宋体" w:cs="宋体"/>
          <w:b w:val="0"/>
          <w:color w:val="auto"/>
          <w:sz w:val="21"/>
          <w:szCs w:val="21"/>
          <w:highlight w:val="none"/>
        </w:rPr>
      </w:pPr>
      <w:r>
        <w:rPr>
          <w:rFonts w:hint="eastAsia" w:ascii="宋体" w:hAnsi="宋体" w:cs="宋体"/>
          <w:b w:val="0"/>
          <w:color w:val="auto"/>
          <w:sz w:val="21"/>
          <w:szCs w:val="21"/>
          <w:highlight w:val="none"/>
        </w:rPr>
        <w:t>3、投标人代表</w:t>
      </w:r>
    </w:p>
    <w:p w14:paraId="49FE5645">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若投标人为具有独立法人资格的中国境内企业或组织必须为该企业或组织的人员，若投标人为自然人必须为中国合法公民。</w:t>
      </w:r>
    </w:p>
    <w:p w14:paraId="5F3BEB53">
      <w:pPr>
        <w:pStyle w:val="4"/>
        <w:tabs>
          <w:tab w:val="left" w:pos="350"/>
        </w:tabs>
        <w:spacing w:before="0" w:after="0" w:line="360" w:lineRule="auto"/>
        <w:contextualSpacing/>
        <w:rPr>
          <w:rFonts w:ascii="宋体" w:hAnsi="宋体" w:cs="宋体"/>
          <w:b w:val="0"/>
          <w:color w:val="auto"/>
          <w:sz w:val="21"/>
          <w:szCs w:val="21"/>
          <w:highlight w:val="none"/>
        </w:rPr>
      </w:pPr>
      <w:r>
        <w:rPr>
          <w:rFonts w:hint="eastAsia" w:ascii="宋体" w:hAnsi="宋体" w:cs="宋体"/>
          <w:b w:val="0"/>
          <w:color w:val="auto"/>
          <w:sz w:val="21"/>
          <w:szCs w:val="21"/>
          <w:highlight w:val="none"/>
        </w:rPr>
        <w:t>4、投标费用</w:t>
      </w:r>
    </w:p>
    <w:p w14:paraId="165F03B3">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不论招标的结果如何，投标人自行承担其参加本次投标有关的全部费用。</w:t>
      </w:r>
    </w:p>
    <w:p w14:paraId="64ADB435">
      <w:pPr>
        <w:pStyle w:val="4"/>
        <w:tabs>
          <w:tab w:val="left" w:pos="350"/>
        </w:tabs>
        <w:spacing w:before="0" w:after="0" w:line="360" w:lineRule="auto"/>
        <w:contextualSpacing/>
        <w:rPr>
          <w:rFonts w:ascii="宋体" w:hAnsi="宋体" w:cs="宋体"/>
          <w:b w:val="0"/>
          <w:color w:val="auto"/>
          <w:sz w:val="21"/>
          <w:szCs w:val="21"/>
          <w:highlight w:val="none"/>
        </w:rPr>
      </w:pPr>
      <w:r>
        <w:rPr>
          <w:rFonts w:hint="eastAsia" w:ascii="宋体" w:hAnsi="宋体" w:cs="宋体"/>
          <w:b w:val="0"/>
          <w:color w:val="auto"/>
          <w:sz w:val="21"/>
          <w:szCs w:val="21"/>
          <w:highlight w:val="none"/>
        </w:rPr>
        <w:t>5、特别说明（针对货物采购）：不适用</w:t>
      </w:r>
    </w:p>
    <w:p w14:paraId="201DD638">
      <w:pPr>
        <w:pStyle w:val="2"/>
        <w:spacing w:beforeLines="50" w:afterLines="50"/>
        <w:rPr>
          <w:rFonts w:hAnsi="宋体" w:cs="宋体"/>
          <w:color w:val="auto"/>
          <w:sz w:val="21"/>
          <w:szCs w:val="21"/>
          <w:highlight w:val="none"/>
        </w:rPr>
      </w:pPr>
      <w:r>
        <w:rPr>
          <w:rFonts w:hint="eastAsia" w:hAnsi="宋体" w:cs="宋体"/>
          <w:color w:val="auto"/>
          <w:sz w:val="21"/>
          <w:szCs w:val="21"/>
          <w:highlight w:val="none"/>
        </w:rPr>
        <w:t>三、招标文件</w:t>
      </w:r>
    </w:p>
    <w:p w14:paraId="463360EE">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6、招标文件的构成</w:t>
      </w:r>
    </w:p>
    <w:p w14:paraId="3001096F">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招标文件含有以下部分，文本条款装订成册。内容如下：</w:t>
      </w:r>
    </w:p>
    <w:p w14:paraId="69F9AED5">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第一部分 采购公告</w:t>
      </w:r>
    </w:p>
    <w:p w14:paraId="5DC84F75">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第二部分 投标资料表</w:t>
      </w:r>
    </w:p>
    <w:p w14:paraId="1D6352F2">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第三部分 投标人须知</w:t>
      </w:r>
    </w:p>
    <w:p w14:paraId="47DD1E60">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第四部分 评标办法及标准</w:t>
      </w:r>
    </w:p>
    <w:p w14:paraId="76524C5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第五部分 招标内容及要求</w:t>
      </w:r>
    </w:p>
    <w:p w14:paraId="49D22712">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第六部分 拟签订的合同文本</w:t>
      </w:r>
    </w:p>
    <w:p w14:paraId="0B992C4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第七部分 格式与表格</w:t>
      </w:r>
    </w:p>
    <w:p w14:paraId="534B2B3B">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投标人应详细阅读招标文件的全部内容和要求，不按招标文件的要求递交投标文件和资料导致的风险由投标人承担。</w:t>
      </w:r>
    </w:p>
    <w:p w14:paraId="1732C725">
      <w:pPr>
        <w:spacing w:line="380" w:lineRule="exact"/>
        <w:contextualSpacing/>
        <w:rPr>
          <w:color w:val="auto"/>
          <w:szCs w:val="21"/>
          <w:highlight w:val="none"/>
        </w:rPr>
      </w:pPr>
      <w:r>
        <w:rPr>
          <w:color w:val="auto"/>
          <w:szCs w:val="21"/>
          <w:highlight w:val="none"/>
        </w:rPr>
        <w:t>7</w:t>
      </w:r>
      <w:r>
        <w:rPr>
          <w:rFonts w:hint="eastAsia"/>
          <w:color w:val="auto"/>
          <w:szCs w:val="21"/>
          <w:highlight w:val="none"/>
        </w:rPr>
        <w:t>、质疑与投诉</w:t>
      </w:r>
    </w:p>
    <w:p w14:paraId="2BBDA591">
      <w:pPr>
        <w:tabs>
          <w:tab w:val="left" w:pos="709"/>
        </w:tabs>
        <w:spacing w:line="380" w:lineRule="exact"/>
        <w:ind w:firstLine="420" w:firstLineChars="200"/>
        <w:contextualSpacing/>
        <w:rPr>
          <w:color w:val="auto"/>
          <w:szCs w:val="21"/>
          <w:highlight w:val="none"/>
        </w:rPr>
      </w:pPr>
      <w:r>
        <w:rPr>
          <w:color w:val="auto"/>
          <w:szCs w:val="21"/>
          <w:highlight w:val="none"/>
        </w:rPr>
        <w:t>7</w:t>
      </w:r>
      <w:r>
        <w:rPr>
          <w:rFonts w:hint="eastAsia"/>
          <w:color w:val="auto"/>
          <w:szCs w:val="21"/>
          <w:highlight w:val="none"/>
        </w:rPr>
        <w:t>.1</w:t>
      </w:r>
      <w:r>
        <w:rPr>
          <w:rFonts w:hint="eastAsia"/>
          <w:color w:val="auto"/>
          <w:szCs w:val="21"/>
          <w:highlight w:val="none"/>
        </w:rPr>
        <w:tab/>
      </w:r>
      <w:r>
        <w:rPr>
          <w:rFonts w:hint="eastAsia"/>
          <w:color w:val="auto"/>
          <w:szCs w:val="21"/>
          <w:highlight w:val="none"/>
        </w:rPr>
        <w:t>投标人认为采购文件、采购过程和中标、成交结果使自己的权益受到损害的，可以在知道或者应知其权益受到损害之日起七个工作日内，以书面形式向采购人、采购机构提出质疑</w:t>
      </w:r>
      <w:r>
        <w:rPr>
          <w:rFonts w:hint="eastAsia"/>
          <w:b/>
          <w:color w:val="auto"/>
          <w:szCs w:val="21"/>
          <w:highlight w:val="none"/>
        </w:rPr>
        <w:t>（注</w:t>
      </w:r>
      <w:r>
        <w:rPr>
          <w:b/>
          <w:color w:val="auto"/>
          <w:szCs w:val="21"/>
          <w:highlight w:val="none"/>
        </w:rPr>
        <w:t>：</w:t>
      </w:r>
      <w:r>
        <w:rPr>
          <w:rFonts w:hint="eastAsia"/>
          <w:b/>
          <w:color w:val="auto"/>
          <w:szCs w:val="21"/>
          <w:highlight w:val="none"/>
        </w:rPr>
        <w:t>投标人须</w:t>
      </w:r>
      <w:r>
        <w:rPr>
          <w:b/>
          <w:color w:val="auto"/>
          <w:szCs w:val="21"/>
          <w:highlight w:val="none"/>
        </w:rPr>
        <w:t>在法定质疑期内一次性提出针对同一采购程序环节的质疑</w:t>
      </w:r>
      <w:r>
        <w:rPr>
          <w:rFonts w:hint="eastAsia"/>
          <w:b/>
          <w:color w:val="auto"/>
          <w:szCs w:val="21"/>
          <w:highlight w:val="none"/>
        </w:rPr>
        <w:t>）</w:t>
      </w:r>
      <w:r>
        <w:rPr>
          <w:rFonts w:hint="eastAsia"/>
          <w:color w:val="auto"/>
          <w:szCs w:val="21"/>
          <w:highlight w:val="none"/>
        </w:rPr>
        <w:t>。潜在投标人的书面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政府采购监督管理部门投诉。</w:t>
      </w:r>
    </w:p>
    <w:p w14:paraId="557AF93F">
      <w:pPr>
        <w:tabs>
          <w:tab w:val="left" w:pos="709"/>
        </w:tabs>
        <w:spacing w:line="380" w:lineRule="exact"/>
        <w:ind w:firstLine="420" w:firstLineChars="200"/>
        <w:contextualSpacing/>
        <w:rPr>
          <w:color w:val="auto"/>
          <w:szCs w:val="21"/>
          <w:highlight w:val="none"/>
        </w:rPr>
      </w:pPr>
      <w:r>
        <w:rPr>
          <w:color w:val="auto"/>
          <w:szCs w:val="21"/>
          <w:highlight w:val="none"/>
        </w:rPr>
        <w:t>7</w:t>
      </w:r>
      <w:r>
        <w:rPr>
          <w:rFonts w:hint="eastAsia"/>
          <w:color w:val="auto"/>
          <w:szCs w:val="21"/>
          <w:highlight w:val="none"/>
        </w:rPr>
        <w:t>.2</w:t>
      </w:r>
      <w:r>
        <w:rPr>
          <w:rFonts w:hint="eastAsia"/>
          <w:color w:val="auto"/>
          <w:szCs w:val="21"/>
          <w:highlight w:val="none"/>
        </w:rPr>
        <w:tab/>
      </w:r>
      <w:r>
        <w:rPr>
          <w:rFonts w:hint="eastAsia"/>
          <w:color w:val="auto"/>
          <w:szCs w:val="21"/>
          <w:highlight w:val="none"/>
        </w:rPr>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14:paraId="6D7976A9">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7.3</w:t>
      </w:r>
      <w:r>
        <w:rPr>
          <w:rFonts w:hint="eastAsia"/>
          <w:color w:val="auto"/>
          <w:szCs w:val="21"/>
          <w:highlight w:val="none"/>
        </w:rPr>
        <w:tab/>
      </w:r>
      <w:r>
        <w:rPr>
          <w:rFonts w:hint="eastAsia"/>
          <w:color w:val="auto"/>
          <w:szCs w:val="21"/>
          <w:highlight w:val="none"/>
        </w:rPr>
        <w:t>采购代理机构发送的答疑文件是采购文件的组成部分，对投标人具有约束力。</w:t>
      </w:r>
    </w:p>
    <w:p w14:paraId="2DCE388B">
      <w:pPr>
        <w:tabs>
          <w:tab w:val="left" w:pos="709"/>
        </w:tabs>
        <w:spacing w:line="380" w:lineRule="exact"/>
        <w:ind w:firstLine="420" w:firstLineChars="200"/>
        <w:contextualSpacing/>
        <w:rPr>
          <w:color w:val="auto"/>
          <w:szCs w:val="21"/>
          <w:highlight w:val="none"/>
        </w:rPr>
      </w:pPr>
      <w:bookmarkStart w:id="15" w:name="_Hlk49407732"/>
      <w:r>
        <w:rPr>
          <w:rFonts w:hint="eastAsia"/>
          <w:color w:val="auto"/>
          <w:szCs w:val="21"/>
          <w:highlight w:val="none"/>
        </w:rPr>
        <w:t>7.4未尽事宜，见《政府采购质疑和投诉办法》（中华人民共和国财政部令第94号）。</w:t>
      </w:r>
    </w:p>
    <w:bookmarkEnd w:id="15"/>
    <w:p w14:paraId="4272AED3">
      <w:pPr>
        <w:spacing w:line="380" w:lineRule="exact"/>
        <w:contextualSpacing/>
        <w:rPr>
          <w:color w:val="auto"/>
          <w:szCs w:val="21"/>
          <w:highlight w:val="none"/>
        </w:rPr>
      </w:pPr>
      <w:r>
        <w:rPr>
          <w:color w:val="auto"/>
          <w:szCs w:val="21"/>
          <w:highlight w:val="none"/>
        </w:rPr>
        <w:t>8</w:t>
      </w:r>
      <w:r>
        <w:rPr>
          <w:rFonts w:hint="eastAsia"/>
          <w:color w:val="auto"/>
          <w:szCs w:val="21"/>
          <w:highlight w:val="none"/>
        </w:rPr>
        <w:t>、采购文件的澄清与修改</w:t>
      </w:r>
    </w:p>
    <w:p w14:paraId="6D709692">
      <w:pPr>
        <w:tabs>
          <w:tab w:val="left" w:pos="709"/>
        </w:tabs>
        <w:spacing w:line="380" w:lineRule="exact"/>
        <w:ind w:firstLine="420" w:firstLineChars="200"/>
        <w:contextualSpacing/>
        <w:rPr>
          <w:color w:val="auto"/>
          <w:szCs w:val="21"/>
          <w:highlight w:val="none"/>
        </w:rPr>
      </w:pPr>
      <w:r>
        <w:rPr>
          <w:color w:val="auto"/>
          <w:szCs w:val="21"/>
          <w:highlight w:val="none"/>
        </w:rPr>
        <w:t>8</w:t>
      </w:r>
      <w:r>
        <w:rPr>
          <w:rFonts w:hint="eastAsia"/>
          <w:color w:val="auto"/>
          <w:szCs w:val="21"/>
          <w:highlight w:val="none"/>
        </w:rPr>
        <w:t>.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442E5FE9">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澄清或者修改的内容可能影响投标文件编制的，采购人或者采购代理机构应当在投标截止时间至少</w:t>
      </w:r>
      <w:r>
        <w:rPr>
          <w:color w:val="auto"/>
          <w:szCs w:val="21"/>
          <w:highlight w:val="none"/>
        </w:rPr>
        <w:t>15</w:t>
      </w:r>
      <w:r>
        <w:rPr>
          <w:rFonts w:hint="eastAsia"/>
          <w:color w:val="auto"/>
          <w:szCs w:val="21"/>
          <w:highlight w:val="none"/>
        </w:rPr>
        <w:t>日前，以书面形式通知所有获取采购文件的潜在投标人；不足</w:t>
      </w:r>
      <w:r>
        <w:rPr>
          <w:color w:val="auto"/>
          <w:szCs w:val="21"/>
          <w:highlight w:val="none"/>
        </w:rPr>
        <w:t>15</w:t>
      </w:r>
      <w:r>
        <w:rPr>
          <w:rFonts w:hint="eastAsia"/>
          <w:color w:val="auto"/>
          <w:szCs w:val="21"/>
          <w:highlight w:val="none"/>
        </w:rPr>
        <w:t>日的，采购人或者采购代理机构应当顺延提交投标文件的截止时间。</w:t>
      </w:r>
    </w:p>
    <w:p w14:paraId="7C0CCCA3">
      <w:pPr>
        <w:tabs>
          <w:tab w:val="left" w:pos="709"/>
        </w:tabs>
        <w:spacing w:line="380" w:lineRule="exact"/>
        <w:ind w:firstLine="420" w:firstLineChars="200"/>
        <w:contextualSpacing/>
        <w:rPr>
          <w:color w:val="auto"/>
          <w:szCs w:val="21"/>
          <w:highlight w:val="none"/>
        </w:rPr>
      </w:pPr>
      <w:r>
        <w:rPr>
          <w:color w:val="auto"/>
          <w:szCs w:val="21"/>
          <w:highlight w:val="none"/>
        </w:rPr>
        <w:t>8</w:t>
      </w:r>
      <w:r>
        <w:rPr>
          <w:rFonts w:hint="eastAsia"/>
          <w:color w:val="auto"/>
          <w:szCs w:val="21"/>
          <w:highlight w:val="none"/>
        </w:rPr>
        <w:t>.2</w:t>
      </w:r>
      <w:r>
        <w:rPr>
          <w:color w:val="auto"/>
          <w:szCs w:val="21"/>
          <w:highlight w:val="none"/>
        </w:rPr>
        <w:t>采购代理机构必须以书面形式答复投标人要求澄清的问题，并将不包含问题来源的答复书面通知所有</w:t>
      </w:r>
      <w:r>
        <w:rPr>
          <w:rFonts w:hint="eastAsia"/>
          <w:color w:val="auto"/>
          <w:szCs w:val="21"/>
          <w:highlight w:val="none"/>
        </w:rPr>
        <w:t>获取</w:t>
      </w:r>
      <w:r>
        <w:rPr>
          <w:color w:val="auto"/>
          <w:szCs w:val="21"/>
          <w:highlight w:val="none"/>
        </w:rPr>
        <w:t>采购文件的投标人；除书面答复以外的其他澄清方式及澄清内容均无效。</w:t>
      </w:r>
    </w:p>
    <w:p w14:paraId="39F6134C">
      <w:pPr>
        <w:tabs>
          <w:tab w:val="left" w:pos="709"/>
        </w:tabs>
        <w:spacing w:line="380" w:lineRule="exact"/>
        <w:ind w:firstLine="420" w:firstLineChars="200"/>
        <w:contextualSpacing/>
        <w:rPr>
          <w:color w:val="auto"/>
          <w:szCs w:val="21"/>
          <w:highlight w:val="none"/>
        </w:rPr>
      </w:pPr>
      <w:r>
        <w:rPr>
          <w:color w:val="auto"/>
          <w:szCs w:val="21"/>
          <w:highlight w:val="none"/>
        </w:rPr>
        <w:t>8</w:t>
      </w:r>
      <w:r>
        <w:rPr>
          <w:rFonts w:hint="eastAsia"/>
          <w:color w:val="auto"/>
          <w:szCs w:val="21"/>
          <w:highlight w:val="none"/>
        </w:rPr>
        <w:t>.3</w:t>
      </w:r>
      <w:r>
        <w:rPr>
          <w:color w:val="auto"/>
          <w:szCs w:val="21"/>
          <w:highlight w:val="none"/>
        </w:rPr>
        <w:t>采购文件澄清、答复、修改、补充的内容为采购文件的组成部分。当采购文件与采购文件的答复、澄清、修改、补充通知就同一内容的表述不一致时，以最后发出的书面文件为准。</w:t>
      </w:r>
    </w:p>
    <w:p w14:paraId="5334E9B1">
      <w:pPr>
        <w:tabs>
          <w:tab w:val="left" w:pos="709"/>
        </w:tabs>
        <w:spacing w:line="380" w:lineRule="exact"/>
        <w:ind w:firstLine="420" w:firstLineChars="200"/>
        <w:contextualSpacing/>
        <w:rPr>
          <w:color w:val="auto"/>
          <w:szCs w:val="21"/>
          <w:highlight w:val="none"/>
        </w:rPr>
      </w:pPr>
      <w:r>
        <w:rPr>
          <w:color w:val="auto"/>
          <w:szCs w:val="21"/>
          <w:highlight w:val="none"/>
        </w:rPr>
        <w:t>8</w:t>
      </w:r>
      <w:r>
        <w:rPr>
          <w:rFonts w:hint="eastAsia"/>
          <w:color w:val="auto"/>
          <w:szCs w:val="21"/>
          <w:highlight w:val="none"/>
        </w:rPr>
        <w:t>.4</w:t>
      </w:r>
      <w:r>
        <w:rPr>
          <w:color w:val="auto"/>
          <w:szCs w:val="21"/>
          <w:highlight w:val="none"/>
        </w:rPr>
        <w:t>采购文件的澄清、答复、修改或补充都应该通过本代理机构以法定形式发布，采购人非通过本机构，不得擅自澄清、答复、修改或补充采购文件。</w:t>
      </w:r>
    </w:p>
    <w:p w14:paraId="38071604">
      <w:pPr>
        <w:tabs>
          <w:tab w:val="left" w:pos="709"/>
        </w:tabs>
        <w:spacing w:line="380" w:lineRule="exact"/>
        <w:ind w:firstLine="420" w:firstLineChars="200"/>
        <w:contextualSpacing/>
        <w:rPr>
          <w:color w:val="auto"/>
          <w:szCs w:val="21"/>
          <w:highlight w:val="none"/>
        </w:rPr>
      </w:pPr>
      <w:r>
        <w:rPr>
          <w:color w:val="auto"/>
          <w:szCs w:val="21"/>
          <w:highlight w:val="none"/>
        </w:rPr>
        <w:t>9</w:t>
      </w:r>
      <w:r>
        <w:rPr>
          <w:rFonts w:hint="eastAsia"/>
          <w:color w:val="auto"/>
          <w:szCs w:val="21"/>
          <w:highlight w:val="none"/>
        </w:rPr>
        <w:t>、关于分公司投标</w:t>
      </w:r>
    </w:p>
    <w:p w14:paraId="73CA6CD3">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除金融、保险、通讯等特定行业外，法人的分支机构由于不能独立承担民事责任，不能以分支机构的身份参加政府采购，只能法人身份参加。</w:t>
      </w:r>
    </w:p>
    <w:p w14:paraId="1598ECB8">
      <w:pPr>
        <w:tabs>
          <w:tab w:val="left" w:pos="709"/>
        </w:tabs>
        <w:spacing w:line="380" w:lineRule="exact"/>
        <w:ind w:firstLine="420" w:firstLineChars="200"/>
        <w:contextualSpacing/>
        <w:rPr>
          <w:color w:val="auto"/>
          <w:szCs w:val="21"/>
          <w:highlight w:val="none"/>
        </w:rPr>
      </w:pPr>
      <w:r>
        <w:rPr>
          <w:color w:val="auto"/>
          <w:szCs w:val="21"/>
          <w:highlight w:val="none"/>
        </w:rPr>
        <w:t>10</w:t>
      </w:r>
      <w:r>
        <w:rPr>
          <w:rFonts w:hint="eastAsia"/>
          <w:color w:val="auto"/>
          <w:szCs w:val="21"/>
          <w:highlight w:val="none"/>
        </w:rPr>
        <w:t>、关于知识产权</w:t>
      </w:r>
    </w:p>
    <w:p w14:paraId="3BE2E157">
      <w:pPr>
        <w:tabs>
          <w:tab w:val="left" w:pos="709"/>
        </w:tabs>
        <w:spacing w:line="380" w:lineRule="exact"/>
        <w:ind w:firstLine="420" w:firstLineChars="200"/>
        <w:contextualSpacing/>
        <w:rPr>
          <w:color w:val="auto"/>
          <w:szCs w:val="21"/>
          <w:highlight w:val="none"/>
        </w:rPr>
      </w:pPr>
      <w:r>
        <w:rPr>
          <w:color w:val="auto"/>
          <w:szCs w:val="21"/>
          <w:highlight w:val="none"/>
        </w:rPr>
        <w:t>10</w:t>
      </w:r>
      <w:r>
        <w:rPr>
          <w:rFonts w:hint="eastAsia"/>
          <w:color w:val="auto"/>
          <w:szCs w:val="21"/>
          <w:highlight w:val="none"/>
        </w:rPr>
        <w:t>.</w:t>
      </w:r>
      <w:r>
        <w:rPr>
          <w:color w:val="auto"/>
          <w:szCs w:val="21"/>
          <w:highlight w:val="none"/>
        </w:rPr>
        <w:t>1</w:t>
      </w:r>
      <w:r>
        <w:rPr>
          <w:rFonts w:hint="eastAsia"/>
          <w:color w:val="auto"/>
          <w:szCs w:val="21"/>
          <w:highlight w:val="none"/>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5F311281">
      <w:pPr>
        <w:tabs>
          <w:tab w:val="left" w:pos="709"/>
        </w:tabs>
        <w:spacing w:line="380" w:lineRule="exact"/>
        <w:ind w:firstLine="420" w:firstLineChars="200"/>
        <w:contextualSpacing/>
        <w:rPr>
          <w:color w:val="auto"/>
          <w:szCs w:val="21"/>
          <w:highlight w:val="none"/>
        </w:rPr>
      </w:pPr>
      <w:r>
        <w:rPr>
          <w:color w:val="auto"/>
          <w:szCs w:val="21"/>
          <w:highlight w:val="none"/>
        </w:rPr>
        <w:t>10.2</w:t>
      </w:r>
      <w:r>
        <w:rPr>
          <w:rFonts w:hint="eastAsia"/>
          <w:color w:val="auto"/>
          <w:szCs w:val="21"/>
          <w:highlight w:val="none"/>
        </w:rPr>
        <w:t>投标报价应包含所有应向所有权人支付的专利权、商标权或其它知识产权的一切相关费用。</w:t>
      </w:r>
    </w:p>
    <w:p w14:paraId="51CF9CBC">
      <w:pPr>
        <w:tabs>
          <w:tab w:val="left" w:pos="709"/>
        </w:tabs>
        <w:spacing w:line="380" w:lineRule="exact"/>
        <w:ind w:firstLine="420" w:firstLineChars="200"/>
        <w:contextualSpacing/>
        <w:rPr>
          <w:color w:val="auto"/>
          <w:szCs w:val="21"/>
          <w:highlight w:val="none"/>
        </w:rPr>
      </w:pPr>
      <w:r>
        <w:rPr>
          <w:color w:val="auto"/>
          <w:szCs w:val="21"/>
          <w:highlight w:val="none"/>
        </w:rPr>
        <w:t>10.3</w:t>
      </w:r>
      <w:r>
        <w:rPr>
          <w:rFonts w:hint="eastAsia"/>
          <w:color w:val="auto"/>
          <w:szCs w:val="21"/>
          <w:highlight w:val="none"/>
        </w:rPr>
        <w:t>系统软件、通用软件必须是具有在中国境内的合法使用权或版权的正版软件，涉及到第三方提出侵权或知识产权的起诉及支付版税等费用由供应商承担所有责任及费用。</w:t>
      </w:r>
    </w:p>
    <w:p w14:paraId="59C58340">
      <w:pPr>
        <w:pStyle w:val="2"/>
        <w:contextualSpacing/>
        <w:rPr>
          <w:rFonts w:ascii="Times New Roman"/>
          <w:color w:val="auto"/>
          <w:sz w:val="24"/>
          <w:szCs w:val="24"/>
          <w:highlight w:val="none"/>
        </w:rPr>
      </w:pPr>
      <w:bookmarkStart w:id="16" w:name="_Toc498429633"/>
      <w:bookmarkStart w:id="17" w:name="_Toc505353784"/>
      <w:r>
        <w:rPr>
          <w:rFonts w:hint="eastAsia" w:ascii="Times New Roman"/>
          <w:color w:val="auto"/>
          <w:sz w:val="24"/>
          <w:szCs w:val="24"/>
          <w:highlight w:val="none"/>
        </w:rPr>
        <w:t>四、投标文件</w:t>
      </w:r>
      <w:bookmarkEnd w:id="16"/>
      <w:bookmarkEnd w:id="17"/>
    </w:p>
    <w:p w14:paraId="47468E72">
      <w:pPr>
        <w:spacing w:line="380" w:lineRule="exact"/>
        <w:contextualSpacing/>
        <w:rPr>
          <w:color w:val="auto"/>
          <w:szCs w:val="21"/>
          <w:highlight w:val="none"/>
        </w:rPr>
      </w:pPr>
      <w:bookmarkStart w:id="18" w:name="_Toc336528584"/>
      <w:r>
        <w:rPr>
          <w:color w:val="auto"/>
          <w:szCs w:val="21"/>
          <w:highlight w:val="none"/>
        </w:rPr>
        <w:t>11</w:t>
      </w:r>
      <w:r>
        <w:rPr>
          <w:rFonts w:hint="eastAsia"/>
          <w:color w:val="auto"/>
          <w:szCs w:val="21"/>
          <w:highlight w:val="none"/>
        </w:rPr>
        <w:t>、投标文件的组成</w:t>
      </w:r>
      <w:bookmarkEnd w:id="18"/>
    </w:p>
    <w:p w14:paraId="345F4989">
      <w:pPr>
        <w:tabs>
          <w:tab w:val="left" w:pos="709"/>
        </w:tabs>
        <w:spacing w:line="360" w:lineRule="auto"/>
        <w:ind w:firstLine="420" w:firstLineChars="200"/>
        <w:contextualSpacing/>
        <w:rPr>
          <w:color w:val="auto"/>
          <w:szCs w:val="21"/>
          <w:highlight w:val="none"/>
        </w:rPr>
      </w:pPr>
      <w:r>
        <w:rPr>
          <w:color w:val="auto"/>
          <w:szCs w:val="21"/>
          <w:highlight w:val="none"/>
        </w:rPr>
        <w:t>11</w:t>
      </w:r>
      <w:r>
        <w:rPr>
          <w:rFonts w:hint="eastAsia"/>
          <w:color w:val="auto"/>
          <w:szCs w:val="21"/>
          <w:highlight w:val="none"/>
        </w:rPr>
        <w:t>.1投标文件分为资格证明文件、报价文件、技术商务文件三部分；</w:t>
      </w:r>
    </w:p>
    <w:p w14:paraId="66DB81CD">
      <w:pPr>
        <w:tabs>
          <w:tab w:val="left" w:pos="1418"/>
        </w:tabs>
        <w:spacing w:line="360" w:lineRule="auto"/>
        <w:ind w:firstLine="422" w:firstLineChars="200"/>
        <w:contextualSpacing/>
        <w:rPr>
          <w:b/>
          <w:i/>
          <w:color w:val="auto"/>
          <w:szCs w:val="21"/>
          <w:highlight w:val="none"/>
        </w:rPr>
      </w:pPr>
      <w:r>
        <w:rPr>
          <w:rFonts w:hint="eastAsia"/>
          <w:b/>
          <w:i/>
          <w:color w:val="auto"/>
          <w:szCs w:val="21"/>
          <w:highlight w:val="none"/>
        </w:rPr>
        <w:t>资格证明文件包含但不限于以下文件：</w:t>
      </w:r>
      <w:r>
        <w:rPr>
          <w:b/>
          <w:i/>
          <w:color w:val="auto"/>
          <w:szCs w:val="21"/>
          <w:highlight w:val="none"/>
        </w:rPr>
        <w:tab/>
      </w:r>
    </w:p>
    <w:p w14:paraId="0E27BDA0">
      <w:pPr>
        <w:tabs>
          <w:tab w:val="left" w:pos="1418"/>
        </w:tabs>
        <w:spacing w:line="360" w:lineRule="auto"/>
        <w:ind w:firstLine="420" w:firstLineChars="200"/>
        <w:contextualSpacing/>
        <w:rPr>
          <w:color w:val="auto"/>
          <w:szCs w:val="21"/>
          <w:highlight w:val="none"/>
        </w:rPr>
      </w:pPr>
      <w:r>
        <w:rPr>
          <w:rFonts w:hint="eastAsia"/>
          <w:color w:val="auto"/>
          <w:szCs w:val="21"/>
          <w:highlight w:val="none"/>
        </w:rPr>
        <w:t>（1）资格条件自查表（格式见附件）；</w:t>
      </w:r>
    </w:p>
    <w:p w14:paraId="3EA19E3E">
      <w:pPr>
        <w:tabs>
          <w:tab w:val="left" w:pos="1418"/>
        </w:tabs>
        <w:spacing w:line="360" w:lineRule="auto"/>
        <w:ind w:firstLine="420" w:firstLineChars="200"/>
        <w:contextualSpacing/>
        <w:rPr>
          <w:color w:val="auto"/>
          <w:szCs w:val="21"/>
          <w:highlight w:val="none"/>
        </w:rPr>
      </w:pPr>
      <w:r>
        <w:rPr>
          <w:rFonts w:hint="eastAsia"/>
          <w:color w:val="auto"/>
          <w:szCs w:val="21"/>
          <w:highlight w:val="none"/>
        </w:rPr>
        <w:t>（2）有效的企业法人营业执照（或事业法人登记证）或其他组织（个体工商户）的营业执照或者民办非企业单位登记证书复印件，如为自然人的需附身份证明并签字；</w:t>
      </w:r>
    </w:p>
    <w:p w14:paraId="358826C0">
      <w:pPr>
        <w:tabs>
          <w:tab w:val="left" w:pos="1418"/>
        </w:tabs>
        <w:spacing w:line="360" w:lineRule="auto"/>
        <w:ind w:firstLine="420" w:firstLineChars="200"/>
        <w:contextualSpacing/>
        <w:rPr>
          <w:color w:val="auto"/>
          <w:szCs w:val="21"/>
          <w:highlight w:val="none"/>
        </w:rPr>
      </w:pPr>
      <w:r>
        <w:rPr>
          <w:rFonts w:hint="eastAsia" w:ascii="宋体" w:hAnsi="宋体" w:cs="Arial"/>
          <w:color w:val="auto"/>
          <w:kern w:val="0"/>
          <w:szCs w:val="21"/>
          <w:highlight w:val="none"/>
        </w:rPr>
        <w:t>（3）制造商针对本项目的唯一授权函（如为代理商的须提供，授权函必须针对本项目、须加盖制造商公章和投标人公章）；</w:t>
      </w:r>
    </w:p>
    <w:p w14:paraId="74AEB85D">
      <w:pPr>
        <w:tabs>
          <w:tab w:val="left" w:pos="1418"/>
        </w:tabs>
        <w:spacing w:line="360" w:lineRule="auto"/>
        <w:ind w:firstLine="420" w:firstLineChars="200"/>
        <w:contextualSpacing/>
        <w:rPr>
          <w:color w:val="auto"/>
          <w:szCs w:val="21"/>
          <w:highlight w:val="none"/>
        </w:rPr>
      </w:pPr>
      <w:r>
        <w:rPr>
          <w:rFonts w:hint="eastAsia"/>
          <w:color w:val="auto"/>
          <w:szCs w:val="21"/>
          <w:highlight w:val="none"/>
        </w:rPr>
        <w:t>（3）关于资格的承诺函（格式见附件）；</w:t>
      </w:r>
    </w:p>
    <w:p w14:paraId="7862DB8E">
      <w:pPr>
        <w:tabs>
          <w:tab w:val="left" w:pos="1418"/>
        </w:tabs>
        <w:spacing w:line="360" w:lineRule="auto"/>
        <w:ind w:firstLine="420" w:firstLineChars="200"/>
        <w:contextualSpacing/>
        <w:rPr>
          <w:color w:val="auto"/>
          <w:szCs w:val="21"/>
          <w:highlight w:val="none"/>
        </w:rPr>
      </w:pPr>
      <w:r>
        <w:rPr>
          <w:rFonts w:hint="eastAsia"/>
          <w:color w:val="auto"/>
          <w:szCs w:val="21"/>
          <w:highlight w:val="none"/>
        </w:rPr>
        <w:t>（4）投标人认为需要提交的其他文件资料。</w:t>
      </w:r>
    </w:p>
    <w:p w14:paraId="3476953E">
      <w:pPr>
        <w:tabs>
          <w:tab w:val="left" w:pos="1418"/>
        </w:tabs>
        <w:spacing w:line="360" w:lineRule="auto"/>
        <w:ind w:firstLine="422" w:firstLineChars="200"/>
        <w:rPr>
          <w:rFonts w:cs="Arial"/>
          <w:b/>
          <w:color w:val="auto"/>
          <w:szCs w:val="21"/>
          <w:highlight w:val="none"/>
        </w:rPr>
      </w:pPr>
      <w:r>
        <w:rPr>
          <w:rFonts w:hint="eastAsia"/>
          <w:b/>
          <w:color w:val="auto"/>
          <w:szCs w:val="21"/>
          <w:highlight w:val="none"/>
        </w:rPr>
        <w:t>注：</w:t>
      </w:r>
      <w:r>
        <w:rPr>
          <w:rFonts w:hint="eastAsia" w:cs="Arial"/>
          <w:b/>
          <w:color w:val="auto"/>
          <w:szCs w:val="21"/>
          <w:highlight w:val="none"/>
        </w:rPr>
        <w:t>采购人或采购代理机构在资格审查时，通过“信用中国”网站</w:t>
      </w:r>
      <w:r>
        <w:rPr>
          <w:rFonts w:cs="Arial"/>
          <w:b/>
          <w:color w:val="auto"/>
          <w:szCs w:val="21"/>
          <w:highlight w:val="none"/>
        </w:rPr>
        <w:t>(www.creditchina.gov.cn)</w:t>
      </w:r>
      <w:r>
        <w:rPr>
          <w:rFonts w:hint="eastAsia" w:cs="Arial"/>
          <w:b/>
          <w:color w:val="auto"/>
          <w:szCs w:val="21"/>
          <w:highlight w:val="none"/>
        </w:rPr>
        <w:t>、中国政府采购网</w:t>
      </w:r>
      <w:r>
        <w:rPr>
          <w:rFonts w:cs="Arial"/>
          <w:b/>
          <w:color w:val="auto"/>
          <w:szCs w:val="21"/>
          <w:highlight w:val="none"/>
        </w:rPr>
        <w:t xml:space="preserve">(www.ccgp.gov.cn) </w:t>
      </w:r>
      <w:r>
        <w:rPr>
          <w:rFonts w:hint="eastAsia" w:cs="Arial"/>
          <w:b/>
          <w:color w:val="auto"/>
          <w:szCs w:val="21"/>
          <w:highlight w:val="none"/>
        </w:rPr>
        <w:t>等渠道查询供应商在投标截止日之前的信用记录并保存。投标人若被列入失信被执行人或重大税收违法案件当事人名单或政府采购严重违法失信行为记录名单的，则否决其投标。若开标当天因不可抗力事件导致无法查询且一时无法恢复的，可在中标通知书发出前对中标人进行查询，如中标人为失信被执行人的，则取消中标资格。</w:t>
      </w:r>
    </w:p>
    <w:p w14:paraId="5DEBF121">
      <w:pPr>
        <w:tabs>
          <w:tab w:val="left" w:pos="1418"/>
        </w:tabs>
        <w:spacing w:line="360" w:lineRule="auto"/>
        <w:ind w:firstLine="422" w:firstLineChars="200"/>
        <w:contextualSpacing/>
        <w:rPr>
          <w:rFonts w:ascii="宋体" w:hAnsi="宋体" w:cs="宋体"/>
          <w:b/>
          <w:i/>
          <w:color w:val="auto"/>
          <w:szCs w:val="21"/>
          <w:highlight w:val="none"/>
        </w:rPr>
      </w:pPr>
      <w:r>
        <w:rPr>
          <w:rFonts w:hint="eastAsia" w:ascii="宋体" w:hAnsi="宋体" w:cs="宋体"/>
          <w:b/>
          <w:i/>
          <w:color w:val="auto"/>
          <w:szCs w:val="21"/>
          <w:highlight w:val="none"/>
        </w:rPr>
        <w:t>报价文件包含但不限于以下文件：</w:t>
      </w:r>
    </w:p>
    <w:p w14:paraId="570F7D15">
      <w:pPr>
        <w:tabs>
          <w:tab w:val="left" w:pos="1418"/>
        </w:tabs>
        <w:spacing w:line="360" w:lineRule="auto"/>
        <w:ind w:left="420"/>
        <w:contextualSpacing/>
        <w:rPr>
          <w:rFonts w:ascii="宋体" w:hAnsi="宋体" w:cs="宋体"/>
          <w:color w:val="auto"/>
          <w:szCs w:val="21"/>
          <w:highlight w:val="none"/>
        </w:rPr>
      </w:pPr>
      <w:r>
        <w:rPr>
          <w:rFonts w:hint="eastAsia" w:ascii="宋体" w:hAnsi="宋体" w:cs="宋体"/>
          <w:color w:val="auto"/>
          <w:szCs w:val="21"/>
          <w:highlight w:val="none"/>
        </w:rPr>
        <w:t>（1）投标函；（格式见附件）</w:t>
      </w:r>
    </w:p>
    <w:p w14:paraId="792610A4">
      <w:pPr>
        <w:tabs>
          <w:tab w:val="left" w:pos="1418"/>
        </w:tabs>
        <w:spacing w:line="360" w:lineRule="auto"/>
        <w:ind w:left="420"/>
        <w:contextualSpacing/>
        <w:rPr>
          <w:rFonts w:ascii="宋体" w:hAnsi="宋体" w:cs="宋体"/>
          <w:color w:val="auto"/>
          <w:szCs w:val="21"/>
          <w:highlight w:val="none"/>
        </w:rPr>
      </w:pPr>
      <w:r>
        <w:rPr>
          <w:rFonts w:hint="eastAsia" w:ascii="宋体" w:hAnsi="宋体" w:cs="宋体"/>
          <w:color w:val="auto"/>
          <w:szCs w:val="21"/>
          <w:highlight w:val="none"/>
        </w:rPr>
        <w:t>（2）开标一览表；（格式见附件）</w:t>
      </w:r>
    </w:p>
    <w:p w14:paraId="0B1316E3">
      <w:pPr>
        <w:tabs>
          <w:tab w:val="left" w:pos="1418"/>
        </w:tabs>
        <w:spacing w:line="360" w:lineRule="auto"/>
        <w:ind w:left="420"/>
        <w:contextualSpacing/>
        <w:rPr>
          <w:rFonts w:ascii="宋体" w:hAnsi="宋体" w:cs="宋体"/>
          <w:color w:val="auto"/>
          <w:szCs w:val="21"/>
          <w:highlight w:val="none"/>
        </w:rPr>
      </w:pPr>
      <w:r>
        <w:rPr>
          <w:rFonts w:hint="eastAsia" w:ascii="宋体" w:hAnsi="宋体" w:cs="宋体"/>
          <w:color w:val="auto"/>
          <w:szCs w:val="21"/>
          <w:highlight w:val="none"/>
        </w:rPr>
        <w:t>（3）分项报价表；（格式见附件）</w:t>
      </w:r>
    </w:p>
    <w:p w14:paraId="65332899">
      <w:pPr>
        <w:tabs>
          <w:tab w:val="left" w:pos="1418"/>
        </w:tabs>
        <w:spacing w:line="360" w:lineRule="auto"/>
        <w:ind w:left="420"/>
        <w:contextualSpacing/>
        <w:rPr>
          <w:rFonts w:ascii="宋体" w:hAnsi="宋体" w:cs="宋体"/>
          <w:color w:val="auto"/>
          <w:szCs w:val="21"/>
          <w:highlight w:val="none"/>
        </w:rPr>
      </w:pPr>
      <w:r>
        <w:rPr>
          <w:rFonts w:hint="eastAsia" w:ascii="宋体" w:hAnsi="宋体" w:cs="宋体"/>
          <w:color w:val="auto"/>
          <w:szCs w:val="21"/>
          <w:highlight w:val="none"/>
        </w:rPr>
        <w:t>（4）其他涉及的有关文件；</w:t>
      </w:r>
    </w:p>
    <w:p w14:paraId="507675FB">
      <w:pPr>
        <w:tabs>
          <w:tab w:val="left" w:pos="1418"/>
        </w:tabs>
        <w:spacing w:line="360" w:lineRule="auto"/>
        <w:ind w:firstLine="422" w:firstLineChars="200"/>
        <w:contextualSpacing/>
        <w:rPr>
          <w:rFonts w:ascii="宋体" w:hAnsi="宋体" w:cs="宋体"/>
          <w:b/>
          <w:i/>
          <w:color w:val="auto"/>
          <w:szCs w:val="21"/>
          <w:highlight w:val="none"/>
        </w:rPr>
      </w:pPr>
      <w:r>
        <w:rPr>
          <w:rFonts w:hint="eastAsia" w:ascii="宋体" w:hAnsi="宋体" w:cs="宋体"/>
          <w:b/>
          <w:i/>
          <w:color w:val="auto"/>
          <w:szCs w:val="21"/>
          <w:highlight w:val="none"/>
        </w:rPr>
        <w:t>技术商务文件包含但不限于以下文件：</w:t>
      </w:r>
    </w:p>
    <w:p w14:paraId="3A990BD9">
      <w:pPr>
        <w:numPr>
          <w:ilvl w:val="0"/>
          <w:numId w:val="1"/>
        </w:numPr>
        <w:tabs>
          <w:tab w:val="left" w:pos="1418"/>
        </w:tabs>
        <w:spacing w:line="360" w:lineRule="auto"/>
        <w:ind w:left="420"/>
        <w:contextualSpacing/>
        <w:rPr>
          <w:rFonts w:ascii="宋体" w:hAnsi="宋体"/>
          <w:color w:val="auto"/>
          <w:szCs w:val="21"/>
          <w:highlight w:val="none"/>
        </w:rPr>
      </w:pPr>
      <w:r>
        <w:rPr>
          <w:rFonts w:hint="eastAsia" w:ascii="宋体" w:hAnsi="宋体"/>
          <w:color w:val="auto"/>
          <w:szCs w:val="21"/>
          <w:highlight w:val="none"/>
        </w:rPr>
        <w:t>目录索引（格式自拟）；</w:t>
      </w:r>
    </w:p>
    <w:p w14:paraId="0263B872">
      <w:pPr>
        <w:numPr>
          <w:ilvl w:val="0"/>
          <w:numId w:val="1"/>
        </w:numPr>
        <w:tabs>
          <w:tab w:val="left" w:pos="1418"/>
        </w:tabs>
        <w:spacing w:line="360" w:lineRule="auto"/>
        <w:ind w:left="420"/>
        <w:contextualSpacing/>
        <w:rPr>
          <w:rFonts w:ascii="宋体" w:hAnsi="宋体"/>
          <w:color w:val="auto"/>
          <w:szCs w:val="21"/>
          <w:highlight w:val="none"/>
        </w:rPr>
      </w:pPr>
      <w:r>
        <w:rPr>
          <w:rFonts w:hint="eastAsia" w:ascii="宋体" w:hAnsi="宋体"/>
          <w:color w:val="auto"/>
          <w:szCs w:val="21"/>
          <w:highlight w:val="none"/>
        </w:rPr>
        <w:t>技术商务分自评表（格式见附件）；</w:t>
      </w:r>
    </w:p>
    <w:p w14:paraId="39DB77EC">
      <w:pPr>
        <w:numPr>
          <w:ilvl w:val="0"/>
          <w:numId w:val="1"/>
        </w:numPr>
        <w:tabs>
          <w:tab w:val="left" w:pos="1418"/>
        </w:tabs>
        <w:spacing w:line="360" w:lineRule="auto"/>
        <w:ind w:left="420"/>
        <w:contextualSpacing/>
        <w:rPr>
          <w:rFonts w:ascii="宋体" w:hAnsi="宋体"/>
          <w:color w:val="auto"/>
          <w:szCs w:val="21"/>
          <w:highlight w:val="none"/>
        </w:rPr>
      </w:pPr>
      <w:r>
        <w:rPr>
          <w:rFonts w:hint="eastAsia" w:ascii="宋体" w:hAnsi="宋体"/>
          <w:color w:val="auto"/>
          <w:szCs w:val="21"/>
          <w:highlight w:val="none"/>
        </w:rPr>
        <w:t>法定代表人授权书及被授权人身份证复印件（若投标人代表系法定代表人，无需提供授权书，必须提供法定代表人身份证复印件及法定代表人身份证明书（格式见附件））；</w:t>
      </w:r>
    </w:p>
    <w:p w14:paraId="00C6C7E4">
      <w:pPr>
        <w:numPr>
          <w:ilvl w:val="0"/>
          <w:numId w:val="1"/>
        </w:numPr>
        <w:tabs>
          <w:tab w:val="left" w:pos="1418"/>
        </w:tabs>
        <w:spacing w:line="360" w:lineRule="auto"/>
        <w:ind w:left="420"/>
        <w:contextualSpacing/>
        <w:rPr>
          <w:rFonts w:ascii="宋体" w:hAnsi="宋体"/>
          <w:color w:val="auto"/>
          <w:szCs w:val="21"/>
          <w:highlight w:val="none"/>
        </w:rPr>
      </w:pPr>
      <w:r>
        <w:rPr>
          <w:rFonts w:hint="eastAsia" w:ascii="宋体" w:hAnsi="宋体"/>
          <w:color w:val="auto"/>
          <w:szCs w:val="21"/>
          <w:highlight w:val="none"/>
        </w:rPr>
        <w:t xml:space="preserve">技术、商务条款偏离表（格式见附件）； </w:t>
      </w:r>
    </w:p>
    <w:p w14:paraId="2FFA2BF3">
      <w:pPr>
        <w:numPr>
          <w:ilvl w:val="0"/>
          <w:numId w:val="1"/>
        </w:numPr>
        <w:tabs>
          <w:tab w:val="left" w:pos="1418"/>
        </w:tabs>
        <w:spacing w:line="360" w:lineRule="auto"/>
        <w:ind w:left="420"/>
        <w:contextualSpacing/>
        <w:rPr>
          <w:rFonts w:ascii="宋体" w:hAnsi="宋体"/>
          <w:color w:val="auto"/>
          <w:szCs w:val="21"/>
          <w:highlight w:val="none"/>
        </w:rPr>
      </w:pPr>
      <w:r>
        <w:rPr>
          <w:rFonts w:hint="eastAsia" w:ascii="宋体" w:hAnsi="宋体"/>
          <w:color w:val="auto"/>
          <w:szCs w:val="21"/>
          <w:highlight w:val="none"/>
        </w:rPr>
        <w:t>投标产品配置清单（格式见附件）；</w:t>
      </w:r>
    </w:p>
    <w:p w14:paraId="4215F364">
      <w:pPr>
        <w:numPr>
          <w:ilvl w:val="0"/>
          <w:numId w:val="1"/>
        </w:numPr>
        <w:tabs>
          <w:tab w:val="left" w:pos="1418"/>
        </w:tabs>
        <w:spacing w:line="360" w:lineRule="auto"/>
        <w:ind w:left="420"/>
        <w:contextualSpacing/>
        <w:rPr>
          <w:color w:val="auto"/>
          <w:szCs w:val="24"/>
          <w:highlight w:val="none"/>
        </w:rPr>
      </w:pPr>
      <w:r>
        <w:rPr>
          <w:rFonts w:hint="eastAsia"/>
          <w:color w:val="auto"/>
          <w:szCs w:val="24"/>
          <w:highlight w:val="none"/>
        </w:rPr>
        <w:t>项目实施方案（方案自拟）；</w:t>
      </w:r>
    </w:p>
    <w:p w14:paraId="769FF3A1">
      <w:pPr>
        <w:numPr>
          <w:ilvl w:val="0"/>
          <w:numId w:val="1"/>
        </w:numPr>
        <w:tabs>
          <w:tab w:val="left" w:pos="1418"/>
        </w:tabs>
        <w:spacing w:line="360" w:lineRule="auto"/>
        <w:ind w:left="420"/>
        <w:contextualSpacing/>
        <w:rPr>
          <w:rFonts w:ascii="宋体" w:hAnsi="宋体"/>
          <w:color w:val="auto"/>
          <w:kern w:val="0"/>
          <w:szCs w:val="21"/>
          <w:highlight w:val="none"/>
        </w:rPr>
      </w:pPr>
      <w:r>
        <w:rPr>
          <w:rFonts w:hint="eastAsia" w:ascii="宋体" w:hAnsi="宋体" w:cs="宋体"/>
          <w:color w:val="auto"/>
          <w:szCs w:val="21"/>
          <w:highlight w:val="none"/>
        </w:rPr>
        <w:t>评分标准中要求提供的</w:t>
      </w:r>
      <w:r>
        <w:rPr>
          <w:rFonts w:hint="eastAsia" w:ascii="宋体" w:hAnsi="宋体"/>
          <w:color w:val="auto"/>
          <w:szCs w:val="21"/>
          <w:highlight w:val="none"/>
        </w:rPr>
        <w:t>资料；</w:t>
      </w:r>
    </w:p>
    <w:p w14:paraId="27E2C4DF">
      <w:pPr>
        <w:numPr>
          <w:ilvl w:val="0"/>
          <w:numId w:val="1"/>
        </w:numPr>
        <w:tabs>
          <w:tab w:val="left" w:pos="1418"/>
        </w:tabs>
        <w:spacing w:line="360" w:lineRule="auto"/>
        <w:ind w:left="420"/>
        <w:contextualSpacing/>
        <w:rPr>
          <w:rFonts w:ascii="宋体" w:hAnsi="宋体" w:cs="宋体"/>
          <w:color w:val="auto"/>
          <w:szCs w:val="21"/>
          <w:highlight w:val="none"/>
        </w:rPr>
      </w:pPr>
      <w:r>
        <w:rPr>
          <w:rFonts w:hint="eastAsia" w:ascii="宋体" w:hAnsi="宋体" w:cs="宋体"/>
          <w:color w:val="auto"/>
          <w:szCs w:val="21"/>
          <w:highlight w:val="none"/>
        </w:rPr>
        <w:t>其他投标人认为需提交的文件资料。</w:t>
      </w:r>
    </w:p>
    <w:p w14:paraId="1F20D61D">
      <w:pPr>
        <w:tabs>
          <w:tab w:val="left" w:pos="1418"/>
        </w:tabs>
        <w:spacing w:line="360" w:lineRule="auto"/>
        <w:ind w:left="420"/>
        <w:contextualSpacing/>
        <w:rPr>
          <w:rFonts w:ascii="宋体" w:hAnsi="宋体" w:cs="宋体"/>
          <w:color w:val="auto"/>
          <w:szCs w:val="21"/>
          <w:highlight w:val="none"/>
        </w:rPr>
      </w:pPr>
      <w:r>
        <w:rPr>
          <w:rFonts w:hint="eastAsia" w:ascii="宋体" w:hAnsi="宋体" w:cs="宋体"/>
          <w:color w:val="auto"/>
          <w:szCs w:val="21"/>
          <w:highlight w:val="none"/>
        </w:rPr>
        <w:t>11.2本次招标对投标文件组成要求，表述在《投标资料表》中。</w:t>
      </w:r>
    </w:p>
    <w:p w14:paraId="4A93FD29">
      <w:pPr>
        <w:spacing w:line="380" w:lineRule="exact"/>
        <w:contextualSpacing/>
        <w:rPr>
          <w:color w:val="auto"/>
          <w:szCs w:val="21"/>
          <w:highlight w:val="none"/>
        </w:rPr>
      </w:pPr>
      <w:r>
        <w:rPr>
          <w:color w:val="auto"/>
          <w:szCs w:val="21"/>
          <w:highlight w:val="none"/>
        </w:rPr>
        <w:t>12</w:t>
      </w:r>
      <w:r>
        <w:rPr>
          <w:rFonts w:hint="eastAsia"/>
          <w:color w:val="auto"/>
          <w:szCs w:val="21"/>
          <w:highlight w:val="none"/>
        </w:rPr>
        <w:t>、</w:t>
      </w:r>
      <w:r>
        <w:rPr>
          <w:color w:val="auto"/>
          <w:szCs w:val="21"/>
          <w:highlight w:val="none"/>
        </w:rPr>
        <w:t>投标报价</w:t>
      </w:r>
    </w:p>
    <w:p w14:paraId="51A6504B">
      <w:pPr>
        <w:tabs>
          <w:tab w:val="left" w:pos="709"/>
        </w:tabs>
        <w:spacing w:line="380" w:lineRule="exact"/>
        <w:ind w:firstLine="420" w:firstLineChars="200"/>
        <w:contextualSpacing/>
        <w:rPr>
          <w:color w:val="auto"/>
          <w:szCs w:val="21"/>
          <w:highlight w:val="none"/>
        </w:rPr>
      </w:pPr>
      <w:r>
        <w:rPr>
          <w:color w:val="auto"/>
          <w:szCs w:val="21"/>
          <w:highlight w:val="none"/>
        </w:rPr>
        <w:t>12</w:t>
      </w:r>
      <w:r>
        <w:rPr>
          <w:rFonts w:hint="eastAsia"/>
          <w:color w:val="auto"/>
          <w:szCs w:val="21"/>
          <w:highlight w:val="none"/>
        </w:rPr>
        <w:t>.1</w:t>
      </w:r>
      <w:r>
        <w:rPr>
          <w:color w:val="auto"/>
          <w:szCs w:val="21"/>
          <w:highlight w:val="none"/>
        </w:rPr>
        <w:t>投标人应全面充分了解本招标项目的全部内容及要求以及服务现场的基本条件，按照《投标资料表》</w:t>
      </w:r>
      <w:r>
        <w:rPr>
          <w:rFonts w:hint="eastAsia"/>
          <w:color w:val="auto"/>
          <w:szCs w:val="21"/>
          <w:highlight w:val="none"/>
        </w:rPr>
        <w:t>规定与</w:t>
      </w:r>
      <w:r>
        <w:rPr>
          <w:color w:val="auto"/>
          <w:szCs w:val="21"/>
          <w:highlight w:val="none"/>
        </w:rPr>
        <w:t>要求报价，并包含服务过程中可能涉及的所有费用</w:t>
      </w:r>
      <w:r>
        <w:rPr>
          <w:rFonts w:hint="eastAsia"/>
          <w:color w:val="auto"/>
          <w:szCs w:val="21"/>
          <w:highlight w:val="none"/>
        </w:rPr>
        <w:t>。</w:t>
      </w:r>
    </w:p>
    <w:p w14:paraId="2D0A241C">
      <w:pPr>
        <w:tabs>
          <w:tab w:val="left" w:pos="709"/>
        </w:tabs>
        <w:spacing w:line="380" w:lineRule="exact"/>
        <w:ind w:firstLine="420" w:firstLineChars="200"/>
        <w:contextualSpacing/>
        <w:rPr>
          <w:color w:val="auto"/>
          <w:szCs w:val="21"/>
          <w:highlight w:val="none"/>
        </w:rPr>
      </w:pPr>
      <w:r>
        <w:rPr>
          <w:color w:val="auto"/>
          <w:szCs w:val="21"/>
          <w:highlight w:val="none"/>
        </w:rPr>
        <w:t>12</w:t>
      </w:r>
      <w:r>
        <w:rPr>
          <w:rFonts w:hint="eastAsia"/>
          <w:color w:val="auto"/>
          <w:szCs w:val="21"/>
          <w:highlight w:val="none"/>
        </w:rPr>
        <w:t>.2</w:t>
      </w:r>
      <w:r>
        <w:rPr>
          <w:color w:val="auto"/>
          <w:szCs w:val="21"/>
          <w:highlight w:val="none"/>
        </w:rPr>
        <w:t>所有投标报价必须以人民币报价，不接受外币报价。</w:t>
      </w:r>
    </w:p>
    <w:p w14:paraId="662BC8CD">
      <w:pPr>
        <w:tabs>
          <w:tab w:val="left" w:pos="709"/>
        </w:tabs>
        <w:spacing w:line="380" w:lineRule="exact"/>
        <w:ind w:firstLine="420" w:firstLineChars="200"/>
        <w:contextualSpacing/>
        <w:rPr>
          <w:color w:val="auto"/>
          <w:szCs w:val="21"/>
          <w:highlight w:val="none"/>
        </w:rPr>
      </w:pPr>
      <w:r>
        <w:rPr>
          <w:color w:val="auto"/>
          <w:szCs w:val="21"/>
          <w:highlight w:val="none"/>
        </w:rPr>
        <w:t>12</w:t>
      </w:r>
      <w:r>
        <w:rPr>
          <w:rFonts w:hint="eastAsia"/>
          <w:color w:val="auto"/>
          <w:szCs w:val="21"/>
          <w:highlight w:val="none"/>
        </w:rPr>
        <w:t>.3</w:t>
      </w:r>
      <w:r>
        <w:rPr>
          <w:color w:val="auto"/>
          <w:szCs w:val="21"/>
          <w:highlight w:val="none"/>
        </w:rPr>
        <w:t>投标报价只有一个，而且一经开标，投标价不得变更。如果出现有两个及以上的报价又未声明以哪一报价方案为主，则</w:t>
      </w:r>
      <w:r>
        <w:rPr>
          <w:rFonts w:hint="eastAsia"/>
          <w:color w:val="auto"/>
          <w:szCs w:val="21"/>
          <w:highlight w:val="none"/>
        </w:rPr>
        <w:t>投标将被拒绝</w:t>
      </w:r>
      <w:r>
        <w:rPr>
          <w:color w:val="auto"/>
          <w:szCs w:val="21"/>
          <w:highlight w:val="none"/>
        </w:rPr>
        <w:t>。投标声明应载明在</w:t>
      </w:r>
      <w:r>
        <w:rPr>
          <w:rFonts w:hint="eastAsia"/>
          <w:color w:val="auto"/>
          <w:szCs w:val="21"/>
          <w:highlight w:val="none"/>
        </w:rPr>
        <w:t>“</w:t>
      </w:r>
      <w:r>
        <w:rPr>
          <w:color w:val="auto"/>
          <w:szCs w:val="21"/>
          <w:highlight w:val="none"/>
        </w:rPr>
        <w:t>开标一览表</w:t>
      </w:r>
      <w:r>
        <w:rPr>
          <w:rFonts w:hint="eastAsia"/>
          <w:color w:val="auto"/>
          <w:szCs w:val="21"/>
          <w:highlight w:val="none"/>
        </w:rPr>
        <w:t>”</w:t>
      </w:r>
      <w:r>
        <w:rPr>
          <w:color w:val="auto"/>
          <w:szCs w:val="21"/>
          <w:highlight w:val="none"/>
        </w:rPr>
        <w:t>中，供开标时唱出。未经唱出的投标声明在评标时不作考虑。</w:t>
      </w:r>
    </w:p>
    <w:p w14:paraId="522FDB6C">
      <w:pPr>
        <w:tabs>
          <w:tab w:val="left" w:pos="709"/>
        </w:tabs>
        <w:spacing w:line="380" w:lineRule="exact"/>
        <w:ind w:firstLine="420" w:firstLineChars="200"/>
        <w:contextualSpacing/>
        <w:rPr>
          <w:color w:val="auto"/>
          <w:szCs w:val="21"/>
          <w:highlight w:val="none"/>
        </w:rPr>
      </w:pPr>
      <w:r>
        <w:rPr>
          <w:color w:val="auto"/>
          <w:szCs w:val="21"/>
          <w:highlight w:val="none"/>
        </w:rPr>
        <w:t>12</w:t>
      </w:r>
      <w:r>
        <w:rPr>
          <w:rFonts w:hint="eastAsia"/>
          <w:color w:val="auto"/>
          <w:szCs w:val="21"/>
          <w:highlight w:val="none"/>
        </w:rPr>
        <w:t>.4</w:t>
      </w:r>
      <w:r>
        <w:rPr>
          <w:color w:val="auto"/>
          <w:szCs w:val="21"/>
          <w:highlight w:val="none"/>
        </w:rPr>
        <w:t>投标报价</w:t>
      </w:r>
      <w:r>
        <w:rPr>
          <w:rFonts w:hint="eastAsia"/>
          <w:color w:val="auto"/>
          <w:szCs w:val="21"/>
          <w:highlight w:val="none"/>
        </w:rPr>
        <w:t>中有关</w:t>
      </w:r>
      <w:r>
        <w:rPr>
          <w:color w:val="auto"/>
          <w:szCs w:val="21"/>
          <w:highlight w:val="none"/>
        </w:rPr>
        <w:t>单价在中标后及合同执行过程中是固定不变的，投标人不得以任何理由予以变更。任何包含价格调整要求的投标，将被作无效投标处理。</w:t>
      </w:r>
    </w:p>
    <w:p w14:paraId="0CA68C8F">
      <w:pPr>
        <w:tabs>
          <w:tab w:val="left" w:pos="709"/>
        </w:tabs>
        <w:spacing w:line="380" w:lineRule="exact"/>
        <w:ind w:firstLine="420" w:firstLineChars="200"/>
        <w:contextualSpacing/>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除非采购文件在《投标资料表》中对授予合同的数量增减有约定，投标报价在开标以后直至合同执行过程中是固定不变的，投标人不得以任何理由予以变更。任何包含价格调整要求的投标，将被作无效投标处理。</w:t>
      </w:r>
    </w:p>
    <w:p w14:paraId="694C182A">
      <w:pPr>
        <w:spacing w:line="380" w:lineRule="exact"/>
        <w:contextualSpacing/>
        <w:rPr>
          <w:color w:val="auto"/>
          <w:szCs w:val="21"/>
          <w:highlight w:val="none"/>
        </w:rPr>
      </w:pPr>
      <w:bookmarkStart w:id="19" w:name="_Toc425151737"/>
      <w:bookmarkStart w:id="20" w:name="_Toc425780281"/>
      <w:bookmarkStart w:id="21" w:name="_Toc430790218"/>
      <w:bookmarkStart w:id="22" w:name="_Toc429407697"/>
      <w:r>
        <w:rPr>
          <w:color w:val="auto"/>
          <w:szCs w:val="21"/>
          <w:highlight w:val="none"/>
        </w:rPr>
        <w:t>13</w:t>
      </w:r>
      <w:r>
        <w:rPr>
          <w:rFonts w:hint="eastAsia"/>
          <w:color w:val="auto"/>
          <w:szCs w:val="21"/>
          <w:highlight w:val="none"/>
        </w:rPr>
        <w:t>、</w:t>
      </w:r>
      <w:r>
        <w:rPr>
          <w:color w:val="auto"/>
          <w:szCs w:val="21"/>
          <w:highlight w:val="none"/>
        </w:rPr>
        <w:t>投标文件编写</w:t>
      </w:r>
      <w:bookmarkEnd w:id="19"/>
      <w:bookmarkEnd w:id="20"/>
      <w:bookmarkEnd w:id="21"/>
      <w:bookmarkEnd w:id="22"/>
    </w:p>
    <w:p w14:paraId="43239E83">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3</w:t>
      </w:r>
      <w:r>
        <w:rPr>
          <w:rFonts w:hint="eastAsia"/>
          <w:color w:val="auto"/>
          <w:szCs w:val="21"/>
          <w:highlight w:val="none"/>
        </w:rPr>
        <w:t>.1</w:t>
      </w:r>
      <w:r>
        <w:rPr>
          <w:color w:val="auto"/>
          <w:szCs w:val="21"/>
          <w:highlight w:val="none"/>
        </w:rPr>
        <w:t>投标文件应表述准确、完整、详细，并按统一格式填写。开标一览表系开标仪式上唱标的内容，应按格式完整填写。投标文件因表达不清楚所引起的后果由投标人负责。</w:t>
      </w:r>
    </w:p>
    <w:p w14:paraId="76E6D3CA">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3</w:t>
      </w:r>
      <w:r>
        <w:rPr>
          <w:rFonts w:hint="eastAsia"/>
          <w:color w:val="auto"/>
          <w:szCs w:val="21"/>
          <w:highlight w:val="none"/>
        </w:rPr>
        <w:t>.2</w:t>
      </w:r>
      <w:r>
        <w:rPr>
          <w:color w:val="auto"/>
          <w:szCs w:val="21"/>
          <w:highlight w:val="none"/>
        </w:rPr>
        <w:t>投标语言：中文</w:t>
      </w:r>
      <w:r>
        <w:rPr>
          <w:rFonts w:hint="eastAsia"/>
          <w:color w:val="auto"/>
          <w:szCs w:val="21"/>
          <w:highlight w:val="none"/>
        </w:rPr>
        <w:t>。除签名、盖章、专用名称等特殊情形外，以中文汉语以外的文字表述的投标文件视同未提供</w:t>
      </w:r>
      <w:r>
        <w:rPr>
          <w:color w:val="auto"/>
          <w:szCs w:val="21"/>
          <w:highlight w:val="none"/>
        </w:rPr>
        <w:t>。</w:t>
      </w:r>
    </w:p>
    <w:p w14:paraId="7EAA4D35">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3</w:t>
      </w:r>
      <w:r>
        <w:rPr>
          <w:rFonts w:hint="eastAsia"/>
          <w:color w:val="auto"/>
          <w:szCs w:val="21"/>
          <w:highlight w:val="none"/>
        </w:rPr>
        <w:t>.3</w:t>
      </w:r>
      <w:r>
        <w:rPr>
          <w:color w:val="auto"/>
          <w:szCs w:val="21"/>
          <w:highlight w:val="none"/>
        </w:rPr>
        <w:t>投标文件中所使用的计量单位，除非本采购文件</w:t>
      </w:r>
      <w:r>
        <w:rPr>
          <w:rFonts w:hint="eastAsia"/>
          <w:color w:val="auto"/>
          <w:szCs w:val="21"/>
          <w:highlight w:val="none"/>
        </w:rPr>
        <w:t>“</w:t>
      </w:r>
      <w:r>
        <w:rPr>
          <w:color w:val="auto"/>
          <w:szCs w:val="21"/>
          <w:highlight w:val="none"/>
        </w:rPr>
        <w:t>招标内容及要求</w:t>
      </w:r>
      <w:r>
        <w:rPr>
          <w:rFonts w:hint="eastAsia"/>
          <w:color w:val="auto"/>
          <w:szCs w:val="21"/>
          <w:highlight w:val="none"/>
        </w:rPr>
        <w:t>”</w:t>
      </w:r>
      <w:r>
        <w:rPr>
          <w:color w:val="auto"/>
          <w:szCs w:val="21"/>
          <w:highlight w:val="none"/>
        </w:rPr>
        <w:t>有特殊要求，应采用国家法定计量单位。</w:t>
      </w:r>
    </w:p>
    <w:p w14:paraId="6215BF81">
      <w:pPr>
        <w:spacing w:line="380" w:lineRule="exact"/>
        <w:contextualSpacing/>
        <w:rPr>
          <w:color w:val="auto"/>
          <w:szCs w:val="21"/>
          <w:highlight w:val="none"/>
        </w:rPr>
      </w:pPr>
      <w:bookmarkStart w:id="23" w:name="_Toc425151738"/>
      <w:bookmarkStart w:id="24" w:name="_Toc425780282"/>
      <w:bookmarkStart w:id="25" w:name="_Toc430790219"/>
      <w:bookmarkStart w:id="26" w:name="_Toc429407698"/>
      <w:r>
        <w:rPr>
          <w:color w:val="auto"/>
          <w:szCs w:val="21"/>
          <w:highlight w:val="none"/>
        </w:rPr>
        <w:t>14</w:t>
      </w:r>
      <w:r>
        <w:rPr>
          <w:rFonts w:hint="eastAsia"/>
          <w:color w:val="auto"/>
          <w:szCs w:val="21"/>
          <w:highlight w:val="none"/>
        </w:rPr>
        <w:t>、</w:t>
      </w:r>
      <w:r>
        <w:rPr>
          <w:color w:val="auto"/>
          <w:szCs w:val="21"/>
          <w:highlight w:val="none"/>
        </w:rPr>
        <w:t>投标文件的有效期</w:t>
      </w:r>
      <w:bookmarkEnd w:id="23"/>
      <w:bookmarkEnd w:id="24"/>
      <w:bookmarkEnd w:id="25"/>
      <w:bookmarkEnd w:id="26"/>
    </w:p>
    <w:p w14:paraId="06BA4CAF">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4</w:t>
      </w:r>
      <w:r>
        <w:rPr>
          <w:rFonts w:hint="eastAsia"/>
          <w:color w:val="auto"/>
          <w:szCs w:val="21"/>
          <w:highlight w:val="none"/>
        </w:rPr>
        <w:t>.1</w:t>
      </w:r>
      <w:r>
        <w:rPr>
          <w:color w:val="auto"/>
          <w:szCs w:val="21"/>
          <w:highlight w:val="none"/>
        </w:rPr>
        <w:t>投标文件应在《投标资料表》规定的投标有效期内保持有效。有效期短于规定期限的，将导致投标无效</w:t>
      </w:r>
      <w:r>
        <w:rPr>
          <w:rFonts w:hint="eastAsia"/>
          <w:color w:val="auto"/>
          <w:szCs w:val="21"/>
          <w:highlight w:val="none"/>
        </w:rPr>
        <w:t>而被拒绝</w:t>
      </w:r>
      <w:r>
        <w:rPr>
          <w:color w:val="auto"/>
          <w:szCs w:val="21"/>
          <w:highlight w:val="none"/>
        </w:rPr>
        <w:t>。</w:t>
      </w:r>
    </w:p>
    <w:p w14:paraId="07165AB0">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4</w:t>
      </w:r>
      <w:r>
        <w:rPr>
          <w:rFonts w:hint="eastAsia"/>
          <w:color w:val="auto"/>
          <w:szCs w:val="21"/>
          <w:highlight w:val="none"/>
        </w:rPr>
        <w:t>.2</w:t>
      </w:r>
      <w:r>
        <w:rPr>
          <w:color w:val="auto"/>
          <w:szCs w:val="21"/>
          <w:highlight w:val="none"/>
        </w:rPr>
        <w:t>在特殊情况下，在原投标有效期截止之前，应</w:t>
      </w:r>
      <w:r>
        <w:rPr>
          <w:rFonts w:hint="eastAsia"/>
          <w:color w:val="auto"/>
          <w:szCs w:val="21"/>
          <w:highlight w:val="none"/>
        </w:rPr>
        <w:t>采购人</w:t>
      </w:r>
      <w:r>
        <w:rPr>
          <w:color w:val="auto"/>
          <w:szCs w:val="21"/>
          <w:highlight w:val="none"/>
        </w:rPr>
        <w:t>的要求，采购代理机构可要求投标人延长投标文件的有效期，这种要求的提出和投标人的答复都应以书面（含传真）的形式进行。</w:t>
      </w:r>
    </w:p>
    <w:p w14:paraId="03A1819A">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4.3</w:t>
      </w:r>
      <w:r>
        <w:rPr>
          <w:rFonts w:hint="eastAsia"/>
          <w:color w:val="auto"/>
          <w:szCs w:val="21"/>
          <w:highlight w:val="none"/>
        </w:rPr>
        <w:t>中标人的投标文件自开标之日起至合同履行完毕止均应保持有效。</w:t>
      </w:r>
      <w:bookmarkStart w:id="27" w:name="_Toc496003206"/>
      <w:bookmarkStart w:id="28" w:name="_Toc498429634"/>
      <w:bookmarkStart w:id="29" w:name="_Toc425151740"/>
      <w:bookmarkStart w:id="30" w:name="_Toc445193546"/>
      <w:bookmarkStart w:id="31" w:name="_Toc425780284"/>
      <w:bookmarkStart w:id="32" w:name="_Toc430790221"/>
      <w:bookmarkStart w:id="33" w:name="_Toc456853671"/>
      <w:bookmarkStart w:id="34" w:name="_Toc429407700"/>
      <w:bookmarkStart w:id="35" w:name="_Toc505353785"/>
      <w:bookmarkStart w:id="36" w:name="_Toc425780285"/>
      <w:bookmarkStart w:id="37" w:name="_Toc425151741"/>
      <w:bookmarkStart w:id="38" w:name="_Toc430790222"/>
      <w:bookmarkStart w:id="39" w:name="_Toc429407701"/>
    </w:p>
    <w:p w14:paraId="0BE86248">
      <w:pPr>
        <w:pStyle w:val="2"/>
        <w:contextualSpacing/>
        <w:rPr>
          <w:rFonts w:ascii="Times New Roman"/>
          <w:color w:val="auto"/>
          <w:sz w:val="24"/>
          <w:szCs w:val="24"/>
          <w:highlight w:val="none"/>
        </w:rPr>
      </w:pPr>
      <w:r>
        <w:rPr>
          <w:rFonts w:hint="eastAsia" w:ascii="Times New Roman"/>
          <w:color w:val="auto"/>
          <w:sz w:val="24"/>
          <w:szCs w:val="24"/>
          <w:highlight w:val="none"/>
        </w:rPr>
        <w:t>五、</w:t>
      </w:r>
      <w:r>
        <w:rPr>
          <w:rFonts w:ascii="Times New Roman"/>
          <w:color w:val="auto"/>
          <w:sz w:val="24"/>
          <w:szCs w:val="24"/>
          <w:highlight w:val="none"/>
        </w:rPr>
        <w:t>投标文件的递交</w:t>
      </w:r>
      <w:bookmarkEnd w:id="27"/>
      <w:bookmarkEnd w:id="28"/>
      <w:bookmarkEnd w:id="29"/>
      <w:bookmarkEnd w:id="30"/>
      <w:bookmarkEnd w:id="31"/>
      <w:bookmarkEnd w:id="32"/>
      <w:bookmarkEnd w:id="33"/>
      <w:bookmarkEnd w:id="34"/>
      <w:bookmarkEnd w:id="35"/>
    </w:p>
    <w:p w14:paraId="1A72F351">
      <w:pPr>
        <w:spacing w:line="380" w:lineRule="exact"/>
        <w:contextualSpacing/>
        <w:rPr>
          <w:color w:val="auto"/>
          <w:szCs w:val="21"/>
          <w:highlight w:val="none"/>
        </w:rPr>
      </w:pPr>
      <w:r>
        <w:rPr>
          <w:rFonts w:hint="eastAsia"/>
          <w:color w:val="auto"/>
          <w:szCs w:val="21"/>
          <w:highlight w:val="none"/>
        </w:rPr>
        <w:t>1</w:t>
      </w:r>
      <w:r>
        <w:rPr>
          <w:color w:val="auto"/>
          <w:szCs w:val="21"/>
          <w:highlight w:val="none"/>
        </w:rPr>
        <w:t>5</w:t>
      </w:r>
      <w:r>
        <w:rPr>
          <w:rFonts w:hint="eastAsia"/>
          <w:color w:val="auto"/>
          <w:szCs w:val="21"/>
          <w:highlight w:val="none"/>
        </w:rPr>
        <w:t>、</w:t>
      </w:r>
      <w:r>
        <w:rPr>
          <w:color w:val="auto"/>
          <w:szCs w:val="21"/>
          <w:highlight w:val="none"/>
        </w:rPr>
        <w:t>投标文件的签署及装订</w:t>
      </w:r>
    </w:p>
    <w:p w14:paraId="5CAA2A78">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5</w:t>
      </w:r>
      <w:r>
        <w:rPr>
          <w:rFonts w:hint="eastAsia"/>
          <w:color w:val="auto"/>
          <w:szCs w:val="21"/>
          <w:highlight w:val="none"/>
        </w:rPr>
        <w:t>.1</w:t>
      </w:r>
      <w:r>
        <w:rPr>
          <w:color w:val="auto"/>
          <w:szCs w:val="21"/>
          <w:highlight w:val="none"/>
        </w:rPr>
        <w:t>对本</w:t>
      </w:r>
      <w:r>
        <w:rPr>
          <w:rFonts w:hint="eastAsia"/>
          <w:color w:val="auto"/>
          <w:szCs w:val="21"/>
          <w:highlight w:val="none"/>
        </w:rPr>
        <w:t>采购文件相关部分</w:t>
      </w:r>
      <w:r>
        <w:rPr>
          <w:color w:val="auto"/>
          <w:szCs w:val="21"/>
          <w:highlight w:val="none"/>
        </w:rPr>
        <w:t>提供的各种文件</w:t>
      </w:r>
      <w:r>
        <w:rPr>
          <w:rFonts w:hint="eastAsia"/>
          <w:color w:val="auto"/>
          <w:szCs w:val="21"/>
          <w:highlight w:val="none"/>
        </w:rPr>
        <w:t>、表格、格式</w:t>
      </w:r>
      <w:r>
        <w:rPr>
          <w:color w:val="auto"/>
          <w:szCs w:val="21"/>
          <w:highlight w:val="none"/>
        </w:rPr>
        <w:t>，投标人应按</w:t>
      </w:r>
      <w:r>
        <w:rPr>
          <w:rFonts w:hint="eastAsia"/>
          <w:color w:val="auto"/>
          <w:szCs w:val="21"/>
          <w:highlight w:val="none"/>
        </w:rPr>
        <w:t>采购文件</w:t>
      </w:r>
      <w:r>
        <w:rPr>
          <w:color w:val="auto"/>
          <w:szCs w:val="21"/>
          <w:highlight w:val="none"/>
        </w:rPr>
        <w:t>要求填写、签署和加盖公章。</w:t>
      </w:r>
    </w:p>
    <w:p w14:paraId="29B87EDF">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5</w:t>
      </w:r>
      <w:r>
        <w:rPr>
          <w:rFonts w:hint="eastAsia"/>
          <w:color w:val="auto"/>
          <w:szCs w:val="21"/>
          <w:highlight w:val="none"/>
        </w:rPr>
        <w:t>.2</w:t>
      </w:r>
      <w:r>
        <w:rPr>
          <w:color w:val="auto"/>
          <w:szCs w:val="21"/>
          <w:highlight w:val="none"/>
        </w:rPr>
        <w:t>投标文件</w:t>
      </w:r>
      <w:r>
        <w:rPr>
          <w:rFonts w:hint="eastAsia"/>
          <w:color w:val="auto"/>
          <w:szCs w:val="21"/>
          <w:highlight w:val="none"/>
        </w:rPr>
        <w:t>必须按采购文件规定的格式</w:t>
      </w:r>
      <w:r>
        <w:rPr>
          <w:color w:val="auto"/>
          <w:szCs w:val="21"/>
          <w:highlight w:val="none"/>
        </w:rPr>
        <w:t>加盖公章、法定代表人签字</w:t>
      </w:r>
      <w:r>
        <w:rPr>
          <w:rFonts w:hint="eastAsia"/>
          <w:color w:val="auto"/>
          <w:szCs w:val="21"/>
          <w:highlight w:val="none"/>
        </w:rPr>
        <w:t>（或盖章或电子章）</w:t>
      </w:r>
      <w:r>
        <w:rPr>
          <w:color w:val="auto"/>
          <w:szCs w:val="21"/>
          <w:highlight w:val="none"/>
        </w:rPr>
        <w:t>、投标代表人签字</w:t>
      </w:r>
      <w:r>
        <w:rPr>
          <w:rFonts w:hint="eastAsia"/>
          <w:color w:val="auto"/>
          <w:szCs w:val="21"/>
          <w:highlight w:val="none"/>
        </w:rPr>
        <w:t>（或盖章或电子章）</w:t>
      </w:r>
      <w:r>
        <w:rPr>
          <w:color w:val="auto"/>
          <w:szCs w:val="21"/>
          <w:highlight w:val="none"/>
        </w:rPr>
        <w:t>。</w:t>
      </w:r>
    </w:p>
    <w:p w14:paraId="09EF05AF">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15.3</w:t>
      </w:r>
      <w:r>
        <w:rPr>
          <w:color w:val="auto"/>
          <w:szCs w:val="21"/>
          <w:highlight w:val="none"/>
        </w:rPr>
        <w:t>投标文件应按各组成部分内容进行整理、编排、立目、索引、注明页码，以有利阅读评审</w:t>
      </w:r>
      <w:r>
        <w:rPr>
          <w:rFonts w:hint="eastAsia"/>
          <w:color w:val="auto"/>
          <w:szCs w:val="21"/>
          <w:highlight w:val="none"/>
        </w:rPr>
        <w:t>。</w:t>
      </w:r>
    </w:p>
    <w:p w14:paraId="1BAE6A28">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15</w:t>
      </w:r>
      <w:r>
        <w:rPr>
          <w:color w:val="auto"/>
          <w:szCs w:val="21"/>
          <w:highlight w:val="none"/>
        </w:rPr>
        <w:t>.4</w:t>
      </w:r>
      <w:r>
        <w:rPr>
          <w:rFonts w:hint="eastAsia"/>
          <w:color w:val="auto"/>
          <w:szCs w:val="21"/>
          <w:highlight w:val="none"/>
        </w:rPr>
        <w:t>投标文件的份数</w:t>
      </w:r>
    </w:p>
    <w:p w14:paraId="499F439C">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本项目实行网上电子投标。</w:t>
      </w:r>
    </w:p>
    <w:p w14:paraId="567F373A">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w:t>
      </w:r>
      <w:r>
        <w:rPr>
          <w:color w:val="auto"/>
          <w:szCs w:val="21"/>
          <w:highlight w:val="none"/>
        </w:rPr>
        <w:t>1）上传到浙江国企采购乐彩云平台的电子</w:t>
      </w:r>
      <w:r>
        <w:rPr>
          <w:rFonts w:hint="eastAsia"/>
          <w:color w:val="auto"/>
          <w:szCs w:val="21"/>
          <w:highlight w:val="none"/>
        </w:rPr>
        <w:t>加密</w:t>
      </w:r>
      <w:r>
        <w:rPr>
          <w:color w:val="auto"/>
          <w:szCs w:val="21"/>
          <w:highlight w:val="none"/>
        </w:rPr>
        <w:t>投标文件（含资格证明文件、技术商务文件、报价文件）1份。</w:t>
      </w:r>
    </w:p>
    <w:p w14:paraId="7C79C34F">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w:t>
      </w:r>
      <w:r>
        <w:rPr>
          <w:color w:val="auto"/>
          <w:szCs w:val="21"/>
          <w:highlight w:val="none"/>
        </w:rPr>
        <w:t>2）以U盘存储的电子备份投标文件（含资格证明文件、技术商务文件、报价文件）1份。</w:t>
      </w:r>
    </w:p>
    <w:p w14:paraId="77827C5E">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15</w:t>
      </w:r>
      <w:r>
        <w:rPr>
          <w:color w:val="auto"/>
          <w:szCs w:val="21"/>
          <w:highlight w:val="none"/>
        </w:rPr>
        <w:t>.5</w:t>
      </w:r>
      <w:r>
        <w:rPr>
          <w:rFonts w:hint="eastAsia"/>
          <w:color w:val="auto"/>
          <w:szCs w:val="21"/>
          <w:highlight w:val="none"/>
        </w:rPr>
        <w:t>电子投标文件应根据浙江国企采购乐彩云平台的要求及本采购文件规定的格式和顺序编制电子投标文件并进行关联定位。</w:t>
      </w:r>
    </w:p>
    <w:p w14:paraId="388BCB48">
      <w:pPr>
        <w:tabs>
          <w:tab w:val="left" w:pos="709"/>
        </w:tabs>
        <w:spacing w:line="380" w:lineRule="exact"/>
        <w:ind w:firstLine="420" w:firstLineChars="200"/>
        <w:contextualSpacing/>
        <w:rPr>
          <w:color w:val="auto"/>
          <w:szCs w:val="21"/>
          <w:highlight w:val="none"/>
        </w:rPr>
      </w:pPr>
      <w:r>
        <w:rPr>
          <w:color w:val="auto"/>
          <w:szCs w:val="21"/>
          <w:highlight w:val="none"/>
        </w:rPr>
        <w:t>15.6</w:t>
      </w:r>
      <w:r>
        <w:rPr>
          <w:rFonts w:hint="eastAsia"/>
          <w:color w:val="auto"/>
          <w:szCs w:val="21"/>
          <w:highlight w:val="none"/>
        </w:rPr>
        <w:t>电子备份投标文件应保证同上传至浙江国企采购乐彩云平台的电子投标文件内容相一致。</w:t>
      </w:r>
    </w:p>
    <w:p w14:paraId="02FED227">
      <w:pPr>
        <w:spacing w:line="380" w:lineRule="exact"/>
        <w:contextualSpacing/>
        <w:rPr>
          <w:color w:val="auto"/>
          <w:szCs w:val="21"/>
          <w:highlight w:val="none"/>
        </w:rPr>
      </w:pPr>
      <w:bookmarkStart w:id="40" w:name="_Toc430790223"/>
      <w:bookmarkStart w:id="41" w:name="_Toc429407702"/>
      <w:bookmarkStart w:id="42" w:name="_Toc425151742"/>
      <w:bookmarkStart w:id="43" w:name="_Toc425780286"/>
      <w:r>
        <w:rPr>
          <w:rFonts w:hint="eastAsia"/>
          <w:color w:val="auto"/>
          <w:szCs w:val="21"/>
          <w:highlight w:val="none"/>
        </w:rPr>
        <w:t>16、</w:t>
      </w:r>
      <w:r>
        <w:rPr>
          <w:color w:val="auto"/>
          <w:szCs w:val="21"/>
          <w:highlight w:val="none"/>
        </w:rPr>
        <w:t>投标文件的密封、标记和递送</w:t>
      </w:r>
      <w:bookmarkEnd w:id="40"/>
      <w:bookmarkEnd w:id="41"/>
      <w:bookmarkEnd w:id="42"/>
      <w:bookmarkEnd w:id="43"/>
    </w:p>
    <w:p w14:paraId="03A105CF">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16.1以U盘存储的电子备份投标文件用分带密封后递交。</w:t>
      </w:r>
    </w:p>
    <w:p w14:paraId="03725AD6">
      <w:pPr>
        <w:snapToGrid w:val="0"/>
        <w:spacing w:line="380" w:lineRule="exact"/>
        <w:ind w:firstLine="420"/>
        <w:contextualSpacing/>
        <w:jc w:val="left"/>
        <w:rPr>
          <w:rFonts w:cs="宋体"/>
          <w:color w:val="auto"/>
          <w:kern w:val="0"/>
          <w:szCs w:val="21"/>
          <w:highlight w:val="none"/>
        </w:rPr>
      </w:pPr>
      <w:r>
        <w:rPr>
          <w:rFonts w:hint="eastAsia" w:cs="宋体"/>
          <w:color w:val="auto"/>
          <w:kern w:val="0"/>
          <w:szCs w:val="21"/>
          <w:highlight w:val="none"/>
        </w:rPr>
        <w:t>16</w:t>
      </w:r>
      <w:r>
        <w:rPr>
          <w:rFonts w:cs="宋体"/>
          <w:color w:val="auto"/>
          <w:kern w:val="0"/>
          <w:szCs w:val="21"/>
          <w:highlight w:val="none"/>
        </w:rPr>
        <w:t>.2</w:t>
      </w:r>
      <w:r>
        <w:rPr>
          <w:rFonts w:hint="eastAsia" w:cs="宋体"/>
          <w:color w:val="auto"/>
          <w:kern w:val="0"/>
          <w:szCs w:val="21"/>
          <w:highlight w:val="none"/>
        </w:rPr>
        <w:t>投标文件的包装封面上应注明投标人名称、投标人地址、投标文件名称</w:t>
      </w:r>
      <w:r>
        <w:rPr>
          <w:rFonts w:cs="宋体"/>
          <w:color w:val="auto"/>
          <w:kern w:val="0"/>
          <w:szCs w:val="21"/>
          <w:highlight w:val="none"/>
        </w:rPr>
        <w:t>(</w:t>
      </w:r>
      <w:r>
        <w:rPr>
          <w:rFonts w:hint="eastAsia" w:cs="宋体"/>
          <w:color w:val="auto"/>
          <w:kern w:val="0"/>
          <w:szCs w:val="21"/>
          <w:highlight w:val="none"/>
        </w:rPr>
        <w:t>电子备份投标文件</w:t>
      </w:r>
      <w:r>
        <w:rPr>
          <w:rFonts w:cs="宋体"/>
          <w:color w:val="auto"/>
          <w:kern w:val="0"/>
          <w:szCs w:val="21"/>
          <w:highlight w:val="none"/>
        </w:rPr>
        <w:t>/</w:t>
      </w:r>
      <w:r>
        <w:rPr>
          <w:rFonts w:hint="eastAsia" w:cs="宋体"/>
          <w:color w:val="auto"/>
          <w:kern w:val="0"/>
          <w:szCs w:val="21"/>
          <w:highlight w:val="none"/>
        </w:rPr>
        <w:t>资格证明文件</w:t>
      </w:r>
      <w:r>
        <w:rPr>
          <w:rFonts w:cs="宋体"/>
          <w:color w:val="auto"/>
          <w:kern w:val="0"/>
          <w:szCs w:val="21"/>
          <w:highlight w:val="none"/>
        </w:rPr>
        <w:t>/</w:t>
      </w:r>
      <w:r>
        <w:rPr>
          <w:rFonts w:hint="eastAsia" w:cs="宋体"/>
          <w:color w:val="auto"/>
          <w:kern w:val="0"/>
          <w:szCs w:val="21"/>
          <w:highlight w:val="none"/>
        </w:rPr>
        <w:t>技术商务文件</w:t>
      </w:r>
      <w:r>
        <w:rPr>
          <w:rFonts w:cs="宋体"/>
          <w:color w:val="auto"/>
          <w:kern w:val="0"/>
          <w:szCs w:val="21"/>
          <w:highlight w:val="none"/>
        </w:rPr>
        <w:t>/</w:t>
      </w:r>
      <w:r>
        <w:rPr>
          <w:rFonts w:hint="eastAsia" w:cs="宋体"/>
          <w:color w:val="auto"/>
          <w:kern w:val="0"/>
          <w:szCs w:val="21"/>
          <w:highlight w:val="none"/>
        </w:rPr>
        <w:t>报价文件</w:t>
      </w:r>
      <w:r>
        <w:rPr>
          <w:rFonts w:cs="宋体"/>
          <w:color w:val="auto"/>
          <w:kern w:val="0"/>
          <w:szCs w:val="21"/>
          <w:highlight w:val="none"/>
        </w:rPr>
        <w:t>)</w:t>
      </w:r>
      <w:r>
        <w:rPr>
          <w:rFonts w:hint="eastAsia" w:cs="宋体"/>
          <w:color w:val="auto"/>
          <w:kern w:val="0"/>
          <w:szCs w:val="21"/>
          <w:highlight w:val="none"/>
        </w:rPr>
        <w:t>、投标项目名称、项目编号，并加盖投标人公章。</w:t>
      </w:r>
    </w:p>
    <w:p w14:paraId="4C909DE9">
      <w:pPr>
        <w:snapToGrid w:val="0"/>
        <w:spacing w:line="380" w:lineRule="exact"/>
        <w:ind w:firstLine="420"/>
        <w:contextualSpacing/>
        <w:jc w:val="left"/>
        <w:rPr>
          <w:rFonts w:cs="宋体"/>
          <w:color w:val="auto"/>
          <w:szCs w:val="21"/>
          <w:highlight w:val="none"/>
        </w:rPr>
      </w:pPr>
      <w:r>
        <w:rPr>
          <w:rFonts w:cs="宋体"/>
          <w:color w:val="auto"/>
          <w:szCs w:val="21"/>
          <w:highlight w:val="none"/>
        </w:rPr>
        <w:t>16.3</w:t>
      </w:r>
      <w:r>
        <w:rPr>
          <w:rFonts w:hint="eastAsia" w:cs="宋体"/>
          <w:color w:val="auto"/>
          <w:szCs w:val="21"/>
          <w:highlight w:val="none"/>
        </w:rPr>
        <w:t>未按规定密封或标记的投标文件将被拒绝，由此造成投标文件被误投或提前拆封的风险由供应商承担。</w:t>
      </w:r>
    </w:p>
    <w:p w14:paraId="12EFBB94">
      <w:pPr>
        <w:snapToGrid w:val="0"/>
        <w:spacing w:line="380" w:lineRule="exact"/>
        <w:ind w:firstLine="420"/>
        <w:contextualSpacing/>
        <w:jc w:val="left"/>
        <w:rPr>
          <w:rFonts w:cs="宋体"/>
          <w:color w:val="auto"/>
          <w:szCs w:val="21"/>
          <w:highlight w:val="none"/>
        </w:rPr>
      </w:pPr>
      <w:r>
        <w:rPr>
          <w:rFonts w:cs="宋体"/>
          <w:color w:val="auto"/>
          <w:szCs w:val="21"/>
          <w:highlight w:val="none"/>
        </w:rPr>
        <w:t>16.4</w:t>
      </w:r>
      <w:r>
        <w:rPr>
          <w:rFonts w:hint="eastAsia" w:cs="宋体"/>
          <w:color w:val="auto"/>
          <w:szCs w:val="21"/>
          <w:highlight w:val="none"/>
        </w:rPr>
        <w:t>供应商在投标截止时间之前，可以对已提交的</w:t>
      </w:r>
      <w:r>
        <w:rPr>
          <w:rFonts w:hint="eastAsia" w:cs="宋体"/>
          <w:color w:val="auto"/>
          <w:kern w:val="0"/>
          <w:szCs w:val="21"/>
          <w:highlight w:val="none"/>
        </w:rPr>
        <w:t>电子备份投标文件</w:t>
      </w:r>
      <w:r>
        <w:rPr>
          <w:rFonts w:hint="eastAsia" w:cs="宋体"/>
          <w:color w:val="auto"/>
          <w:szCs w:val="21"/>
          <w:highlight w:val="none"/>
        </w:rPr>
        <w:t>进行修改或撤回，并书面通知招标采购单位；投标截止时间后，供应商不得撤销、修改投标文件。修改后重新递交的</w:t>
      </w:r>
      <w:r>
        <w:rPr>
          <w:rFonts w:hint="eastAsia" w:cs="宋体"/>
          <w:color w:val="auto"/>
          <w:kern w:val="0"/>
          <w:szCs w:val="21"/>
          <w:highlight w:val="none"/>
        </w:rPr>
        <w:t>电子备份投标文件</w:t>
      </w:r>
      <w:r>
        <w:rPr>
          <w:rFonts w:hint="eastAsia" w:cs="宋体"/>
          <w:color w:val="auto"/>
          <w:szCs w:val="21"/>
          <w:highlight w:val="none"/>
        </w:rPr>
        <w:t>应当按本采购文件的要求签署、盖章和密封。</w:t>
      </w:r>
    </w:p>
    <w:p w14:paraId="04CAB652">
      <w:pPr>
        <w:spacing w:line="380" w:lineRule="exact"/>
        <w:ind w:firstLine="420" w:firstLineChars="200"/>
        <w:contextualSpacing/>
        <w:rPr>
          <w:color w:val="auto"/>
          <w:szCs w:val="21"/>
          <w:highlight w:val="none"/>
        </w:rPr>
      </w:pPr>
      <w:r>
        <w:rPr>
          <w:rFonts w:cs="宋体"/>
          <w:color w:val="auto"/>
          <w:szCs w:val="21"/>
          <w:highlight w:val="none"/>
        </w:rPr>
        <w:t>16.5</w:t>
      </w:r>
      <w:r>
        <w:rPr>
          <w:rFonts w:hint="eastAsia" w:cs="宋体"/>
          <w:color w:val="auto"/>
          <w:szCs w:val="21"/>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6489AFEF">
      <w:pPr>
        <w:spacing w:line="380" w:lineRule="exact"/>
        <w:contextualSpacing/>
        <w:rPr>
          <w:color w:val="auto"/>
          <w:szCs w:val="21"/>
          <w:highlight w:val="none"/>
        </w:rPr>
      </w:pPr>
      <w:bookmarkStart w:id="44" w:name="_Toc429407703"/>
      <w:bookmarkStart w:id="45" w:name="_Toc425780287"/>
      <w:bookmarkStart w:id="46" w:name="_Toc430790224"/>
      <w:bookmarkStart w:id="47" w:name="_Toc425151743"/>
      <w:r>
        <w:rPr>
          <w:rFonts w:hint="eastAsia"/>
          <w:color w:val="auto"/>
          <w:szCs w:val="21"/>
          <w:highlight w:val="none"/>
        </w:rPr>
        <w:t>1</w:t>
      </w:r>
      <w:r>
        <w:rPr>
          <w:color w:val="auto"/>
          <w:szCs w:val="21"/>
          <w:highlight w:val="none"/>
        </w:rPr>
        <w:t>7</w:t>
      </w:r>
      <w:r>
        <w:rPr>
          <w:rFonts w:hint="eastAsia"/>
          <w:color w:val="auto"/>
          <w:szCs w:val="21"/>
          <w:highlight w:val="none"/>
        </w:rPr>
        <w:t>、</w:t>
      </w:r>
      <w:r>
        <w:rPr>
          <w:color w:val="auto"/>
          <w:szCs w:val="21"/>
          <w:highlight w:val="none"/>
        </w:rPr>
        <w:t>投标</w:t>
      </w:r>
      <w:bookmarkEnd w:id="44"/>
      <w:bookmarkEnd w:id="45"/>
      <w:bookmarkEnd w:id="46"/>
      <w:bookmarkEnd w:id="47"/>
    </w:p>
    <w:p w14:paraId="02390F96">
      <w:pPr>
        <w:tabs>
          <w:tab w:val="left" w:pos="709"/>
        </w:tabs>
        <w:spacing w:line="380" w:lineRule="exact"/>
        <w:ind w:firstLine="420" w:firstLineChars="200"/>
        <w:contextualSpacing/>
        <w:rPr>
          <w:color w:val="auto"/>
          <w:szCs w:val="21"/>
          <w:highlight w:val="none"/>
        </w:rPr>
      </w:pPr>
      <w:r>
        <w:rPr>
          <w:color w:val="auto"/>
          <w:szCs w:val="21"/>
          <w:highlight w:val="none"/>
        </w:rPr>
        <w:t>在采购文件《投标资料表》中规定的投标截止时间前，投标文件必须</w:t>
      </w:r>
      <w:r>
        <w:rPr>
          <w:rFonts w:hint="eastAsia"/>
          <w:color w:val="auto"/>
          <w:szCs w:val="21"/>
          <w:highlight w:val="none"/>
        </w:rPr>
        <w:t>将电子投标文件上传至浙江国企采购乐彩云平台</w:t>
      </w:r>
      <w:r>
        <w:rPr>
          <w:color w:val="auto"/>
          <w:szCs w:val="21"/>
          <w:highlight w:val="none"/>
        </w:rPr>
        <w:t>www.zcygov.cn，未上传电子投标文件，视为</w:t>
      </w:r>
      <w:r>
        <w:rPr>
          <w:rFonts w:hint="eastAsia"/>
          <w:color w:val="auto"/>
          <w:szCs w:val="21"/>
          <w:highlight w:val="none"/>
        </w:rPr>
        <w:t>投标人</w:t>
      </w:r>
      <w:r>
        <w:rPr>
          <w:color w:val="auto"/>
          <w:szCs w:val="21"/>
          <w:highlight w:val="none"/>
        </w:rPr>
        <w:t>放弃投标</w:t>
      </w:r>
      <w:r>
        <w:rPr>
          <w:rFonts w:hint="eastAsia"/>
          <w:color w:val="auto"/>
          <w:szCs w:val="21"/>
          <w:highlight w:val="none"/>
        </w:rPr>
        <w:t>。并在投标截止时间前将电子备份投标文件送至指定的投标地点。</w:t>
      </w:r>
      <w:r>
        <w:rPr>
          <w:color w:val="auto"/>
          <w:szCs w:val="21"/>
          <w:highlight w:val="none"/>
        </w:rPr>
        <w:t>在投标截止时间以后送达的投标文件将被拒绝。</w:t>
      </w:r>
    </w:p>
    <w:p w14:paraId="0A999880">
      <w:pPr>
        <w:spacing w:line="380" w:lineRule="exact"/>
        <w:contextualSpacing/>
        <w:rPr>
          <w:color w:val="auto"/>
          <w:szCs w:val="21"/>
          <w:highlight w:val="none"/>
        </w:rPr>
      </w:pPr>
      <w:bookmarkStart w:id="48" w:name="_Toc425780288"/>
      <w:bookmarkStart w:id="49" w:name="_Toc425151744"/>
      <w:bookmarkStart w:id="50" w:name="_Toc429407704"/>
      <w:bookmarkStart w:id="51" w:name="_Toc430790225"/>
      <w:r>
        <w:rPr>
          <w:rFonts w:hint="eastAsia"/>
          <w:color w:val="auto"/>
          <w:szCs w:val="21"/>
          <w:highlight w:val="none"/>
        </w:rPr>
        <w:t>1</w:t>
      </w:r>
      <w:r>
        <w:rPr>
          <w:color w:val="auto"/>
          <w:szCs w:val="21"/>
          <w:highlight w:val="none"/>
        </w:rPr>
        <w:t>8</w:t>
      </w:r>
      <w:r>
        <w:rPr>
          <w:rFonts w:hint="eastAsia"/>
          <w:color w:val="auto"/>
          <w:szCs w:val="21"/>
          <w:highlight w:val="none"/>
        </w:rPr>
        <w:t>、</w:t>
      </w:r>
      <w:r>
        <w:rPr>
          <w:color w:val="auto"/>
          <w:szCs w:val="21"/>
          <w:highlight w:val="none"/>
        </w:rPr>
        <w:t>投标文件的修改和撤回</w:t>
      </w:r>
      <w:bookmarkEnd w:id="48"/>
      <w:bookmarkEnd w:id="49"/>
      <w:bookmarkEnd w:id="50"/>
      <w:bookmarkEnd w:id="51"/>
    </w:p>
    <w:p w14:paraId="3F313B82">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.1</w:t>
      </w:r>
      <w:r>
        <w:rPr>
          <w:color w:val="auto"/>
          <w:szCs w:val="21"/>
          <w:highlight w:val="none"/>
        </w:rPr>
        <w:t>投标文件递交以后，在投标截止时间之前，投标人可以要求修改或</w:t>
      </w:r>
      <w:r>
        <w:rPr>
          <w:rFonts w:hint="eastAsia"/>
          <w:color w:val="auto"/>
          <w:szCs w:val="21"/>
          <w:highlight w:val="none"/>
        </w:rPr>
        <w:t>撤回已上传的电子投标文件</w:t>
      </w:r>
      <w:r>
        <w:rPr>
          <w:color w:val="auto"/>
          <w:szCs w:val="21"/>
          <w:highlight w:val="none"/>
        </w:rPr>
        <w:t>。</w:t>
      </w:r>
    </w:p>
    <w:p w14:paraId="618DD49A">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.2</w:t>
      </w:r>
      <w:r>
        <w:rPr>
          <w:color w:val="auto"/>
          <w:szCs w:val="21"/>
          <w:highlight w:val="none"/>
        </w:rPr>
        <w:t>在投标截止时间之后，投标人不得对其投标文件进行修改。</w:t>
      </w:r>
    </w:p>
    <w:bookmarkEnd w:id="36"/>
    <w:bookmarkEnd w:id="37"/>
    <w:bookmarkEnd w:id="38"/>
    <w:bookmarkEnd w:id="39"/>
    <w:p w14:paraId="62109453">
      <w:pPr>
        <w:pStyle w:val="2"/>
        <w:contextualSpacing/>
        <w:rPr>
          <w:rFonts w:ascii="Times New Roman"/>
          <w:color w:val="auto"/>
          <w:sz w:val="24"/>
          <w:szCs w:val="24"/>
          <w:highlight w:val="none"/>
        </w:rPr>
      </w:pPr>
      <w:bookmarkStart w:id="52" w:name="_Toc429407705"/>
      <w:bookmarkStart w:id="53" w:name="_Toc425151745"/>
      <w:bookmarkStart w:id="54" w:name="_Toc456853672"/>
      <w:bookmarkStart w:id="55" w:name="_Toc505353786"/>
      <w:bookmarkStart w:id="56" w:name="_Toc445193547"/>
      <w:bookmarkStart w:id="57" w:name="_Toc496003207"/>
      <w:bookmarkStart w:id="58" w:name="_Toc430790226"/>
      <w:bookmarkStart w:id="59" w:name="_Toc425780289"/>
      <w:bookmarkStart w:id="60" w:name="_Toc498429635"/>
      <w:r>
        <w:rPr>
          <w:rFonts w:hint="eastAsia" w:ascii="Times New Roman"/>
          <w:color w:val="auto"/>
          <w:sz w:val="24"/>
          <w:szCs w:val="24"/>
          <w:highlight w:val="none"/>
        </w:rPr>
        <w:t>六、</w:t>
      </w:r>
      <w:r>
        <w:rPr>
          <w:rFonts w:ascii="Times New Roman"/>
          <w:color w:val="auto"/>
          <w:sz w:val="24"/>
          <w:szCs w:val="24"/>
          <w:highlight w:val="none"/>
        </w:rPr>
        <w:t>开标</w:t>
      </w:r>
      <w:bookmarkEnd w:id="52"/>
      <w:bookmarkEnd w:id="53"/>
      <w:bookmarkEnd w:id="54"/>
      <w:bookmarkEnd w:id="55"/>
      <w:bookmarkEnd w:id="56"/>
      <w:bookmarkEnd w:id="57"/>
      <w:bookmarkEnd w:id="58"/>
      <w:bookmarkEnd w:id="59"/>
      <w:bookmarkEnd w:id="60"/>
    </w:p>
    <w:p w14:paraId="414A4D9F">
      <w:pPr>
        <w:spacing w:line="380" w:lineRule="exact"/>
        <w:contextualSpacing/>
        <w:rPr>
          <w:color w:val="auto"/>
          <w:szCs w:val="21"/>
          <w:highlight w:val="none"/>
        </w:rPr>
      </w:pPr>
      <w:bookmarkStart w:id="61" w:name="_Toc496003208"/>
      <w:bookmarkStart w:id="62" w:name="_Toc430790228"/>
      <w:bookmarkStart w:id="63" w:name="_Toc429407707"/>
      <w:bookmarkStart w:id="64" w:name="_Toc456853673"/>
      <w:bookmarkStart w:id="65" w:name="_Toc505353787"/>
      <w:bookmarkStart w:id="66" w:name="_Toc498429636"/>
      <w:bookmarkStart w:id="67" w:name="_Toc445193548"/>
      <w:bookmarkStart w:id="68" w:name="_Toc425151747"/>
      <w:bookmarkStart w:id="69" w:name="_Toc425780291"/>
      <w:r>
        <w:rPr>
          <w:color w:val="auto"/>
          <w:szCs w:val="21"/>
          <w:highlight w:val="none"/>
        </w:rPr>
        <w:t>19</w:t>
      </w:r>
      <w:r>
        <w:rPr>
          <w:rFonts w:hint="eastAsia"/>
          <w:color w:val="auto"/>
          <w:szCs w:val="21"/>
          <w:highlight w:val="none"/>
        </w:rPr>
        <w:t>、开标准备</w:t>
      </w:r>
    </w:p>
    <w:p w14:paraId="08BD6251">
      <w:pPr>
        <w:spacing w:line="380" w:lineRule="exact"/>
        <w:ind w:firstLine="420" w:firstLineChars="200"/>
        <w:contextualSpacing/>
        <w:rPr>
          <w:rFonts w:cs="宋体"/>
          <w:color w:val="auto"/>
          <w:szCs w:val="21"/>
          <w:highlight w:val="none"/>
        </w:rPr>
      </w:pPr>
      <w:r>
        <w:rPr>
          <w:rFonts w:cs="宋体"/>
          <w:color w:val="auto"/>
          <w:szCs w:val="21"/>
          <w:highlight w:val="none"/>
        </w:rPr>
        <w:t>19.1采购代理机构将组织各投标人法定代表人或其授权代表分别登记、签到，无关人员不得进入现场</w:t>
      </w:r>
      <w:r>
        <w:rPr>
          <w:rFonts w:hint="eastAsia"/>
          <w:color w:val="auto"/>
          <w:szCs w:val="21"/>
          <w:highlight w:val="none"/>
        </w:rPr>
        <w:t>。</w:t>
      </w:r>
      <w:r>
        <w:rPr>
          <w:rFonts w:cs="宋体"/>
          <w:color w:val="auto"/>
          <w:szCs w:val="21"/>
          <w:highlight w:val="none"/>
        </w:rPr>
        <w:t>投标人未参加开标的，视同认可开标结果。</w:t>
      </w:r>
    </w:p>
    <w:p w14:paraId="5772B68C">
      <w:pPr>
        <w:spacing w:line="380" w:lineRule="exact"/>
        <w:ind w:firstLine="420" w:firstLineChars="200"/>
        <w:contextualSpacing/>
        <w:rPr>
          <w:rFonts w:cs="宋体"/>
          <w:color w:val="auto"/>
          <w:szCs w:val="21"/>
          <w:highlight w:val="none"/>
        </w:rPr>
      </w:pPr>
      <w:r>
        <w:rPr>
          <w:rFonts w:cs="宋体"/>
          <w:color w:val="auto"/>
          <w:szCs w:val="21"/>
          <w:highlight w:val="none"/>
        </w:rPr>
        <w:t>19.2采购代理机构接收投标文件并登记，各投标人法定代表人或其授权代表对投标文件的递交记录情况进行签字确认。</w:t>
      </w:r>
    </w:p>
    <w:p w14:paraId="3750E2F5">
      <w:pPr>
        <w:spacing w:line="380" w:lineRule="exact"/>
        <w:ind w:firstLine="420" w:firstLineChars="200"/>
        <w:contextualSpacing/>
        <w:rPr>
          <w:rFonts w:cs="宋体"/>
          <w:color w:val="auto"/>
          <w:szCs w:val="21"/>
          <w:highlight w:val="none"/>
        </w:rPr>
      </w:pPr>
      <w:r>
        <w:rPr>
          <w:rFonts w:cs="宋体"/>
          <w:color w:val="auto"/>
          <w:szCs w:val="21"/>
          <w:highlight w:val="none"/>
        </w:rPr>
        <w:t>19.3采购代理机构宣布开标，介绍开标现场的人员情况，宣读递交投标文件的投标人名单、开标纪律、应当回避的情形等注意事项，组织各投标人法定代表人或其授权代表签署不存在影响公平竞争的《</w:t>
      </w:r>
      <w:r>
        <w:rPr>
          <w:rFonts w:hint="eastAsia" w:cs="宋体"/>
          <w:color w:val="auto"/>
          <w:szCs w:val="21"/>
          <w:highlight w:val="none"/>
        </w:rPr>
        <w:t>国企采购</w:t>
      </w:r>
      <w:r>
        <w:rPr>
          <w:rFonts w:cs="宋体"/>
          <w:color w:val="auto"/>
          <w:szCs w:val="21"/>
          <w:highlight w:val="none"/>
        </w:rPr>
        <w:t>活动现场确认声明书》。</w:t>
      </w:r>
    </w:p>
    <w:p w14:paraId="7EB3E49F">
      <w:pPr>
        <w:snapToGrid w:val="0"/>
        <w:spacing w:line="380" w:lineRule="exact"/>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20、开标程序：</w:t>
      </w:r>
    </w:p>
    <w:p w14:paraId="22F4FD25">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20.1电子招投标开标程序：</w:t>
      </w:r>
    </w:p>
    <w:p w14:paraId="6E3C092A">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（1）投标截止时间后，供应商登录浙江国企采购乐彩云平台，用“项目采购-开标评标”功能对电子投标文件进行在线解密，在线解密电子投标文件时间为开标时间后30分钟内。</w:t>
      </w:r>
    </w:p>
    <w:p w14:paraId="1FEFF5AE">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在浙江国企采购乐彩云平台开启已解密投标人的“资格证明文件、技术商务文件”，待资格审查、技术商务评审结束并公布资格审查、技术商务评分结果后，再开启已解密投标人的“报价文件”并做开标记录；</w:t>
      </w:r>
    </w:p>
    <w:p w14:paraId="670FE903">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（3）在浙江国企采购乐彩云平台公布评审结果。</w:t>
      </w:r>
    </w:p>
    <w:p w14:paraId="2CCE3EBA">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（4）开标会议结束。</w:t>
      </w:r>
    </w:p>
    <w:p w14:paraId="3C55F0CE">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20.2特别说明：浙江国企采购乐彩云平台如对电子化开标及评审程序有调整的，按调整后的程序操作。</w:t>
      </w:r>
    </w:p>
    <w:p w14:paraId="169768E4">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本项目原则上采用乐采云电子招投标开标程序，但有以下情形之一的，按以下处理：</w:t>
      </w:r>
    </w:p>
    <w:p w14:paraId="78851B65">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（1）若有供应商在规定时间内无法解密或解密失败，代理机构将开启该供应商递交的以U盘存储的电子备份投标文件，上传至乐采云平台项目采购模块，以完成开标，电子投标文件自动失效。</w:t>
      </w:r>
    </w:p>
    <w:p w14:paraId="62879029">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（2）采购过程中出现以下情形，导致电子交易平台无法正常运行，或者无法保证电子交易的公平、公正和安全时，采购人（或代理机构）可中止电子交易活动：</w:t>
      </w:r>
    </w:p>
    <w:p w14:paraId="6DDBA3CB">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①电子交易平台发生故障而无法登录访问的；</w:t>
      </w:r>
    </w:p>
    <w:p w14:paraId="51F8B5F2">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②电子交易平台应用或数据库出现错误，不能进行正常操作的；</w:t>
      </w:r>
    </w:p>
    <w:p w14:paraId="6E58A6CC">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③电子交易平台发现严重安全漏洞，有潜在泄密危险的；</w:t>
      </w:r>
    </w:p>
    <w:p w14:paraId="652737A5">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④病毒发作导致不能进行正常操作的；</w:t>
      </w:r>
    </w:p>
    <w:p w14:paraId="2D7CB148">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⑤其他无法保证电子交易的公平、公正和安全的情况。</w:t>
      </w:r>
    </w:p>
    <w:p w14:paraId="269469A8">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出现前款规定情形，不影响采购公平、公正性的，采购人（或代理机构）可以待上述情形消除后继续组织电子交易活动。</w:t>
      </w:r>
    </w:p>
    <w:p w14:paraId="173CE0F7">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（4）未开启的备份投标文件现场不予以退还。</w:t>
      </w:r>
    </w:p>
    <w:p w14:paraId="1C85335A">
      <w:pPr>
        <w:pStyle w:val="2"/>
        <w:contextualSpacing/>
        <w:rPr>
          <w:rFonts w:ascii="Times New Roman"/>
          <w:color w:val="auto"/>
          <w:sz w:val="24"/>
          <w:szCs w:val="24"/>
          <w:highlight w:val="none"/>
        </w:rPr>
      </w:pPr>
      <w:r>
        <w:rPr>
          <w:rFonts w:hint="eastAsia" w:ascii="Times New Roman"/>
          <w:color w:val="auto"/>
          <w:sz w:val="24"/>
          <w:szCs w:val="24"/>
          <w:highlight w:val="none"/>
        </w:rPr>
        <w:t>七、</w:t>
      </w:r>
      <w:r>
        <w:rPr>
          <w:rFonts w:ascii="Times New Roman"/>
          <w:color w:val="auto"/>
          <w:sz w:val="24"/>
          <w:szCs w:val="24"/>
          <w:highlight w:val="none"/>
        </w:rPr>
        <w:t>评标和定标</w:t>
      </w:r>
      <w:bookmarkEnd w:id="61"/>
      <w:bookmarkEnd w:id="62"/>
      <w:bookmarkEnd w:id="63"/>
      <w:bookmarkEnd w:id="64"/>
      <w:bookmarkEnd w:id="65"/>
      <w:bookmarkEnd w:id="66"/>
      <w:bookmarkEnd w:id="67"/>
      <w:bookmarkEnd w:id="68"/>
      <w:bookmarkEnd w:id="69"/>
    </w:p>
    <w:p w14:paraId="454BD5DB">
      <w:pPr>
        <w:spacing w:line="380" w:lineRule="exact"/>
        <w:contextualSpacing/>
        <w:rPr>
          <w:color w:val="auto"/>
          <w:szCs w:val="21"/>
          <w:highlight w:val="none"/>
        </w:rPr>
      </w:pPr>
      <w:bookmarkStart w:id="70" w:name="_Toc430790229"/>
      <w:bookmarkStart w:id="71" w:name="_Toc425780292"/>
      <w:bookmarkStart w:id="72" w:name="_Toc425151748"/>
      <w:bookmarkStart w:id="73" w:name="_Toc429407708"/>
      <w:r>
        <w:rPr>
          <w:color w:val="auto"/>
          <w:szCs w:val="21"/>
          <w:highlight w:val="none"/>
        </w:rPr>
        <w:t>21</w:t>
      </w:r>
      <w:r>
        <w:rPr>
          <w:rFonts w:hint="eastAsia"/>
          <w:color w:val="auto"/>
          <w:szCs w:val="21"/>
          <w:highlight w:val="none"/>
        </w:rPr>
        <w:t>、</w:t>
      </w:r>
      <w:r>
        <w:rPr>
          <w:color w:val="auto"/>
          <w:szCs w:val="21"/>
          <w:highlight w:val="none"/>
        </w:rPr>
        <w:t>评标委员会</w:t>
      </w:r>
    </w:p>
    <w:p w14:paraId="1C5D46EB">
      <w:pPr>
        <w:spacing w:line="380" w:lineRule="exact"/>
        <w:ind w:firstLine="420" w:firstLineChars="200"/>
        <w:contextualSpacing/>
        <w:rPr>
          <w:color w:val="auto"/>
          <w:szCs w:val="21"/>
          <w:highlight w:val="none"/>
        </w:rPr>
      </w:pPr>
      <w:r>
        <w:rPr>
          <w:color w:val="auto"/>
          <w:szCs w:val="21"/>
          <w:highlight w:val="none"/>
        </w:rPr>
        <w:t>21</w:t>
      </w:r>
      <w:r>
        <w:rPr>
          <w:rFonts w:hint="eastAsia"/>
          <w:color w:val="auto"/>
          <w:szCs w:val="21"/>
          <w:highlight w:val="none"/>
        </w:rPr>
        <w:t>.1</w:t>
      </w:r>
      <w:r>
        <w:rPr>
          <w:color w:val="auto"/>
          <w:szCs w:val="21"/>
          <w:highlight w:val="none"/>
        </w:rPr>
        <w:t>受采购人的委托，采购代理机构根据《</w:t>
      </w:r>
      <w:r>
        <w:rPr>
          <w:rFonts w:hint="eastAsia"/>
          <w:color w:val="auto"/>
          <w:szCs w:val="21"/>
          <w:highlight w:val="none"/>
        </w:rPr>
        <w:t>中华人民共和国</w:t>
      </w:r>
      <w:r>
        <w:rPr>
          <w:color w:val="auto"/>
          <w:szCs w:val="21"/>
          <w:highlight w:val="none"/>
        </w:rPr>
        <w:t>政府采购法》、财政部第8</w:t>
      </w:r>
      <w:r>
        <w:rPr>
          <w:rFonts w:hint="eastAsia"/>
          <w:color w:val="auto"/>
          <w:szCs w:val="21"/>
          <w:highlight w:val="none"/>
        </w:rPr>
        <w:t>7</w:t>
      </w:r>
      <w:r>
        <w:rPr>
          <w:color w:val="auto"/>
          <w:szCs w:val="21"/>
          <w:highlight w:val="none"/>
        </w:rPr>
        <w:t>号令的规定和有关的</w:t>
      </w:r>
      <w:r>
        <w:rPr>
          <w:rFonts w:hint="eastAsia"/>
          <w:color w:val="auto"/>
          <w:szCs w:val="21"/>
          <w:highlight w:val="none"/>
        </w:rPr>
        <w:t>法律</w:t>
      </w:r>
      <w:r>
        <w:rPr>
          <w:color w:val="auto"/>
          <w:szCs w:val="21"/>
          <w:highlight w:val="none"/>
        </w:rPr>
        <w:t>法规组建评标委员会，评标委员会负责评标工作。评标委员会由</w:t>
      </w:r>
      <w:r>
        <w:rPr>
          <w:rFonts w:hint="eastAsia"/>
          <w:color w:val="auto"/>
          <w:szCs w:val="21"/>
          <w:highlight w:val="none"/>
        </w:rPr>
        <w:t>采购人</w:t>
      </w:r>
      <w:r>
        <w:rPr>
          <w:color w:val="auto"/>
          <w:szCs w:val="21"/>
          <w:highlight w:val="none"/>
        </w:rPr>
        <w:t>代表和</w:t>
      </w:r>
      <w:r>
        <w:rPr>
          <w:rFonts w:hint="eastAsia"/>
          <w:color w:val="auto"/>
          <w:szCs w:val="21"/>
          <w:highlight w:val="none"/>
        </w:rPr>
        <w:t>评审</w:t>
      </w:r>
      <w:r>
        <w:rPr>
          <w:color w:val="auto"/>
          <w:szCs w:val="21"/>
          <w:highlight w:val="none"/>
        </w:rPr>
        <w:t>专家组成。</w:t>
      </w:r>
      <w:r>
        <w:rPr>
          <w:rFonts w:hint="eastAsia"/>
          <w:color w:val="auto"/>
          <w:szCs w:val="21"/>
          <w:highlight w:val="none"/>
        </w:rPr>
        <w:t>评审</w:t>
      </w:r>
      <w:r>
        <w:rPr>
          <w:color w:val="auto"/>
          <w:szCs w:val="21"/>
          <w:highlight w:val="none"/>
        </w:rPr>
        <w:t>专家将在开标日之前在管理部门的</w:t>
      </w:r>
      <w:r>
        <w:rPr>
          <w:rFonts w:hint="eastAsia"/>
          <w:color w:val="auto"/>
          <w:szCs w:val="21"/>
          <w:highlight w:val="none"/>
        </w:rPr>
        <w:t>评审</w:t>
      </w:r>
      <w:r>
        <w:rPr>
          <w:color w:val="auto"/>
          <w:szCs w:val="21"/>
          <w:highlight w:val="none"/>
        </w:rPr>
        <w:t>专家库中随机抽取。</w:t>
      </w:r>
      <w:r>
        <w:rPr>
          <w:rFonts w:hint="eastAsia"/>
          <w:color w:val="auto"/>
          <w:szCs w:val="21"/>
          <w:highlight w:val="none"/>
        </w:rPr>
        <w:t>评标委员会成员名单在评标结果公告前应当保密。</w:t>
      </w:r>
    </w:p>
    <w:p w14:paraId="3AF19C4E">
      <w:pPr>
        <w:spacing w:line="380" w:lineRule="exact"/>
        <w:ind w:firstLine="420" w:firstLineChars="200"/>
        <w:contextualSpacing/>
        <w:rPr>
          <w:color w:val="auto"/>
          <w:szCs w:val="21"/>
          <w:highlight w:val="none"/>
        </w:rPr>
      </w:pPr>
      <w:r>
        <w:rPr>
          <w:color w:val="auto"/>
          <w:szCs w:val="21"/>
          <w:highlight w:val="none"/>
        </w:rPr>
        <w:t>21</w:t>
      </w:r>
      <w:r>
        <w:rPr>
          <w:rFonts w:hint="eastAsia"/>
          <w:color w:val="auto"/>
          <w:szCs w:val="21"/>
          <w:highlight w:val="none"/>
        </w:rPr>
        <w:t>.2</w:t>
      </w:r>
      <w:r>
        <w:rPr>
          <w:color w:val="auto"/>
          <w:szCs w:val="21"/>
          <w:highlight w:val="none"/>
        </w:rPr>
        <w:t>评标委员会将遵循公平、公正、科学、廉洁的原则和规定的程序进行评标，并且只依据投标文件本身对采购文件的响应情况进行评审，不考虑投标人在开标后提交的任何的补充声明、修正方案。</w:t>
      </w:r>
    </w:p>
    <w:p w14:paraId="11B3C886">
      <w:pPr>
        <w:spacing w:line="380" w:lineRule="exact"/>
        <w:ind w:firstLine="420" w:firstLineChars="200"/>
        <w:contextualSpacing/>
        <w:rPr>
          <w:color w:val="auto"/>
          <w:szCs w:val="21"/>
          <w:highlight w:val="none"/>
        </w:rPr>
      </w:pPr>
      <w:r>
        <w:rPr>
          <w:color w:val="auto"/>
          <w:szCs w:val="21"/>
          <w:highlight w:val="none"/>
        </w:rPr>
        <w:t>21</w:t>
      </w:r>
      <w:r>
        <w:rPr>
          <w:rFonts w:hint="eastAsia"/>
          <w:color w:val="auto"/>
          <w:szCs w:val="21"/>
          <w:highlight w:val="none"/>
        </w:rPr>
        <w:t>.3</w:t>
      </w:r>
      <w:r>
        <w:rPr>
          <w:color w:val="auto"/>
          <w:szCs w:val="21"/>
          <w:highlight w:val="none"/>
        </w:rPr>
        <w:t>评标委员会将核对投标价格和</w:t>
      </w:r>
      <w:r>
        <w:rPr>
          <w:rFonts w:hint="eastAsia"/>
          <w:color w:val="auto"/>
          <w:szCs w:val="21"/>
          <w:highlight w:val="none"/>
        </w:rPr>
        <w:t>服务内容</w:t>
      </w:r>
      <w:r>
        <w:rPr>
          <w:color w:val="auto"/>
          <w:szCs w:val="21"/>
          <w:highlight w:val="none"/>
        </w:rPr>
        <w:t>，对发现的价格计算错误按下述原则处理：</w:t>
      </w:r>
    </w:p>
    <w:p w14:paraId="2CB006A7">
      <w:pPr>
        <w:spacing w:line="380" w:lineRule="exact"/>
        <w:ind w:firstLine="420" w:firstLineChars="200"/>
        <w:contextualSpacing/>
        <w:rPr>
          <w:color w:val="auto"/>
          <w:szCs w:val="21"/>
          <w:highlight w:val="none"/>
        </w:rPr>
      </w:pPr>
      <w:r>
        <w:rPr>
          <w:rFonts w:hint="eastAsia"/>
          <w:color w:val="auto"/>
          <w:szCs w:val="21"/>
          <w:highlight w:val="none"/>
        </w:rPr>
        <w:t>（1）投标文件中开标一览表内容与投标文件中相应内容不一致的，以开标一览表为准；</w:t>
      </w:r>
    </w:p>
    <w:p w14:paraId="1B30C710">
      <w:pPr>
        <w:spacing w:line="380" w:lineRule="exact"/>
        <w:ind w:firstLine="420" w:firstLineChars="200"/>
        <w:contextualSpacing/>
        <w:rPr>
          <w:color w:val="auto"/>
          <w:szCs w:val="21"/>
          <w:highlight w:val="none"/>
        </w:rPr>
      </w:pPr>
      <w:r>
        <w:rPr>
          <w:rFonts w:hint="eastAsia"/>
          <w:color w:val="auto"/>
          <w:szCs w:val="21"/>
          <w:highlight w:val="none"/>
        </w:rPr>
        <w:t>（2）投标文件的大写金额和小写金额不一致的，以大写金额为准；</w:t>
      </w:r>
    </w:p>
    <w:p w14:paraId="5DB13DE7">
      <w:pPr>
        <w:spacing w:line="380" w:lineRule="exact"/>
        <w:ind w:firstLine="420" w:firstLineChars="200"/>
        <w:contextualSpacing/>
        <w:rPr>
          <w:color w:val="auto"/>
          <w:szCs w:val="21"/>
          <w:highlight w:val="none"/>
        </w:rPr>
      </w:pPr>
      <w:r>
        <w:rPr>
          <w:rFonts w:hint="eastAsia"/>
          <w:color w:val="auto"/>
          <w:szCs w:val="21"/>
          <w:highlight w:val="none"/>
        </w:rPr>
        <w:t>（3）单价金额小数点或者百分比有明显错位的，以开标一览表的总价为准，并修改单价；</w:t>
      </w:r>
    </w:p>
    <w:p w14:paraId="654DBFDA">
      <w:pPr>
        <w:spacing w:line="380" w:lineRule="exact"/>
        <w:ind w:firstLine="420" w:firstLineChars="200"/>
        <w:contextualSpacing/>
        <w:rPr>
          <w:rFonts w:hint="eastAsia"/>
          <w:color w:val="auto"/>
          <w:szCs w:val="21"/>
          <w:highlight w:val="none"/>
        </w:rPr>
      </w:pPr>
      <w:r>
        <w:rPr>
          <w:rFonts w:hint="eastAsia"/>
          <w:color w:val="auto"/>
          <w:szCs w:val="21"/>
          <w:highlight w:val="none"/>
        </w:rPr>
        <w:t>（4）总价金额与按单价汇总金额不一致，以单价金额计算结果为准。</w:t>
      </w:r>
    </w:p>
    <w:p w14:paraId="4F316232">
      <w:pPr>
        <w:spacing w:line="380" w:lineRule="exact"/>
        <w:ind w:firstLine="420" w:firstLineChars="200"/>
        <w:contextualSpacing/>
        <w:rPr>
          <w:color w:val="auto"/>
          <w:highlight w:val="none"/>
        </w:rPr>
      </w:pPr>
      <w:r>
        <w:rPr>
          <w:rFonts w:hint="eastAsia"/>
          <w:color w:val="auto"/>
          <w:szCs w:val="21"/>
          <w:highlight w:val="none"/>
        </w:rPr>
        <w:t>（5）乐采云客户端填写的报价与以pdf格式上传文件中的报价不一致的，应以pdf格式上传文件中的报价为准。</w:t>
      </w:r>
    </w:p>
    <w:p w14:paraId="7D87E591">
      <w:pPr>
        <w:spacing w:line="380" w:lineRule="exact"/>
        <w:ind w:firstLine="420" w:firstLineChars="200"/>
        <w:contextualSpacing/>
        <w:rPr>
          <w:color w:val="auto"/>
          <w:szCs w:val="21"/>
          <w:highlight w:val="none"/>
        </w:rPr>
      </w:pPr>
      <w:r>
        <w:rPr>
          <w:rFonts w:hint="eastAsia"/>
          <w:color w:val="auto"/>
          <w:szCs w:val="21"/>
          <w:highlight w:val="none"/>
        </w:rPr>
        <w:t>同时出现两种以上不一致的，按照前款规定的顺序修正。修正后的报价按照本须知的规定经投标人确认后产生约束力，投标人不确认的，其投标无效。</w:t>
      </w:r>
    </w:p>
    <w:p w14:paraId="7A1A1B24">
      <w:pPr>
        <w:spacing w:line="380" w:lineRule="exact"/>
        <w:ind w:firstLine="420" w:firstLineChars="200"/>
        <w:contextualSpacing/>
        <w:rPr>
          <w:color w:val="auto"/>
          <w:szCs w:val="21"/>
          <w:highlight w:val="none"/>
        </w:rPr>
      </w:pPr>
      <w:r>
        <w:rPr>
          <w:color w:val="auto"/>
          <w:szCs w:val="21"/>
          <w:highlight w:val="none"/>
        </w:rPr>
        <w:t>21</w:t>
      </w:r>
      <w:r>
        <w:rPr>
          <w:rFonts w:hint="eastAsia"/>
          <w:color w:val="auto"/>
          <w:szCs w:val="21"/>
          <w:highlight w:val="none"/>
        </w:rPr>
        <w:t>.4</w:t>
      </w:r>
      <w:r>
        <w:rPr>
          <w:color w:val="auto"/>
          <w:szCs w:val="21"/>
          <w:highlight w:val="none"/>
        </w:rPr>
        <w:t>评标委员会根据采购文件的《评标办法》及在《投标资料表》和《招标内容和要求》中所列的具体标准，对投标文件进行评审和比较。</w:t>
      </w:r>
    </w:p>
    <w:p w14:paraId="25974406">
      <w:pPr>
        <w:spacing w:line="380" w:lineRule="exact"/>
        <w:contextualSpacing/>
        <w:rPr>
          <w:color w:val="auto"/>
          <w:szCs w:val="21"/>
          <w:highlight w:val="none"/>
        </w:rPr>
      </w:pPr>
      <w:r>
        <w:rPr>
          <w:color w:val="auto"/>
          <w:szCs w:val="21"/>
          <w:highlight w:val="none"/>
        </w:rPr>
        <w:t>22</w:t>
      </w:r>
      <w:r>
        <w:rPr>
          <w:rFonts w:hint="eastAsia"/>
          <w:color w:val="auto"/>
          <w:szCs w:val="21"/>
          <w:highlight w:val="none"/>
        </w:rPr>
        <w:t>、澄清问题的形式</w:t>
      </w:r>
    </w:p>
    <w:p w14:paraId="41FD5BE1">
      <w:pPr>
        <w:spacing w:line="380" w:lineRule="exact"/>
        <w:ind w:firstLine="420" w:firstLineChars="200"/>
        <w:contextualSpacing/>
        <w:rPr>
          <w:color w:val="auto"/>
          <w:szCs w:val="21"/>
          <w:highlight w:val="none"/>
        </w:rPr>
      </w:pPr>
      <w:r>
        <w:rPr>
          <w:rFonts w:hint="eastAsia"/>
          <w:color w:val="auto"/>
          <w:szCs w:val="21"/>
          <w:highlight w:val="none"/>
        </w:rPr>
        <w:t>对于投标文件中含义不明确、同类问题表述不一致或者有明显文字和计算错误的内容，评标委员会应当以书面形式要求投标人作出必要的澄清、说明或者补正。</w:t>
      </w:r>
    </w:p>
    <w:p w14:paraId="61D1874E">
      <w:pPr>
        <w:spacing w:line="380" w:lineRule="exact"/>
        <w:ind w:firstLine="420" w:firstLineChars="200"/>
        <w:contextualSpacing/>
        <w:rPr>
          <w:color w:val="auto"/>
          <w:szCs w:val="21"/>
          <w:highlight w:val="none"/>
        </w:rPr>
      </w:pPr>
      <w:r>
        <w:rPr>
          <w:rFonts w:hint="eastAsia"/>
          <w:color w:val="auto"/>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5E4A3325">
      <w:pPr>
        <w:spacing w:line="380" w:lineRule="exact"/>
        <w:contextualSpacing/>
        <w:rPr>
          <w:color w:val="auto"/>
          <w:szCs w:val="21"/>
          <w:highlight w:val="none"/>
        </w:rPr>
      </w:pPr>
      <w:r>
        <w:rPr>
          <w:color w:val="auto"/>
          <w:szCs w:val="21"/>
          <w:highlight w:val="none"/>
        </w:rPr>
        <w:t>23</w:t>
      </w:r>
      <w:r>
        <w:rPr>
          <w:rFonts w:hint="eastAsia"/>
          <w:color w:val="auto"/>
          <w:szCs w:val="21"/>
          <w:highlight w:val="none"/>
        </w:rPr>
        <w:t>、</w:t>
      </w:r>
      <w:r>
        <w:rPr>
          <w:color w:val="auto"/>
          <w:szCs w:val="21"/>
          <w:highlight w:val="none"/>
        </w:rPr>
        <w:t>评标办法</w:t>
      </w:r>
    </w:p>
    <w:p w14:paraId="09D0B6A4">
      <w:pPr>
        <w:spacing w:line="380" w:lineRule="exact"/>
        <w:ind w:firstLine="420" w:firstLineChars="200"/>
        <w:contextualSpacing/>
        <w:rPr>
          <w:color w:val="auto"/>
          <w:szCs w:val="21"/>
          <w:highlight w:val="none"/>
        </w:rPr>
      </w:pPr>
      <w:r>
        <w:rPr>
          <w:color w:val="auto"/>
          <w:szCs w:val="21"/>
          <w:highlight w:val="none"/>
        </w:rPr>
        <w:t>23</w:t>
      </w:r>
      <w:r>
        <w:rPr>
          <w:rFonts w:hint="eastAsia"/>
          <w:color w:val="auto"/>
          <w:szCs w:val="21"/>
          <w:highlight w:val="none"/>
        </w:rPr>
        <w:t>.1本项目</w:t>
      </w:r>
      <w:r>
        <w:rPr>
          <w:color w:val="auto"/>
          <w:szCs w:val="21"/>
          <w:highlight w:val="none"/>
        </w:rPr>
        <w:t>采用综合评分法。本次招标采用的评标方法</w:t>
      </w:r>
      <w:r>
        <w:rPr>
          <w:rFonts w:hint="eastAsia"/>
          <w:color w:val="auto"/>
          <w:szCs w:val="21"/>
          <w:highlight w:val="none"/>
        </w:rPr>
        <w:t>具体说明</w:t>
      </w:r>
      <w:r>
        <w:rPr>
          <w:color w:val="auto"/>
          <w:szCs w:val="21"/>
          <w:highlight w:val="none"/>
        </w:rPr>
        <w:t>载明在采购文件</w:t>
      </w:r>
      <w:r>
        <w:rPr>
          <w:rFonts w:hint="eastAsia"/>
          <w:color w:val="auto"/>
          <w:szCs w:val="21"/>
          <w:highlight w:val="none"/>
        </w:rPr>
        <w:t>“</w:t>
      </w:r>
      <w:r>
        <w:rPr>
          <w:color w:val="auto"/>
          <w:szCs w:val="21"/>
          <w:highlight w:val="none"/>
        </w:rPr>
        <w:t>评标</w:t>
      </w:r>
      <w:r>
        <w:rPr>
          <w:rFonts w:hint="eastAsia"/>
          <w:color w:val="auto"/>
          <w:szCs w:val="21"/>
          <w:highlight w:val="none"/>
        </w:rPr>
        <w:t>办法”</w:t>
      </w:r>
      <w:r>
        <w:rPr>
          <w:color w:val="auto"/>
          <w:szCs w:val="21"/>
          <w:highlight w:val="none"/>
        </w:rPr>
        <w:t>部分中。</w:t>
      </w:r>
    </w:p>
    <w:p w14:paraId="224B7E1C">
      <w:pPr>
        <w:spacing w:line="380" w:lineRule="exact"/>
        <w:ind w:firstLine="420" w:firstLineChars="200"/>
        <w:contextualSpacing/>
        <w:rPr>
          <w:color w:val="auto"/>
          <w:szCs w:val="21"/>
          <w:highlight w:val="none"/>
        </w:rPr>
      </w:pPr>
      <w:r>
        <w:rPr>
          <w:color w:val="auto"/>
          <w:szCs w:val="21"/>
          <w:highlight w:val="none"/>
        </w:rPr>
        <w:t>23</w:t>
      </w:r>
      <w:r>
        <w:rPr>
          <w:rFonts w:hint="eastAsia"/>
          <w:color w:val="auto"/>
          <w:szCs w:val="21"/>
          <w:highlight w:val="none"/>
        </w:rPr>
        <w:t>.2</w:t>
      </w:r>
      <w:r>
        <w:rPr>
          <w:color w:val="auto"/>
          <w:szCs w:val="21"/>
          <w:highlight w:val="none"/>
        </w:rPr>
        <w:t>综合评分法：</w:t>
      </w:r>
    </w:p>
    <w:p w14:paraId="66C478D5">
      <w:pPr>
        <w:spacing w:line="380" w:lineRule="exact"/>
        <w:ind w:firstLine="420" w:firstLineChars="200"/>
        <w:contextualSpacing/>
        <w:rPr>
          <w:color w:val="auto"/>
          <w:szCs w:val="21"/>
          <w:highlight w:val="none"/>
        </w:rPr>
      </w:pPr>
      <w:r>
        <w:rPr>
          <w:rFonts w:hint="eastAsia"/>
          <w:color w:val="auto"/>
          <w:szCs w:val="21"/>
          <w:highlight w:val="none"/>
        </w:rPr>
        <w:t>投标文件满足采购文件全部实质性要求，且按照评审因素的量化指标评审得分最高的投标人为中标候选人的评标方法。</w:t>
      </w:r>
    </w:p>
    <w:p w14:paraId="4E4F52E7">
      <w:pPr>
        <w:spacing w:line="380" w:lineRule="exact"/>
        <w:contextualSpacing/>
        <w:rPr>
          <w:color w:val="auto"/>
          <w:szCs w:val="21"/>
          <w:highlight w:val="none"/>
        </w:rPr>
      </w:pPr>
      <w:r>
        <w:rPr>
          <w:color w:val="auto"/>
          <w:szCs w:val="21"/>
          <w:highlight w:val="none"/>
        </w:rPr>
        <w:t>24</w:t>
      </w:r>
      <w:r>
        <w:rPr>
          <w:rFonts w:hint="eastAsia"/>
          <w:color w:val="auto"/>
          <w:szCs w:val="21"/>
          <w:highlight w:val="none"/>
        </w:rPr>
        <w:t>、</w:t>
      </w:r>
      <w:r>
        <w:rPr>
          <w:color w:val="auto"/>
          <w:szCs w:val="21"/>
          <w:highlight w:val="none"/>
        </w:rPr>
        <w:t>评标程序和原则</w:t>
      </w:r>
    </w:p>
    <w:p w14:paraId="46756AEB">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.1</w:t>
      </w:r>
      <w:r>
        <w:rPr>
          <w:color w:val="auto"/>
          <w:szCs w:val="21"/>
          <w:highlight w:val="none"/>
        </w:rPr>
        <w:t>评标程序：遵循初步审查、澄清有关问题、比较与评价、推荐中标候选人的程序依次进行。</w:t>
      </w:r>
    </w:p>
    <w:p w14:paraId="22A04441">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.2</w:t>
      </w:r>
      <w:r>
        <w:rPr>
          <w:color w:val="auto"/>
          <w:szCs w:val="21"/>
          <w:highlight w:val="none"/>
        </w:rPr>
        <w:t>初步审查</w:t>
      </w:r>
      <w:r>
        <w:rPr>
          <w:rFonts w:hint="eastAsia"/>
          <w:color w:val="auto"/>
          <w:szCs w:val="21"/>
          <w:highlight w:val="none"/>
        </w:rPr>
        <w:t>：</w:t>
      </w:r>
      <w:r>
        <w:rPr>
          <w:color w:val="auto"/>
          <w:szCs w:val="21"/>
          <w:highlight w:val="none"/>
        </w:rPr>
        <w:t>包含资格性审查和符合性审查。初步审查不合格者不进入澄清有关问题及后续的评标程序。</w:t>
      </w:r>
    </w:p>
    <w:p w14:paraId="1BF6CBD5">
      <w:pPr>
        <w:spacing w:line="380" w:lineRule="exact"/>
        <w:ind w:firstLine="315" w:firstLineChars="150"/>
        <w:contextualSpacing/>
        <w:rPr>
          <w:color w:val="auto"/>
          <w:szCs w:val="21"/>
          <w:highlight w:val="none"/>
        </w:rPr>
      </w:pPr>
      <w:r>
        <w:rPr>
          <w:rFonts w:hint="eastAsia"/>
          <w:color w:val="auto"/>
          <w:szCs w:val="21"/>
          <w:highlight w:val="none"/>
        </w:rPr>
        <w:t>（1</w:t>
      </w:r>
      <w:r>
        <w:rPr>
          <w:color w:val="auto"/>
          <w:szCs w:val="21"/>
          <w:highlight w:val="none"/>
        </w:rPr>
        <w:t>）资格性审查：</w:t>
      </w:r>
    </w:p>
    <w:p w14:paraId="6045AFDF">
      <w:pPr>
        <w:spacing w:line="380" w:lineRule="exact"/>
        <w:ind w:firstLine="420" w:firstLineChars="200"/>
        <w:contextualSpacing/>
        <w:rPr>
          <w:color w:val="auto"/>
          <w:szCs w:val="21"/>
          <w:highlight w:val="none"/>
        </w:rPr>
      </w:pPr>
      <w:r>
        <w:rPr>
          <w:color w:val="auto"/>
          <w:szCs w:val="21"/>
          <w:highlight w:val="none"/>
        </w:rPr>
        <w:t>依据法律法规和采购文件的规定，</w:t>
      </w:r>
      <w:r>
        <w:rPr>
          <w:rFonts w:hint="eastAsia"/>
          <w:color w:val="auto"/>
          <w:szCs w:val="21"/>
          <w:highlight w:val="none"/>
        </w:rPr>
        <w:t>采购人或采购代理机构</w:t>
      </w:r>
      <w:r>
        <w:rPr>
          <w:color w:val="auto"/>
          <w:szCs w:val="21"/>
          <w:highlight w:val="none"/>
        </w:rPr>
        <w:t>对其资格证明文件齐全性和有效性等方面进行审查，以确定投标人是否具备投标资格。</w:t>
      </w:r>
    </w:p>
    <w:p w14:paraId="075E82EC">
      <w:pPr>
        <w:spacing w:line="380" w:lineRule="exact"/>
        <w:ind w:firstLine="420" w:firstLineChars="200"/>
        <w:contextualSpacing/>
        <w:rPr>
          <w:color w:val="auto"/>
          <w:szCs w:val="21"/>
          <w:highlight w:val="none"/>
        </w:rPr>
      </w:pPr>
      <w:r>
        <w:rPr>
          <w:rFonts w:hint="eastAsia"/>
          <w:color w:val="auto"/>
          <w:szCs w:val="21"/>
          <w:highlight w:val="none"/>
        </w:rPr>
        <w:t>（2）</w:t>
      </w:r>
      <w:r>
        <w:rPr>
          <w:color w:val="auto"/>
          <w:szCs w:val="21"/>
          <w:highlight w:val="none"/>
        </w:rPr>
        <w:t>符合性检查：</w:t>
      </w:r>
    </w:p>
    <w:p w14:paraId="1B8A66AA">
      <w:pPr>
        <w:spacing w:line="380" w:lineRule="exact"/>
        <w:ind w:firstLine="420" w:firstLineChars="200"/>
        <w:contextualSpacing/>
        <w:rPr>
          <w:color w:val="auto"/>
          <w:szCs w:val="21"/>
          <w:highlight w:val="none"/>
        </w:rPr>
      </w:pPr>
      <w:r>
        <w:rPr>
          <w:color w:val="auto"/>
          <w:szCs w:val="21"/>
          <w:highlight w:val="none"/>
        </w:rPr>
        <w:t>依据采购文件的规定，</w:t>
      </w:r>
      <w:r>
        <w:rPr>
          <w:rFonts w:hint="eastAsia"/>
          <w:color w:val="auto"/>
          <w:szCs w:val="21"/>
          <w:highlight w:val="none"/>
        </w:rPr>
        <w:t>评标委员会</w:t>
      </w:r>
      <w:r>
        <w:rPr>
          <w:color w:val="auto"/>
          <w:szCs w:val="21"/>
          <w:highlight w:val="none"/>
        </w:rPr>
        <w:t>从投标文件的有效性、完整性和对采购文件的响应程度进行审查，以确定是否对采购文件的要求作出实质性响应。</w:t>
      </w:r>
    </w:p>
    <w:p w14:paraId="130A0EB6">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.3</w:t>
      </w:r>
      <w:r>
        <w:rPr>
          <w:color w:val="auto"/>
          <w:szCs w:val="21"/>
          <w:highlight w:val="none"/>
        </w:rPr>
        <w:t>澄清有关问题：按第22条规定进行。</w:t>
      </w:r>
    </w:p>
    <w:p w14:paraId="015CA755">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.4</w:t>
      </w:r>
      <w:r>
        <w:rPr>
          <w:color w:val="auto"/>
          <w:szCs w:val="21"/>
          <w:highlight w:val="none"/>
        </w:rPr>
        <w:t>比较与评价：</w:t>
      </w:r>
    </w:p>
    <w:p w14:paraId="7A1CCB35">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.4.1</w:t>
      </w:r>
      <w:r>
        <w:rPr>
          <w:color w:val="auto"/>
          <w:szCs w:val="21"/>
          <w:highlight w:val="none"/>
        </w:rPr>
        <w:t>技术</w:t>
      </w:r>
      <w:r>
        <w:rPr>
          <w:rFonts w:hint="eastAsia"/>
          <w:color w:val="auto"/>
          <w:szCs w:val="21"/>
          <w:highlight w:val="none"/>
        </w:rPr>
        <w:t>商务</w:t>
      </w:r>
      <w:r>
        <w:rPr>
          <w:color w:val="auto"/>
          <w:szCs w:val="21"/>
          <w:highlight w:val="none"/>
        </w:rPr>
        <w:t>评价：按照采购文件的要求和</w:t>
      </w:r>
      <w:r>
        <w:rPr>
          <w:rFonts w:hint="eastAsia"/>
          <w:color w:val="auto"/>
          <w:szCs w:val="21"/>
          <w:highlight w:val="none"/>
        </w:rPr>
        <w:t>《</w:t>
      </w:r>
      <w:r>
        <w:rPr>
          <w:color w:val="auto"/>
          <w:szCs w:val="21"/>
          <w:highlight w:val="none"/>
        </w:rPr>
        <w:t>评标</w:t>
      </w:r>
      <w:r>
        <w:rPr>
          <w:rFonts w:hint="eastAsia"/>
          <w:color w:val="auto"/>
          <w:szCs w:val="21"/>
          <w:highlight w:val="none"/>
        </w:rPr>
        <w:t>标准》</w:t>
      </w:r>
      <w:r>
        <w:rPr>
          <w:color w:val="auto"/>
          <w:szCs w:val="21"/>
          <w:highlight w:val="none"/>
        </w:rPr>
        <w:t>对照投标文件的响应进行</w:t>
      </w:r>
      <w:r>
        <w:rPr>
          <w:rFonts w:hint="eastAsia"/>
          <w:color w:val="auto"/>
          <w:szCs w:val="21"/>
          <w:highlight w:val="none"/>
        </w:rPr>
        <w:t>技术商务</w:t>
      </w:r>
      <w:r>
        <w:rPr>
          <w:color w:val="auto"/>
          <w:szCs w:val="21"/>
          <w:highlight w:val="none"/>
        </w:rPr>
        <w:t>评价，评定其偏差程度，并计算其相应的</w:t>
      </w:r>
      <w:r>
        <w:rPr>
          <w:rFonts w:hint="eastAsia"/>
          <w:color w:val="auto"/>
          <w:szCs w:val="21"/>
          <w:highlight w:val="none"/>
        </w:rPr>
        <w:t>技术商务评分</w:t>
      </w:r>
      <w:r>
        <w:rPr>
          <w:color w:val="auto"/>
          <w:szCs w:val="21"/>
          <w:highlight w:val="none"/>
        </w:rPr>
        <w:t>分值。</w:t>
      </w:r>
    </w:p>
    <w:p w14:paraId="4F9FB8B3">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.4.2</w:t>
      </w:r>
      <w:r>
        <w:rPr>
          <w:color w:val="auto"/>
          <w:szCs w:val="21"/>
          <w:highlight w:val="none"/>
        </w:rPr>
        <w:t>综合评价：对经过技术</w:t>
      </w:r>
      <w:r>
        <w:rPr>
          <w:rFonts w:hint="eastAsia"/>
          <w:color w:val="auto"/>
          <w:szCs w:val="21"/>
          <w:highlight w:val="none"/>
        </w:rPr>
        <w:t>商务</w:t>
      </w:r>
      <w:r>
        <w:rPr>
          <w:color w:val="auto"/>
          <w:szCs w:val="21"/>
          <w:highlight w:val="none"/>
        </w:rPr>
        <w:t>评价的投标，按</w:t>
      </w:r>
      <w:r>
        <w:rPr>
          <w:rFonts w:hint="eastAsia"/>
          <w:color w:val="auto"/>
          <w:szCs w:val="21"/>
          <w:highlight w:val="none"/>
        </w:rPr>
        <w:t>《</w:t>
      </w:r>
      <w:r>
        <w:rPr>
          <w:color w:val="auto"/>
          <w:szCs w:val="21"/>
          <w:highlight w:val="none"/>
        </w:rPr>
        <w:t>评标标准</w:t>
      </w:r>
      <w:r>
        <w:rPr>
          <w:rFonts w:hint="eastAsia"/>
          <w:color w:val="auto"/>
          <w:szCs w:val="21"/>
          <w:highlight w:val="none"/>
        </w:rPr>
        <w:t>》</w:t>
      </w:r>
      <w:r>
        <w:rPr>
          <w:color w:val="auto"/>
          <w:szCs w:val="21"/>
          <w:highlight w:val="none"/>
        </w:rPr>
        <w:t>规定的评价办法进行综合评价，并按以下原则进行评审计算：</w:t>
      </w:r>
    </w:p>
    <w:p w14:paraId="3888D623">
      <w:pPr>
        <w:spacing w:line="380" w:lineRule="exact"/>
        <w:ind w:firstLine="420" w:firstLineChars="200"/>
        <w:contextualSpacing/>
        <w:rPr>
          <w:color w:val="auto"/>
          <w:szCs w:val="21"/>
          <w:highlight w:val="none"/>
        </w:rPr>
      </w:pPr>
      <w:r>
        <w:rPr>
          <w:color w:val="auto"/>
          <w:szCs w:val="21"/>
          <w:highlight w:val="none"/>
        </w:rPr>
        <w:t>综合评分法的</w:t>
      </w:r>
      <w:r>
        <w:rPr>
          <w:rFonts w:hint="eastAsia"/>
          <w:color w:val="auto"/>
          <w:szCs w:val="21"/>
          <w:highlight w:val="none"/>
        </w:rPr>
        <w:t>最终</w:t>
      </w:r>
      <w:r>
        <w:rPr>
          <w:color w:val="auto"/>
          <w:szCs w:val="21"/>
          <w:highlight w:val="none"/>
        </w:rPr>
        <w:t>得分计算：综合得分=</w:t>
      </w:r>
      <w:r>
        <w:rPr>
          <w:rFonts w:hint="eastAsia"/>
          <w:color w:val="auto"/>
          <w:szCs w:val="21"/>
          <w:highlight w:val="none"/>
        </w:rPr>
        <w:t>报价</w:t>
      </w:r>
      <w:r>
        <w:rPr>
          <w:color w:val="auto"/>
          <w:szCs w:val="21"/>
          <w:highlight w:val="none"/>
        </w:rPr>
        <w:t>得分+技术</w:t>
      </w:r>
      <w:r>
        <w:rPr>
          <w:rFonts w:hint="eastAsia"/>
          <w:color w:val="auto"/>
          <w:szCs w:val="21"/>
          <w:highlight w:val="none"/>
        </w:rPr>
        <w:t>商务</w:t>
      </w:r>
      <w:r>
        <w:rPr>
          <w:color w:val="auto"/>
          <w:szCs w:val="21"/>
          <w:highlight w:val="none"/>
        </w:rPr>
        <w:t>评审得分</w:t>
      </w:r>
    </w:p>
    <w:p w14:paraId="424C4202">
      <w:pPr>
        <w:spacing w:line="380" w:lineRule="exact"/>
        <w:ind w:firstLine="420" w:firstLineChars="200"/>
        <w:contextualSpacing/>
        <w:rPr>
          <w:color w:val="auto"/>
          <w:szCs w:val="21"/>
          <w:highlight w:val="none"/>
        </w:rPr>
      </w:pPr>
      <w:r>
        <w:rPr>
          <w:color w:val="auto"/>
          <w:szCs w:val="21"/>
          <w:highlight w:val="none"/>
        </w:rPr>
        <w:t>综合评价结束，按照上述第23条规定，列出进入最终评审各投标</w:t>
      </w:r>
      <w:r>
        <w:rPr>
          <w:rFonts w:hint="eastAsia"/>
          <w:color w:val="auto"/>
          <w:szCs w:val="21"/>
          <w:highlight w:val="none"/>
        </w:rPr>
        <w:t>人</w:t>
      </w:r>
      <w:r>
        <w:rPr>
          <w:color w:val="auto"/>
          <w:szCs w:val="21"/>
          <w:highlight w:val="none"/>
        </w:rPr>
        <w:t>排序次序。</w:t>
      </w:r>
    </w:p>
    <w:p w14:paraId="603F0406">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.5</w:t>
      </w:r>
      <w:r>
        <w:rPr>
          <w:color w:val="auto"/>
          <w:szCs w:val="21"/>
          <w:highlight w:val="none"/>
        </w:rPr>
        <w:t>推荐中标</w:t>
      </w:r>
      <w:r>
        <w:rPr>
          <w:rFonts w:hint="eastAsia"/>
          <w:color w:val="auto"/>
          <w:szCs w:val="21"/>
          <w:highlight w:val="none"/>
        </w:rPr>
        <w:t>候选人</w:t>
      </w:r>
      <w:r>
        <w:rPr>
          <w:color w:val="auto"/>
          <w:szCs w:val="21"/>
          <w:highlight w:val="none"/>
        </w:rPr>
        <w:t>：按25条规定推荐中标</w:t>
      </w:r>
      <w:r>
        <w:rPr>
          <w:rFonts w:hint="eastAsia"/>
          <w:color w:val="auto"/>
          <w:szCs w:val="21"/>
          <w:highlight w:val="none"/>
        </w:rPr>
        <w:t>候选人</w:t>
      </w:r>
      <w:r>
        <w:rPr>
          <w:color w:val="auto"/>
          <w:szCs w:val="21"/>
          <w:highlight w:val="none"/>
        </w:rPr>
        <w:t>。</w:t>
      </w:r>
    </w:p>
    <w:p w14:paraId="5E6DF730">
      <w:pPr>
        <w:spacing w:line="380" w:lineRule="exact"/>
        <w:contextualSpacing/>
        <w:rPr>
          <w:color w:val="auto"/>
          <w:szCs w:val="21"/>
          <w:highlight w:val="none"/>
        </w:rPr>
      </w:pPr>
      <w:r>
        <w:rPr>
          <w:color w:val="auto"/>
          <w:szCs w:val="21"/>
          <w:highlight w:val="none"/>
        </w:rPr>
        <w:t>25</w:t>
      </w:r>
      <w:r>
        <w:rPr>
          <w:rFonts w:hint="eastAsia"/>
          <w:color w:val="auto"/>
          <w:szCs w:val="21"/>
          <w:highlight w:val="none"/>
        </w:rPr>
        <w:t>、</w:t>
      </w:r>
      <w:r>
        <w:rPr>
          <w:color w:val="auto"/>
          <w:szCs w:val="21"/>
          <w:highlight w:val="none"/>
        </w:rPr>
        <w:t>推荐中标</w:t>
      </w:r>
      <w:r>
        <w:rPr>
          <w:rFonts w:hint="eastAsia"/>
          <w:color w:val="auto"/>
          <w:szCs w:val="21"/>
          <w:highlight w:val="none"/>
        </w:rPr>
        <w:t>候选人</w:t>
      </w:r>
    </w:p>
    <w:p w14:paraId="19527815">
      <w:pPr>
        <w:spacing w:line="380" w:lineRule="exact"/>
        <w:ind w:firstLine="420" w:firstLineChars="200"/>
        <w:contextualSpacing/>
        <w:rPr>
          <w:color w:val="auto"/>
          <w:szCs w:val="21"/>
          <w:highlight w:val="none"/>
        </w:rPr>
      </w:pPr>
      <w:r>
        <w:rPr>
          <w:rFonts w:hint="eastAsia"/>
          <w:color w:val="auto"/>
          <w:szCs w:val="21"/>
          <w:highlight w:val="none"/>
        </w:rPr>
        <w:t>评标委员会根据各</w:t>
      </w:r>
      <w:r>
        <w:rPr>
          <w:rFonts w:hint="eastAsia"/>
          <w:color w:val="auto"/>
          <w:szCs w:val="21"/>
          <w:highlight w:val="none"/>
          <w:lang w:eastAsia="zh-CN"/>
        </w:rPr>
        <w:t>标项（子包）</w:t>
      </w:r>
      <w:r>
        <w:rPr>
          <w:rFonts w:hint="eastAsia"/>
          <w:color w:val="auto"/>
          <w:szCs w:val="21"/>
          <w:highlight w:val="none"/>
        </w:rPr>
        <w:t>各有效投标人的综合得分由高到低排定顺序，推荐本项目各</w:t>
      </w:r>
      <w:r>
        <w:rPr>
          <w:rFonts w:hint="eastAsia"/>
          <w:color w:val="auto"/>
          <w:szCs w:val="21"/>
          <w:highlight w:val="none"/>
          <w:lang w:eastAsia="zh-CN"/>
        </w:rPr>
        <w:t>标项（子包）</w:t>
      </w:r>
      <w:r>
        <w:rPr>
          <w:rFonts w:hint="eastAsia"/>
          <w:color w:val="auto"/>
          <w:szCs w:val="21"/>
          <w:highlight w:val="none"/>
        </w:rPr>
        <w:t>的中标候选人。</w:t>
      </w:r>
    </w:p>
    <w:p w14:paraId="1B2692AE">
      <w:pPr>
        <w:spacing w:line="380" w:lineRule="exact"/>
        <w:contextualSpacing/>
        <w:rPr>
          <w:color w:val="auto"/>
          <w:szCs w:val="21"/>
          <w:highlight w:val="none"/>
        </w:rPr>
      </w:pPr>
      <w:r>
        <w:rPr>
          <w:color w:val="auto"/>
          <w:szCs w:val="21"/>
          <w:highlight w:val="none"/>
        </w:rPr>
        <w:t>26</w:t>
      </w:r>
      <w:r>
        <w:rPr>
          <w:rFonts w:hint="eastAsia"/>
          <w:color w:val="auto"/>
          <w:szCs w:val="21"/>
          <w:highlight w:val="none"/>
        </w:rPr>
        <w:t>、</w:t>
      </w:r>
      <w:r>
        <w:rPr>
          <w:color w:val="auto"/>
          <w:szCs w:val="21"/>
          <w:highlight w:val="none"/>
        </w:rPr>
        <w:t>招标方式</w:t>
      </w:r>
      <w:r>
        <w:rPr>
          <w:rFonts w:hint="eastAsia"/>
          <w:color w:val="auto"/>
          <w:szCs w:val="21"/>
          <w:highlight w:val="none"/>
        </w:rPr>
        <w:t>转换</w:t>
      </w:r>
    </w:p>
    <w:p w14:paraId="28D77B68">
      <w:pPr>
        <w:spacing w:line="380" w:lineRule="exact"/>
        <w:ind w:firstLine="420" w:firstLineChars="200"/>
        <w:contextualSpacing/>
        <w:rPr>
          <w:color w:val="auto"/>
          <w:szCs w:val="21"/>
          <w:highlight w:val="none"/>
        </w:rPr>
      </w:pPr>
      <w:r>
        <w:rPr>
          <w:rFonts w:hint="eastAsia"/>
          <w:color w:val="auto"/>
          <w:szCs w:val="21"/>
          <w:highlight w:val="none"/>
        </w:rPr>
        <w:t>公开招标数额标准以上的招标项目，投标截止后投标人不足3家或者通过资格审查或符合性审查的投标人不足3家的，除招标任务取消情形外，按照以下方式处理： </w:t>
      </w:r>
    </w:p>
    <w:p w14:paraId="040533A2">
      <w:pPr>
        <w:spacing w:line="380" w:lineRule="exact"/>
        <w:ind w:firstLine="420" w:firstLineChars="200"/>
        <w:contextualSpacing/>
        <w:rPr>
          <w:color w:val="auto"/>
          <w:szCs w:val="21"/>
          <w:highlight w:val="none"/>
        </w:rPr>
      </w:pPr>
      <w:r>
        <w:rPr>
          <w:color w:val="auto"/>
          <w:szCs w:val="21"/>
          <w:highlight w:val="none"/>
        </w:rPr>
        <w:t>26</w:t>
      </w:r>
      <w:r>
        <w:rPr>
          <w:rFonts w:hint="eastAsia"/>
          <w:color w:val="auto"/>
          <w:szCs w:val="21"/>
          <w:highlight w:val="none"/>
        </w:rPr>
        <w:t>.1采购文件存在不合理条款或者招标程序不符合规定的，采购人、采购代理机构改正后依法重新招标; </w:t>
      </w:r>
    </w:p>
    <w:p w14:paraId="77B61DF2">
      <w:pPr>
        <w:spacing w:line="380" w:lineRule="exact"/>
        <w:ind w:firstLine="420" w:firstLineChars="200"/>
        <w:contextualSpacing/>
        <w:rPr>
          <w:color w:val="auto"/>
          <w:szCs w:val="21"/>
          <w:highlight w:val="none"/>
        </w:rPr>
      </w:pPr>
      <w:r>
        <w:rPr>
          <w:color w:val="auto"/>
          <w:szCs w:val="21"/>
          <w:highlight w:val="none"/>
        </w:rPr>
        <w:t>26</w:t>
      </w:r>
      <w:r>
        <w:rPr>
          <w:rFonts w:hint="eastAsia"/>
          <w:color w:val="auto"/>
          <w:szCs w:val="21"/>
          <w:highlight w:val="none"/>
        </w:rPr>
        <w:t>.2采购文件没有不合理条款、招标程序符合规定，需要采用其他招标方式招标的，采购人依法报监管部门批准。 </w:t>
      </w:r>
    </w:p>
    <w:p w14:paraId="266DB88C">
      <w:pPr>
        <w:spacing w:line="380" w:lineRule="exact"/>
        <w:contextualSpacing/>
        <w:rPr>
          <w:color w:val="auto"/>
          <w:szCs w:val="21"/>
          <w:highlight w:val="none"/>
        </w:rPr>
      </w:pPr>
      <w:r>
        <w:rPr>
          <w:color w:val="auto"/>
          <w:szCs w:val="21"/>
          <w:highlight w:val="none"/>
        </w:rPr>
        <w:t>27</w:t>
      </w:r>
      <w:r>
        <w:rPr>
          <w:rFonts w:hint="eastAsia"/>
          <w:color w:val="auto"/>
          <w:szCs w:val="21"/>
          <w:highlight w:val="none"/>
        </w:rPr>
        <w:t>、评标过程的监控与保密</w:t>
      </w:r>
    </w:p>
    <w:p w14:paraId="708F4C88">
      <w:pPr>
        <w:spacing w:line="380" w:lineRule="exact"/>
        <w:ind w:firstLine="420" w:firstLineChars="200"/>
        <w:contextualSpacing/>
        <w:rPr>
          <w:color w:val="auto"/>
          <w:szCs w:val="21"/>
          <w:highlight w:val="none"/>
        </w:rPr>
      </w:pPr>
      <w:r>
        <w:rPr>
          <w:color w:val="auto"/>
          <w:szCs w:val="21"/>
          <w:highlight w:val="none"/>
        </w:rPr>
        <w:t>27</w:t>
      </w:r>
      <w:r>
        <w:rPr>
          <w:rFonts w:hint="eastAsia"/>
          <w:color w:val="auto"/>
          <w:szCs w:val="21"/>
          <w:highlight w:val="none"/>
        </w:rPr>
        <w:t>.1本项目评标过程实行全程录音、录像监控，投标人在评标过程中所进行的试图影响评标结果的不公正活动，可能导致其投标被拒绝。</w:t>
      </w:r>
    </w:p>
    <w:p w14:paraId="1043D88D">
      <w:pPr>
        <w:spacing w:line="380" w:lineRule="exact"/>
        <w:ind w:firstLine="420" w:firstLineChars="200"/>
        <w:contextualSpacing/>
        <w:rPr>
          <w:color w:val="auto"/>
          <w:szCs w:val="21"/>
          <w:highlight w:val="none"/>
        </w:rPr>
      </w:pPr>
      <w:r>
        <w:rPr>
          <w:color w:val="auto"/>
          <w:szCs w:val="21"/>
          <w:highlight w:val="none"/>
        </w:rPr>
        <w:t>27</w:t>
      </w:r>
      <w:r>
        <w:rPr>
          <w:rFonts w:hint="eastAsia"/>
          <w:color w:val="auto"/>
          <w:szCs w:val="21"/>
          <w:highlight w:val="none"/>
        </w:rPr>
        <w:t>.2开标后到中标通知书发出之前，所有涉及评标委员会名单以及对投标文件的澄清、评价、比较等情况，评标委员会成员、采购人和采购代理机构的有关人员均不得向投标人或其他无关人员透露。</w:t>
      </w:r>
    </w:p>
    <w:p w14:paraId="08EE4480">
      <w:pPr>
        <w:spacing w:line="380" w:lineRule="exact"/>
        <w:contextualSpacing/>
        <w:rPr>
          <w:color w:val="auto"/>
          <w:szCs w:val="21"/>
          <w:highlight w:val="none"/>
        </w:rPr>
      </w:pPr>
      <w:r>
        <w:rPr>
          <w:color w:val="auto"/>
          <w:szCs w:val="21"/>
          <w:highlight w:val="none"/>
        </w:rPr>
        <w:t>28</w:t>
      </w:r>
      <w:r>
        <w:rPr>
          <w:rFonts w:hint="eastAsia"/>
          <w:color w:val="auto"/>
          <w:szCs w:val="21"/>
          <w:highlight w:val="none"/>
        </w:rPr>
        <w:t>、确定中标人、评标结果公示与质疑</w:t>
      </w:r>
    </w:p>
    <w:p w14:paraId="7F896F51">
      <w:pPr>
        <w:spacing w:line="380" w:lineRule="exact"/>
        <w:ind w:firstLine="420" w:firstLineChars="200"/>
        <w:contextualSpacing/>
        <w:rPr>
          <w:color w:val="auto"/>
          <w:szCs w:val="21"/>
          <w:highlight w:val="none"/>
        </w:rPr>
      </w:pPr>
      <w:r>
        <w:rPr>
          <w:color w:val="auto"/>
          <w:szCs w:val="21"/>
          <w:highlight w:val="none"/>
        </w:rPr>
        <w:t>28</w:t>
      </w:r>
      <w:r>
        <w:rPr>
          <w:rFonts w:hint="eastAsia"/>
          <w:color w:val="auto"/>
          <w:szCs w:val="21"/>
          <w:highlight w:val="none"/>
        </w:rPr>
        <w:t>.1采购代理机构在评标结束后2个工作日内将评标报告交采购人确认，采购人在收到评标报告之日起5个工作日内在评标报告确定的各</w:t>
      </w:r>
      <w:r>
        <w:rPr>
          <w:rFonts w:hint="eastAsia"/>
          <w:color w:val="auto"/>
          <w:szCs w:val="21"/>
          <w:highlight w:val="none"/>
          <w:lang w:eastAsia="zh-CN"/>
        </w:rPr>
        <w:t>标项（子包）</w:t>
      </w:r>
      <w:r>
        <w:rPr>
          <w:rFonts w:hint="eastAsia"/>
          <w:color w:val="auto"/>
          <w:szCs w:val="21"/>
          <w:highlight w:val="none"/>
        </w:rPr>
        <w:t>中标候选人中按顺序确定各</w:t>
      </w:r>
      <w:r>
        <w:rPr>
          <w:rFonts w:hint="eastAsia"/>
          <w:color w:val="auto"/>
          <w:szCs w:val="21"/>
          <w:highlight w:val="none"/>
          <w:lang w:eastAsia="zh-CN"/>
        </w:rPr>
        <w:t>标项（子包）</w:t>
      </w:r>
      <w:r>
        <w:rPr>
          <w:rFonts w:hint="eastAsia"/>
          <w:color w:val="auto"/>
          <w:szCs w:val="21"/>
          <w:highlight w:val="none"/>
        </w:rPr>
        <w:t>中标人，采购人在收到评标报告之日起5个工作日内未按评标报告推荐的各</w:t>
      </w:r>
      <w:r>
        <w:rPr>
          <w:rFonts w:hint="eastAsia"/>
          <w:color w:val="auto"/>
          <w:szCs w:val="21"/>
          <w:highlight w:val="none"/>
          <w:lang w:eastAsia="zh-CN"/>
        </w:rPr>
        <w:t>标项（子包）</w:t>
      </w:r>
      <w:r>
        <w:rPr>
          <w:rFonts w:hint="eastAsia"/>
          <w:color w:val="auto"/>
          <w:szCs w:val="21"/>
          <w:highlight w:val="none"/>
        </w:rPr>
        <w:t>中标候选人排序确定各</w:t>
      </w:r>
      <w:r>
        <w:rPr>
          <w:rFonts w:hint="eastAsia"/>
          <w:color w:val="auto"/>
          <w:szCs w:val="21"/>
          <w:highlight w:val="none"/>
          <w:lang w:eastAsia="zh-CN"/>
        </w:rPr>
        <w:t>标项（子包）</w:t>
      </w:r>
      <w:r>
        <w:rPr>
          <w:rFonts w:hint="eastAsia"/>
          <w:color w:val="auto"/>
          <w:szCs w:val="21"/>
          <w:highlight w:val="none"/>
        </w:rPr>
        <w:t>中标人，又不能说明合法理由的，视同按评标报告推荐的顺序确定各</w:t>
      </w:r>
      <w:r>
        <w:rPr>
          <w:rFonts w:hint="eastAsia"/>
          <w:color w:val="auto"/>
          <w:szCs w:val="21"/>
          <w:highlight w:val="none"/>
          <w:lang w:eastAsia="zh-CN"/>
        </w:rPr>
        <w:t>标项（子包）</w:t>
      </w:r>
      <w:r>
        <w:rPr>
          <w:rFonts w:hint="eastAsia"/>
          <w:color w:val="auto"/>
          <w:szCs w:val="21"/>
          <w:highlight w:val="none"/>
        </w:rPr>
        <w:t>排名第一的中标候选人为中标人。</w:t>
      </w:r>
    </w:p>
    <w:p w14:paraId="77F2EAE9">
      <w:pPr>
        <w:spacing w:line="380" w:lineRule="exact"/>
        <w:ind w:firstLine="420" w:firstLineChars="200"/>
        <w:contextualSpacing/>
        <w:rPr>
          <w:color w:val="auto"/>
          <w:szCs w:val="21"/>
          <w:highlight w:val="none"/>
        </w:rPr>
      </w:pPr>
      <w:r>
        <w:rPr>
          <w:color w:val="auto"/>
          <w:szCs w:val="21"/>
          <w:highlight w:val="none"/>
        </w:rPr>
        <w:t>28</w:t>
      </w:r>
      <w:r>
        <w:rPr>
          <w:rFonts w:hint="eastAsia"/>
          <w:color w:val="auto"/>
          <w:szCs w:val="21"/>
          <w:highlight w:val="none"/>
        </w:rPr>
        <w:t>.2代理机构自中标人确定之日起2个工作日内，在发布招标公告的网站上对中标结果进行公示，中标结果公告期限为1个工作日。</w:t>
      </w:r>
    </w:p>
    <w:p w14:paraId="2DB7ACD1">
      <w:pPr>
        <w:spacing w:line="380" w:lineRule="exact"/>
        <w:ind w:firstLine="420" w:firstLineChars="200"/>
        <w:contextualSpacing/>
        <w:rPr>
          <w:color w:val="auto"/>
          <w:szCs w:val="21"/>
          <w:highlight w:val="none"/>
        </w:rPr>
      </w:pPr>
      <w:r>
        <w:rPr>
          <w:color w:val="auto"/>
          <w:szCs w:val="21"/>
          <w:highlight w:val="none"/>
        </w:rPr>
        <w:t>28</w:t>
      </w:r>
      <w:r>
        <w:rPr>
          <w:rFonts w:hint="eastAsia"/>
          <w:color w:val="auto"/>
          <w:szCs w:val="21"/>
          <w:highlight w:val="none"/>
        </w:rPr>
        <w:t>.3投标人若对评标结果有异议，可在中标公告期限届满之日起按相关规定向采购人提出书面质疑，质疑书应该有质疑人名称、地址、公章、法定代表人签名盖章、联系人姓名、联系电话、传真以及被质疑人名称及联系方式，被质疑招标项目名称、编号及招标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bookmarkEnd w:id="70"/>
    <w:bookmarkEnd w:id="71"/>
    <w:bookmarkEnd w:id="72"/>
    <w:bookmarkEnd w:id="73"/>
    <w:p w14:paraId="2BD22DD7">
      <w:pPr>
        <w:pStyle w:val="2"/>
        <w:contextualSpacing/>
        <w:rPr>
          <w:rFonts w:ascii="Times New Roman"/>
          <w:color w:val="auto"/>
          <w:sz w:val="24"/>
          <w:szCs w:val="24"/>
          <w:highlight w:val="none"/>
        </w:rPr>
      </w:pPr>
      <w:bookmarkStart w:id="74" w:name="_Toc456853674"/>
      <w:bookmarkStart w:id="75" w:name="_Toc430790237"/>
      <w:bookmarkStart w:id="76" w:name="_Toc425780300"/>
      <w:bookmarkStart w:id="77" w:name="_Toc498429637"/>
      <w:bookmarkStart w:id="78" w:name="_Toc505353788"/>
      <w:bookmarkStart w:id="79" w:name="_Toc425151756"/>
      <w:bookmarkStart w:id="80" w:name="_Toc445193549"/>
      <w:bookmarkStart w:id="81" w:name="_Toc496003209"/>
      <w:bookmarkStart w:id="82" w:name="_Toc429407716"/>
      <w:r>
        <w:rPr>
          <w:rFonts w:hint="eastAsia" w:ascii="Times New Roman"/>
          <w:color w:val="auto"/>
          <w:sz w:val="24"/>
          <w:szCs w:val="24"/>
          <w:highlight w:val="none"/>
        </w:rPr>
        <w:t>八、</w:t>
      </w:r>
      <w:r>
        <w:rPr>
          <w:rFonts w:ascii="Times New Roman"/>
          <w:color w:val="auto"/>
          <w:sz w:val="24"/>
          <w:szCs w:val="24"/>
          <w:highlight w:val="none"/>
        </w:rPr>
        <w:t>无效投标认定</w:t>
      </w:r>
      <w:bookmarkEnd w:id="74"/>
      <w:bookmarkEnd w:id="75"/>
      <w:bookmarkEnd w:id="76"/>
      <w:bookmarkEnd w:id="77"/>
      <w:bookmarkEnd w:id="78"/>
      <w:bookmarkEnd w:id="79"/>
      <w:bookmarkEnd w:id="80"/>
      <w:bookmarkEnd w:id="81"/>
      <w:bookmarkEnd w:id="82"/>
    </w:p>
    <w:p w14:paraId="41C63440">
      <w:pPr>
        <w:spacing w:line="380" w:lineRule="exact"/>
        <w:contextualSpacing/>
        <w:rPr>
          <w:color w:val="auto"/>
          <w:szCs w:val="21"/>
          <w:highlight w:val="none"/>
        </w:rPr>
      </w:pPr>
      <w:bookmarkStart w:id="83" w:name="_Toc429407717"/>
      <w:bookmarkStart w:id="84" w:name="_Toc425780301"/>
      <w:bookmarkStart w:id="85" w:name="_Toc425151757"/>
      <w:bookmarkStart w:id="86" w:name="_Toc430790238"/>
      <w:r>
        <w:rPr>
          <w:color w:val="auto"/>
          <w:szCs w:val="21"/>
          <w:highlight w:val="none"/>
        </w:rPr>
        <w:t>29</w:t>
      </w:r>
      <w:r>
        <w:rPr>
          <w:rFonts w:hint="eastAsia"/>
          <w:color w:val="auto"/>
          <w:szCs w:val="21"/>
          <w:highlight w:val="none"/>
        </w:rPr>
        <w:t>、实质上没有响应采购文件要求的投标将被视为无效投标。</w:t>
      </w:r>
    </w:p>
    <w:p w14:paraId="2D2CD683">
      <w:pPr>
        <w:spacing w:line="380" w:lineRule="exact"/>
        <w:ind w:firstLine="420" w:firstLineChars="200"/>
        <w:contextualSpacing/>
        <w:rPr>
          <w:color w:val="auto"/>
          <w:szCs w:val="21"/>
          <w:highlight w:val="none"/>
        </w:rPr>
      </w:pPr>
      <w:r>
        <w:rPr>
          <w:color w:val="auto"/>
          <w:szCs w:val="21"/>
          <w:highlight w:val="none"/>
        </w:rPr>
        <w:t>29</w:t>
      </w:r>
      <w:r>
        <w:rPr>
          <w:rFonts w:hint="eastAsia"/>
          <w:color w:val="auto"/>
          <w:szCs w:val="21"/>
          <w:highlight w:val="none"/>
        </w:rPr>
        <w:t>.1在资格审查时，不具备采购文件中规定的资格要求的，或者资格证明文件不全的，投标文件将被视为无效。</w:t>
      </w:r>
    </w:p>
    <w:p w14:paraId="5B4B367F">
      <w:pPr>
        <w:spacing w:line="380" w:lineRule="exact"/>
        <w:ind w:firstLine="420" w:firstLineChars="200"/>
        <w:contextualSpacing/>
        <w:rPr>
          <w:color w:val="auto"/>
          <w:szCs w:val="21"/>
          <w:highlight w:val="none"/>
        </w:rPr>
      </w:pPr>
      <w:r>
        <w:rPr>
          <w:color w:val="auto"/>
          <w:szCs w:val="21"/>
          <w:highlight w:val="none"/>
        </w:rPr>
        <w:t>29</w:t>
      </w:r>
      <w:r>
        <w:rPr>
          <w:rFonts w:hint="eastAsia"/>
          <w:color w:val="auto"/>
          <w:szCs w:val="21"/>
          <w:highlight w:val="none"/>
        </w:rPr>
        <w:t>.2</w:t>
      </w:r>
      <w:r>
        <w:rPr>
          <w:color w:val="auto"/>
          <w:szCs w:val="21"/>
          <w:highlight w:val="none"/>
        </w:rPr>
        <w:t>在符合性审查时，如发现下列情形之一的，投标文件将被视为无效：</w:t>
      </w:r>
    </w:p>
    <w:p w14:paraId="639E08C5">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（1）投标文件未按采购文件要求签署、签章的；</w:t>
      </w:r>
    </w:p>
    <w:p w14:paraId="6246A53C">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（2）投标有效期不满足采购文件要求的；</w:t>
      </w:r>
    </w:p>
    <w:p w14:paraId="02E69AEF">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（3）明显不符合采购文件要求的，或者与采购文件中标注“★”的条款发生实质性偏离的；</w:t>
      </w:r>
    </w:p>
    <w:p w14:paraId="612B3B04">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（4）投标文件中含有采购人不能接受的附加条件的；</w:t>
      </w:r>
    </w:p>
    <w:p w14:paraId="72A44EFB">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（5）委托人未提供法定代表人授权委托书、填写项目不齐全的；</w:t>
      </w:r>
    </w:p>
    <w:p w14:paraId="599DAC92">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（6）投标文件格式不规范、提供资料不齐全或者内容虚假的；</w:t>
      </w:r>
    </w:p>
    <w:p w14:paraId="608E0939">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（7）投标文件的实质性内容未使用中文表述、表述不明确、前后矛盾或者使用计量单位不符合采购文件要求的（经评标委员会认定并允许其当场更正的笔误除外）；</w:t>
      </w:r>
    </w:p>
    <w:p w14:paraId="64B2B8A0">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（8）投标文件的关键内容字迹模糊、无法辨认的，或者投标文件中经修正的内容字迹模糊难以辨认或者修改处未按规定签署、盖章的；</w:t>
      </w:r>
    </w:p>
    <w:p w14:paraId="635F0F72">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（9）法律、法规和采购文件规定的其他无效情形。</w:t>
      </w:r>
    </w:p>
    <w:p w14:paraId="6B1734B5">
      <w:pPr>
        <w:spacing w:line="380" w:lineRule="exact"/>
        <w:ind w:firstLine="420" w:firstLineChars="200"/>
        <w:contextualSpacing/>
        <w:rPr>
          <w:color w:val="auto"/>
          <w:szCs w:val="21"/>
          <w:highlight w:val="none"/>
        </w:rPr>
      </w:pPr>
      <w:r>
        <w:rPr>
          <w:color w:val="auto"/>
          <w:szCs w:val="21"/>
          <w:highlight w:val="none"/>
        </w:rPr>
        <w:t>29</w:t>
      </w:r>
      <w:r>
        <w:rPr>
          <w:rFonts w:hint="eastAsia"/>
          <w:color w:val="auto"/>
          <w:szCs w:val="21"/>
          <w:highlight w:val="none"/>
        </w:rPr>
        <w:t>.3在技术商务评审时，如发现下列情形之一的，</w:t>
      </w:r>
      <w:r>
        <w:rPr>
          <w:color w:val="auto"/>
          <w:szCs w:val="21"/>
          <w:highlight w:val="none"/>
        </w:rPr>
        <w:t>投标文件将被视为无效：</w:t>
      </w:r>
    </w:p>
    <w:p w14:paraId="65FB8D3A">
      <w:pPr>
        <w:pStyle w:val="18"/>
        <w:ind w:right="-252" w:firstLine="411" w:firstLineChars="196"/>
        <w:contextualSpacing/>
        <w:rPr>
          <w:rFonts w:eastAsia="宋体"/>
          <w:color w:val="auto"/>
          <w:sz w:val="21"/>
          <w:szCs w:val="21"/>
          <w:highlight w:val="none"/>
        </w:rPr>
      </w:pPr>
      <w:r>
        <w:rPr>
          <w:rFonts w:eastAsia="宋体"/>
          <w:color w:val="auto"/>
          <w:sz w:val="21"/>
          <w:szCs w:val="21"/>
          <w:highlight w:val="none"/>
        </w:rPr>
        <w:t>（1）</w:t>
      </w:r>
      <w:r>
        <w:rPr>
          <w:rFonts w:hint="eastAsia" w:eastAsia="宋体"/>
          <w:color w:val="auto"/>
          <w:sz w:val="21"/>
          <w:szCs w:val="21"/>
          <w:highlight w:val="none"/>
        </w:rPr>
        <w:t>未提供或未如实提供投标货物的技术参数，或者投标文件标明的响应或偏离与事实不符或虚假投标的</w:t>
      </w:r>
      <w:r>
        <w:rPr>
          <w:rFonts w:eastAsia="宋体"/>
          <w:color w:val="auto"/>
          <w:sz w:val="21"/>
          <w:szCs w:val="21"/>
          <w:highlight w:val="none"/>
        </w:rPr>
        <w:t>；</w:t>
      </w:r>
    </w:p>
    <w:p w14:paraId="21972C3F">
      <w:pPr>
        <w:pStyle w:val="18"/>
        <w:ind w:right="-252" w:firstLine="411" w:firstLineChars="196"/>
        <w:contextualSpacing/>
        <w:rPr>
          <w:rFonts w:eastAsia="宋体"/>
          <w:color w:val="auto"/>
          <w:sz w:val="21"/>
          <w:szCs w:val="21"/>
          <w:highlight w:val="none"/>
        </w:rPr>
      </w:pPr>
      <w:r>
        <w:rPr>
          <w:rFonts w:eastAsia="宋体"/>
          <w:color w:val="auto"/>
          <w:sz w:val="21"/>
          <w:szCs w:val="21"/>
          <w:highlight w:val="none"/>
        </w:rPr>
        <w:t>（</w:t>
      </w:r>
      <w:r>
        <w:rPr>
          <w:rFonts w:hint="eastAsia" w:eastAsia="宋体"/>
          <w:color w:val="auto"/>
          <w:sz w:val="21"/>
          <w:szCs w:val="21"/>
          <w:highlight w:val="none"/>
        </w:rPr>
        <w:t>2</w:t>
      </w:r>
      <w:r>
        <w:rPr>
          <w:rFonts w:eastAsia="宋体"/>
          <w:color w:val="auto"/>
          <w:sz w:val="21"/>
          <w:szCs w:val="21"/>
          <w:highlight w:val="none"/>
        </w:rPr>
        <w:t>）</w:t>
      </w:r>
      <w:r>
        <w:rPr>
          <w:rFonts w:hint="eastAsia" w:eastAsia="宋体"/>
          <w:color w:val="auto"/>
          <w:sz w:val="21"/>
          <w:szCs w:val="21"/>
          <w:highlight w:val="none"/>
        </w:rPr>
        <w:t>明显不符合采购文件要求的规格型号、质量标准，或者与采购文件中标“★”的技术指标、主要功能项目发生实质性偏离的</w:t>
      </w:r>
      <w:r>
        <w:rPr>
          <w:rFonts w:eastAsia="宋体"/>
          <w:color w:val="auto"/>
          <w:sz w:val="21"/>
          <w:szCs w:val="21"/>
          <w:highlight w:val="none"/>
        </w:rPr>
        <w:t>；</w:t>
      </w:r>
    </w:p>
    <w:p w14:paraId="2B96F750">
      <w:pPr>
        <w:pStyle w:val="18"/>
        <w:ind w:right="-252" w:firstLine="420" w:firstLineChars="200"/>
        <w:contextualSpacing/>
        <w:rPr>
          <w:rFonts w:eastAsia="宋体"/>
          <w:color w:val="auto"/>
          <w:sz w:val="21"/>
          <w:szCs w:val="21"/>
          <w:highlight w:val="none"/>
        </w:rPr>
      </w:pPr>
      <w:r>
        <w:rPr>
          <w:rFonts w:hint="eastAsia" w:eastAsia="宋体"/>
          <w:color w:val="auto"/>
          <w:sz w:val="21"/>
          <w:szCs w:val="21"/>
          <w:highlight w:val="none"/>
        </w:rPr>
        <w:t>（3）投标技术方案不明确，存在一个或一个以上备选（替代）投标方案的。</w:t>
      </w:r>
    </w:p>
    <w:p w14:paraId="6E1C3F04">
      <w:pPr>
        <w:spacing w:line="380" w:lineRule="exact"/>
        <w:ind w:firstLine="420" w:firstLineChars="200"/>
        <w:contextualSpacing/>
        <w:rPr>
          <w:color w:val="auto"/>
          <w:szCs w:val="21"/>
          <w:highlight w:val="none"/>
        </w:rPr>
      </w:pPr>
      <w:r>
        <w:rPr>
          <w:color w:val="auto"/>
          <w:szCs w:val="21"/>
          <w:highlight w:val="none"/>
        </w:rPr>
        <w:t>29</w:t>
      </w:r>
      <w:r>
        <w:rPr>
          <w:rFonts w:hint="eastAsia"/>
          <w:color w:val="auto"/>
          <w:szCs w:val="21"/>
          <w:highlight w:val="none"/>
        </w:rPr>
        <w:t>.4</w:t>
      </w:r>
      <w:r>
        <w:rPr>
          <w:color w:val="auto"/>
          <w:szCs w:val="21"/>
          <w:highlight w:val="none"/>
        </w:rPr>
        <w:t>在报价评审时，如发现下列情形之一的，投标文件将被视为无效：</w:t>
      </w:r>
    </w:p>
    <w:p w14:paraId="3CD92F88">
      <w:pPr>
        <w:pStyle w:val="18"/>
        <w:ind w:right="-252" w:firstLine="411" w:firstLineChars="196"/>
        <w:contextualSpacing/>
        <w:rPr>
          <w:rFonts w:eastAsia="宋体"/>
          <w:color w:val="auto"/>
          <w:sz w:val="21"/>
          <w:szCs w:val="21"/>
          <w:highlight w:val="none"/>
        </w:rPr>
      </w:pPr>
      <w:r>
        <w:rPr>
          <w:rFonts w:eastAsia="宋体"/>
          <w:color w:val="auto"/>
          <w:sz w:val="21"/>
          <w:szCs w:val="21"/>
          <w:highlight w:val="none"/>
        </w:rPr>
        <w:t>（1）</w:t>
      </w:r>
      <w:r>
        <w:rPr>
          <w:rFonts w:hint="eastAsia" w:eastAsia="宋体"/>
          <w:bCs/>
          <w:color w:val="auto"/>
          <w:sz w:val="21"/>
          <w:szCs w:val="21"/>
          <w:highlight w:val="none"/>
        </w:rPr>
        <w:t>报价超过采购文件中规定的预算金额或者最高限价的</w:t>
      </w:r>
      <w:r>
        <w:rPr>
          <w:rFonts w:eastAsia="宋体"/>
          <w:color w:val="auto"/>
          <w:sz w:val="21"/>
          <w:szCs w:val="21"/>
          <w:highlight w:val="none"/>
        </w:rPr>
        <w:t>；</w:t>
      </w:r>
    </w:p>
    <w:p w14:paraId="66E6B9C8">
      <w:pPr>
        <w:pStyle w:val="18"/>
        <w:ind w:right="-252" w:firstLine="411" w:firstLineChars="196"/>
        <w:contextualSpacing/>
        <w:rPr>
          <w:rFonts w:eastAsia="宋体"/>
          <w:color w:val="auto"/>
          <w:sz w:val="21"/>
          <w:szCs w:val="21"/>
          <w:highlight w:val="none"/>
        </w:rPr>
      </w:pPr>
      <w:r>
        <w:rPr>
          <w:rFonts w:eastAsia="宋体"/>
          <w:color w:val="auto"/>
          <w:sz w:val="21"/>
          <w:szCs w:val="21"/>
          <w:highlight w:val="none"/>
        </w:rPr>
        <w:t>（2）</w:t>
      </w:r>
      <w:r>
        <w:rPr>
          <w:rFonts w:hint="eastAsia" w:eastAsia="宋体"/>
          <w:bCs/>
          <w:color w:val="auto"/>
          <w:sz w:val="21"/>
          <w:szCs w:val="21"/>
          <w:highlight w:val="none"/>
        </w:rPr>
        <w:t>未采用采购文件要求的报价形式报价的</w:t>
      </w:r>
      <w:r>
        <w:rPr>
          <w:rFonts w:hint="eastAsia" w:eastAsia="宋体"/>
          <w:color w:val="auto"/>
          <w:sz w:val="21"/>
          <w:szCs w:val="21"/>
          <w:highlight w:val="none"/>
        </w:rPr>
        <w:t>；</w:t>
      </w:r>
    </w:p>
    <w:p w14:paraId="10BE403F">
      <w:pPr>
        <w:pStyle w:val="18"/>
        <w:ind w:right="-252" w:firstLine="420" w:firstLineChars="200"/>
        <w:contextualSpacing/>
        <w:rPr>
          <w:rFonts w:eastAsia="宋体"/>
          <w:color w:val="auto"/>
          <w:sz w:val="21"/>
          <w:szCs w:val="21"/>
          <w:highlight w:val="none"/>
        </w:rPr>
      </w:pPr>
      <w:r>
        <w:rPr>
          <w:rFonts w:hint="eastAsia" w:eastAsia="宋体"/>
          <w:color w:val="auto"/>
          <w:sz w:val="21"/>
          <w:szCs w:val="21"/>
          <w:highlight w:val="none"/>
        </w:rPr>
        <w:t>（3）投标报价具有选择性的；</w:t>
      </w:r>
    </w:p>
    <w:p w14:paraId="739BB91E">
      <w:pPr>
        <w:pStyle w:val="18"/>
        <w:ind w:right="-252" w:firstLine="420" w:firstLineChars="200"/>
        <w:contextualSpacing/>
        <w:rPr>
          <w:rFonts w:eastAsia="宋体"/>
          <w:bCs/>
          <w:color w:val="auto"/>
          <w:sz w:val="21"/>
          <w:szCs w:val="21"/>
          <w:highlight w:val="none"/>
        </w:rPr>
      </w:pPr>
      <w:r>
        <w:rPr>
          <w:rFonts w:hint="eastAsia" w:eastAsia="宋体"/>
          <w:bCs/>
          <w:color w:val="auto"/>
          <w:sz w:val="21"/>
          <w:szCs w:val="21"/>
          <w:highlight w:val="none"/>
        </w:rPr>
        <w:t>（4）投标人的报价低于</w:t>
      </w:r>
      <w:r>
        <w:rPr>
          <w:rFonts w:hint="eastAsia" w:eastAsia="宋体"/>
          <w:color w:val="auto"/>
          <w:sz w:val="21"/>
          <w:szCs w:val="21"/>
          <w:highlight w:val="none"/>
        </w:rPr>
        <w:t>其他通过符合性审查投标人的报价</w:t>
      </w:r>
      <w:r>
        <w:rPr>
          <w:rFonts w:hint="eastAsia" w:eastAsia="宋体"/>
          <w:bCs/>
          <w:color w:val="auto"/>
          <w:sz w:val="21"/>
          <w:szCs w:val="21"/>
          <w:highlight w:val="none"/>
        </w:rPr>
        <w:t>，评标委员会认为有可能影响产品质量或者不能诚信履约，要求其在评标现场合理的时间内提供书面说明，必要时提交相关证明材料，投标人不能证明其报价合理性的；</w:t>
      </w:r>
    </w:p>
    <w:p w14:paraId="68D2B928">
      <w:pPr>
        <w:pStyle w:val="18"/>
        <w:ind w:right="-252" w:firstLine="420" w:firstLineChars="200"/>
        <w:contextualSpacing/>
        <w:rPr>
          <w:rFonts w:eastAsia="宋体"/>
          <w:color w:val="auto"/>
          <w:sz w:val="21"/>
          <w:szCs w:val="21"/>
          <w:highlight w:val="none"/>
        </w:rPr>
      </w:pPr>
      <w:r>
        <w:rPr>
          <w:rFonts w:hint="eastAsia" w:eastAsia="宋体"/>
          <w:color w:val="auto"/>
          <w:sz w:val="21"/>
          <w:szCs w:val="21"/>
          <w:highlight w:val="none"/>
        </w:rPr>
        <w:t>（5）投标报价中出现重大缺项、漏项或被评标委员会</w:t>
      </w:r>
      <w:r>
        <w:rPr>
          <w:rFonts w:hint="eastAsia" w:eastAsia="宋体"/>
          <w:bCs/>
          <w:color w:val="auto"/>
          <w:sz w:val="21"/>
          <w:szCs w:val="21"/>
          <w:highlight w:val="none"/>
        </w:rPr>
        <w:t>认为投标人的报价明显低于</w:t>
      </w:r>
      <w:r>
        <w:rPr>
          <w:rFonts w:hint="eastAsia" w:eastAsia="宋体"/>
          <w:color w:val="auto"/>
          <w:sz w:val="21"/>
          <w:szCs w:val="21"/>
          <w:highlight w:val="none"/>
        </w:rPr>
        <w:t>其他通过符合性审查投标人的报价，且投标人不能证明其报价合理性的；</w:t>
      </w:r>
    </w:p>
    <w:p w14:paraId="3EDECA04">
      <w:pPr>
        <w:pStyle w:val="18"/>
        <w:ind w:right="-252" w:firstLine="420" w:firstLineChars="200"/>
        <w:contextualSpacing/>
        <w:rPr>
          <w:rFonts w:eastAsia="宋体"/>
          <w:color w:val="auto"/>
          <w:sz w:val="21"/>
          <w:szCs w:val="21"/>
          <w:highlight w:val="none"/>
        </w:rPr>
      </w:pPr>
      <w:r>
        <w:rPr>
          <w:rFonts w:hint="eastAsia" w:eastAsia="宋体"/>
          <w:color w:val="auto"/>
          <w:sz w:val="21"/>
          <w:szCs w:val="21"/>
          <w:highlight w:val="none"/>
        </w:rPr>
        <w:t>（6）</w:t>
      </w:r>
      <w:r>
        <w:rPr>
          <w:rFonts w:hint="eastAsia" w:eastAsia="宋体"/>
          <w:bCs/>
          <w:color w:val="auto"/>
          <w:sz w:val="21"/>
          <w:szCs w:val="21"/>
          <w:highlight w:val="none"/>
        </w:rPr>
        <w:t>采购文件规定的其他无效情形。</w:t>
      </w:r>
    </w:p>
    <w:p w14:paraId="14AFE77A">
      <w:pPr>
        <w:spacing w:line="380" w:lineRule="exact"/>
        <w:ind w:firstLine="420" w:firstLineChars="200"/>
        <w:contextualSpacing/>
        <w:rPr>
          <w:color w:val="auto"/>
          <w:szCs w:val="21"/>
          <w:highlight w:val="none"/>
        </w:rPr>
      </w:pPr>
      <w:r>
        <w:rPr>
          <w:color w:val="auto"/>
          <w:szCs w:val="21"/>
          <w:highlight w:val="none"/>
        </w:rPr>
        <w:t>29</w:t>
      </w:r>
      <w:r>
        <w:rPr>
          <w:rFonts w:hint="eastAsia"/>
          <w:color w:val="auto"/>
          <w:szCs w:val="21"/>
          <w:highlight w:val="none"/>
        </w:rPr>
        <w:t>.5</w:t>
      </w:r>
      <w:r>
        <w:rPr>
          <w:color w:val="auto"/>
          <w:szCs w:val="21"/>
          <w:highlight w:val="none"/>
        </w:rPr>
        <w:t>被拒绝的投标文件为无效。</w:t>
      </w:r>
    </w:p>
    <w:bookmarkEnd w:id="83"/>
    <w:bookmarkEnd w:id="84"/>
    <w:bookmarkEnd w:id="85"/>
    <w:bookmarkEnd w:id="86"/>
    <w:p w14:paraId="63FF4D3A">
      <w:pPr>
        <w:pStyle w:val="2"/>
        <w:contextualSpacing/>
        <w:rPr>
          <w:rFonts w:ascii="Times New Roman"/>
          <w:color w:val="auto"/>
          <w:sz w:val="24"/>
          <w:szCs w:val="24"/>
          <w:highlight w:val="none"/>
        </w:rPr>
      </w:pPr>
      <w:bookmarkStart w:id="87" w:name="_Toc505353789"/>
      <w:bookmarkStart w:id="88" w:name="_Toc429407718"/>
      <w:bookmarkStart w:id="89" w:name="_Toc498429638"/>
      <w:bookmarkStart w:id="90" w:name="_Toc425151758"/>
      <w:bookmarkStart w:id="91" w:name="_Toc445193550"/>
      <w:bookmarkStart w:id="92" w:name="_Toc430790239"/>
      <w:bookmarkStart w:id="93" w:name="_Toc425780302"/>
      <w:bookmarkStart w:id="94" w:name="_Toc456853675"/>
      <w:bookmarkStart w:id="95" w:name="_Toc496003210"/>
      <w:r>
        <w:rPr>
          <w:rFonts w:hint="eastAsia" w:ascii="Times New Roman"/>
          <w:color w:val="auto"/>
          <w:sz w:val="24"/>
          <w:szCs w:val="24"/>
          <w:highlight w:val="none"/>
        </w:rPr>
        <w:t>九、</w:t>
      </w:r>
      <w:r>
        <w:rPr>
          <w:rFonts w:ascii="Times New Roman"/>
          <w:color w:val="auto"/>
          <w:sz w:val="24"/>
          <w:szCs w:val="24"/>
          <w:highlight w:val="none"/>
        </w:rPr>
        <w:t>授予合同</w:t>
      </w:r>
      <w:bookmarkEnd w:id="87"/>
      <w:bookmarkEnd w:id="88"/>
      <w:bookmarkEnd w:id="89"/>
      <w:bookmarkEnd w:id="90"/>
      <w:bookmarkEnd w:id="91"/>
      <w:bookmarkEnd w:id="92"/>
      <w:bookmarkEnd w:id="93"/>
      <w:bookmarkEnd w:id="94"/>
      <w:bookmarkEnd w:id="95"/>
    </w:p>
    <w:p w14:paraId="03868160">
      <w:pPr>
        <w:spacing w:line="380" w:lineRule="exact"/>
        <w:contextualSpacing/>
        <w:rPr>
          <w:color w:val="auto"/>
          <w:szCs w:val="21"/>
          <w:highlight w:val="none"/>
        </w:rPr>
      </w:pPr>
      <w:bookmarkStart w:id="96" w:name="_Toc425780303"/>
      <w:bookmarkStart w:id="97" w:name="_Toc425151759"/>
      <w:bookmarkStart w:id="98" w:name="_Toc429407719"/>
      <w:bookmarkStart w:id="99" w:name="_Toc430790240"/>
      <w:r>
        <w:rPr>
          <w:color w:val="auto"/>
          <w:szCs w:val="21"/>
          <w:highlight w:val="none"/>
        </w:rPr>
        <w:t>30</w:t>
      </w:r>
      <w:r>
        <w:rPr>
          <w:rFonts w:hint="eastAsia"/>
          <w:color w:val="auto"/>
          <w:szCs w:val="21"/>
          <w:highlight w:val="none"/>
        </w:rPr>
        <w:t>、</w:t>
      </w:r>
      <w:r>
        <w:rPr>
          <w:color w:val="auto"/>
          <w:szCs w:val="21"/>
          <w:highlight w:val="none"/>
        </w:rPr>
        <w:t>数量变更</w:t>
      </w:r>
    </w:p>
    <w:p w14:paraId="2CF0812D">
      <w:pPr>
        <w:spacing w:line="380" w:lineRule="exact"/>
        <w:ind w:firstLine="420" w:firstLineChars="200"/>
        <w:contextualSpacing/>
        <w:rPr>
          <w:color w:val="auto"/>
          <w:szCs w:val="21"/>
          <w:highlight w:val="none"/>
        </w:rPr>
      </w:pPr>
      <w:r>
        <w:rPr>
          <w:color w:val="auto"/>
          <w:szCs w:val="21"/>
          <w:highlight w:val="none"/>
        </w:rPr>
        <w:t>采购人在授予合同时具有变更数量的权力，可以在采购文件《投标资料表》中规定的合同金额变更范围内，变更招标的数量和服务内容，但不能对单价或其他条款和条件作任何改变。</w:t>
      </w:r>
    </w:p>
    <w:p w14:paraId="6768143B">
      <w:pPr>
        <w:spacing w:line="380" w:lineRule="exact"/>
        <w:contextualSpacing/>
        <w:rPr>
          <w:color w:val="auto"/>
          <w:szCs w:val="21"/>
          <w:highlight w:val="none"/>
        </w:rPr>
      </w:pPr>
      <w:r>
        <w:rPr>
          <w:color w:val="auto"/>
          <w:szCs w:val="21"/>
          <w:highlight w:val="none"/>
        </w:rPr>
        <w:t>31</w:t>
      </w:r>
      <w:r>
        <w:rPr>
          <w:rFonts w:hint="eastAsia"/>
          <w:color w:val="auto"/>
          <w:szCs w:val="21"/>
          <w:highlight w:val="none"/>
        </w:rPr>
        <w:t>、</w:t>
      </w:r>
      <w:r>
        <w:rPr>
          <w:color w:val="auto"/>
          <w:szCs w:val="21"/>
          <w:highlight w:val="none"/>
        </w:rPr>
        <w:t>中标通知</w:t>
      </w:r>
    </w:p>
    <w:p w14:paraId="2E0CA989">
      <w:pPr>
        <w:spacing w:line="380" w:lineRule="exact"/>
        <w:ind w:firstLine="420" w:firstLineChars="200"/>
        <w:contextualSpacing/>
        <w:rPr>
          <w:color w:val="auto"/>
          <w:szCs w:val="21"/>
          <w:highlight w:val="none"/>
        </w:rPr>
      </w:pPr>
      <w:r>
        <w:rPr>
          <w:color w:val="auto"/>
          <w:szCs w:val="21"/>
          <w:highlight w:val="none"/>
        </w:rPr>
        <w:t>31</w:t>
      </w:r>
      <w:r>
        <w:rPr>
          <w:rFonts w:hint="eastAsia"/>
          <w:color w:val="auto"/>
          <w:szCs w:val="21"/>
          <w:highlight w:val="none"/>
        </w:rPr>
        <w:t>.</w:t>
      </w:r>
      <w:r>
        <w:rPr>
          <w:color w:val="auto"/>
          <w:szCs w:val="21"/>
          <w:highlight w:val="none"/>
        </w:rPr>
        <w:t>1在发布中标公告</w:t>
      </w:r>
      <w:r>
        <w:rPr>
          <w:rFonts w:hint="eastAsia"/>
          <w:color w:val="auto"/>
          <w:szCs w:val="21"/>
          <w:highlight w:val="none"/>
        </w:rPr>
        <w:t>的同时</w:t>
      </w:r>
      <w:r>
        <w:rPr>
          <w:color w:val="auto"/>
          <w:szCs w:val="21"/>
          <w:highlight w:val="none"/>
        </w:rPr>
        <w:t>本采购代理机构向中标</w:t>
      </w:r>
      <w:r>
        <w:rPr>
          <w:rFonts w:hint="eastAsia"/>
          <w:color w:val="auto"/>
          <w:szCs w:val="21"/>
          <w:highlight w:val="none"/>
        </w:rPr>
        <w:t>人</w:t>
      </w:r>
      <w:r>
        <w:rPr>
          <w:color w:val="auto"/>
          <w:szCs w:val="21"/>
          <w:highlight w:val="none"/>
        </w:rPr>
        <w:t>发出中标通知</w:t>
      </w:r>
      <w:r>
        <w:rPr>
          <w:rFonts w:hint="eastAsia"/>
          <w:color w:val="auto"/>
          <w:szCs w:val="21"/>
          <w:highlight w:val="none"/>
        </w:rPr>
        <w:t>书</w:t>
      </w:r>
      <w:r>
        <w:rPr>
          <w:color w:val="auto"/>
          <w:szCs w:val="21"/>
          <w:highlight w:val="none"/>
        </w:rPr>
        <w:t>，向其他投标人发出招标结果通知书，中标通知书对采购人和中标</w:t>
      </w:r>
      <w:r>
        <w:rPr>
          <w:rFonts w:hint="eastAsia"/>
          <w:color w:val="auto"/>
          <w:szCs w:val="21"/>
          <w:highlight w:val="none"/>
        </w:rPr>
        <w:t>人</w:t>
      </w:r>
      <w:r>
        <w:rPr>
          <w:color w:val="auto"/>
          <w:szCs w:val="21"/>
          <w:highlight w:val="none"/>
        </w:rPr>
        <w:t>具有同等法律效力。</w:t>
      </w:r>
    </w:p>
    <w:p w14:paraId="713A9B39">
      <w:pPr>
        <w:spacing w:line="380" w:lineRule="exact"/>
        <w:ind w:firstLine="420" w:firstLineChars="200"/>
        <w:contextualSpacing/>
        <w:rPr>
          <w:color w:val="auto"/>
          <w:szCs w:val="21"/>
          <w:highlight w:val="none"/>
        </w:rPr>
      </w:pPr>
      <w:r>
        <w:rPr>
          <w:color w:val="auto"/>
          <w:szCs w:val="21"/>
          <w:highlight w:val="none"/>
        </w:rPr>
        <w:t>31</w:t>
      </w:r>
      <w:r>
        <w:rPr>
          <w:rFonts w:hint="eastAsia"/>
          <w:color w:val="auto"/>
          <w:szCs w:val="21"/>
          <w:highlight w:val="none"/>
        </w:rPr>
        <w:t>.2</w:t>
      </w:r>
      <w:r>
        <w:rPr>
          <w:color w:val="auto"/>
          <w:szCs w:val="21"/>
          <w:highlight w:val="none"/>
        </w:rPr>
        <w:t>中标</w:t>
      </w:r>
      <w:r>
        <w:rPr>
          <w:rFonts w:hint="eastAsia"/>
          <w:color w:val="auto"/>
          <w:szCs w:val="21"/>
          <w:highlight w:val="none"/>
        </w:rPr>
        <w:t>人</w:t>
      </w:r>
      <w:r>
        <w:rPr>
          <w:color w:val="auto"/>
          <w:szCs w:val="21"/>
          <w:highlight w:val="none"/>
        </w:rPr>
        <w:t>按下述第3</w:t>
      </w:r>
      <w:r>
        <w:rPr>
          <w:rFonts w:hint="eastAsia"/>
          <w:color w:val="auto"/>
          <w:szCs w:val="21"/>
          <w:highlight w:val="none"/>
        </w:rPr>
        <w:t>2</w:t>
      </w:r>
      <w:r>
        <w:rPr>
          <w:color w:val="auto"/>
          <w:szCs w:val="21"/>
          <w:highlight w:val="none"/>
        </w:rPr>
        <w:t>条规定与采购人签订合同，中标通知书是合同的组成部分。</w:t>
      </w:r>
    </w:p>
    <w:p w14:paraId="09BF7412">
      <w:pPr>
        <w:spacing w:line="380" w:lineRule="exact"/>
        <w:contextualSpacing/>
        <w:rPr>
          <w:color w:val="auto"/>
          <w:szCs w:val="21"/>
          <w:highlight w:val="none"/>
        </w:rPr>
      </w:pPr>
      <w:r>
        <w:rPr>
          <w:color w:val="auto"/>
          <w:szCs w:val="21"/>
          <w:highlight w:val="none"/>
        </w:rPr>
        <w:t>32</w:t>
      </w:r>
      <w:r>
        <w:rPr>
          <w:rFonts w:hint="eastAsia"/>
          <w:color w:val="auto"/>
          <w:szCs w:val="21"/>
          <w:highlight w:val="none"/>
        </w:rPr>
        <w:t>、</w:t>
      </w:r>
      <w:r>
        <w:rPr>
          <w:color w:val="auto"/>
          <w:szCs w:val="21"/>
          <w:highlight w:val="none"/>
        </w:rPr>
        <w:t>签订合同</w:t>
      </w:r>
    </w:p>
    <w:p w14:paraId="4E85CD21">
      <w:pPr>
        <w:spacing w:line="380" w:lineRule="exact"/>
        <w:ind w:firstLine="420" w:firstLineChars="200"/>
        <w:contextualSpacing/>
        <w:rPr>
          <w:color w:val="auto"/>
          <w:szCs w:val="21"/>
          <w:highlight w:val="none"/>
        </w:rPr>
      </w:pPr>
      <w:r>
        <w:rPr>
          <w:color w:val="auto"/>
          <w:szCs w:val="21"/>
          <w:highlight w:val="none"/>
        </w:rPr>
        <w:t>32</w:t>
      </w:r>
      <w:r>
        <w:rPr>
          <w:rFonts w:hint="eastAsia"/>
          <w:color w:val="auto"/>
          <w:szCs w:val="21"/>
          <w:highlight w:val="none"/>
        </w:rPr>
        <w:t>.1</w:t>
      </w:r>
      <w:r>
        <w:rPr>
          <w:color w:val="auto"/>
          <w:szCs w:val="21"/>
          <w:highlight w:val="none"/>
        </w:rPr>
        <w:t>中标</w:t>
      </w:r>
      <w:r>
        <w:rPr>
          <w:rFonts w:hint="eastAsia"/>
          <w:color w:val="auto"/>
          <w:szCs w:val="21"/>
          <w:highlight w:val="none"/>
        </w:rPr>
        <w:t>人</w:t>
      </w:r>
      <w:r>
        <w:rPr>
          <w:color w:val="auto"/>
          <w:szCs w:val="21"/>
          <w:highlight w:val="none"/>
        </w:rPr>
        <w:t>在本采购代理机构发出中标通知书的</w:t>
      </w:r>
      <w:r>
        <w:rPr>
          <w:rFonts w:hint="eastAsia"/>
          <w:color w:val="auto"/>
          <w:szCs w:val="21"/>
          <w:highlight w:val="none"/>
        </w:rPr>
        <w:t>30</w:t>
      </w:r>
      <w:r>
        <w:rPr>
          <w:color w:val="auto"/>
          <w:szCs w:val="21"/>
          <w:highlight w:val="none"/>
        </w:rPr>
        <w:t>日内，应与采购人按照采购文件和中标</w:t>
      </w:r>
      <w:r>
        <w:rPr>
          <w:rFonts w:hint="eastAsia"/>
          <w:color w:val="auto"/>
          <w:szCs w:val="21"/>
          <w:highlight w:val="none"/>
        </w:rPr>
        <w:t>人</w:t>
      </w:r>
      <w:r>
        <w:rPr>
          <w:color w:val="auto"/>
          <w:szCs w:val="21"/>
          <w:highlight w:val="none"/>
        </w:rPr>
        <w:t>的投标文件的约定内容签订书面合同。否则，采购人可按本须知第25条的规定处理，撤销其中标资格并按本须知规定另选中标</w:t>
      </w:r>
      <w:r>
        <w:rPr>
          <w:rFonts w:hint="eastAsia"/>
          <w:color w:val="auto"/>
          <w:szCs w:val="21"/>
          <w:highlight w:val="none"/>
        </w:rPr>
        <w:t>人</w:t>
      </w:r>
      <w:r>
        <w:rPr>
          <w:color w:val="auto"/>
          <w:szCs w:val="21"/>
          <w:highlight w:val="none"/>
        </w:rPr>
        <w:t>或重新招标。</w:t>
      </w:r>
    </w:p>
    <w:p w14:paraId="7804755A">
      <w:pPr>
        <w:spacing w:line="380" w:lineRule="exact"/>
        <w:ind w:firstLine="420" w:firstLineChars="200"/>
        <w:contextualSpacing/>
        <w:rPr>
          <w:color w:val="auto"/>
          <w:szCs w:val="21"/>
          <w:highlight w:val="none"/>
        </w:rPr>
      </w:pPr>
      <w:r>
        <w:rPr>
          <w:color w:val="auto"/>
          <w:szCs w:val="21"/>
          <w:highlight w:val="none"/>
        </w:rPr>
        <w:t>32</w:t>
      </w:r>
      <w:r>
        <w:rPr>
          <w:rFonts w:hint="eastAsia"/>
          <w:color w:val="auto"/>
          <w:szCs w:val="21"/>
          <w:highlight w:val="none"/>
        </w:rPr>
        <w:t>.2</w:t>
      </w:r>
      <w:r>
        <w:rPr>
          <w:color w:val="auto"/>
          <w:szCs w:val="21"/>
          <w:highlight w:val="none"/>
        </w:rPr>
        <w:t>采购文件、中标</w:t>
      </w:r>
      <w:r>
        <w:rPr>
          <w:rFonts w:hint="eastAsia"/>
          <w:color w:val="auto"/>
          <w:szCs w:val="21"/>
          <w:highlight w:val="none"/>
        </w:rPr>
        <w:t>人</w:t>
      </w:r>
      <w:r>
        <w:rPr>
          <w:color w:val="auto"/>
          <w:szCs w:val="21"/>
          <w:highlight w:val="none"/>
        </w:rPr>
        <w:t>的投标文件及在评标过程中提交的澄清文件均应作为合同附件。</w:t>
      </w:r>
    </w:p>
    <w:p w14:paraId="0BAB224E">
      <w:pPr>
        <w:spacing w:line="380" w:lineRule="exact"/>
        <w:contextualSpacing/>
        <w:rPr>
          <w:color w:val="auto"/>
          <w:szCs w:val="21"/>
          <w:highlight w:val="none"/>
        </w:rPr>
      </w:pPr>
      <w:r>
        <w:rPr>
          <w:color w:val="auto"/>
          <w:szCs w:val="21"/>
          <w:highlight w:val="none"/>
        </w:rPr>
        <w:t>33</w:t>
      </w:r>
      <w:r>
        <w:rPr>
          <w:rFonts w:hint="eastAsia"/>
          <w:color w:val="auto"/>
          <w:szCs w:val="21"/>
          <w:highlight w:val="none"/>
        </w:rPr>
        <w:t>、</w:t>
      </w:r>
      <w:r>
        <w:rPr>
          <w:color w:val="auto"/>
          <w:szCs w:val="21"/>
          <w:highlight w:val="none"/>
        </w:rPr>
        <w:t>履约保证金</w:t>
      </w:r>
      <w:r>
        <w:rPr>
          <w:rFonts w:hint="eastAsia"/>
          <w:color w:val="auto"/>
          <w:szCs w:val="21"/>
          <w:highlight w:val="none"/>
        </w:rPr>
        <w:t>：</w:t>
      </w:r>
    </w:p>
    <w:p w14:paraId="7CB6A469">
      <w:pPr>
        <w:spacing w:line="380" w:lineRule="exact"/>
        <w:ind w:firstLine="420" w:firstLineChars="200"/>
        <w:contextualSpacing/>
        <w:rPr>
          <w:color w:val="auto"/>
          <w:szCs w:val="21"/>
          <w:highlight w:val="none"/>
        </w:rPr>
      </w:pPr>
      <w:r>
        <w:rPr>
          <w:rFonts w:hint="eastAsia"/>
          <w:color w:val="auto"/>
          <w:szCs w:val="21"/>
          <w:highlight w:val="none"/>
        </w:rPr>
        <w:t>33.1</w:t>
      </w:r>
      <w:r>
        <w:rPr>
          <w:color w:val="auto"/>
          <w:szCs w:val="21"/>
          <w:highlight w:val="none"/>
        </w:rPr>
        <w:t>签订合同</w:t>
      </w:r>
      <w:r>
        <w:rPr>
          <w:rFonts w:hint="eastAsia"/>
          <w:color w:val="auto"/>
          <w:szCs w:val="21"/>
          <w:highlight w:val="none"/>
        </w:rPr>
        <w:t>后</w:t>
      </w:r>
      <w:r>
        <w:rPr>
          <w:color w:val="auto"/>
          <w:szCs w:val="21"/>
          <w:highlight w:val="none"/>
        </w:rPr>
        <w:t>，中标人应根据采购文件确定的履约保证金的金额交纳履约保证金。</w:t>
      </w:r>
    </w:p>
    <w:p w14:paraId="3791AAA9">
      <w:pPr>
        <w:spacing w:line="380" w:lineRule="exact"/>
        <w:ind w:firstLine="420" w:firstLineChars="200"/>
        <w:contextualSpacing/>
        <w:rPr>
          <w:color w:val="auto"/>
          <w:szCs w:val="21"/>
          <w:highlight w:val="none"/>
        </w:rPr>
      </w:pPr>
      <w:r>
        <w:rPr>
          <w:rFonts w:hint="eastAsia"/>
          <w:color w:val="auto"/>
          <w:szCs w:val="21"/>
          <w:highlight w:val="none"/>
        </w:rPr>
        <w:t>33.2</w:t>
      </w:r>
      <w:r>
        <w:rPr>
          <w:color w:val="auto"/>
          <w:szCs w:val="21"/>
          <w:highlight w:val="none"/>
        </w:rPr>
        <w:t>签订合同后，如中标人不按双方合同约定履约，则没收其全部履约保证金，履约保证金不足以赔偿损失的，按实际损失赔偿。</w:t>
      </w:r>
    </w:p>
    <w:p w14:paraId="21FD34C1">
      <w:pPr>
        <w:spacing w:line="380" w:lineRule="exact"/>
        <w:contextualSpacing/>
        <w:rPr>
          <w:color w:val="auto"/>
          <w:szCs w:val="21"/>
          <w:highlight w:val="none"/>
        </w:rPr>
      </w:pPr>
    </w:p>
    <w:bookmarkEnd w:id="96"/>
    <w:bookmarkEnd w:id="97"/>
    <w:bookmarkEnd w:id="98"/>
    <w:bookmarkEnd w:id="99"/>
    <w:p w14:paraId="68A52270">
      <w:pPr>
        <w:pStyle w:val="2"/>
        <w:contextualSpacing/>
        <w:rPr>
          <w:rFonts w:ascii="Times New Roman"/>
          <w:color w:val="auto"/>
          <w:sz w:val="24"/>
          <w:szCs w:val="24"/>
          <w:highlight w:val="none"/>
        </w:rPr>
      </w:pPr>
      <w:bookmarkStart w:id="100" w:name="_Hlk49412371"/>
      <w:r>
        <w:rPr>
          <w:rFonts w:hint="eastAsia" w:ascii="Times New Roman"/>
          <w:color w:val="auto"/>
          <w:sz w:val="24"/>
          <w:szCs w:val="24"/>
          <w:highlight w:val="none"/>
        </w:rPr>
        <w:t>十、履约验收</w:t>
      </w:r>
    </w:p>
    <w:p w14:paraId="5036AD4E">
      <w:pPr>
        <w:pStyle w:val="17"/>
        <w:spacing w:after="0" w:line="360" w:lineRule="auto"/>
        <w:contextualSpacing/>
        <w:rPr>
          <w:rFonts w:cs="宋体"/>
          <w:bCs/>
          <w:color w:val="auto"/>
          <w:szCs w:val="21"/>
          <w:highlight w:val="none"/>
        </w:rPr>
      </w:pPr>
      <w:r>
        <w:rPr>
          <w:rFonts w:hint="eastAsia" w:cs="宋体"/>
          <w:bCs/>
          <w:color w:val="auto"/>
          <w:szCs w:val="21"/>
          <w:highlight w:val="none"/>
        </w:rPr>
        <w:t>3</w:t>
      </w:r>
      <w:r>
        <w:rPr>
          <w:rFonts w:cs="宋体"/>
          <w:bCs/>
          <w:color w:val="auto"/>
          <w:szCs w:val="21"/>
          <w:highlight w:val="none"/>
        </w:rPr>
        <w:t>4</w:t>
      </w:r>
      <w:r>
        <w:rPr>
          <w:rFonts w:hint="eastAsia" w:cs="宋体"/>
          <w:bCs/>
          <w:color w:val="auto"/>
          <w:szCs w:val="21"/>
          <w:highlight w:val="none"/>
        </w:rPr>
        <w:t>、采购人负责对中标人的履约行为进行验收，</w:t>
      </w:r>
      <w:r>
        <w:rPr>
          <w:rFonts w:hint="eastAsia"/>
          <w:color w:val="auto"/>
          <w:szCs w:val="21"/>
          <w:highlight w:val="none"/>
        </w:rPr>
        <w:t>验收标准为本项目的采购文件以及中标人的投标文件，要求验收必须符合相关政策法规和地方标准。</w:t>
      </w:r>
    </w:p>
    <w:p w14:paraId="4155EE60">
      <w:pPr>
        <w:pStyle w:val="17"/>
        <w:spacing w:after="0" w:line="360" w:lineRule="auto"/>
        <w:contextualSpacing/>
        <w:rPr>
          <w:rFonts w:cs="宋体"/>
          <w:bCs/>
          <w:color w:val="auto"/>
          <w:szCs w:val="21"/>
          <w:highlight w:val="none"/>
        </w:rPr>
      </w:pPr>
      <w:r>
        <w:rPr>
          <w:rFonts w:hint="eastAsia" w:cs="宋体"/>
          <w:bCs/>
          <w:color w:val="auto"/>
          <w:szCs w:val="21"/>
          <w:highlight w:val="none"/>
        </w:rPr>
        <w:t>35、采购人可以邀请参加本项目的其他投标人或者第三方机构参与验收。参与验收的投标人或者第三方机构的意见作为验收书的参考资料一并存档。政府向社会公众提供的公共服务项目，验收时应当邀请服务对象参与并出具意见。</w:t>
      </w:r>
    </w:p>
    <w:p w14:paraId="5FD24277">
      <w:pPr>
        <w:pStyle w:val="2"/>
        <w:contextualSpacing/>
        <w:rPr>
          <w:rFonts w:ascii="Times New Roman"/>
          <w:color w:val="auto"/>
          <w:sz w:val="24"/>
          <w:szCs w:val="24"/>
          <w:highlight w:val="none"/>
        </w:rPr>
      </w:pPr>
      <w:r>
        <w:rPr>
          <w:rFonts w:hint="eastAsia" w:ascii="Times New Roman"/>
          <w:color w:val="auto"/>
          <w:sz w:val="24"/>
          <w:szCs w:val="24"/>
          <w:highlight w:val="none"/>
        </w:rPr>
        <w:t>十一、招标代理费用</w:t>
      </w:r>
    </w:p>
    <w:p w14:paraId="20454390">
      <w:pPr>
        <w:spacing w:line="380" w:lineRule="exact"/>
        <w:contextualSpacing/>
        <w:rPr>
          <w:color w:val="auto"/>
          <w:szCs w:val="21"/>
          <w:highlight w:val="none"/>
        </w:rPr>
      </w:pPr>
      <w:r>
        <w:rPr>
          <w:color w:val="auto"/>
          <w:szCs w:val="21"/>
          <w:highlight w:val="none"/>
        </w:rPr>
        <w:t>3</w:t>
      </w:r>
      <w:r>
        <w:rPr>
          <w:rFonts w:hint="eastAsia"/>
          <w:color w:val="auto"/>
          <w:szCs w:val="21"/>
          <w:highlight w:val="none"/>
        </w:rPr>
        <w:t>6、</w:t>
      </w:r>
      <w:r>
        <w:rPr>
          <w:color w:val="auto"/>
          <w:szCs w:val="21"/>
          <w:highlight w:val="none"/>
        </w:rPr>
        <w:t>招标代理费</w:t>
      </w:r>
    </w:p>
    <w:p w14:paraId="15C6ED86">
      <w:pPr>
        <w:spacing w:line="380" w:lineRule="exact"/>
        <w:ind w:firstLine="420" w:firstLineChars="200"/>
        <w:contextualSpacing/>
        <w:rPr>
          <w:color w:val="auto"/>
          <w:szCs w:val="21"/>
          <w:highlight w:val="none"/>
        </w:rPr>
      </w:pPr>
      <w:r>
        <w:rPr>
          <w:rFonts w:hint="eastAsia"/>
          <w:color w:val="auto"/>
          <w:szCs w:val="21"/>
          <w:highlight w:val="none"/>
        </w:rPr>
        <w:t>中标人</w:t>
      </w:r>
      <w:r>
        <w:rPr>
          <w:color w:val="auto"/>
          <w:szCs w:val="21"/>
          <w:highlight w:val="none"/>
        </w:rPr>
        <w:t>应向本采购代理机构支付招标代理费。招标代理费的收费依据及相关规定载明在采购文件《投标资料表》中。</w:t>
      </w:r>
    </w:p>
    <w:bookmarkEnd w:id="100"/>
    <w:p w14:paraId="2050045F">
      <w:pPr>
        <w:spacing w:line="360" w:lineRule="auto"/>
        <w:contextualSpacing/>
        <w:rPr>
          <w:rFonts w:ascii="宋体" w:hAnsi="宋体" w:cs="宋体"/>
          <w:color w:val="auto"/>
          <w:szCs w:val="21"/>
          <w:highlight w:val="none"/>
        </w:rPr>
        <w:sectPr>
          <w:pgSz w:w="11907" w:h="16840"/>
          <w:pgMar w:top="1304" w:right="1588" w:bottom="1304" w:left="1588" w:header="720" w:footer="720" w:gutter="0"/>
          <w:cols w:space="720" w:num="1"/>
          <w:titlePg/>
          <w:docGrid w:linePitch="285" w:charSpace="0"/>
        </w:sectPr>
      </w:pPr>
    </w:p>
    <w:p w14:paraId="2047E5D2">
      <w:pPr>
        <w:pStyle w:val="41"/>
        <w:rPr>
          <w:rFonts w:ascii="Times New Roman" w:hAnsi="Times New Roman"/>
          <w:color w:val="auto"/>
          <w:kern w:val="44"/>
          <w:highlight w:val="none"/>
        </w:rPr>
      </w:pPr>
      <w:r>
        <w:rPr>
          <w:rFonts w:hint="eastAsia" w:ascii="Times New Roman" w:hAnsi="Times New Roman"/>
          <w:color w:val="auto"/>
          <w:kern w:val="44"/>
          <w:highlight w:val="none"/>
        </w:rPr>
        <w:t>第四章评标办法及标准</w:t>
      </w:r>
    </w:p>
    <w:p w14:paraId="7E0C1764">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本评标办法是对《投标人须知》中的七、评标和定标的具体补充，如有不一致，以本办法为准。</w:t>
      </w:r>
    </w:p>
    <w:p w14:paraId="0DF7E22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评标委员会按照招标文件“投标人须知”中关于评标委员会、评标办法、评标程序和原则、推荐中标候选人、定标等规定和本标准开展评标工作。</w:t>
      </w:r>
    </w:p>
    <w:p w14:paraId="7F892822">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19A7F0B">
      <w:pPr>
        <w:pStyle w:val="3"/>
        <w:spacing w:before="0" w:after="0" w:line="360" w:lineRule="auto"/>
        <w:ind w:firstLine="200"/>
        <w:contextualSpacing/>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●评标办法</w:t>
      </w:r>
    </w:p>
    <w:p w14:paraId="35F7A621">
      <w:pPr>
        <w:spacing w:line="360" w:lineRule="auto"/>
        <w:ind w:firstLine="411" w:firstLineChars="196"/>
        <w:contextualSpacing/>
        <w:rPr>
          <w:rFonts w:ascii="宋体" w:hAnsi="宋体" w:cs="宋体"/>
          <w:color w:val="auto"/>
          <w:szCs w:val="21"/>
          <w:highlight w:val="none"/>
        </w:rPr>
      </w:pPr>
      <w:r>
        <w:rPr>
          <w:rFonts w:hint="eastAsia" w:ascii="宋体" w:hAnsi="宋体" w:cs="宋体"/>
          <w:color w:val="auto"/>
          <w:szCs w:val="21"/>
          <w:highlight w:val="none"/>
        </w:rPr>
        <w:t>本次采购招标项目选用：综合评分法</w:t>
      </w:r>
    </w:p>
    <w:p w14:paraId="7AB769D8">
      <w:pPr>
        <w:pStyle w:val="3"/>
        <w:spacing w:before="0" w:after="0" w:line="360" w:lineRule="auto"/>
        <w:ind w:firstLine="200"/>
        <w:contextualSpacing/>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●开标程序：按投标人须知</w:t>
      </w:r>
      <w:r>
        <w:rPr>
          <w:rFonts w:hint="eastAsia" w:ascii="宋体" w:hAnsi="宋体" w:eastAsia="宋体" w:cs="宋体"/>
          <w:b w:val="0"/>
          <w:bCs w:val="0"/>
          <w:color w:val="auto"/>
          <w:sz w:val="21"/>
          <w:szCs w:val="21"/>
          <w:highlight w:val="none"/>
        </w:rPr>
        <w:t>规定的程序开标。评审顺序按</w:t>
      </w:r>
      <w:r>
        <w:rPr>
          <w:rFonts w:hint="eastAsia" w:ascii="宋体" w:hAnsi="宋体" w:eastAsia="宋体" w:cs="宋体"/>
          <w:b w:val="0"/>
          <w:bCs w:val="0"/>
          <w:color w:val="auto"/>
          <w:sz w:val="21"/>
          <w:szCs w:val="21"/>
          <w:highlight w:val="none"/>
          <w:lang w:eastAsia="zh-CN"/>
        </w:rPr>
        <w:t>标项（子包）</w:t>
      </w:r>
      <w:r>
        <w:rPr>
          <w:rFonts w:hint="eastAsia" w:ascii="宋体" w:hAnsi="宋体" w:eastAsia="宋体" w:cs="宋体"/>
          <w:b w:val="0"/>
          <w:bCs w:val="0"/>
          <w:color w:val="auto"/>
          <w:sz w:val="21"/>
          <w:szCs w:val="21"/>
          <w:highlight w:val="none"/>
        </w:rPr>
        <w:t>序号依次评审。</w:t>
      </w:r>
    </w:p>
    <w:p w14:paraId="15C2FCAD">
      <w:pPr>
        <w:pStyle w:val="3"/>
        <w:spacing w:before="0" w:after="0" w:line="360" w:lineRule="auto"/>
        <w:ind w:firstLine="200"/>
        <w:contextualSpacing/>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●评标细则</w:t>
      </w:r>
    </w:p>
    <w:p w14:paraId="4F3254D5">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1、对初步审查（含资格审查、符合性审查）合格者进行评分。</w:t>
      </w:r>
    </w:p>
    <w:p w14:paraId="4815069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2、每位评委根据《评分标准》独立逐栏打分，每栏分值不得超出规定的分值范围；各评分因素分值保留小数点后二位。</w:t>
      </w:r>
    </w:p>
    <w:p w14:paraId="06A3193B">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3、价格评审基准价格与价格评审：有效投标中的最低评审价为基准价格，其投标价格分得满分。其余投标价格分得分计算按照“评分标准”中评审得分公式计算，以四舍五入方法整合到小数点后二位。</w:t>
      </w:r>
    </w:p>
    <w:p w14:paraId="61AD589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4、最终得分：各评委技术商务分的算术平均值+投标价格分=最终得分，以四舍五入法整合到小数点后二位。</w:t>
      </w:r>
    </w:p>
    <w:p w14:paraId="4AC1553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5、评价排序：按评审后得分由高到低顺序排列。得分相同的，按投标报价由低到高顺序排列。得分且投标报价相同的并列，抽签决定中标候选人。</w:t>
      </w:r>
    </w:p>
    <w:p w14:paraId="3687E73E">
      <w:pPr>
        <w:pStyle w:val="3"/>
        <w:spacing w:before="0" w:after="0" w:line="360" w:lineRule="auto"/>
        <w:ind w:firstLine="200"/>
        <w:contextualSpacing/>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●其他说明</w:t>
      </w:r>
    </w:p>
    <w:p w14:paraId="4F220A5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有效投标：通过初步审查且投标报价符合评审范围。</w:t>
      </w:r>
    </w:p>
    <w:p w14:paraId="46E1A15C">
      <w:pPr>
        <w:spacing w:line="360" w:lineRule="auto"/>
        <w:ind w:firstLine="420" w:firstLineChars="200"/>
        <w:contextualSpacing/>
        <w:rPr>
          <w:color w:val="auto"/>
          <w:w w:val="80"/>
          <w:highlight w:val="none"/>
        </w:rPr>
      </w:pPr>
      <w:r>
        <w:rPr>
          <w:rFonts w:hint="eastAsia"/>
          <w:color w:val="auto"/>
          <w:highlight w:val="none"/>
        </w:rPr>
        <w:t>●评分标准</w:t>
      </w:r>
    </w:p>
    <w:bookmarkEnd w:id="9"/>
    <w:bookmarkEnd w:id="10"/>
    <w:bookmarkEnd w:id="11"/>
    <w:p w14:paraId="38595E3A">
      <w:pPr>
        <w:spacing w:line="360" w:lineRule="auto"/>
        <w:jc w:val="left"/>
        <w:rPr>
          <w:rFonts w:ascii="黑体" w:eastAsia="黑体"/>
          <w:b/>
          <w:color w:val="auto"/>
          <w:sz w:val="32"/>
          <w:highlight w:val="none"/>
        </w:rPr>
      </w:pPr>
      <w:bookmarkStart w:id="101" w:name="_Toc422996750"/>
      <w:bookmarkEnd w:id="101"/>
      <w:bookmarkStart w:id="102" w:name="_Toc422996818"/>
      <w:bookmarkEnd w:id="102"/>
      <w:bookmarkStart w:id="103" w:name="_Toc422996819"/>
      <w:bookmarkEnd w:id="103"/>
      <w:bookmarkStart w:id="104" w:name="_Toc422996749"/>
      <w:bookmarkEnd w:id="104"/>
      <w:r>
        <w:rPr>
          <w:rFonts w:hint="eastAsia" w:ascii="宋体" w:hAnsi="宋体"/>
          <w:b/>
          <w:bCs/>
          <w:color w:val="auto"/>
          <w:szCs w:val="21"/>
          <w:highlight w:val="none"/>
          <w:lang w:eastAsia="zh-CN"/>
        </w:rPr>
        <w:t>标项（子包）</w:t>
      </w:r>
      <w:r>
        <w:rPr>
          <w:rFonts w:hint="eastAsia" w:ascii="宋体" w:hAnsi="宋体"/>
          <w:b/>
          <w:bCs/>
          <w:color w:val="auto"/>
          <w:szCs w:val="21"/>
          <w:highlight w:val="none"/>
        </w:rPr>
        <w:t>一评分内容和标准见下表：</w:t>
      </w:r>
    </w:p>
    <w:p w14:paraId="4EEBDB08">
      <w:pPr>
        <w:ind w:left="-708" w:leftChars="-337" w:firstLine="706" w:firstLineChars="335"/>
        <w:jc w:val="center"/>
        <w:rPr>
          <w:rFonts w:hint="eastAsia" w:ascii="Arial" w:hAnsi="宋体" w:cs="Arial"/>
          <w:b/>
          <w:bCs/>
          <w:snapToGrid w:val="0"/>
          <w:color w:val="auto"/>
          <w:szCs w:val="21"/>
          <w:highlight w:val="none"/>
        </w:rPr>
        <w:sectPr>
          <w:footerReference r:id="rId10" w:type="default"/>
          <w:pgSz w:w="11907" w:h="16840"/>
          <w:pgMar w:top="1304" w:right="1588" w:bottom="1304" w:left="1588" w:header="720" w:footer="720" w:gutter="0"/>
          <w:cols w:space="720" w:num="1"/>
          <w:titlePg/>
          <w:docGrid w:linePitch="285" w:charSpace="0"/>
        </w:sectPr>
      </w:pPr>
    </w:p>
    <w:tbl>
      <w:tblPr>
        <w:tblStyle w:val="45"/>
        <w:tblpPr w:leftFromText="180" w:rightFromText="180" w:vertAnchor="text" w:horzAnchor="page" w:tblpX="1192" w:tblpY="450"/>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127"/>
        <w:gridCol w:w="788"/>
        <w:gridCol w:w="6159"/>
      </w:tblGrid>
      <w:tr w14:paraId="63F7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736" w:type="dxa"/>
            <w:noWrap w:val="0"/>
            <w:vAlign w:val="center"/>
          </w:tcPr>
          <w:p w14:paraId="2E6CC950">
            <w:pPr>
              <w:ind w:left="-708" w:leftChars="-337" w:firstLine="706" w:firstLineChars="335"/>
              <w:jc w:val="center"/>
              <w:rPr>
                <w:rFonts w:ascii="Arial" w:hAnsi="宋体" w:cs="Arial"/>
                <w:b/>
                <w:bCs/>
                <w:snapToGrid w:val="0"/>
                <w:color w:val="auto"/>
                <w:szCs w:val="21"/>
                <w:highlight w:val="none"/>
              </w:rPr>
            </w:pPr>
            <w:r>
              <w:rPr>
                <w:rFonts w:hint="eastAsia" w:ascii="Arial" w:hAnsi="宋体" w:cs="Arial"/>
                <w:b/>
                <w:bCs/>
                <w:snapToGrid w:val="0"/>
                <w:color w:val="auto"/>
                <w:szCs w:val="21"/>
                <w:highlight w:val="none"/>
              </w:rPr>
              <w:t>一</w:t>
            </w:r>
          </w:p>
        </w:tc>
        <w:tc>
          <w:tcPr>
            <w:tcW w:w="9074" w:type="dxa"/>
            <w:gridSpan w:val="3"/>
            <w:noWrap w:val="0"/>
            <w:vAlign w:val="center"/>
          </w:tcPr>
          <w:p w14:paraId="64654B1A">
            <w:pPr>
              <w:spacing w:line="440" w:lineRule="exact"/>
              <w:ind w:right="6"/>
              <w:jc w:val="center"/>
              <w:rPr>
                <w:rFonts w:ascii="宋体" w:hAnsi="宋体" w:cs="Arial"/>
                <w:b/>
                <w:bCs/>
                <w:color w:val="auto"/>
                <w:kern w:val="28"/>
                <w:szCs w:val="21"/>
                <w:highlight w:val="none"/>
              </w:rPr>
            </w:pPr>
            <w:r>
              <w:rPr>
                <w:rFonts w:hint="eastAsia" w:ascii="Arial" w:hAnsi="宋体" w:cs="Arial"/>
                <w:b/>
                <w:snapToGrid w:val="0"/>
                <w:color w:val="auto"/>
                <w:szCs w:val="21"/>
                <w:highlight w:val="none"/>
              </w:rPr>
              <w:t>技术商务分（60分</w:t>
            </w:r>
            <w:r>
              <w:rPr>
                <w:rFonts w:hint="eastAsia" w:ascii="宋体" w:hAnsi="宋体" w:cs="Arial"/>
                <w:b/>
                <w:bCs/>
                <w:color w:val="auto"/>
                <w:kern w:val="28"/>
                <w:szCs w:val="21"/>
                <w:highlight w:val="none"/>
              </w:rPr>
              <w:t>）</w:t>
            </w:r>
          </w:p>
          <w:p w14:paraId="6D351B33">
            <w:pPr>
              <w:rPr>
                <w:rFonts w:ascii="Arial" w:hAnsi="宋体" w:cs="Arial"/>
                <w:b/>
                <w:bCs/>
                <w:snapToGrid w:val="0"/>
                <w:color w:val="auto"/>
                <w:szCs w:val="21"/>
                <w:highlight w:val="none"/>
              </w:rPr>
            </w:pPr>
            <w:r>
              <w:rPr>
                <w:rFonts w:hint="eastAsia" w:ascii="Arial" w:hAnsi="宋体" w:cs="Arial"/>
                <w:b/>
                <w:snapToGrid w:val="0"/>
                <w:color w:val="auto"/>
                <w:szCs w:val="21"/>
                <w:highlight w:val="none"/>
              </w:rPr>
              <w:t>最终得分为评标专家组成员的有效评分中的算术平均值</w:t>
            </w:r>
            <w:r>
              <w:rPr>
                <w:rFonts w:ascii="Arial" w:hAnsi="宋体" w:cs="Arial"/>
                <w:b/>
                <w:snapToGrid w:val="0"/>
                <w:color w:val="auto"/>
                <w:szCs w:val="21"/>
                <w:highlight w:val="none"/>
              </w:rPr>
              <w:t>(</w:t>
            </w:r>
            <w:r>
              <w:rPr>
                <w:rFonts w:hint="eastAsia" w:ascii="Arial" w:hAnsi="宋体" w:cs="Arial"/>
                <w:b/>
                <w:snapToGrid w:val="0"/>
                <w:color w:val="auto"/>
                <w:szCs w:val="21"/>
                <w:highlight w:val="none"/>
              </w:rPr>
              <w:t>计算评分值时保留二位小数，第三位四舍五入</w:t>
            </w:r>
            <w:r>
              <w:rPr>
                <w:rFonts w:ascii="Arial" w:hAnsi="宋体" w:cs="Arial"/>
                <w:b/>
                <w:snapToGrid w:val="0"/>
                <w:color w:val="auto"/>
                <w:szCs w:val="21"/>
                <w:highlight w:val="none"/>
              </w:rPr>
              <w:t>)</w:t>
            </w:r>
            <w:r>
              <w:rPr>
                <w:rFonts w:hint="eastAsia" w:ascii="Arial" w:hAnsi="宋体" w:cs="Arial"/>
                <w:b/>
                <w:snapToGrid w:val="0"/>
                <w:color w:val="auto"/>
                <w:szCs w:val="21"/>
                <w:highlight w:val="none"/>
              </w:rPr>
              <w:t>。</w:t>
            </w:r>
          </w:p>
        </w:tc>
      </w:tr>
      <w:tr w14:paraId="76B2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36" w:type="dxa"/>
            <w:noWrap w:val="0"/>
            <w:vAlign w:val="center"/>
          </w:tcPr>
          <w:p w14:paraId="2276816B">
            <w:pPr>
              <w:jc w:val="center"/>
              <w:rPr>
                <w:rFonts w:ascii="Arial" w:hAnsi="宋体" w:cs="Arial"/>
                <w:b/>
                <w:snapToGrid w:val="0"/>
                <w:color w:val="auto"/>
                <w:szCs w:val="21"/>
                <w:highlight w:val="none"/>
              </w:rPr>
            </w:pPr>
            <w:r>
              <w:rPr>
                <w:rFonts w:hint="eastAsia" w:ascii="Arial" w:hAnsi="宋体" w:cs="Arial"/>
                <w:b/>
                <w:snapToGrid w:val="0"/>
                <w:color w:val="auto"/>
                <w:szCs w:val="21"/>
                <w:highlight w:val="none"/>
              </w:rPr>
              <w:t>考评项目</w:t>
            </w:r>
          </w:p>
        </w:tc>
        <w:tc>
          <w:tcPr>
            <w:tcW w:w="2127" w:type="dxa"/>
            <w:noWrap w:val="0"/>
            <w:vAlign w:val="center"/>
          </w:tcPr>
          <w:p w14:paraId="6B07CC3E">
            <w:pPr>
              <w:jc w:val="center"/>
              <w:rPr>
                <w:rFonts w:ascii="Arial" w:hAnsi="宋体" w:cs="Arial"/>
                <w:b/>
                <w:snapToGrid w:val="0"/>
                <w:color w:val="auto"/>
                <w:szCs w:val="21"/>
                <w:highlight w:val="none"/>
              </w:rPr>
            </w:pPr>
            <w:r>
              <w:rPr>
                <w:rFonts w:hint="eastAsia" w:ascii="Arial" w:hAnsi="宋体" w:cs="Arial"/>
                <w:b/>
                <w:snapToGrid w:val="0"/>
                <w:color w:val="auto"/>
                <w:szCs w:val="21"/>
                <w:highlight w:val="none"/>
              </w:rPr>
              <w:t>评分标准</w:t>
            </w:r>
          </w:p>
        </w:tc>
        <w:tc>
          <w:tcPr>
            <w:tcW w:w="788" w:type="dxa"/>
            <w:noWrap w:val="0"/>
            <w:vAlign w:val="center"/>
          </w:tcPr>
          <w:p w14:paraId="0AC6CFE9">
            <w:pPr>
              <w:jc w:val="center"/>
              <w:rPr>
                <w:rFonts w:ascii="Arial" w:hAnsi="宋体" w:cs="Arial"/>
                <w:b/>
                <w:snapToGrid w:val="0"/>
                <w:color w:val="auto"/>
                <w:szCs w:val="21"/>
                <w:highlight w:val="none"/>
              </w:rPr>
            </w:pPr>
            <w:r>
              <w:rPr>
                <w:rFonts w:hint="eastAsia" w:ascii="Arial" w:hAnsi="宋体" w:cs="Arial"/>
                <w:b/>
                <w:snapToGrid w:val="0"/>
                <w:color w:val="auto"/>
                <w:szCs w:val="21"/>
                <w:highlight w:val="none"/>
              </w:rPr>
              <w:t>分值</w:t>
            </w:r>
          </w:p>
        </w:tc>
        <w:tc>
          <w:tcPr>
            <w:tcW w:w="6159" w:type="dxa"/>
            <w:noWrap w:val="0"/>
            <w:vAlign w:val="center"/>
          </w:tcPr>
          <w:p w14:paraId="4177B604">
            <w:pPr>
              <w:jc w:val="center"/>
              <w:rPr>
                <w:rFonts w:ascii="Arial" w:hAnsi="宋体" w:cs="Arial"/>
                <w:b/>
                <w:snapToGrid w:val="0"/>
                <w:color w:val="auto"/>
                <w:szCs w:val="21"/>
                <w:highlight w:val="none"/>
              </w:rPr>
            </w:pPr>
            <w:r>
              <w:rPr>
                <w:rFonts w:hint="eastAsia" w:ascii="宋体" w:hAnsi="宋体"/>
                <w:b/>
                <w:bCs/>
                <w:color w:val="auto"/>
                <w:sz w:val="24"/>
                <w:szCs w:val="22"/>
                <w:highlight w:val="none"/>
              </w:rPr>
              <w:t>评  定  依  据</w:t>
            </w:r>
          </w:p>
        </w:tc>
      </w:tr>
      <w:tr w14:paraId="0F92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736" w:type="dxa"/>
            <w:vMerge w:val="restart"/>
            <w:noWrap w:val="0"/>
            <w:vAlign w:val="center"/>
          </w:tcPr>
          <w:p w14:paraId="3BA06E4B">
            <w:pPr>
              <w:jc w:val="center"/>
              <w:rPr>
                <w:rFonts w:ascii="Arial" w:hAnsi="宋体" w:cs="Arial"/>
                <w:b/>
                <w:snapToGrid w:val="0"/>
                <w:color w:val="auto"/>
                <w:szCs w:val="21"/>
                <w:highlight w:val="none"/>
              </w:rPr>
            </w:pPr>
            <w:r>
              <w:rPr>
                <w:rFonts w:hint="eastAsia" w:ascii="宋体" w:hAnsi="宋体" w:cs="宋体"/>
                <w:bCs/>
                <w:color w:val="auto"/>
                <w:szCs w:val="21"/>
                <w:highlight w:val="none"/>
              </w:rPr>
              <w:t>技术质量（4</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分）</w:t>
            </w:r>
          </w:p>
        </w:tc>
        <w:tc>
          <w:tcPr>
            <w:tcW w:w="2127" w:type="dxa"/>
            <w:noWrap w:val="0"/>
            <w:vAlign w:val="center"/>
          </w:tcPr>
          <w:p w14:paraId="0A301092">
            <w:pPr>
              <w:ind w:right="105" w:rightChars="50"/>
              <w:jc w:val="left"/>
              <w:rPr>
                <w:rFonts w:ascii="宋体" w:hAnsi="宋体"/>
                <w:color w:val="auto"/>
                <w:szCs w:val="21"/>
                <w:highlight w:val="none"/>
              </w:rPr>
            </w:pPr>
            <w:r>
              <w:rPr>
                <w:rFonts w:hint="eastAsia" w:ascii="宋体" w:hAnsi="宋体"/>
                <w:color w:val="auto"/>
                <w:szCs w:val="21"/>
                <w:highlight w:val="none"/>
              </w:rPr>
              <w:t>1、对招标文件技术参数、整车配置要求的响应程度</w:t>
            </w:r>
          </w:p>
        </w:tc>
        <w:tc>
          <w:tcPr>
            <w:tcW w:w="788" w:type="dxa"/>
            <w:noWrap w:val="0"/>
            <w:vAlign w:val="center"/>
          </w:tcPr>
          <w:p w14:paraId="7BBEAADC">
            <w:pPr>
              <w:ind w:left="105" w:leftChars="50" w:right="105" w:rightChars="5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40</w:t>
            </w:r>
          </w:p>
        </w:tc>
        <w:tc>
          <w:tcPr>
            <w:tcW w:w="6159" w:type="dxa"/>
            <w:noWrap w:val="0"/>
            <w:vAlign w:val="center"/>
          </w:tcPr>
          <w:p w14:paraId="3A8A3736">
            <w:pPr>
              <w:ind w:left="105" w:leftChars="50" w:right="105" w:rightChars="50"/>
              <w:jc w:val="left"/>
              <w:rPr>
                <w:rFonts w:ascii="宋体" w:hAnsi="宋体"/>
                <w:bCs/>
                <w:color w:val="auto"/>
                <w:szCs w:val="21"/>
                <w:highlight w:val="none"/>
              </w:rPr>
            </w:pPr>
            <w:r>
              <w:rPr>
                <w:rFonts w:hint="eastAsia" w:ascii="宋体" w:hAnsi="宋体"/>
                <w:bCs/>
                <w:color w:val="auto"/>
                <w:szCs w:val="21"/>
                <w:highlight w:val="none"/>
              </w:rPr>
              <w:t>根据投标人所投的产品技术参数和基本要求的符合性进行评分，负偏离的每项扣3分，扣完为止。</w:t>
            </w:r>
          </w:p>
        </w:tc>
      </w:tr>
      <w:tr w14:paraId="61F9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736" w:type="dxa"/>
            <w:vMerge w:val="continue"/>
            <w:noWrap w:val="0"/>
            <w:vAlign w:val="center"/>
          </w:tcPr>
          <w:p w14:paraId="2BB8F612">
            <w:pPr>
              <w:widowControl/>
              <w:jc w:val="left"/>
              <w:rPr>
                <w:rFonts w:hint="default" w:ascii="宋体" w:hAnsi="宋体" w:eastAsia="宋体" w:cs="宋体"/>
                <w:bCs/>
                <w:color w:val="auto"/>
                <w:szCs w:val="21"/>
                <w:highlight w:val="none"/>
                <w:lang w:val="en-US" w:eastAsia="zh-CN"/>
              </w:rPr>
            </w:pPr>
          </w:p>
        </w:tc>
        <w:tc>
          <w:tcPr>
            <w:tcW w:w="2127" w:type="dxa"/>
            <w:noWrap w:val="0"/>
            <w:vAlign w:val="center"/>
          </w:tcPr>
          <w:p w14:paraId="4B023794">
            <w:pPr>
              <w:widowControl/>
              <w:ind w:right="105" w:rightChars="5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2.企业实力</w:t>
            </w:r>
          </w:p>
        </w:tc>
        <w:tc>
          <w:tcPr>
            <w:tcW w:w="788" w:type="dxa"/>
            <w:noWrap w:val="0"/>
            <w:vAlign w:val="center"/>
          </w:tcPr>
          <w:p w14:paraId="119F78B5">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6159" w:type="dxa"/>
            <w:noWrap w:val="0"/>
            <w:vAlign w:val="center"/>
          </w:tcPr>
          <w:p w14:paraId="50DD11DB">
            <w:pPr>
              <w:spacing w:line="300" w:lineRule="exact"/>
              <w:rPr>
                <w:rFonts w:ascii="宋体" w:hAnsi="宋体"/>
                <w:color w:val="auto"/>
                <w:highlight w:val="none"/>
              </w:rPr>
            </w:pPr>
            <w:r>
              <w:rPr>
                <w:rFonts w:hint="eastAsia" w:ascii="宋体" w:hAnsi="宋体"/>
                <w:color w:val="auto"/>
                <w:highlight w:val="none"/>
              </w:rPr>
              <w:t>投标客车生产企业具备</w:t>
            </w:r>
          </w:p>
          <w:p w14:paraId="0687CFAA">
            <w:pPr>
              <w:spacing w:line="300" w:lineRule="exact"/>
              <w:rPr>
                <w:rFonts w:ascii="宋体" w:hAnsi="宋体"/>
                <w:color w:val="auto"/>
                <w:highlight w:val="none"/>
              </w:rPr>
            </w:pPr>
            <w:r>
              <w:rPr>
                <w:rFonts w:hint="eastAsia" w:ascii="宋体" w:hAnsi="宋体"/>
                <w:color w:val="auto"/>
                <w:highlight w:val="none"/>
              </w:rPr>
              <w:t>1.ISO9001质量管理体系认证；</w:t>
            </w:r>
          </w:p>
          <w:p w14:paraId="169A0206">
            <w:pPr>
              <w:spacing w:line="300" w:lineRule="exact"/>
              <w:rPr>
                <w:rFonts w:ascii="宋体" w:hAnsi="宋体"/>
                <w:color w:val="auto"/>
                <w:highlight w:val="none"/>
              </w:rPr>
            </w:pPr>
            <w:r>
              <w:rPr>
                <w:rFonts w:hint="eastAsia" w:ascii="宋体" w:hAnsi="宋体"/>
                <w:color w:val="auto"/>
                <w:highlight w:val="none"/>
              </w:rPr>
              <w:t>2.ISO/TS16949、IATF16949汽车质量管理体系认证；</w:t>
            </w:r>
          </w:p>
          <w:p w14:paraId="272344EF">
            <w:pPr>
              <w:spacing w:line="300" w:lineRule="exact"/>
              <w:rPr>
                <w:rFonts w:ascii="宋体" w:hAnsi="宋体"/>
                <w:color w:val="auto"/>
                <w:highlight w:val="none"/>
              </w:rPr>
            </w:pPr>
            <w:r>
              <w:rPr>
                <w:rFonts w:hint="eastAsia" w:ascii="宋体" w:hAnsi="宋体"/>
                <w:color w:val="auto"/>
                <w:highlight w:val="none"/>
              </w:rPr>
              <w:t>3.ISO14001环境管理体系认证；</w:t>
            </w:r>
          </w:p>
          <w:p w14:paraId="443983B4">
            <w:pPr>
              <w:spacing w:line="300" w:lineRule="exact"/>
              <w:rPr>
                <w:rFonts w:ascii="宋体" w:hAnsi="宋体"/>
                <w:color w:val="auto"/>
                <w:highlight w:val="none"/>
              </w:rPr>
            </w:pPr>
            <w:r>
              <w:rPr>
                <w:rFonts w:hint="eastAsia" w:ascii="宋体" w:hAnsi="宋体"/>
                <w:color w:val="auto"/>
                <w:highlight w:val="none"/>
              </w:rPr>
              <w:t>4.职业健康安全管理体系认证；</w:t>
            </w:r>
          </w:p>
          <w:p w14:paraId="7F991B71">
            <w:pPr>
              <w:spacing w:line="300" w:lineRule="exact"/>
              <w:rPr>
                <w:rFonts w:ascii="宋体" w:hAnsi="宋体"/>
                <w:color w:val="auto"/>
                <w:highlight w:val="none"/>
              </w:rPr>
            </w:pPr>
            <w:r>
              <w:rPr>
                <w:rFonts w:hint="eastAsia" w:ascii="宋体" w:hAnsi="宋体"/>
                <w:color w:val="auto"/>
                <w:highlight w:val="none"/>
              </w:rPr>
              <w:t>5.ISO50001能源管理体系认证证书；</w:t>
            </w:r>
          </w:p>
          <w:p w14:paraId="752B2C8F">
            <w:pPr>
              <w:spacing w:line="300" w:lineRule="exact"/>
              <w:rPr>
                <w:rFonts w:ascii="宋体" w:hAnsi="宋体"/>
                <w:color w:val="auto"/>
                <w:highlight w:val="none"/>
              </w:rPr>
            </w:pPr>
            <w:r>
              <w:rPr>
                <w:rFonts w:hint="eastAsia" w:ascii="宋体" w:hAnsi="宋体"/>
                <w:color w:val="auto"/>
                <w:highlight w:val="none"/>
              </w:rPr>
              <w:t>6.知识产权管理体系认证证书。</w:t>
            </w:r>
          </w:p>
          <w:p w14:paraId="25317E17">
            <w:pPr>
              <w:spacing w:line="300" w:lineRule="exact"/>
              <w:rPr>
                <w:rFonts w:ascii="宋体" w:hAnsi="宋体"/>
                <w:color w:val="auto"/>
                <w:highlight w:val="none"/>
              </w:rPr>
            </w:pPr>
            <w:r>
              <w:rPr>
                <w:rFonts w:hint="eastAsia" w:ascii="宋体" w:hAnsi="宋体"/>
                <w:color w:val="auto"/>
                <w:highlight w:val="none"/>
              </w:rPr>
              <w:t>以上证书全部具备的得4分；具备四项以上的得1分；低于四项的得0分，不重复得分。</w:t>
            </w:r>
          </w:p>
          <w:p w14:paraId="0C297BE3">
            <w:pPr>
              <w:widowControl/>
              <w:snapToGrid w:val="0"/>
              <w:rPr>
                <w:rFonts w:ascii="宋体" w:hAnsi="宋体" w:cs="宋体"/>
                <w:color w:val="auto"/>
                <w:szCs w:val="21"/>
                <w:highlight w:val="none"/>
              </w:rPr>
            </w:pPr>
            <w:r>
              <w:rPr>
                <w:rFonts w:hint="eastAsia" w:ascii="宋体" w:hAnsi="宋体"/>
                <w:color w:val="auto"/>
                <w:highlight w:val="none"/>
              </w:rPr>
              <w:t>证书须在有效期内，投标文件中提供证书复印件</w:t>
            </w:r>
            <w:r>
              <w:rPr>
                <w:rFonts w:hint="eastAsia"/>
                <w:color w:val="auto"/>
                <w:highlight w:val="none"/>
              </w:rPr>
              <w:t>。</w:t>
            </w:r>
          </w:p>
        </w:tc>
      </w:tr>
      <w:tr w14:paraId="78B9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736" w:type="dxa"/>
            <w:vMerge w:val="continue"/>
            <w:noWrap w:val="0"/>
            <w:vAlign w:val="center"/>
          </w:tcPr>
          <w:p w14:paraId="585C7C27">
            <w:pPr>
              <w:widowControl/>
              <w:jc w:val="left"/>
              <w:rPr>
                <w:rFonts w:ascii="宋体" w:hAnsi="宋体" w:cs="宋体"/>
                <w:bCs/>
                <w:color w:val="auto"/>
                <w:szCs w:val="21"/>
                <w:highlight w:val="none"/>
              </w:rPr>
            </w:pPr>
          </w:p>
        </w:tc>
        <w:tc>
          <w:tcPr>
            <w:tcW w:w="2127" w:type="dxa"/>
            <w:noWrap w:val="0"/>
            <w:vAlign w:val="center"/>
          </w:tcPr>
          <w:p w14:paraId="29AE5FAC">
            <w:pPr>
              <w:ind w:right="105" w:rightChars="5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产品外观</w:t>
            </w:r>
          </w:p>
        </w:tc>
        <w:tc>
          <w:tcPr>
            <w:tcW w:w="788" w:type="dxa"/>
            <w:noWrap w:val="0"/>
            <w:vAlign w:val="center"/>
          </w:tcPr>
          <w:p w14:paraId="5B2B0579">
            <w:pPr>
              <w:ind w:left="105" w:leftChars="50" w:right="105" w:rightChars="50"/>
              <w:jc w:val="center"/>
              <w:rPr>
                <w:rFonts w:ascii="宋体" w:hAnsi="宋体"/>
                <w:color w:val="auto"/>
                <w:szCs w:val="21"/>
                <w:highlight w:val="none"/>
              </w:rPr>
            </w:pPr>
            <w:r>
              <w:rPr>
                <w:rFonts w:hint="eastAsia" w:ascii="宋体" w:hAnsi="宋体"/>
                <w:color w:val="auto"/>
                <w:szCs w:val="21"/>
                <w:highlight w:val="none"/>
              </w:rPr>
              <w:t>3</w:t>
            </w:r>
          </w:p>
        </w:tc>
        <w:tc>
          <w:tcPr>
            <w:tcW w:w="6159" w:type="dxa"/>
            <w:noWrap w:val="0"/>
            <w:vAlign w:val="center"/>
          </w:tcPr>
          <w:p w14:paraId="79AE6F04">
            <w:pPr>
              <w:rPr>
                <w:rFonts w:ascii="宋体" w:hAnsi="宋体"/>
                <w:color w:val="auto"/>
                <w:szCs w:val="21"/>
                <w:highlight w:val="none"/>
              </w:rPr>
            </w:pPr>
            <w:r>
              <w:rPr>
                <w:rFonts w:hint="eastAsia" w:ascii="宋体" w:hAnsi="宋体"/>
                <w:color w:val="auto"/>
                <w:szCs w:val="21"/>
                <w:highlight w:val="none"/>
              </w:rPr>
              <w:t>车辆外观与内饰：符合公交车型，外观要美观协调，维修简便、材料轻量化、操作简便、内饰材料耐脏易清洗布置合理、色彩搭配柔和、前后过道小圆角人性化设计、座椅布置等，（提供实车前、后正面照片，左、右侧45度角车身照片，车内驾驶室、车内由前向后、由后向前照片），由评委进行横向比较综合打分</w:t>
            </w:r>
            <w:r>
              <w:rPr>
                <w:color w:val="auto"/>
                <w:spacing w:val="6"/>
                <w:highlight w:val="none"/>
              </w:rPr>
              <w:t>。</w:t>
            </w:r>
          </w:p>
        </w:tc>
      </w:tr>
      <w:tr w14:paraId="71BE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736" w:type="dxa"/>
            <w:vMerge w:val="restart"/>
            <w:noWrap w:val="0"/>
            <w:vAlign w:val="center"/>
          </w:tcPr>
          <w:p w14:paraId="590258F1">
            <w:pPr>
              <w:widowControl/>
              <w:jc w:val="left"/>
              <w:rPr>
                <w:rFonts w:ascii="宋体" w:hAnsi="宋体" w:cs="宋体"/>
                <w:bCs/>
                <w:color w:val="auto"/>
                <w:szCs w:val="21"/>
                <w:highlight w:val="none"/>
              </w:rPr>
            </w:pPr>
            <w:r>
              <w:rPr>
                <w:rFonts w:hint="eastAsia" w:ascii="宋体" w:hAnsi="宋体" w:cs="宋体"/>
                <w:bCs/>
                <w:color w:val="auto"/>
                <w:szCs w:val="21"/>
                <w:highlight w:val="none"/>
                <w:lang w:val="en-US" w:eastAsia="zh-CN"/>
              </w:rPr>
              <w:t>售后服务（13分）</w:t>
            </w:r>
          </w:p>
        </w:tc>
        <w:tc>
          <w:tcPr>
            <w:tcW w:w="2127" w:type="dxa"/>
            <w:noWrap w:val="0"/>
            <w:vAlign w:val="center"/>
          </w:tcPr>
          <w:p w14:paraId="3C080BE8">
            <w:pPr>
              <w:ind w:right="105" w:rightChars="50"/>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4、优惠承诺</w:t>
            </w:r>
          </w:p>
        </w:tc>
        <w:tc>
          <w:tcPr>
            <w:tcW w:w="788" w:type="dxa"/>
            <w:noWrap w:val="0"/>
            <w:vAlign w:val="center"/>
          </w:tcPr>
          <w:p w14:paraId="1AFE9557">
            <w:pPr>
              <w:ind w:left="105" w:leftChars="50" w:right="105" w:rightChars="5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6159" w:type="dxa"/>
            <w:noWrap w:val="0"/>
            <w:vAlign w:val="center"/>
          </w:tcPr>
          <w:p w14:paraId="4C65096E">
            <w:pPr>
              <w:rPr>
                <w:color w:val="auto"/>
                <w:spacing w:val="6"/>
                <w:highlight w:val="none"/>
              </w:rPr>
            </w:pPr>
            <w:r>
              <w:rPr>
                <w:color w:val="auto"/>
                <w:spacing w:val="10"/>
                <w:highlight w:val="none"/>
              </w:rPr>
              <w:t>根据投标人针对本项目的其他优惠承诺，根据优惠程度酌情</w:t>
            </w:r>
            <w:r>
              <w:rPr>
                <w:color w:val="auto"/>
                <w:spacing w:val="12"/>
                <w:highlight w:val="none"/>
              </w:rPr>
              <w:t xml:space="preserve"> </w:t>
            </w:r>
            <w:r>
              <w:rPr>
                <w:color w:val="auto"/>
                <w:spacing w:val="4"/>
                <w:highlight w:val="none"/>
              </w:rPr>
              <w:t>打分，最低</w:t>
            </w:r>
            <w:r>
              <w:rPr>
                <w:color w:val="auto"/>
                <w:spacing w:val="-38"/>
                <w:highlight w:val="none"/>
              </w:rPr>
              <w:t xml:space="preserve"> </w:t>
            </w:r>
            <w:r>
              <w:rPr>
                <w:color w:val="auto"/>
                <w:spacing w:val="4"/>
                <w:highlight w:val="none"/>
              </w:rPr>
              <w:t>0.5</w:t>
            </w:r>
            <w:r>
              <w:rPr>
                <w:color w:val="auto"/>
                <w:spacing w:val="-38"/>
                <w:highlight w:val="none"/>
              </w:rPr>
              <w:t xml:space="preserve"> </w:t>
            </w:r>
            <w:r>
              <w:rPr>
                <w:color w:val="auto"/>
                <w:spacing w:val="4"/>
                <w:highlight w:val="none"/>
              </w:rPr>
              <w:t>分，最高</w:t>
            </w:r>
            <w:r>
              <w:rPr>
                <w:color w:val="auto"/>
                <w:spacing w:val="-33"/>
                <w:highlight w:val="none"/>
              </w:rPr>
              <w:t xml:space="preserve"> </w:t>
            </w:r>
            <w:r>
              <w:rPr>
                <w:rFonts w:hint="eastAsia"/>
                <w:color w:val="auto"/>
                <w:spacing w:val="4"/>
                <w:highlight w:val="none"/>
                <w:lang w:val="en-US" w:eastAsia="zh-CN"/>
              </w:rPr>
              <w:t>2</w:t>
            </w:r>
            <w:r>
              <w:rPr>
                <w:color w:val="auto"/>
                <w:spacing w:val="-35"/>
                <w:highlight w:val="none"/>
              </w:rPr>
              <w:t xml:space="preserve"> </w:t>
            </w:r>
            <w:r>
              <w:rPr>
                <w:color w:val="auto"/>
                <w:spacing w:val="4"/>
                <w:highlight w:val="none"/>
              </w:rPr>
              <w:t>分。</w:t>
            </w:r>
          </w:p>
        </w:tc>
      </w:tr>
      <w:tr w14:paraId="0CC9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trPr>
        <w:tc>
          <w:tcPr>
            <w:tcW w:w="736" w:type="dxa"/>
            <w:vMerge w:val="continue"/>
            <w:noWrap w:val="0"/>
            <w:vAlign w:val="center"/>
          </w:tcPr>
          <w:p w14:paraId="21E0196B">
            <w:pPr>
              <w:widowControl/>
              <w:jc w:val="left"/>
              <w:rPr>
                <w:rFonts w:ascii="Arial" w:hAnsi="宋体" w:cs="Arial"/>
                <w:b/>
                <w:snapToGrid w:val="0"/>
                <w:color w:val="auto"/>
                <w:szCs w:val="21"/>
                <w:highlight w:val="none"/>
              </w:rPr>
            </w:pPr>
          </w:p>
        </w:tc>
        <w:tc>
          <w:tcPr>
            <w:tcW w:w="2127" w:type="dxa"/>
            <w:noWrap w:val="0"/>
            <w:vAlign w:val="center"/>
          </w:tcPr>
          <w:p w14:paraId="3FF3B7AC">
            <w:pPr>
              <w:spacing w:line="360" w:lineRule="exact"/>
              <w:jc w:val="left"/>
              <w:rPr>
                <w:rFonts w:ascii="宋体" w:hAnsi="宋体"/>
                <w:color w:val="auto"/>
                <w:szCs w:val="21"/>
                <w:highlight w:val="none"/>
              </w:rPr>
            </w:pPr>
            <w:r>
              <w:rPr>
                <w:rFonts w:hint="eastAsia" w:ascii="宋体" w:hAnsi="宋体" w:cs="Arial"/>
                <w:snapToGrid w:val="0"/>
                <w:color w:val="auto"/>
                <w:szCs w:val="21"/>
                <w:highlight w:val="none"/>
                <w:lang w:val="en-US" w:eastAsia="zh-CN"/>
              </w:rPr>
              <w:t>5</w:t>
            </w:r>
            <w:r>
              <w:rPr>
                <w:rFonts w:hint="eastAsia" w:ascii="宋体" w:hAnsi="宋体" w:cs="Arial"/>
                <w:snapToGrid w:val="0"/>
                <w:color w:val="auto"/>
                <w:szCs w:val="21"/>
                <w:highlight w:val="none"/>
              </w:rPr>
              <w:t>、整车质保期限</w:t>
            </w:r>
          </w:p>
        </w:tc>
        <w:tc>
          <w:tcPr>
            <w:tcW w:w="788" w:type="dxa"/>
            <w:noWrap w:val="0"/>
            <w:vAlign w:val="center"/>
          </w:tcPr>
          <w:p w14:paraId="58A054A3">
            <w:pPr>
              <w:spacing w:line="360" w:lineRule="exact"/>
              <w:jc w:val="center"/>
              <w:rPr>
                <w:rFonts w:hint="eastAsia" w:ascii="宋体" w:hAnsi="宋体" w:eastAsia="宋体"/>
                <w:color w:val="auto"/>
                <w:szCs w:val="21"/>
                <w:highlight w:val="none"/>
                <w:lang w:eastAsia="zh-CN"/>
              </w:rPr>
            </w:pPr>
            <w:r>
              <w:rPr>
                <w:rFonts w:hint="eastAsia" w:ascii="宋体" w:hAnsi="宋体" w:cs="Arial"/>
                <w:snapToGrid w:val="0"/>
                <w:color w:val="auto"/>
                <w:szCs w:val="21"/>
                <w:highlight w:val="none"/>
                <w:lang w:val="en-US" w:eastAsia="zh-CN"/>
              </w:rPr>
              <w:t>5</w:t>
            </w:r>
          </w:p>
        </w:tc>
        <w:tc>
          <w:tcPr>
            <w:tcW w:w="6159" w:type="dxa"/>
            <w:noWrap w:val="0"/>
            <w:vAlign w:val="center"/>
          </w:tcPr>
          <w:p w14:paraId="14E5C982">
            <w:pPr>
              <w:spacing w:line="360" w:lineRule="exact"/>
              <w:jc w:val="left"/>
              <w:rPr>
                <w:rFonts w:hAnsi="宋体"/>
                <w:color w:val="auto"/>
                <w:szCs w:val="21"/>
                <w:highlight w:val="none"/>
              </w:rPr>
            </w:pPr>
            <w:r>
              <w:rPr>
                <w:rFonts w:hint="eastAsia" w:ascii="宋体" w:hAnsi="宋体" w:cs="Arial"/>
                <w:snapToGrid w:val="0"/>
                <w:color w:val="auto"/>
                <w:szCs w:val="21"/>
                <w:highlight w:val="none"/>
              </w:rPr>
              <w:t>整车质保期不计里程</w:t>
            </w:r>
            <w:r>
              <w:rPr>
                <w:rFonts w:hint="eastAsia" w:ascii="宋体" w:hAnsi="宋体" w:cs="Arial"/>
                <w:snapToGrid w:val="0"/>
                <w:color w:val="auto"/>
                <w:szCs w:val="21"/>
                <w:highlight w:val="none"/>
                <w:lang w:val="en-US" w:eastAsia="zh-CN"/>
              </w:rPr>
              <w:t>36</w:t>
            </w:r>
            <w:r>
              <w:rPr>
                <w:rFonts w:hint="eastAsia" w:ascii="宋体" w:hAnsi="宋体" w:cs="Arial"/>
                <w:snapToGrid w:val="0"/>
                <w:color w:val="auto"/>
                <w:szCs w:val="21"/>
                <w:highlight w:val="none"/>
              </w:rPr>
              <w:t>个月的得</w:t>
            </w:r>
            <w:r>
              <w:rPr>
                <w:rFonts w:hint="eastAsia" w:ascii="宋体" w:hAnsi="宋体" w:cs="Arial"/>
                <w:snapToGrid w:val="0"/>
                <w:color w:val="auto"/>
                <w:szCs w:val="21"/>
                <w:highlight w:val="none"/>
                <w:lang w:val="en-US" w:eastAsia="zh-CN"/>
              </w:rPr>
              <w:t>3</w:t>
            </w:r>
            <w:r>
              <w:rPr>
                <w:rFonts w:hint="eastAsia" w:ascii="宋体" w:hAnsi="宋体" w:cs="Arial"/>
                <w:snapToGrid w:val="0"/>
                <w:color w:val="auto"/>
                <w:szCs w:val="21"/>
                <w:highlight w:val="none"/>
              </w:rPr>
              <w:t>分，每延长半年得</w:t>
            </w:r>
            <w:r>
              <w:rPr>
                <w:rFonts w:hint="eastAsia" w:ascii="宋体" w:hAnsi="宋体" w:cs="Arial"/>
                <w:snapToGrid w:val="0"/>
                <w:color w:val="auto"/>
                <w:szCs w:val="21"/>
                <w:highlight w:val="none"/>
                <w:lang w:val="en-US" w:eastAsia="zh-CN"/>
              </w:rPr>
              <w:t>1</w:t>
            </w:r>
            <w:r>
              <w:rPr>
                <w:rFonts w:hint="eastAsia" w:ascii="宋体" w:hAnsi="宋体" w:cs="Arial"/>
                <w:snapToGrid w:val="0"/>
                <w:color w:val="auto"/>
                <w:szCs w:val="21"/>
                <w:highlight w:val="none"/>
              </w:rPr>
              <w:t>分，最高得</w:t>
            </w:r>
            <w:r>
              <w:rPr>
                <w:rFonts w:hint="eastAsia" w:ascii="宋体" w:hAnsi="宋体" w:cs="Arial"/>
                <w:snapToGrid w:val="0"/>
                <w:color w:val="auto"/>
                <w:szCs w:val="21"/>
                <w:highlight w:val="none"/>
                <w:lang w:val="en-US" w:eastAsia="zh-CN"/>
              </w:rPr>
              <w:t>5</w:t>
            </w:r>
            <w:r>
              <w:rPr>
                <w:rFonts w:hint="eastAsia" w:ascii="宋体" w:hAnsi="宋体" w:cs="Arial"/>
                <w:snapToGrid w:val="0"/>
                <w:color w:val="auto"/>
                <w:szCs w:val="21"/>
                <w:highlight w:val="none"/>
              </w:rPr>
              <w:t>分。需单独提供有效书面承诺书，否则不得分。</w:t>
            </w:r>
          </w:p>
        </w:tc>
      </w:tr>
      <w:tr w14:paraId="53AA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trPr>
        <w:tc>
          <w:tcPr>
            <w:tcW w:w="736" w:type="dxa"/>
            <w:vMerge w:val="continue"/>
            <w:noWrap w:val="0"/>
            <w:vAlign w:val="center"/>
          </w:tcPr>
          <w:p w14:paraId="1DF4B624">
            <w:pPr>
              <w:widowControl/>
              <w:jc w:val="left"/>
              <w:rPr>
                <w:rFonts w:ascii="Arial" w:hAnsi="宋体" w:cs="Arial"/>
                <w:b/>
                <w:snapToGrid w:val="0"/>
                <w:color w:val="auto"/>
                <w:szCs w:val="21"/>
                <w:highlight w:val="none"/>
              </w:rPr>
            </w:pPr>
          </w:p>
        </w:tc>
        <w:tc>
          <w:tcPr>
            <w:tcW w:w="2127" w:type="dxa"/>
            <w:noWrap w:val="0"/>
            <w:vAlign w:val="center"/>
          </w:tcPr>
          <w:p w14:paraId="6DB35850">
            <w:pPr>
              <w:pStyle w:val="137"/>
              <w:spacing w:line="360" w:lineRule="exact"/>
              <w:ind w:firstLine="0" w:firstLineChars="0"/>
              <w:jc w:val="left"/>
              <w:rPr>
                <w:rFonts w:ascii="宋体" w:hAnsi="宋体"/>
                <w:color w:val="auto"/>
                <w:szCs w:val="21"/>
                <w:highlight w:val="none"/>
              </w:rPr>
            </w:pPr>
            <w:r>
              <w:rPr>
                <w:rFonts w:hint="eastAsia" w:ascii="宋体" w:hAnsi="宋体" w:cs="Arial"/>
                <w:snapToGrid w:val="0"/>
                <w:color w:val="auto"/>
                <w:szCs w:val="21"/>
                <w:highlight w:val="none"/>
                <w:lang w:val="en-US" w:eastAsia="zh-CN"/>
              </w:rPr>
              <w:t>6</w:t>
            </w:r>
            <w:r>
              <w:rPr>
                <w:rFonts w:hint="eastAsia" w:ascii="宋体" w:hAnsi="宋体" w:cs="Arial"/>
                <w:snapToGrid w:val="0"/>
                <w:color w:val="auto"/>
                <w:szCs w:val="21"/>
                <w:highlight w:val="none"/>
              </w:rPr>
              <w:t>、特约维修站</w:t>
            </w:r>
          </w:p>
        </w:tc>
        <w:tc>
          <w:tcPr>
            <w:tcW w:w="788" w:type="dxa"/>
            <w:noWrap w:val="0"/>
            <w:vAlign w:val="center"/>
          </w:tcPr>
          <w:p w14:paraId="68B33372">
            <w:pPr>
              <w:spacing w:line="360" w:lineRule="exact"/>
              <w:jc w:val="center"/>
              <w:rPr>
                <w:rFonts w:ascii="宋体" w:hAnsi="宋体"/>
                <w:color w:val="auto"/>
                <w:szCs w:val="21"/>
                <w:highlight w:val="none"/>
              </w:rPr>
            </w:pPr>
            <w:r>
              <w:rPr>
                <w:rFonts w:hint="eastAsia" w:ascii="宋体" w:hAnsi="宋体" w:cs="Arial"/>
                <w:snapToGrid w:val="0"/>
                <w:color w:val="auto"/>
                <w:szCs w:val="21"/>
                <w:highlight w:val="none"/>
              </w:rPr>
              <w:t>3</w:t>
            </w:r>
          </w:p>
        </w:tc>
        <w:tc>
          <w:tcPr>
            <w:tcW w:w="6159" w:type="dxa"/>
            <w:noWrap w:val="0"/>
            <w:vAlign w:val="top"/>
          </w:tcPr>
          <w:p w14:paraId="572A56BC">
            <w:pPr>
              <w:widowControl/>
              <w:snapToGrid w:val="0"/>
              <w:rPr>
                <w:rFonts w:ascii="宋体" w:hAnsi="宋体" w:cs="宋体"/>
                <w:bCs/>
                <w:color w:val="auto"/>
                <w:szCs w:val="21"/>
                <w:highlight w:val="none"/>
              </w:rPr>
            </w:pPr>
            <w:r>
              <w:rPr>
                <w:rFonts w:hint="eastAsia" w:ascii="宋体" w:hAnsi="宋体" w:cs="宋体"/>
                <w:bCs/>
                <w:color w:val="auto"/>
                <w:szCs w:val="21"/>
                <w:highlight w:val="none"/>
                <w:lang w:val="en-US" w:eastAsia="zh-CN"/>
              </w:rPr>
              <w:t>6.1</w:t>
            </w:r>
            <w:r>
              <w:rPr>
                <w:rFonts w:hint="eastAsia" w:ascii="宋体" w:hAnsi="宋体" w:cs="宋体"/>
                <w:bCs/>
                <w:color w:val="auto"/>
                <w:szCs w:val="21"/>
                <w:highlight w:val="none"/>
              </w:rPr>
              <w:t>.已在宁海县范围内设有特约维修站并承诺实行24小时服务的得1分其他不得分。</w:t>
            </w:r>
          </w:p>
          <w:p w14:paraId="673CBA74">
            <w:pPr>
              <w:widowControl/>
              <w:snapToGrid w:val="0"/>
              <w:rPr>
                <w:rFonts w:ascii="宋体" w:hAnsi="宋体" w:cs="宋体"/>
                <w:bCs/>
                <w:color w:val="auto"/>
                <w:szCs w:val="21"/>
                <w:highlight w:val="none"/>
              </w:rPr>
            </w:pPr>
            <w:r>
              <w:rPr>
                <w:rFonts w:hint="eastAsia" w:ascii="宋体" w:hAnsi="宋体" w:cs="宋体"/>
                <w:bCs/>
                <w:color w:val="auto"/>
                <w:szCs w:val="21"/>
                <w:highlight w:val="none"/>
                <w:lang w:val="en-US" w:eastAsia="zh-CN"/>
              </w:rPr>
              <w:t>6.2</w:t>
            </w:r>
            <w:r>
              <w:rPr>
                <w:rFonts w:hint="eastAsia" w:ascii="宋体" w:hAnsi="宋体" w:cs="宋体"/>
                <w:bCs/>
                <w:color w:val="auto"/>
                <w:szCs w:val="21"/>
                <w:highlight w:val="none"/>
              </w:rPr>
              <w:t>.承诺在质保期内接报后1小时到现场解决故障，24小时内修复得1分，其他不得分。</w:t>
            </w:r>
          </w:p>
          <w:p w14:paraId="311B0B3C">
            <w:pPr>
              <w:widowControl/>
              <w:snapToGrid w:val="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6.3</w:t>
            </w:r>
            <w:r>
              <w:rPr>
                <w:rFonts w:hint="eastAsia" w:ascii="宋体" w:hAnsi="宋体" w:cs="宋体"/>
                <w:bCs/>
                <w:color w:val="auto"/>
                <w:szCs w:val="21"/>
                <w:highlight w:val="none"/>
              </w:rPr>
              <w:t>.试运行一个月内三包人员跟踪服务、培训有内容、有计划、有承诺得1分，无承诺不得分</w:t>
            </w:r>
            <w:r>
              <w:rPr>
                <w:rFonts w:hint="eastAsia" w:ascii="宋体" w:hAnsi="宋体" w:cs="宋体"/>
                <w:bCs/>
                <w:color w:val="auto"/>
                <w:szCs w:val="21"/>
                <w:highlight w:val="none"/>
                <w:lang w:eastAsia="zh-CN"/>
              </w:rPr>
              <w:t>。</w:t>
            </w:r>
          </w:p>
        </w:tc>
      </w:tr>
      <w:tr w14:paraId="24FB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trPr>
        <w:tc>
          <w:tcPr>
            <w:tcW w:w="736" w:type="dxa"/>
            <w:vMerge w:val="continue"/>
            <w:noWrap w:val="0"/>
            <w:vAlign w:val="center"/>
          </w:tcPr>
          <w:p w14:paraId="5AA93E49">
            <w:pPr>
              <w:widowControl/>
              <w:jc w:val="left"/>
              <w:rPr>
                <w:rFonts w:ascii="Arial" w:hAnsi="宋体" w:cs="Arial"/>
                <w:b/>
                <w:snapToGrid w:val="0"/>
                <w:color w:val="auto"/>
                <w:szCs w:val="21"/>
                <w:highlight w:val="none"/>
              </w:rPr>
            </w:pPr>
          </w:p>
        </w:tc>
        <w:tc>
          <w:tcPr>
            <w:tcW w:w="2127" w:type="dxa"/>
            <w:noWrap w:val="0"/>
            <w:vAlign w:val="center"/>
          </w:tcPr>
          <w:p w14:paraId="71ECF6BF">
            <w:pPr>
              <w:spacing w:line="360" w:lineRule="exact"/>
              <w:jc w:val="center"/>
              <w:rPr>
                <w:rFonts w:ascii="宋体" w:hAnsi="宋体" w:cs="Arial"/>
                <w:snapToGrid w:val="0"/>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w:t>
            </w:r>
            <w:r>
              <w:rPr>
                <w:rFonts w:hint="eastAsia" w:ascii="宋体" w:hAnsi="宋体" w:cs="宋体"/>
                <w:bCs/>
                <w:color w:val="auto"/>
                <w:kern w:val="0"/>
                <w:szCs w:val="21"/>
                <w:highlight w:val="none"/>
              </w:rPr>
              <w:t>售后服务满意度</w:t>
            </w:r>
          </w:p>
        </w:tc>
        <w:tc>
          <w:tcPr>
            <w:tcW w:w="788" w:type="dxa"/>
            <w:noWrap w:val="0"/>
            <w:vAlign w:val="center"/>
          </w:tcPr>
          <w:p w14:paraId="2E62C6B2">
            <w:pPr>
              <w:spacing w:line="360" w:lineRule="exact"/>
              <w:jc w:val="center"/>
              <w:rPr>
                <w:rFonts w:ascii="宋体" w:hAnsi="宋体" w:cs="Arial"/>
                <w:snapToGrid w:val="0"/>
                <w:color w:val="auto"/>
                <w:szCs w:val="21"/>
                <w:highlight w:val="none"/>
              </w:rPr>
            </w:pPr>
            <w:r>
              <w:rPr>
                <w:rFonts w:hint="eastAsia" w:ascii="宋体" w:hAnsi="宋体" w:cs="Arial"/>
                <w:snapToGrid w:val="0"/>
                <w:color w:val="auto"/>
                <w:szCs w:val="21"/>
                <w:highlight w:val="none"/>
              </w:rPr>
              <w:t>3</w:t>
            </w:r>
          </w:p>
        </w:tc>
        <w:tc>
          <w:tcPr>
            <w:tcW w:w="6159" w:type="dxa"/>
            <w:noWrap w:val="0"/>
            <w:vAlign w:val="center"/>
          </w:tcPr>
          <w:p w14:paraId="584AB100">
            <w:pPr>
              <w:spacing w:line="360" w:lineRule="exact"/>
              <w:jc w:val="left"/>
              <w:rPr>
                <w:rFonts w:hint="eastAsia" w:ascii="宋体" w:hAnsi="宋体" w:eastAsia="宋体" w:cs="宋体"/>
                <w:bCs/>
                <w:color w:val="auto"/>
                <w:szCs w:val="21"/>
                <w:highlight w:val="none"/>
                <w:lang w:eastAsia="zh-CN"/>
              </w:rPr>
            </w:pPr>
            <w:r>
              <w:rPr>
                <w:rFonts w:hint="eastAsia"/>
                <w:color w:val="auto"/>
                <w:highlight w:val="none"/>
              </w:rPr>
              <w:t>投标人所投车辆生产企业获得CTEAS1001-2017《CTEAS售后服务体系完善程度认证评价规范》七星级售后服务认证证书的得3分，五星级售后服务认证证书的得1分，其他不得分。提供相关证明材料复印件加盖公章</w:t>
            </w:r>
            <w:r>
              <w:rPr>
                <w:rFonts w:hint="eastAsia"/>
                <w:color w:val="auto"/>
                <w:highlight w:val="none"/>
                <w:lang w:eastAsia="zh-CN"/>
              </w:rPr>
              <w:t>。</w:t>
            </w:r>
          </w:p>
        </w:tc>
      </w:tr>
      <w:tr w14:paraId="0E1D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736" w:type="dxa"/>
            <w:noWrap w:val="0"/>
            <w:vAlign w:val="center"/>
          </w:tcPr>
          <w:p w14:paraId="5D9973A0">
            <w:pPr>
              <w:jc w:val="center"/>
              <w:rPr>
                <w:rFonts w:ascii="宋体" w:hAnsi="宋体" w:cs="宋体"/>
                <w:b/>
                <w:snapToGrid w:val="0"/>
                <w:color w:val="auto"/>
                <w:szCs w:val="21"/>
                <w:highlight w:val="none"/>
              </w:rPr>
            </w:pPr>
            <w:r>
              <w:rPr>
                <w:rFonts w:hint="eastAsia" w:ascii="宋体" w:hAnsi="宋体" w:cs="宋体"/>
                <w:b/>
                <w:snapToGrid w:val="0"/>
                <w:color w:val="auto"/>
                <w:szCs w:val="21"/>
                <w:highlight w:val="none"/>
              </w:rPr>
              <w:t>二</w:t>
            </w:r>
          </w:p>
        </w:tc>
        <w:tc>
          <w:tcPr>
            <w:tcW w:w="9074" w:type="dxa"/>
            <w:gridSpan w:val="3"/>
            <w:noWrap w:val="0"/>
            <w:vAlign w:val="center"/>
          </w:tcPr>
          <w:p w14:paraId="3B0E09F4">
            <w:pPr>
              <w:jc w:val="center"/>
              <w:rPr>
                <w:rFonts w:ascii="宋体" w:hAnsi="宋体" w:cs="宋体"/>
                <w:b/>
                <w:i/>
                <w:snapToGrid w:val="0"/>
                <w:color w:val="auto"/>
                <w:szCs w:val="21"/>
                <w:highlight w:val="none"/>
              </w:rPr>
            </w:pPr>
            <w:r>
              <w:rPr>
                <w:rFonts w:hint="eastAsia" w:ascii="Arial" w:hAnsi="宋体" w:cs="Arial"/>
                <w:b/>
                <w:snapToGrid w:val="0"/>
                <w:color w:val="auto"/>
                <w:szCs w:val="21"/>
                <w:highlight w:val="none"/>
              </w:rPr>
              <w:t>投标价格分（40分）</w:t>
            </w:r>
          </w:p>
        </w:tc>
      </w:tr>
      <w:tr w14:paraId="5B99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0" w:hRule="atLeast"/>
        </w:trPr>
        <w:tc>
          <w:tcPr>
            <w:tcW w:w="736" w:type="dxa"/>
            <w:noWrap w:val="0"/>
            <w:vAlign w:val="center"/>
          </w:tcPr>
          <w:p w14:paraId="1DF550CA">
            <w:pPr>
              <w:jc w:val="center"/>
              <w:rPr>
                <w:rFonts w:hint="eastAsia" w:ascii="Arial" w:hAnsi="宋体" w:eastAsia="宋体" w:cs="Arial"/>
                <w:snapToGrid w:val="0"/>
                <w:color w:val="auto"/>
                <w:szCs w:val="21"/>
                <w:highlight w:val="none"/>
                <w:lang w:eastAsia="zh-CN"/>
              </w:rPr>
            </w:pPr>
            <w:r>
              <w:rPr>
                <w:rFonts w:hint="eastAsia" w:ascii="Arial" w:hAnsi="宋体" w:cs="Arial"/>
                <w:snapToGrid w:val="0"/>
                <w:color w:val="auto"/>
                <w:szCs w:val="21"/>
                <w:highlight w:val="none"/>
                <w:lang w:val="en-US" w:eastAsia="zh-CN"/>
              </w:rPr>
              <w:t>1</w:t>
            </w:r>
          </w:p>
        </w:tc>
        <w:tc>
          <w:tcPr>
            <w:tcW w:w="9074" w:type="dxa"/>
            <w:gridSpan w:val="3"/>
            <w:noWrap w:val="0"/>
            <w:vAlign w:val="center"/>
          </w:tcPr>
          <w:p w14:paraId="0E5AF382">
            <w:pPr>
              <w:rPr>
                <w:rFonts w:ascii="Arial" w:hAnsi="宋体" w:cs="Arial"/>
                <w:bCs/>
                <w:snapToGrid w:val="0"/>
                <w:color w:val="auto"/>
                <w:szCs w:val="21"/>
                <w:highlight w:val="none"/>
              </w:rPr>
            </w:pPr>
            <w:r>
              <w:rPr>
                <w:rFonts w:hint="eastAsia" w:ascii="Arial" w:hAnsi="宋体" w:cs="Arial"/>
                <w:bCs/>
                <w:snapToGrid w:val="0"/>
                <w:color w:val="auto"/>
                <w:szCs w:val="21"/>
                <w:highlight w:val="none"/>
              </w:rPr>
              <w:t>本次招标设最高投标限价：超过最高限价的，其投标文件作为无效标处理。</w:t>
            </w:r>
          </w:p>
          <w:p w14:paraId="480776DD">
            <w:pPr>
              <w:rPr>
                <w:rFonts w:ascii="Arial" w:hAnsi="宋体" w:cs="Arial"/>
                <w:bCs/>
                <w:snapToGrid w:val="0"/>
                <w:color w:val="auto"/>
                <w:szCs w:val="21"/>
                <w:highlight w:val="none"/>
              </w:rPr>
            </w:pPr>
            <w:r>
              <w:rPr>
                <w:rFonts w:hint="eastAsia" w:ascii="Arial" w:hAnsi="宋体" w:cs="Arial"/>
                <w:bCs/>
                <w:snapToGrid w:val="0"/>
                <w:color w:val="auto"/>
                <w:szCs w:val="21"/>
                <w:highlight w:val="none"/>
              </w:rPr>
              <w:t>评标基准价的确定：</w:t>
            </w:r>
          </w:p>
          <w:p w14:paraId="6A54AA0B">
            <w:pPr>
              <w:tabs>
                <w:tab w:val="left" w:pos="420"/>
                <w:tab w:val="left" w:pos="982"/>
              </w:tabs>
              <w:snapToGrid w:val="0"/>
              <w:spacing w:line="340" w:lineRule="exact"/>
              <w:rPr>
                <w:rFonts w:ascii="宋体"/>
                <w:color w:val="auto"/>
                <w:highlight w:val="none"/>
              </w:rPr>
            </w:pPr>
            <w:r>
              <w:rPr>
                <w:rFonts w:hint="eastAsia" w:ascii="宋体" w:hAnsi="宋体"/>
                <w:color w:val="auto"/>
                <w:szCs w:val="22"/>
                <w:highlight w:val="none"/>
              </w:rPr>
              <w:t>进入商务报价程序的</w:t>
            </w:r>
            <w:r>
              <w:rPr>
                <w:rFonts w:hint="eastAsia" w:ascii="宋体" w:hAnsi="Calibri"/>
                <w:color w:val="auto"/>
                <w:szCs w:val="22"/>
                <w:highlight w:val="none"/>
              </w:rPr>
              <w:t>全部有效投标供应商中的</w:t>
            </w:r>
            <w:r>
              <w:rPr>
                <w:rFonts w:hint="eastAsia" w:ascii="Arial" w:hAnsi="Arial"/>
                <w:snapToGrid w:val="0"/>
                <w:color w:val="auto"/>
                <w:szCs w:val="22"/>
                <w:highlight w:val="none"/>
                <w:lang w:val="en-US" w:eastAsia="zh-CN"/>
              </w:rPr>
              <w:t>平均价为</w:t>
            </w:r>
            <w:r>
              <w:rPr>
                <w:rFonts w:hint="eastAsia" w:ascii="Arial" w:hAnsi="宋体" w:cs="Arial"/>
                <w:bCs/>
                <w:snapToGrid w:val="0"/>
                <w:color w:val="auto"/>
                <w:szCs w:val="21"/>
                <w:highlight w:val="none"/>
              </w:rPr>
              <w:t>（</w:t>
            </w:r>
            <w:r>
              <w:rPr>
                <w:rFonts w:hint="eastAsia" w:ascii="Arial" w:hAnsi="Arial"/>
                <w:snapToGrid w:val="0"/>
                <w:color w:val="auto"/>
                <w:szCs w:val="22"/>
                <w:highlight w:val="none"/>
                <w:lang w:val="en-US" w:eastAsia="zh-CN"/>
              </w:rPr>
              <w:t>不含补贴的</w:t>
            </w:r>
            <w:r>
              <w:rPr>
                <w:rFonts w:hint="eastAsia" w:ascii="Arial" w:hAnsi="宋体" w:cs="Arial"/>
                <w:bCs/>
                <w:snapToGrid w:val="0"/>
                <w:color w:val="auto"/>
                <w:szCs w:val="21"/>
                <w:highlight w:val="none"/>
              </w:rPr>
              <w:t>投标总报价）</w:t>
            </w:r>
            <w:r>
              <w:rPr>
                <w:rFonts w:hint="eastAsia" w:ascii="宋体" w:hAnsi="Calibri"/>
                <w:color w:val="auto"/>
                <w:szCs w:val="22"/>
                <w:highlight w:val="none"/>
              </w:rPr>
              <w:t>作为评分基准值。投标供应商商务报价与基准值对比，计算出商务报价评分值：</w:t>
            </w:r>
          </w:p>
          <w:p w14:paraId="31DA84FE">
            <w:pPr>
              <w:tabs>
                <w:tab w:val="left" w:pos="435"/>
                <w:tab w:val="left" w:pos="1134"/>
              </w:tabs>
              <w:snapToGrid w:val="0"/>
              <w:spacing w:line="360" w:lineRule="exact"/>
              <w:rPr>
                <w:rFonts w:ascii="Arial" w:hAnsi="Arial"/>
                <w:color w:val="auto"/>
                <w:szCs w:val="22"/>
                <w:highlight w:val="none"/>
              </w:rPr>
            </w:pPr>
            <w:r>
              <w:rPr>
                <w:rFonts w:hint="eastAsia" w:ascii="Arial" w:hAnsi="Arial"/>
                <w:color w:val="auto"/>
                <w:szCs w:val="22"/>
                <w:highlight w:val="none"/>
              </w:rPr>
              <w:t>（1）全部有效投标供应商中的</w:t>
            </w:r>
            <w:r>
              <w:rPr>
                <w:rFonts w:hint="eastAsia" w:ascii="Arial" w:hAnsi="Arial"/>
                <w:snapToGrid w:val="0"/>
                <w:color w:val="auto"/>
                <w:szCs w:val="22"/>
                <w:highlight w:val="none"/>
                <w:lang w:val="en-US" w:eastAsia="zh-CN"/>
              </w:rPr>
              <w:t>平均</w:t>
            </w:r>
            <w:r>
              <w:rPr>
                <w:rFonts w:hint="eastAsia" w:ascii="Arial" w:hAnsi="宋体" w:cs="Arial"/>
                <w:bCs/>
                <w:snapToGrid w:val="0"/>
                <w:color w:val="auto"/>
                <w:szCs w:val="21"/>
                <w:highlight w:val="none"/>
              </w:rPr>
              <w:t>报价</w:t>
            </w:r>
            <w:r>
              <w:rPr>
                <w:rFonts w:hint="eastAsia" w:ascii="Arial" w:hAnsi="Arial"/>
                <w:color w:val="auto"/>
                <w:szCs w:val="22"/>
                <w:highlight w:val="none"/>
              </w:rPr>
              <w:t>作为评标基准价。</w:t>
            </w:r>
          </w:p>
          <w:p w14:paraId="49C8D5D1">
            <w:pPr>
              <w:tabs>
                <w:tab w:val="left" w:pos="420"/>
                <w:tab w:val="left" w:pos="982"/>
              </w:tabs>
              <w:snapToGrid w:val="0"/>
              <w:spacing w:line="340" w:lineRule="exact"/>
              <w:rPr>
                <w:rFonts w:ascii="Arial" w:hAnsi="Arial"/>
                <w:snapToGrid w:val="0"/>
                <w:color w:val="auto"/>
                <w:szCs w:val="22"/>
                <w:highlight w:val="none"/>
              </w:rPr>
            </w:pPr>
            <w:r>
              <w:rPr>
                <w:rFonts w:hint="eastAsia" w:ascii="Arial" w:hAnsi="Arial"/>
                <w:snapToGrid w:val="0"/>
                <w:color w:val="auto"/>
                <w:szCs w:val="22"/>
                <w:highlight w:val="none"/>
                <w:lang w:eastAsia="zh-CN"/>
              </w:rPr>
              <w:t>（</w:t>
            </w:r>
            <w:r>
              <w:rPr>
                <w:rFonts w:hint="eastAsia" w:ascii="Arial" w:hAnsi="Arial"/>
                <w:snapToGrid w:val="0"/>
                <w:color w:val="auto"/>
                <w:szCs w:val="22"/>
                <w:highlight w:val="none"/>
                <w:lang w:val="en-US" w:eastAsia="zh-CN"/>
              </w:rPr>
              <w:t>2</w:t>
            </w:r>
            <w:r>
              <w:rPr>
                <w:rFonts w:hint="eastAsia" w:ascii="Arial" w:hAnsi="Arial"/>
                <w:snapToGrid w:val="0"/>
                <w:color w:val="auto"/>
                <w:szCs w:val="22"/>
                <w:highlight w:val="none"/>
                <w:lang w:eastAsia="zh-CN"/>
              </w:rPr>
              <w:t>）</w:t>
            </w:r>
            <w:r>
              <w:rPr>
                <w:rFonts w:hint="eastAsia"/>
                <w:color w:val="auto"/>
                <w:szCs w:val="24"/>
                <w:highlight w:val="none"/>
              </w:rPr>
              <w:t>投标人的投标报价与基准价一致得</w:t>
            </w:r>
            <w:r>
              <w:rPr>
                <w:rFonts w:hint="eastAsia"/>
                <w:color w:val="auto"/>
                <w:szCs w:val="24"/>
                <w:highlight w:val="none"/>
                <w:lang w:val="en-US" w:eastAsia="zh-CN"/>
              </w:rPr>
              <w:t>4</w:t>
            </w:r>
            <w:r>
              <w:rPr>
                <w:rFonts w:hint="eastAsia"/>
                <w:color w:val="auto"/>
                <w:szCs w:val="24"/>
                <w:highlight w:val="none"/>
              </w:rPr>
              <w:t>0分，每高于基准价1%，扣0.</w:t>
            </w:r>
            <w:r>
              <w:rPr>
                <w:rFonts w:hint="eastAsia"/>
                <w:color w:val="auto"/>
                <w:szCs w:val="24"/>
                <w:highlight w:val="none"/>
                <w:lang w:val="en-US" w:eastAsia="zh-CN"/>
              </w:rPr>
              <w:t>5</w:t>
            </w:r>
            <w:r>
              <w:rPr>
                <w:rFonts w:hint="eastAsia"/>
                <w:color w:val="auto"/>
                <w:szCs w:val="24"/>
                <w:highlight w:val="none"/>
              </w:rPr>
              <w:t>分，每低于基准价1%，扣0.</w:t>
            </w:r>
            <w:r>
              <w:rPr>
                <w:rFonts w:hint="eastAsia"/>
                <w:color w:val="auto"/>
                <w:szCs w:val="24"/>
                <w:highlight w:val="none"/>
                <w:lang w:val="en-US" w:eastAsia="zh-CN"/>
              </w:rPr>
              <w:t>3</w:t>
            </w:r>
            <w:r>
              <w:rPr>
                <w:rFonts w:hint="eastAsia"/>
                <w:color w:val="auto"/>
                <w:szCs w:val="24"/>
                <w:highlight w:val="none"/>
              </w:rPr>
              <w:t>分（中间值采用内插法计算），以此类推，扣完为止。</w:t>
            </w:r>
          </w:p>
          <w:p w14:paraId="4E322FB2">
            <w:pPr>
              <w:tabs>
                <w:tab w:val="left" w:pos="420"/>
                <w:tab w:val="left" w:pos="982"/>
              </w:tabs>
              <w:snapToGrid w:val="0"/>
              <w:spacing w:line="340" w:lineRule="exact"/>
              <w:rPr>
                <w:rFonts w:hint="default" w:ascii="Arial" w:hAnsi="Arial"/>
                <w:snapToGrid w:val="0"/>
                <w:color w:val="auto"/>
                <w:szCs w:val="22"/>
                <w:highlight w:val="none"/>
                <w:lang w:val="en-US" w:eastAsia="zh-CN"/>
              </w:rPr>
            </w:pPr>
            <w:r>
              <w:rPr>
                <w:rFonts w:hint="eastAsia" w:ascii="Arial" w:hAnsi="Arial"/>
                <w:snapToGrid w:val="0"/>
                <w:color w:val="auto"/>
                <w:szCs w:val="22"/>
                <w:highlight w:val="none"/>
              </w:rPr>
              <w:t>投标报价分得分计算保留小数</w:t>
            </w:r>
            <w:r>
              <w:rPr>
                <w:rFonts w:ascii="Arial" w:hAnsi="Arial"/>
                <w:snapToGrid w:val="0"/>
                <w:color w:val="auto"/>
                <w:szCs w:val="22"/>
                <w:highlight w:val="none"/>
              </w:rPr>
              <w:t>2</w:t>
            </w:r>
            <w:r>
              <w:rPr>
                <w:rFonts w:hint="eastAsia" w:ascii="Arial" w:hAnsi="Arial"/>
                <w:snapToGrid w:val="0"/>
                <w:color w:val="auto"/>
                <w:szCs w:val="22"/>
                <w:highlight w:val="none"/>
              </w:rPr>
              <w:t>位，第三位四舍五入。</w:t>
            </w:r>
          </w:p>
        </w:tc>
      </w:tr>
    </w:tbl>
    <w:p w14:paraId="6110311F">
      <w:pPr>
        <w:spacing w:line="360" w:lineRule="auto"/>
        <w:jc w:val="left"/>
        <w:rPr>
          <w:rFonts w:ascii="宋体" w:hAnsi="宋体"/>
          <w:b/>
          <w:bCs/>
          <w:color w:val="auto"/>
          <w:szCs w:val="21"/>
          <w:highlight w:val="none"/>
        </w:rPr>
      </w:pPr>
    </w:p>
    <w:p w14:paraId="15FE054A">
      <w:pPr>
        <w:spacing w:line="360" w:lineRule="auto"/>
        <w:jc w:val="left"/>
        <w:rPr>
          <w:rFonts w:ascii="黑体" w:eastAsia="黑体"/>
          <w:b/>
          <w:color w:val="auto"/>
          <w:sz w:val="32"/>
          <w:highlight w:val="none"/>
        </w:rPr>
      </w:pPr>
      <w:r>
        <w:rPr>
          <w:rFonts w:hint="eastAsia" w:ascii="宋体" w:hAnsi="宋体"/>
          <w:b/>
          <w:bCs/>
          <w:color w:val="auto"/>
          <w:szCs w:val="21"/>
          <w:highlight w:val="none"/>
          <w:lang w:eastAsia="zh-CN"/>
        </w:rPr>
        <w:t>标项（子包）</w:t>
      </w:r>
      <w:r>
        <w:rPr>
          <w:rFonts w:hint="eastAsia" w:ascii="宋体" w:hAnsi="宋体"/>
          <w:b/>
          <w:bCs/>
          <w:color w:val="auto"/>
          <w:szCs w:val="21"/>
          <w:highlight w:val="none"/>
        </w:rPr>
        <w:t>二评分内容和标准见下表：</w:t>
      </w:r>
    </w:p>
    <w:tbl>
      <w:tblPr>
        <w:tblStyle w:val="45"/>
        <w:tblpPr w:leftFromText="180" w:rightFromText="180" w:vertAnchor="text" w:horzAnchor="page" w:tblpX="1192" w:tblpY="450"/>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127"/>
        <w:gridCol w:w="788"/>
        <w:gridCol w:w="6159"/>
      </w:tblGrid>
      <w:tr w14:paraId="2D0D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8"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21D1D6C6">
            <w:pPr>
              <w:ind w:left="-708" w:leftChars="-337" w:firstLine="706" w:firstLineChars="335"/>
              <w:jc w:val="center"/>
              <w:rPr>
                <w:rFonts w:ascii="Arial" w:hAnsi="宋体" w:cs="Arial"/>
                <w:b/>
                <w:bCs/>
                <w:snapToGrid w:val="0"/>
                <w:color w:val="auto"/>
                <w:szCs w:val="21"/>
                <w:highlight w:val="none"/>
              </w:rPr>
            </w:pPr>
            <w:r>
              <w:rPr>
                <w:rFonts w:hint="eastAsia" w:ascii="Arial" w:hAnsi="宋体" w:cs="Arial"/>
                <w:b/>
                <w:bCs/>
                <w:snapToGrid w:val="0"/>
                <w:color w:val="auto"/>
                <w:szCs w:val="21"/>
                <w:highlight w:val="none"/>
              </w:rPr>
              <w:t>一</w:t>
            </w:r>
          </w:p>
        </w:tc>
        <w:tc>
          <w:tcPr>
            <w:tcW w:w="9074" w:type="dxa"/>
            <w:gridSpan w:val="3"/>
            <w:tcBorders>
              <w:top w:val="single" w:color="auto" w:sz="4" w:space="0"/>
              <w:left w:val="single" w:color="auto" w:sz="4" w:space="0"/>
              <w:bottom w:val="single" w:color="auto" w:sz="4" w:space="0"/>
              <w:right w:val="single" w:color="auto" w:sz="4" w:space="0"/>
            </w:tcBorders>
            <w:noWrap w:val="0"/>
            <w:vAlign w:val="center"/>
          </w:tcPr>
          <w:p w14:paraId="0FECAA3D">
            <w:pPr>
              <w:spacing w:line="440" w:lineRule="exact"/>
              <w:ind w:right="6"/>
              <w:jc w:val="center"/>
              <w:rPr>
                <w:rFonts w:ascii="Arial" w:hAnsi="宋体" w:cs="Arial"/>
                <w:b/>
                <w:snapToGrid w:val="0"/>
                <w:color w:val="auto"/>
                <w:szCs w:val="21"/>
                <w:highlight w:val="none"/>
              </w:rPr>
            </w:pPr>
            <w:r>
              <w:rPr>
                <w:rFonts w:hint="eastAsia" w:ascii="Arial" w:hAnsi="宋体" w:cs="Arial"/>
                <w:b/>
                <w:snapToGrid w:val="0"/>
                <w:color w:val="auto"/>
                <w:szCs w:val="21"/>
                <w:highlight w:val="none"/>
              </w:rPr>
              <w:t>技术商务分（60分）</w:t>
            </w:r>
          </w:p>
          <w:p w14:paraId="3EA3D37A">
            <w:pPr>
              <w:rPr>
                <w:rFonts w:ascii="Arial" w:hAnsi="宋体" w:cs="Arial"/>
                <w:b/>
                <w:bCs/>
                <w:snapToGrid w:val="0"/>
                <w:color w:val="auto"/>
                <w:szCs w:val="21"/>
                <w:highlight w:val="none"/>
              </w:rPr>
            </w:pPr>
            <w:r>
              <w:rPr>
                <w:rFonts w:hint="eastAsia" w:ascii="Arial" w:hAnsi="宋体" w:cs="Arial"/>
                <w:b/>
                <w:snapToGrid w:val="0"/>
                <w:color w:val="auto"/>
                <w:szCs w:val="21"/>
                <w:highlight w:val="none"/>
              </w:rPr>
              <w:t>最终得分为评标专家组成员的有效评分中的算术平均值</w:t>
            </w:r>
            <w:r>
              <w:rPr>
                <w:rFonts w:ascii="Arial" w:hAnsi="宋体" w:cs="Arial"/>
                <w:b/>
                <w:snapToGrid w:val="0"/>
                <w:color w:val="auto"/>
                <w:szCs w:val="21"/>
                <w:highlight w:val="none"/>
              </w:rPr>
              <w:t>(</w:t>
            </w:r>
            <w:r>
              <w:rPr>
                <w:rFonts w:hint="eastAsia" w:ascii="Arial" w:hAnsi="宋体" w:cs="Arial"/>
                <w:b/>
                <w:snapToGrid w:val="0"/>
                <w:color w:val="auto"/>
                <w:szCs w:val="21"/>
                <w:highlight w:val="none"/>
              </w:rPr>
              <w:t>计算评分值时保留二位小数，第三位四舍五入</w:t>
            </w:r>
            <w:r>
              <w:rPr>
                <w:rFonts w:ascii="Arial" w:hAnsi="宋体" w:cs="Arial"/>
                <w:b/>
                <w:snapToGrid w:val="0"/>
                <w:color w:val="auto"/>
                <w:szCs w:val="21"/>
                <w:highlight w:val="none"/>
              </w:rPr>
              <w:t>)</w:t>
            </w:r>
            <w:r>
              <w:rPr>
                <w:rFonts w:hint="eastAsia" w:ascii="Arial" w:hAnsi="宋体" w:cs="Arial"/>
                <w:b/>
                <w:snapToGrid w:val="0"/>
                <w:color w:val="auto"/>
                <w:szCs w:val="21"/>
                <w:highlight w:val="none"/>
              </w:rPr>
              <w:t>。</w:t>
            </w:r>
          </w:p>
        </w:tc>
      </w:tr>
      <w:tr w14:paraId="297C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50F94A8E">
            <w:pPr>
              <w:jc w:val="center"/>
              <w:rPr>
                <w:rFonts w:ascii="Arial" w:hAnsi="宋体" w:cs="Arial"/>
                <w:b/>
                <w:snapToGrid w:val="0"/>
                <w:color w:val="auto"/>
                <w:szCs w:val="21"/>
                <w:highlight w:val="none"/>
              </w:rPr>
            </w:pPr>
            <w:r>
              <w:rPr>
                <w:rFonts w:hint="eastAsia" w:ascii="Arial" w:hAnsi="宋体" w:cs="Arial"/>
                <w:b/>
                <w:snapToGrid w:val="0"/>
                <w:color w:val="auto"/>
                <w:szCs w:val="21"/>
                <w:highlight w:val="none"/>
              </w:rPr>
              <w:t>考评项目</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B957B3B">
            <w:pPr>
              <w:jc w:val="center"/>
              <w:rPr>
                <w:rFonts w:ascii="Arial" w:hAnsi="宋体" w:cs="Arial"/>
                <w:b/>
                <w:snapToGrid w:val="0"/>
                <w:color w:val="auto"/>
                <w:szCs w:val="21"/>
                <w:highlight w:val="none"/>
              </w:rPr>
            </w:pPr>
            <w:r>
              <w:rPr>
                <w:rFonts w:hint="eastAsia" w:ascii="Arial" w:hAnsi="宋体" w:cs="Arial"/>
                <w:b/>
                <w:snapToGrid w:val="0"/>
                <w:color w:val="auto"/>
                <w:szCs w:val="21"/>
                <w:highlight w:val="none"/>
              </w:rPr>
              <w:t>评分标准</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5801C1FE">
            <w:pPr>
              <w:jc w:val="center"/>
              <w:rPr>
                <w:rFonts w:ascii="Arial" w:hAnsi="宋体" w:cs="Arial"/>
                <w:b/>
                <w:snapToGrid w:val="0"/>
                <w:color w:val="auto"/>
                <w:szCs w:val="21"/>
                <w:highlight w:val="none"/>
              </w:rPr>
            </w:pPr>
            <w:r>
              <w:rPr>
                <w:rFonts w:hint="eastAsia" w:ascii="Arial" w:hAnsi="宋体" w:cs="Arial"/>
                <w:b/>
                <w:snapToGrid w:val="0"/>
                <w:color w:val="auto"/>
                <w:szCs w:val="21"/>
                <w:highlight w:val="none"/>
              </w:rPr>
              <w:t>分值</w:t>
            </w:r>
          </w:p>
        </w:tc>
        <w:tc>
          <w:tcPr>
            <w:tcW w:w="6159" w:type="dxa"/>
            <w:tcBorders>
              <w:top w:val="single" w:color="auto" w:sz="4" w:space="0"/>
              <w:left w:val="single" w:color="auto" w:sz="4" w:space="0"/>
              <w:bottom w:val="single" w:color="auto" w:sz="4" w:space="0"/>
              <w:right w:val="single" w:color="auto" w:sz="4" w:space="0"/>
            </w:tcBorders>
            <w:noWrap w:val="0"/>
            <w:vAlign w:val="center"/>
          </w:tcPr>
          <w:p w14:paraId="7C09D80A">
            <w:pPr>
              <w:jc w:val="center"/>
              <w:rPr>
                <w:rFonts w:ascii="Arial" w:hAnsi="宋体" w:cs="Arial"/>
                <w:b/>
                <w:snapToGrid w:val="0"/>
                <w:color w:val="auto"/>
                <w:szCs w:val="21"/>
                <w:highlight w:val="none"/>
              </w:rPr>
            </w:pPr>
            <w:r>
              <w:rPr>
                <w:rFonts w:hint="eastAsia" w:ascii="宋体" w:hAnsi="宋体"/>
                <w:b/>
                <w:bCs/>
                <w:color w:val="auto"/>
                <w:sz w:val="24"/>
                <w:szCs w:val="22"/>
                <w:highlight w:val="none"/>
              </w:rPr>
              <w:t>评  定  依  据</w:t>
            </w:r>
          </w:p>
        </w:tc>
      </w:tr>
      <w:tr w14:paraId="486F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736" w:type="dxa"/>
            <w:vMerge w:val="restart"/>
            <w:tcBorders>
              <w:top w:val="single" w:color="auto" w:sz="4" w:space="0"/>
              <w:left w:val="single" w:color="auto" w:sz="4" w:space="0"/>
              <w:bottom w:val="single" w:color="auto" w:sz="4" w:space="0"/>
              <w:right w:val="single" w:color="auto" w:sz="4" w:space="0"/>
            </w:tcBorders>
            <w:noWrap w:val="0"/>
            <w:vAlign w:val="center"/>
          </w:tcPr>
          <w:p w14:paraId="7C3D3EF9">
            <w:pPr>
              <w:jc w:val="center"/>
              <w:rPr>
                <w:rFonts w:ascii="Arial" w:hAnsi="宋体" w:cs="Arial"/>
                <w:b/>
                <w:snapToGrid w:val="0"/>
                <w:color w:val="auto"/>
                <w:szCs w:val="21"/>
                <w:highlight w:val="none"/>
              </w:rPr>
            </w:pPr>
            <w:r>
              <w:rPr>
                <w:rFonts w:hint="eastAsia" w:ascii="宋体" w:hAnsi="宋体" w:cs="宋体"/>
                <w:bCs/>
                <w:color w:val="auto"/>
                <w:szCs w:val="21"/>
                <w:highlight w:val="none"/>
              </w:rPr>
              <w:t>技术质量（4</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BC52D3F">
            <w:pPr>
              <w:ind w:left="105" w:leftChars="50" w:right="105" w:rightChars="50"/>
              <w:jc w:val="left"/>
              <w:rPr>
                <w:rFonts w:ascii="宋体" w:hAnsi="宋体"/>
                <w:color w:val="auto"/>
                <w:szCs w:val="21"/>
                <w:highlight w:val="none"/>
              </w:rPr>
            </w:pPr>
            <w:r>
              <w:rPr>
                <w:rFonts w:hint="eastAsia" w:ascii="宋体" w:hAnsi="宋体"/>
                <w:color w:val="auto"/>
                <w:szCs w:val="21"/>
                <w:highlight w:val="none"/>
              </w:rPr>
              <w:t>1、对招标文件技术参数、整车配置要求的响应程度</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07906F61">
            <w:pPr>
              <w:ind w:left="105" w:leftChars="50" w:right="105" w:rightChars="5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40</w:t>
            </w:r>
          </w:p>
        </w:tc>
        <w:tc>
          <w:tcPr>
            <w:tcW w:w="6159" w:type="dxa"/>
            <w:tcBorders>
              <w:top w:val="single" w:color="auto" w:sz="4" w:space="0"/>
              <w:left w:val="single" w:color="auto" w:sz="4" w:space="0"/>
              <w:bottom w:val="single" w:color="auto" w:sz="4" w:space="0"/>
              <w:right w:val="single" w:color="auto" w:sz="4" w:space="0"/>
            </w:tcBorders>
            <w:noWrap w:val="0"/>
            <w:vAlign w:val="center"/>
          </w:tcPr>
          <w:p w14:paraId="0B148C3B">
            <w:pPr>
              <w:widowControl/>
              <w:ind w:left="105" w:leftChars="50" w:right="105" w:rightChars="50"/>
              <w:jc w:val="left"/>
              <w:rPr>
                <w:rFonts w:ascii="宋体" w:hAnsi="宋体"/>
                <w:bCs/>
                <w:color w:val="auto"/>
                <w:szCs w:val="21"/>
                <w:highlight w:val="none"/>
              </w:rPr>
            </w:pPr>
            <w:r>
              <w:rPr>
                <w:rFonts w:hint="eastAsia" w:ascii="宋体" w:hAnsi="宋体"/>
                <w:bCs/>
                <w:color w:val="auto"/>
                <w:szCs w:val="21"/>
                <w:highlight w:val="none"/>
              </w:rPr>
              <w:t>根据投标人所投的产品技术参数和基本要求的符合性进行评分，满足本招标文件具体招标要求的得</w:t>
            </w:r>
            <w:r>
              <w:rPr>
                <w:rFonts w:hint="eastAsia" w:ascii="宋体" w:hAnsi="宋体"/>
                <w:bCs/>
                <w:color w:val="auto"/>
                <w:szCs w:val="21"/>
                <w:highlight w:val="none"/>
                <w:lang w:val="en-US" w:eastAsia="zh-CN"/>
              </w:rPr>
              <w:t>30</w:t>
            </w:r>
            <w:r>
              <w:rPr>
                <w:rFonts w:hint="eastAsia" w:ascii="宋体" w:hAnsi="宋体"/>
                <w:bCs/>
                <w:color w:val="auto"/>
                <w:szCs w:val="21"/>
                <w:highlight w:val="none"/>
              </w:rPr>
              <w:t>分，偏离的每项扣5分，扣完</w:t>
            </w:r>
            <w:r>
              <w:rPr>
                <w:rFonts w:hint="eastAsia" w:ascii="宋体" w:hAnsi="宋体"/>
                <w:bCs/>
                <w:color w:val="auto"/>
                <w:szCs w:val="21"/>
                <w:highlight w:val="none"/>
                <w:lang w:val="en-US" w:eastAsia="zh-CN"/>
              </w:rPr>
              <w:t>30</w:t>
            </w:r>
            <w:r>
              <w:rPr>
                <w:rFonts w:hint="eastAsia" w:ascii="宋体" w:hAnsi="宋体"/>
                <w:bCs/>
                <w:color w:val="auto"/>
                <w:szCs w:val="21"/>
                <w:highlight w:val="none"/>
              </w:rPr>
              <w:t>分为止；优化的每项加2分，最高加10分。</w:t>
            </w:r>
          </w:p>
        </w:tc>
      </w:tr>
      <w:tr w14:paraId="0E87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4AFDE770">
            <w:pPr>
              <w:widowControl/>
              <w:jc w:val="left"/>
              <w:rPr>
                <w:rFonts w:ascii="Arial" w:hAnsi="宋体" w:cs="Arial"/>
                <w:b/>
                <w:snapToGrid w:val="0"/>
                <w:color w:val="auto"/>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C015A49">
            <w:pPr>
              <w:ind w:right="105" w:rightChars="50"/>
              <w:jc w:val="lef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、车辆外观与内饰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0DC65CC6">
            <w:pPr>
              <w:ind w:left="105" w:leftChars="50" w:right="105" w:rightChars="50"/>
              <w:jc w:val="center"/>
              <w:rPr>
                <w:rFonts w:ascii="宋体" w:hAnsi="宋体"/>
                <w:color w:val="auto"/>
                <w:szCs w:val="21"/>
                <w:highlight w:val="none"/>
              </w:rPr>
            </w:pPr>
            <w:r>
              <w:rPr>
                <w:rFonts w:hint="eastAsia" w:ascii="宋体" w:hAnsi="宋体"/>
                <w:color w:val="auto"/>
                <w:szCs w:val="21"/>
                <w:highlight w:val="none"/>
              </w:rPr>
              <w:t>3</w:t>
            </w:r>
          </w:p>
        </w:tc>
        <w:tc>
          <w:tcPr>
            <w:tcW w:w="6159" w:type="dxa"/>
            <w:tcBorders>
              <w:top w:val="single" w:color="auto" w:sz="4" w:space="0"/>
              <w:left w:val="single" w:color="auto" w:sz="4" w:space="0"/>
              <w:bottom w:val="single" w:color="auto" w:sz="4" w:space="0"/>
              <w:right w:val="single" w:color="auto" w:sz="4" w:space="0"/>
            </w:tcBorders>
            <w:noWrap w:val="0"/>
            <w:vAlign w:val="center"/>
          </w:tcPr>
          <w:p w14:paraId="1151E72E">
            <w:pPr>
              <w:ind w:left="105" w:leftChars="50" w:right="105" w:rightChars="50"/>
              <w:rPr>
                <w:rFonts w:ascii="宋体" w:hAnsi="宋体"/>
                <w:color w:val="auto"/>
                <w:szCs w:val="21"/>
                <w:highlight w:val="none"/>
              </w:rPr>
            </w:pPr>
            <w:r>
              <w:rPr>
                <w:rFonts w:hint="eastAsia" w:ascii="宋体" w:hAnsi="宋体"/>
                <w:color w:val="auto"/>
                <w:szCs w:val="21"/>
                <w:highlight w:val="none"/>
              </w:rPr>
              <w:t>车辆外观与内饰：符合公交车型，外观要美观协调，维修简便、材料轻量化、操作简便、内饰材料耐脏易清洗布置合理、色彩搭配柔和、前后过道小圆角人性化设计、座椅布置等，（提供实车前、后正面照片，左、右侧45度角车身照片，车内驾驶室、车内由前向后、由后向前照片），由评委进行横向比较综合打分。</w:t>
            </w:r>
          </w:p>
        </w:tc>
      </w:tr>
      <w:tr w14:paraId="215D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736" w:type="dxa"/>
            <w:vMerge w:val="restart"/>
            <w:tcBorders>
              <w:top w:val="single" w:color="auto" w:sz="4" w:space="0"/>
              <w:left w:val="single" w:color="auto" w:sz="4" w:space="0"/>
              <w:bottom w:val="single" w:color="auto" w:sz="4" w:space="0"/>
              <w:right w:val="single" w:color="auto" w:sz="4" w:space="0"/>
            </w:tcBorders>
            <w:noWrap w:val="0"/>
            <w:vAlign w:val="center"/>
          </w:tcPr>
          <w:p w14:paraId="667A19E5">
            <w:pPr>
              <w:jc w:val="center"/>
              <w:rPr>
                <w:rFonts w:ascii="宋体" w:hAnsi="宋体" w:cs="宋体"/>
                <w:bCs/>
                <w:color w:val="auto"/>
                <w:szCs w:val="21"/>
                <w:highlight w:val="none"/>
              </w:rPr>
            </w:pPr>
            <w:r>
              <w:rPr>
                <w:rFonts w:hint="eastAsia" w:ascii="宋体" w:hAnsi="宋体" w:cs="宋体"/>
                <w:bCs/>
                <w:color w:val="auto"/>
                <w:szCs w:val="21"/>
                <w:highlight w:val="none"/>
              </w:rPr>
              <w:t>售后服务(1</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分)</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E6DFFAB">
            <w:pPr>
              <w:spacing w:line="360" w:lineRule="exact"/>
              <w:rPr>
                <w:rFonts w:ascii="宋体" w:hAnsi="宋体"/>
                <w:color w:val="auto"/>
                <w:szCs w:val="21"/>
                <w:highlight w:val="none"/>
              </w:rPr>
            </w:pPr>
            <w:r>
              <w:rPr>
                <w:rFonts w:hint="eastAsia" w:ascii="宋体" w:hAnsi="宋体" w:cs="Arial"/>
                <w:snapToGrid w:val="0"/>
                <w:color w:val="auto"/>
                <w:szCs w:val="21"/>
                <w:highlight w:val="none"/>
                <w:lang w:val="en-US" w:eastAsia="zh-CN"/>
              </w:rPr>
              <w:t>3</w:t>
            </w:r>
            <w:r>
              <w:rPr>
                <w:rFonts w:hint="eastAsia" w:ascii="宋体" w:hAnsi="宋体" w:cs="Arial"/>
                <w:snapToGrid w:val="0"/>
                <w:color w:val="auto"/>
                <w:szCs w:val="21"/>
                <w:highlight w:val="none"/>
              </w:rPr>
              <w:t>、整车质保期限</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FDC694C">
            <w:pPr>
              <w:spacing w:line="360" w:lineRule="exact"/>
              <w:jc w:val="center"/>
              <w:rPr>
                <w:rFonts w:ascii="宋体" w:hAnsi="宋体"/>
                <w:color w:val="auto"/>
                <w:szCs w:val="21"/>
                <w:highlight w:val="none"/>
              </w:rPr>
            </w:pPr>
            <w:r>
              <w:rPr>
                <w:rFonts w:hint="eastAsia" w:ascii="宋体" w:hAnsi="宋体" w:cs="Arial"/>
                <w:snapToGrid w:val="0"/>
                <w:color w:val="auto"/>
                <w:szCs w:val="21"/>
                <w:highlight w:val="none"/>
              </w:rPr>
              <w:t>3</w:t>
            </w:r>
          </w:p>
        </w:tc>
        <w:tc>
          <w:tcPr>
            <w:tcW w:w="6159" w:type="dxa"/>
            <w:tcBorders>
              <w:top w:val="single" w:color="auto" w:sz="4" w:space="0"/>
              <w:left w:val="single" w:color="auto" w:sz="4" w:space="0"/>
              <w:bottom w:val="single" w:color="auto" w:sz="4" w:space="0"/>
              <w:right w:val="single" w:color="auto" w:sz="4" w:space="0"/>
            </w:tcBorders>
            <w:noWrap w:val="0"/>
            <w:vAlign w:val="center"/>
          </w:tcPr>
          <w:p w14:paraId="3CF113F6">
            <w:pPr>
              <w:spacing w:line="360" w:lineRule="exact"/>
              <w:jc w:val="left"/>
              <w:rPr>
                <w:rFonts w:hAnsi="宋体"/>
                <w:color w:val="auto"/>
                <w:szCs w:val="21"/>
                <w:highlight w:val="none"/>
              </w:rPr>
            </w:pPr>
            <w:r>
              <w:rPr>
                <w:rFonts w:hint="eastAsia" w:ascii="宋体" w:hAnsi="宋体" w:cs="Arial"/>
                <w:snapToGrid w:val="0"/>
                <w:color w:val="auto"/>
                <w:szCs w:val="21"/>
                <w:highlight w:val="none"/>
              </w:rPr>
              <w:t>整车质保期不计里程</w:t>
            </w:r>
            <w:r>
              <w:rPr>
                <w:rFonts w:hint="eastAsia" w:ascii="宋体" w:hAnsi="宋体" w:cs="Arial"/>
                <w:snapToGrid w:val="0"/>
                <w:color w:val="auto"/>
                <w:szCs w:val="21"/>
                <w:highlight w:val="none"/>
                <w:lang w:val="en-US" w:eastAsia="zh-CN"/>
              </w:rPr>
              <w:t>36</w:t>
            </w:r>
            <w:r>
              <w:rPr>
                <w:rFonts w:hint="eastAsia" w:ascii="宋体" w:hAnsi="宋体" w:cs="Arial"/>
                <w:snapToGrid w:val="0"/>
                <w:color w:val="auto"/>
                <w:szCs w:val="21"/>
                <w:highlight w:val="none"/>
              </w:rPr>
              <w:t>个月的得</w:t>
            </w:r>
            <w:r>
              <w:rPr>
                <w:rFonts w:hint="eastAsia" w:ascii="宋体" w:hAnsi="宋体" w:cs="Arial"/>
                <w:snapToGrid w:val="0"/>
                <w:color w:val="auto"/>
                <w:szCs w:val="21"/>
                <w:highlight w:val="none"/>
                <w:lang w:val="en-US" w:eastAsia="zh-CN"/>
              </w:rPr>
              <w:t>2</w:t>
            </w:r>
            <w:r>
              <w:rPr>
                <w:rFonts w:hint="eastAsia" w:ascii="宋体" w:hAnsi="宋体" w:cs="Arial"/>
                <w:snapToGrid w:val="0"/>
                <w:color w:val="auto"/>
                <w:szCs w:val="21"/>
                <w:highlight w:val="none"/>
              </w:rPr>
              <w:t>分，每延长半年得0.5分，最高得3分。需单独提供有效书面承诺书，否则不得分。</w:t>
            </w:r>
          </w:p>
        </w:tc>
      </w:tr>
      <w:tr w14:paraId="7492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2EB93D78">
            <w:pPr>
              <w:widowControl/>
              <w:jc w:val="left"/>
              <w:rPr>
                <w:rFonts w:ascii="宋体" w:hAnsi="宋体" w:cs="宋体"/>
                <w:bCs/>
                <w:color w:val="auto"/>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54058B1">
            <w:pPr>
              <w:pStyle w:val="137"/>
              <w:numPr>
                <w:ilvl w:val="0"/>
                <w:numId w:val="0"/>
              </w:numPr>
              <w:spacing w:line="360" w:lineRule="exact"/>
              <w:ind w:leftChars="0"/>
              <w:rPr>
                <w:rFonts w:ascii="宋体" w:hAnsi="宋体"/>
                <w:color w:val="auto"/>
                <w:szCs w:val="21"/>
                <w:highlight w:val="none"/>
              </w:rPr>
            </w:pPr>
            <w:r>
              <w:rPr>
                <w:rFonts w:hint="eastAsia" w:ascii="宋体" w:hAnsi="宋体" w:cs="Arial"/>
                <w:snapToGrid w:val="0"/>
                <w:color w:val="auto"/>
                <w:szCs w:val="21"/>
                <w:highlight w:val="none"/>
                <w:lang w:val="en-US" w:eastAsia="zh-CN"/>
              </w:rPr>
              <w:t>4、</w:t>
            </w:r>
            <w:r>
              <w:rPr>
                <w:rFonts w:hint="eastAsia" w:ascii="宋体" w:hAnsi="宋体" w:cs="Arial"/>
                <w:snapToGrid w:val="0"/>
                <w:color w:val="auto"/>
                <w:szCs w:val="21"/>
                <w:highlight w:val="none"/>
              </w:rPr>
              <w:t>本地化服务</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50797F99">
            <w:pPr>
              <w:spacing w:line="360" w:lineRule="exact"/>
              <w:jc w:val="center"/>
              <w:rPr>
                <w:rFonts w:ascii="宋体" w:hAnsi="宋体"/>
                <w:color w:val="auto"/>
                <w:szCs w:val="21"/>
                <w:highlight w:val="none"/>
              </w:rPr>
            </w:pPr>
            <w:r>
              <w:rPr>
                <w:rFonts w:hint="eastAsia" w:ascii="宋体" w:hAnsi="宋体" w:cs="Arial"/>
                <w:snapToGrid w:val="0"/>
                <w:color w:val="auto"/>
                <w:szCs w:val="21"/>
                <w:highlight w:val="none"/>
              </w:rPr>
              <w:t>11</w:t>
            </w:r>
          </w:p>
        </w:tc>
        <w:tc>
          <w:tcPr>
            <w:tcW w:w="6159" w:type="dxa"/>
            <w:tcBorders>
              <w:top w:val="single" w:color="auto" w:sz="4" w:space="0"/>
              <w:left w:val="single" w:color="auto" w:sz="4" w:space="0"/>
              <w:bottom w:val="single" w:color="auto" w:sz="4" w:space="0"/>
              <w:right w:val="single" w:color="auto" w:sz="4" w:space="0"/>
            </w:tcBorders>
            <w:noWrap w:val="0"/>
            <w:vAlign w:val="top"/>
          </w:tcPr>
          <w:p w14:paraId="297465BA">
            <w:pPr>
              <w:widowControl/>
              <w:snapToGrid w:val="0"/>
              <w:rPr>
                <w:rFonts w:ascii="宋体" w:hAnsi="宋体" w:cs="宋体"/>
                <w:bCs/>
                <w:color w:val="auto"/>
                <w:szCs w:val="21"/>
                <w:highlight w:val="none"/>
              </w:rPr>
            </w:pPr>
            <w:r>
              <w:rPr>
                <w:rFonts w:hint="eastAsia" w:ascii="宋体" w:hAnsi="宋体" w:cs="宋体"/>
                <w:bCs/>
                <w:color w:val="auto"/>
                <w:szCs w:val="21"/>
                <w:highlight w:val="none"/>
              </w:rPr>
              <w:t>1、已在宁海县范围内设有特约维修站并承诺实行24小时服务的得1分其他不得分。</w:t>
            </w:r>
          </w:p>
          <w:p w14:paraId="1A0E329E">
            <w:pPr>
              <w:widowControl/>
              <w:snapToGrid w:val="0"/>
              <w:rPr>
                <w:rFonts w:ascii="宋体" w:hAnsi="宋体" w:cs="宋体"/>
                <w:bCs/>
                <w:color w:val="auto"/>
                <w:szCs w:val="21"/>
                <w:highlight w:val="none"/>
              </w:rPr>
            </w:pPr>
            <w:r>
              <w:rPr>
                <w:rFonts w:hint="eastAsia" w:ascii="宋体" w:hAnsi="宋体" w:cs="宋体"/>
                <w:bCs/>
                <w:color w:val="auto"/>
                <w:szCs w:val="21"/>
                <w:highlight w:val="none"/>
              </w:rPr>
              <w:t>2、承诺在质保期内接报后1小时到现场解决故障，24小时内修复得1分，其他不得分。</w:t>
            </w:r>
          </w:p>
          <w:p w14:paraId="22DD4E48">
            <w:pPr>
              <w:pStyle w:val="137"/>
              <w:widowControl/>
              <w:numPr>
                <w:ilvl w:val="0"/>
                <w:numId w:val="2"/>
              </w:numPr>
              <w:snapToGrid w:val="0"/>
              <w:ind w:firstLineChars="0"/>
              <w:rPr>
                <w:rFonts w:ascii="宋体" w:hAnsi="宋体" w:cs="宋体"/>
                <w:bCs/>
                <w:color w:val="auto"/>
                <w:szCs w:val="21"/>
                <w:highlight w:val="none"/>
              </w:rPr>
            </w:pPr>
            <w:r>
              <w:rPr>
                <w:rFonts w:hint="eastAsia" w:ascii="宋体" w:hAnsi="宋体" w:cs="宋体"/>
                <w:bCs/>
                <w:color w:val="auto"/>
                <w:szCs w:val="21"/>
                <w:highlight w:val="none"/>
              </w:rPr>
              <w:t>试运行一个月内三包人员跟踪服务、培训有内容、有计划、有</w:t>
            </w:r>
          </w:p>
          <w:p w14:paraId="315E656F">
            <w:pPr>
              <w:widowControl/>
              <w:snapToGrid w:val="0"/>
              <w:rPr>
                <w:rFonts w:ascii="宋体" w:hAnsi="宋体" w:cs="宋体"/>
                <w:bCs/>
                <w:color w:val="auto"/>
                <w:szCs w:val="21"/>
                <w:highlight w:val="none"/>
              </w:rPr>
            </w:pPr>
            <w:r>
              <w:rPr>
                <w:rFonts w:hint="eastAsia" w:ascii="宋体" w:hAnsi="宋体" w:cs="宋体"/>
                <w:bCs/>
                <w:color w:val="auto"/>
                <w:szCs w:val="21"/>
                <w:highlight w:val="none"/>
              </w:rPr>
              <w:t>承诺得1分，无承诺不得分。</w:t>
            </w:r>
          </w:p>
          <w:p w14:paraId="2721A923">
            <w:pPr>
              <w:pStyle w:val="137"/>
              <w:widowControl/>
              <w:numPr>
                <w:ilvl w:val="0"/>
                <w:numId w:val="2"/>
              </w:numPr>
              <w:snapToGrid w:val="0"/>
              <w:ind w:firstLineChars="0"/>
              <w:rPr>
                <w:rFonts w:ascii="宋体" w:hAnsi="宋体" w:cs="宋体"/>
                <w:bCs/>
                <w:color w:val="auto"/>
                <w:szCs w:val="21"/>
                <w:highlight w:val="none"/>
              </w:rPr>
            </w:pPr>
            <w:r>
              <w:rPr>
                <w:rFonts w:hint="eastAsia"/>
                <w:color w:val="auto"/>
                <w:szCs w:val="21"/>
                <w:highlight w:val="none"/>
              </w:rPr>
              <w:t>所投产品的制造商在宁波具有全资汽车生产基地或投标人母</w:t>
            </w:r>
          </w:p>
          <w:p w14:paraId="79D3CFDD">
            <w:pPr>
              <w:widowControl/>
              <w:snapToGrid w:val="0"/>
              <w:rPr>
                <w:rFonts w:ascii="宋体" w:hAnsi="宋体" w:cs="宋体"/>
                <w:bCs/>
                <w:color w:val="auto"/>
                <w:szCs w:val="21"/>
                <w:highlight w:val="none"/>
              </w:rPr>
            </w:pPr>
            <w:r>
              <w:rPr>
                <w:rFonts w:hint="eastAsia"/>
                <w:color w:val="auto"/>
                <w:szCs w:val="21"/>
                <w:highlight w:val="none"/>
              </w:rPr>
              <w:t>公司在宁波具有</w:t>
            </w:r>
            <w:r>
              <w:rPr>
                <w:color w:val="auto"/>
                <w:szCs w:val="21"/>
                <w:highlight w:val="none"/>
              </w:rPr>
              <w:t xml:space="preserve">2 </w:t>
            </w:r>
            <w:r>
              <w:rPr>
                <w:rFonts w:hint="eastAsia"/>
                <w:color w:val="auto"/>
                <w:szCs w:val="21"/>
                <w:highlight w:val="none"/>
              </w:rPr>
              <w:t>个及以上全资汽车生产基地的得8分</w:t>
            </w:r>
            <w:r>
              <w:rPr>
                <w:color w:val="auto"/>
                <w:szCs w:val="21"/>
                <w:highlight w:val="none"/>
              </w:rPr>
              <w:t>(</w:t>
            </w:r>
            <w:r>
              <w:rPr>
                <w:rFonts w:hint="eastAsia"/>
                <w:color w:val="auto"/>
                <w:szCs w:val="21"/>
                <w:highlight w:val="none"/>
              </w:rPr>
              <w:t>提供相关证明材料）</w:t>
            </w:r>
          </w:p>
        </w:tc>
      </w:tr>
      <w:tr w14:paraId="0FDC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14:paraId="4EDA0B75">
            <w:pPr>
              <w:widowControl/>
              <w:jc w:val="left"/>
              <w:rPr>
                <w:rFonts w:ascii="宋体" w:hAnsi="宋体" w:cs="宋体"/>
                <w:bCs/>
                <w:color w:val="auto"/>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99BFF28">
            <w:pPr>
              <w:spacing w:line="360" w:lineRule="exact"/>
              <w:rPr>
                <w:rFonts w:ascii="宋体" w:hAnsi="宋体"/>
                <w:color w:val="auto"/>
                <w:szCs w:val="21"/>
                <w:highlight w:val="none"/>
              </w:rPr>
            </w:pPr>
            <w:r>
              <w:rPr>
                <w:rFonts w:hint="eastAsia" w:ascii="宋体" w:hAnsi="宋体" w:cs="Arial"/>
                <w:snapToGrid w:val="0"/>
                <w:color w:val="auto"/>
                <w:szCs w:val="21"/>
                <w:highlight w:val="none"/>
                <w:lang w:val="en-US" w:eastAsia="zh-CN"/>
              </w:rPr>
              <w:t>5、</w:t>
            </w:r>
            <w:r>
              <w:rPr>
                <w:rFonts w:hint="eastAsia" w:ascii="宋体" w:hAnsi="宋体" w:cs="Arial"/>
                <w:snapToGrid w:val="0"/>
                <w:color w:val="auto"/>
                <w:szCs w:val="21"/>
                <w:highlight w:val="none"/>
              </w:rPr>
              <w:t>主要配件</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37BBC41E">
            <w:pPr>
              <w:spacing w:line="360" w:lineRule="exact"/>
              <w:jc w:val="center"/>
              <w:rPr>
                <w:rFonts w:ascii="宋体" w:hAnsi="宋体"/>
                <w:color w:val="auto"/>
                <w:szCs w:val="21"/>
                <w:highlight w:val="none"/>
              </w:rPr>
            </w:pPr>
            <w:r>
              <w:rPr>
                <w:rFonts w:hint="eastAsia" w:ascii="宋体" w:hAnsi="宋体" w:cs="Arial"/>
                <w:snapToGrid w:val="0"/>
                <w:color w:val="auto"/>
                <w:szCs w:val="21"/>
                <w:highlight w:val="none"/>
              </w:rPr>
              <w:t>3</w:t>
            </w:r>
          </w:p>
        </w:tc>
        <w:tc>
          <w:tcPr>
            <w:tcW w:w="6159" w:type="dxa"/>
            <w:tcBorders>
              <w:top w:val="single" w:color="auto" w:sz="4" w:space="0"/>
              <w:left w:val="single" w:color="auto" w:sz="4" w:space="0"/>
              <w:bottom w:val="single" w:color="auto" w:sz="4" w:space="0"/>
              <w:right w:val="single" w:color="auto" w:sz="4" w:space="0"/>
            </w:tcBorders>
            <w:noWrap w:val="0"/>
            <w:vAlign w:val="center"/>
          </w:tcPr>
          <w:p w14:paraId="75DCA846">
            <w:pPr>
              <w:spacing w:line="360" w:lineRule="exact"/>
              <w:jc w:val="left"/>
              <w:rPr>
                <w:rFonts w:hAnsi="宋体"/>
                <w:color w:val="auto"/>
                <w:szCs w:val="21"/>
                <w:highlight w:val="none"/>
              </w:rPr>
            </w:pPr>
            <w:r>
              <w:rPr>
                <w:color w:val="auto"/>
                <w:spacing w:val="10"/>
                <w:highlight w:val="none"/>
              </w:rPr>
              <w:t>根据投标人针对本项目的其他优惠承诺，根据优惠程度酌情</w:t>
            </w:r>
            <w:r>
              <w:rPr>
                <w:color w:val="auto"/>
                <w:spacing w:val="12"/>
                <w:highlight w:val="none"/>
              </w:rPr>
              <w:t xml:space="preserve"> </w:t>
            </w:r>
            <w:r>
              <w:rPr>
                <w:color w:val="auto"/>
                <w:spacing w:val="4"/>
                <w:highlight w:val="none"/>
              </w:rPr>
              <w:t>打分，最低</w:t>
            </w:r>
            <w:r>
              <w:rPr>
                <w:color w:val="auto"/>
                <w:spacing w:val="-38"/>
                <w:highlight w:val="none"/>
              </w:rPr>
              <w:t xml:space="preserve"> </w:t>
            </w:r>
            <w:r>
              <w:rPr>
                <w:color w:val="auto"/>
                <w:spacing w:val="4"/>
                <w:highlight w:val="none"/>
              </w:rPr>
              <w:t>0.5</w:t>
            </w:r>
            <w:r>
              <w:rPr>
                <w:color w:val="auto"/>
                <w:spacing w:val="-38"/>
                <w:highlight w:val="none"/>
              </w:rPr>
              <w:t xml:space="preserve"> </w:t>
            </w:r>
            <w:r>
              <w:rPr>
                <w:color w:val="auto"/>
                <w:spacing w:val="4"/>
                <w:highlight w:val="none"/>
              </w:rPr>
              <w:t>分，最高</w:t>
            </w:r>
            <w:r>
              <w:rPr>
                <w:color w:val="auto"/>
                <w:spacing w:val="-33"/>
                <w:highlight w:val="none"/>
              </w:rPr>
              <w:t xml:space="preserve"> </w:t>
            </w:r>
            <w:r>
              <w:rPr>
                <w:rFonts w:hint="eastAsia"/>
                <w:color w:val="auto"/>
                <w:spacing w:val="4"/>
                <w:highlight w:val="none"/>
                <w:lang w:val="en-US" w:eastAsia="zh-CN"/>
              </w:rPr>
              <w:t>3</w:t>
            </w:r>
            <w:r>
              <w:rPr>
                <w:color w:val="auto"/>
                <w:spacing w:val="4"/>
                <w:highlight w:val="none"/>
              </w:rPr>
              <w:t>分。</w:t>
            </w:r>
          </w:p>
        </w:tc>
      </w:tr>
      <w:tr w14:paraId="681B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54B91811">
            <w:pPr>
              <w:jc w:val="center"/>
              <w:rPr>
                <w:rFonts w:ascii="宋体" w:hAnsi="宋体" w:cs="宋体"/>
                <w:b/>
                <w:snapToGrid w:val="0"/>
                <w:color w:val="auto"/>
                <w:szCs w:val="21"/>
                <w:highlight w:val="none"/>
              </w:rPr>
            </w:pPr>
            <w:r>
              <w:rPr>
                <w:rFonts w:hint="eastAsia" w:ascii="宋体" w:hAnsi="宋体" w:cs="宋体"/>
                <w:b/>
                <w:snapToGrid w:val="0"/>
                <w:color w:val="auto"/>
                <w:szCs w:val="21"/>
                <w:highlight w:val="none"/>
              </w:rPr>
              <w:t>二</w:t>
            </w:r>
          </w:p>
        </w:tc>
        <w:tc>
          <w:tcPr>
            <w:tcW w:w="9074" w:type="dxa"/>
            <w:gridSpan w:val="3"/>
            <w:tcBorders>
              <w:top w:val="single" w:color="auto" w:sz="4" w:space="0"/>
              <w:left w:val="single" w:color="auto" w:sz="4" w:space="0"/>
              <w:bottom w:val="single" w:color="auto" w:sz="4" w:space="0"/>
              <w:right w:val="single" w:color="auto" w:sz="4" w:space="0"/>
            </w:tcBorders>
            <w:noWrap w:val="0"/>
            <w:vAlign w:val="center"/>
          </w:tcPr>
          <w:p w14:paraId="50D0ACA3">
            <w:pPr>
              <w:jc w:val="center"/>
              <w:rPr>
                <w:rFonts w:ascii="宋体" w:hAnsi="宋体" w:cs="宋体"/>
                <w:b/>
                <w:i/>
                <w:snapToGrid w:val="0"/>
                <w:color w:val="auto"/>
                <w:szCs w:val="21"/>
                <w:highlight w:val="none"/>
              </w:rPr>
            </w:pPr>
            <w:r>
              <w:rPr>
                <w:rFonts w:hint="eastAsia" w:ascii="宋体" w:hAnsi="宋体" w:cs="宋体"/>
                <w:b/>
                <w:bCs/>
                <w:snapToGrid w:val="0"/>
                <w:color w:val="auto"/>
                <w:szCs w:val="21"/>
                <w:highlight w:val="none"/>
              </w:rPr>
              <w:t>报价文件部分</w:t>
            </w:r>
            <w:r>
              <w:rPr>
                <w:rFonts w:hint="eastAsia" w:ascii="宋体" w:hAnsi="宋体" w:cs="Arial"/>
                <w:b/>
                <w:bCs/>
                <w:color w:val="auto"/>
                <w:kern w:val="28"/>
                <w:szCs w:val="21"/>
                <w:highlight w:val="none"/>
              </w:rPr>
              <w:t>（40分）</w:t>
            </w:r>
          </w:p>
        </w:tc>
      </w:tr>
      <w:tr w14:paraId="672F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5AD6C5AA">
            <w:pPr>
              <w:jc w:val="center"/>
              <w:rPr>
                <w:rFonts w:hint="eastAsia" w:ascii="Arial" w:hAnsi="宋体" w:eastAsia="宋体" w:cs="Arial"/>
                <w:snapToGrid w:val="0"/>
                <w:color w:val="auto"/>
                <w:szCs w:val="21"/>
                <w:highlight w:val="none"/>
                <w:lang w:eastAsia="zh-CN"/>
              </w:rPr>
            </w:pPr>
            <w:r>
              <w:rPr>
                <w:rFonts w:hint="eastAsia" w:ascii="Arial" w:hAnsi="宋体" w:cs="Arial"/>
                <w:snapToGrid w:val="0"/>
                <w:color w:val="auto"/>
                <w:szCs w:val="21"/>
                <w:highlight w:val="none"/>
                <w:lang w:val="en-US" w:eastAsia="zh-CN"/>
              </w:rPr>
              <w:t>1</w:t>
            </w:r>
          </w:p>
        </w:tc>
        <w:tc>
          <w:tcPr>
            <w:tcW w:w="9074" w:type="dxa"/>
            <w:gridSpan w:val="3"/>
            <w:tcBorders>
              <w:top w:val="single" w:color="auto" w:sz="4" w:space="0"/>
              <w:left w:val="single" w:color="auto" w:sz="4" w:space="0"/>
              <w:bottom w:val="single" w:color="auto" w:sz="4" w:space="0"/>
              <w:right w:val="single" w:color="auto" w:sz="4" w:space="0"/>
            </w:tcBorders>
            <w:noWrap w:val="0"/>
            <w:vAlign w:val="center"/>
          </w:tcPr>
          <w:p w14:paraId="105E1608">
            <w:pPr>
              <w:rPr>
                <w:rFonts w:ascii="Arial" w:hAnsi="宋体" w:cs="Arial"/>
                <w:bCs/>
                <w:snapToGrid w:val="0"/>
                <w:color w:val="auto"/>
                <w:szCs w:val="21"/>
                <w:highlight w:val="none"/>
              </w:rPr>
            </w:pPr>
            <w:r>
              <w:rPr>
                <w:rFonts w:hint="eastAsia" w:ascii="Arial" w:hAnsi="宋体" w:cs="Arial"/>
                <w:bCs/>
                <w:snapToGrid w:val="0"/>
                <w:color w:val="auto"/>
                <w:szCs w:val="21"/>
                <w:highlight w:val="none"/>
              </w:rPr>
              <w:t>本次招标设最高投标限价：超过最高限价的，其投标文件作为无效标处理。</w:t>
            </w:r>
          </w:p>
          <w:p w14:paraId="6F0455EA">
            <w:pPr>
              <w:rPr>
                <w:rFonts w:ascii="Arial" w:hAnsi="宋体" w:cs="Arial"/>
                <w:bCs/>
                <w:snapToGrid w:val="0"/>
                <w:color w:val="auto"/>
                <w:szCs w:val="21"/>
                <w:highlight w:val="none"/>
              </w:rPr>
            </w:pPr>
            <w:r>
              <w:rPr>
                <w:rFonts w:hint="eastAsia" w:ascii="Arial" w:hAnsi="宋体" w:cs="Arial"/>
                <w:bCs/>
                <w:snapToGrid w:val="0"/>
                <w:color w:val="auto"/>
                <w:szCs w:val="21"/>
                <w:highlight w:val="none"/>
              </w:rPr>
              <w:t>评标基准价的确定：</w:t>
            </w:r>
          </w:p>
          <w:p w14:paraId="6A41EE84">
            <w:pPr>
              <w:tabs>
                <w:tab w:val="left" w:pos="420"/>
                <w:tab w:val="left" w:pos="982"/>
              </w:tabs>
              <w:snapToGrid w:val="0"/>
              <w:spacing w:line="340" w:lineRule="exact"/>
              <w:rPr>
                <w:rFonts w:ascii="宋体"/>
                <w:color w:val="auto"/>
                <w:highlight w:val="none"/>
              </w:rPr>
            </w:pPr>
            <w:r>
              <w:rPr>
                <w:rFonts w:hint="eastAsia" w:ascii="宋体" w:hAnsi="宋体"/>
                <w:color w:val="auto"/>
                <w:szCs w:val="22"/>
                <w:highlight w:val="none"/>
              </w:rPr>
              <w:t>进入商务报价程序的</w:t>
            </w:r>
            <w:r>
              <w:rPr>
                <w:rFonts w:hint="eastAsia" w:ascii="宋体" w:hAnsi="Calibri"/>
                <w:color w:val="auto"/>
                <w:szCs w:val="22"/>
                <w:highlight w:val="none"/>
              </w:rPr>
              <w:t>全部有效投标供应商中的</w:t>
            </w:r>
            <w:r>
              <w:rPr>
                <w:rFonts w:hint="eastAsia" w:ascii="Arial" w:hAnsi="Arial"/>
                <w:snapToGrid w:val="0"/>
                <w:color w:val="auto"/>
                <w:szCs w:val="22"/>
                <w:highlight w:val="none"/>
                <w:lang w:val="en-US" w:eastAsia="zh-CN"/>
              </w:rPr>
              <w:t>平均价为</w:t>
            </w:r>
            <w:r>
              <w:rPr>
                <w:rFonts w:hint="eastAsia" w:ascii="Arial" w:hAnsi="宋体" w:cs="Arial"/>
                <w:bCs/>
                <w:snapToGrid w:val="0"/>
                <w:color w:val="auto"/>
                <w:szCs w:val="21"/>
                <w:highlight w:val="none"/>
              </w:rPr>
              <w:t>（</w:t>
            </w:r>
            <w:r>
              <w:rPr>
                <w:rFonts w:hint="eastAsia" w:ascii="Arial" w:hAnsi="Arial"/>
                <w:snapToGrid w:val="0"/>
                <w:color w:val="auto"/>
                <w:szCs w:val="22"/>
                <w:highlight w:val="none"/>
                <w:lang w:val="en-US" w:eastAsia="zh-CN"/>
              </w:rPr>
              <w:t>不含补贴的</w:t>
            </w:r>
            <w:r>
              <w:rPr>
                <w:rFonts w:hint="eastAsia" w:ascii="Arial" w:hAnsi="宋体" w:cs="Arial"/>
                <w:bCs/>
                <w:snapToGrid w:val="0"/>
                <w:color w:val="auto"/>
                <w:szCs w:val="21"/>
                <w:highlight w:val="none"/>
              </w:rPr>
              <w:t>投标总报价）</w:t>
            </w:r>
            <w:r>
              <w:rPr>
                <w:rFonts w:hint="eastAsia" w:ascii="宋体" w:hAnsi="Calibri"/>
                <w:color w:val="auto"/>
                <w:szCs w:val="22"/>
                <w:highlight w:val="none"/>
              </w:rPr>
              <w:t>作为评分基准值。投标供应商商务报价与基准值对比，计算出商务报价评分值：</w:t>
            </w:r>
          </w:p>
          <w:p w14:paraId="22A89E9C">
            <w:pPr>
              <w:tabs>
                <w:tab w:val="left" w:pos="435"/>
                <w:tab w:val="left" w:pos="1134"/>
              </w:tabs>
              <w:snapToGrid w:val="0"/>
              <w:spacing w:line="360" w:lineRule="exact"/>
              <w:rPr>
                <w:rFonts w:ascii="Arial" w:hAnsi="Arial"/>
                <w:color w:val="auto"/>
                <w:szCs w:val="22"/>
                <w:highlight w:val="none"/>
              </w:rPr>
            </w:pPr>
            <w:r>
              <w:rPr>
                <w:rFonts w:hint="eastAsia" w:ascii="Arial" w:hAnsi="Arial"/>
                <w:color w:val="auto"/>
                <w:szCs w:val="22"/>
                <w:highlight w:val="none"/>
              </w:rPr>
              <w:t>（1）全部有效投标供应商中的</w:t>
            </w:r>
            <w:r>
              <w:rPr>
                <w:rFonts w:hint="eastAsia" w:ascii="Arial" w:hAnsi="Arial"/>
                <w:snapToGrid w:val="0"/>
                <w:color w:val="auto"/>
                <w:szCs w:val="22"/>
                <w:highlight w:val="none"/>
                <w:lang w:val="en-US" w:eastAsia="zh-CN"/>
              </w:rPr>
              <w:t>平均</w:t>
            </w:r>
            <w:r>
              <w:rPr>
                <w:rFonts w:hint="eastAsia" w:ascii="Arial" w:hAnsi="宋体" w:cs="Arial"/>
                <w:bCs/>
                <w:snapToGrid w:val="0"/>
                <w:color w:val="auto"/>
                <w:szCs w:val="21"/>
                <w:highlight w:val="none"/>
              </w:rPr>
              <w:t>报价</w:t>
            </w:r>
            <w:r>
              <w:rPr>
                <w:rFonts w:hint="eastAsia" w:ascii="Arial" w:hAnsi="Arial"/>
                <w:color w:val="auto"/>
                <w:szCs w:val="22"/>
                <w:highlight w:val="none"/>
              </w:rPr>
              <w:t>作为评标基准价。</w:t>
            </w:r>
          </w:p>
          <w:p w14:paraId="30EBBBA7">
            <w:pPr>
              <w:tabs>
                <w:tab w:val="left" w:pos="420"/>
                <w:tab w:val="left" w:pos="982"/>
              </w:tabs>
              <w:snapToGrid w:val="0"/>
              <w:spacing w:line="340" w:lineRule="exact"/>
              <w:rPr>
                <w:rFonts w:ascii="Arial" w:hAnsi="Arial"/>
                <w:snapToGrid w:val="0"/>
                <w:color w:val="auto"/>
                <w:szCs w:val="22"/>
                <w:highlight w:val="none"/>
              </w:rPr>
            </w:pPr>
            <w:r>
              <w:rPr>
                <w:rFonts w:hint="eastAsia" w:ascii="Arial" w:hAnsi="Arial"/>
                <w:snapToGrid w:val="0"/>
                <w:color w:val="auto"/>
                <w:szCs w:val="22"/>
                <w:highlight w:val="none"/>
                <w:lang w:eastAsia="zh-CN"/>
              </w:rPr>
              <w:t>（</w:t>
            </w:r>
            <w:r>
              <w:rPr>
                <w:rFonts w:hint="eastAsia" w:ascii="Arial" w:hAnsi="Arial"/>
                <w:snapToGrid w:val="0"/>
                <w:color w:val="auto"/>
                <w:szCs w:val="22"/>
                <w:highlight w:val="none"/>
                <w:lang w:val="en-US" w:eastAsia="zh-CN"/>
              </w:rPr>
              <w:t>2</w:t>
            </w:r>
            <w:r>
              <w:rPr>
                <w:rFonts w:hint="eastAsia" w:ascii="Arial" w:hAnsi="Arial"/>
                <w:snapToGrid w:val="0"/>
                <w:color w:val="auto"/>
                <w:szCs w:val="22"/>
                <w:highlight w:val="none"/>
                <w:lang w:eastAsia="zh-CN"/>
              </w:rPr>
              <w:t>）</w:t>
            </w:r>
            <w:r>
              <w:rPr>
                <w:rFonts w:hint="eastAsia"/>
                <w:color w:val="auto"/>
                <w:szCs w:val="24"/>
                <w:highlight w:val="none"/>
              </w:rPr>
              <w:t>投标人的投标报价与基准价一致得</w:t>
            </w:r>
            <w:r>
              <w:rPr>
                <w:rFonts w:hint="eastAsia"/>
                <w:color w:val="auto"/>
                <w:szCs w:val="24"/>
                <w:highlight w:val="none"/>
                <w:lang w:val="en-US" w:eastAsia="zh-CN"/>
              </w:rPr>
              <w:t>4</w:t>
            </w:r>
            <w:r>
              <w:rPr>
                <w:rFonts w:hint="eastAsia"/>
                <w:color w:val="auto"/>
                <w:szCs w:val="24"/>
                <w:highlight w:val="none"/>
              </w:rPr>
              <w:t>0分，每高于基准价1%，扣0.</w:t>
            </w:r>
            <w:r>
              <w:rPr>
                <w:rFonts w:hint="eastAsia"/>
                <w:color w:val="auto"/>
                <w:szCs w:val="24"/>
                <w:highlight w:val="none"/>
                <w:lang w:val="en-US" w:eastAsia="zh-CN"/>
              </w:rPr>
              <w:t>5</w:t>
            </w:r>
            <w:r>
              <w:rPr>
                <w:rFonts w:hint="eastAsia"/>
                <w:color w:val="auto"/>
                <w:szCs w:val="24"/>
                <w:highlight w:val="none"/>
              </w:rPr>
              <w:t>分，每低于基准价1%，扣0.</w:t>
            </w:r>
            <w:r>
              <w:rPr>
                <w:rFonts w:hint="eastAsia"/>
                <w:color w:val="auto"/>
                <w:szCs w:val="24"/>
                <w:highlight w:val="none"/>
                <w:lang w:val="en-US" w:eastAsia="zh-CN"/>
              </w:rPr>
              <w:t>3</w:t>
            </w:r>
            <w:r>
              <w:rPr>
                <w:rFonts w:hint="eastAsia"/>
                <w:color w:val="auto"/>
                <w:szCs w:val="24"/>
                <w:highlight w:val="none"/>
              </w:rPr>
              <w:t>分（中间值采用内插法计算），以此类推，扣完为止。</w:t>
            </w:r>
          </w:p>
          <w:p w14:paraId="654C2E98">
            <w:pPr>
              <w:tabs>
                <w:tab w:val="left" w:pos="420"/>
                <w:tab w:val="left" w:pos="982"/>
              </w:tabs>
              <w:snapToGrid w:val="0"/>
              <w:spacing w:line="340" w:lineRule="exact"/>
              <w:rPr>
                <w:rFonts w:hint="default" w:ascii="Arial" w:hAnsi="Arial" w:eastAsia="宋体"/>
                <w:snapToGrid w:val="0"/>
                <w:color w:val="auto"/>
                <w:szCs w:val="22"/>
                <w:highlight w:val="none"/>
                <w:lang w:val="en-US" w:eastAsia="zh-CN"/>
              </w:rPr>
            </w:pPr>
            <w:r>
              <w:rPr>
                <w:rFonts w:hint="eastAsia" w:ascii="Arial" w:hAnsi="Arial"/>
                <w:snapToGrid w:val="0"/>
                <w:color w:val="auto"/>
                <w:szCs w:val="22"/>
                <w:highlight w:val="none"/>
              </w:rPr>
              <w:t>投标报价分得分计算保留小数</w:t>
            </w:r>
            <w:r>
              <w:rPr>
                <w:rFonts w:ascii="Arial" w:hAnsi="Arial"/>
                <w:snapToGrid w:val="0"/>
                <w:color w:val="auto"/>
                <w:szCs w:val="22"/>
                <w:highlight w:val="none"/>
              </w:rPr>
              <w:t>2</w:t>
            </w:r>
            <w:r>
              <w:rPr>
                <w:rFonts w:hint="eastAsia" w:ascii="Arial" w:hAnsi="Arial"/>
                <w:snapToGrid w:val="0"/>
                <w:color w:val="auto"/>
                <w:szCs w:val="22"/>
                <w:highlight w:val="none"/>
              </w:rPr>
              <w:t>位，第三位四舍五入。</w:t>
            </w:r>
          </w:p>
        </w:tc>
      </w:tr>
    </w:tbl>
    <w:p w14:paraId="1FEFDB0B">
      <w:pPr>
        <w:spacing w:line="360" w:lineRule="exact"/>
        <w:rPr>
          <w:rFonts w:ascii="宋体" w:hAnsi="宋体"/>
          <w:color w:val="auto"/>
          <w:szCs w:val="21"/>
          <w:highlight w:val="none"/>
        </w:rPr>
      </w:pPr>
    </w:p>
    <w:p w14:paraId="2EBD4CFE">
      <w:pPr>
        <w:spacing w:line="360" w:lineRule="auto"/>
        <w:jc w:val="left"/>
        <w:rPr>
          <w:rFonts w:ascii="宋体" w:hAnsi="宋体"/>
          <w:color w:val="auto"/>
          <w:szCs w:val="21"/>
          <w:highlight w:val="none"/>
        </w:rPr>
      </w:pPr>
      <w:r>
        <w:rPr>
          <w:rFonts w:hint="eastAsia" w:ascii="宋体" w:hAnsi="宋体"/>
          <w:b/>
          <w:bCs/>
          <w:color w:val="auto"/>
          <w:szCs w:val="21"/>
          <w:highlight w:val="none"/>
          <w:lang w:eastAsia="zh-CN"/>
        </w:rPr>
        <w:t>标项（子包）</w:t>
      </w:r>
      <w:r>
        <w:rPr>
          <w:rFonts w:hint="eastAsia" w:ascii="宋体" w:hAnsi="宋体"/>
          <w:b/>
          <w:bCs/>
          <w:color w:val="auto"/>
          <w:szCs w:val="21"/>
          <w:highlight w:val="none"/>
          <w:lang w:val="en-US" w:eastAsia="zh-CN"/>
        </w:rPr>
        <w:t>三</w:t>
      </w:r>
      <w:r>
        <w:rPr>
          <w:rFonts w:hint="eastAsia" w:ascii="宋体" w:hAnsi="宋体"/>
          <w:b/>
          <w:bCs/>
          <w:color w:val="auto"/>
          <w:szCs w:val="21"/>
          <w:highlight w:val="none"/>
        </w:rPr>
        <w:t>评分内容和标准见下表：</w:t>
      </w:r>
    </w:p>
    <w:tbl>
      <w:tblPr>
        <w:tblStyle w:val="45"/>
        <w:tblpPr w:leftFromText="180" w:rightFromText="180" w:vertAnchor="text" w:horzAnchor="page" w:tblpX="1176" w:tblpY="450"/>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59"/>
        <w:gridCol w:w="784"/>
        <w:gridCol w:w="6217"/>
      </w:tblGrid>
      <w:tr w14:paraId="44BB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trPr>
        <w:tc>
          <w:tcPr>
            <w:tcW w:w="750" w:type="dxa"/>
            <w:vAlign w:val="center"/>
          </w:tcPr>
          <w:p w14:paraId="0829053F">
            <w:pPr>
              <w:spacing w:line="440" w:lineRule="exact"/>
              <w:ind w:right="6"/>
              <w:jc w:val="center"/>
              <w:rPr>
                <w:rFonts w:hint="eastAsia" w:ascii="Arial" w:hAnsi="宋体" w:eastAsia="宋体" w:cs="Arial"/>
                <w:b/>
                <w:snapToGrid w:val="0"/>
                <w:color w:val="auto"/>
                <w:szCs w:val="21"/>
                <w:highlight w:val="none"/>
              </w:rPr>
            </w:pPr>
            <w:r>
              <w:rPr>
                <w:rFonts w:hint="eastAsia" w:ascii="Arial" w:hAnsi="宋体" w:eastAsia="宋体" w:cs="Arial"/>
                <w:b/>
                <w:snapToGrid w:val="0"/>
                <w:color w:val="auto"/>
                <w:szCs w:val="21"/>
                <w:highlight w:val="none"/>
              </w:rPr>
              <w:t>一</w:t>
            </w:r>
          </w:p>
        </w:tc>
        <w:tc>
          <w:tcPr>
            <w:tcW w:w="9060" w:type="dxa"/>
            <w:gridSpan w:val="3"/>
            <w:vAlign w:val="center"/>
          </w:tcPr>
          <w:p w14:paraId="73D716E2">
            <w:pPr>
              <w:spacing w:line="440" w:lineRule="exact"/>
              <w:ind w:right="6"/>
              <w:jc w:val="center"/>
              <w:rPr>
                <w:rFonts w:hint="eastAsia" w:ascii="Arial" w:hAnsi="宋体" w:eastAsia="宋体" w:cs="Arial"/>
                <w:b/>
                <w:snapToGrid w:val="0"/>
                <w:color w:val="auto"/>
                <w:szCs w:val="21"/>
                <w:highlight w:val="none"/>
              </w:rPr>
            </w:pPr>
            <w:r>
              <w:rPr>
                <w:rFonts w:hint="eastAsia" w:ascii="Arial" w:hAnsi="宋体" w:eastAsia="宋体" w:cs="Arial"/>
                <w:b/>
                <w:snapToGrid w:val="0"/>
                <w:color w:val="auto"/>
                <w:szCs w:val="21"/>
                <w:highlight w:val="none"/>
              </w:rPr>
              <w:t>技术商务分（60分）</w:t>
            </w:r>
          </w:p>
          <w:p w14:paraId="63AF267E">
            <w:pPr>
              <w:spacing w:line="440" w:lineRule="exact"/>
              <w:ind w:right="6"/>
              <w:jc w:val="center"/>
              <w:rPr>
                <w:rFonts w:hint="eastAsia" w:ascii="Arial" w:hAnsi="宋体" w:eastAsia="宋体" w:cs="Arial"/>
                <w:b/>
                <w:snapToGrid w:val="0"/>
                <w:color w:val="auto"/>
                <w:szCs w:val="21"/>
                <w:highlight w:val="none"/>
              </w:rPr>
            </w:pPr>
            <w:r>
              <w:rPr>
                <w:rFonts w:hint="eastAsia" w:ascii="Arial" w:hAnsi="宋体" w:eastAsia="宋体" w:cs="Arial"/>
                <w:b/>
                <w:snapToGrid w:val="0"/>
                <w:color w:val="auto"/>
                <w:szCs w:val="21"/>
                <w:highlight w:val="none"/>
              </w:rPr>
              <w:t>最终得分为评标专家组成员的有效评分中的算术平均值(计算评分值时保留二位小数，第三位四舍五入)。</w:t>
            </w:r>
          </w:p>
        </w:tc>
      </w:tr>
      <w:tr w14:paraId="6EB4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750" w:type="dxa"/>
            <w:vAlign w:val="center"/>
          </w:tcPr>
          <w:p w14:paraId="1665F9A2">
            <w:pPr>
              <w:ind w:right="105" w:rightChars="50"/>
              <w:jc w:val="left"/>
              <w:rPr>
                <w:rFonts w:hint="eastAsia" w:ascii="宋体" w:hAnsi="宋体"/>
                <w:color w:val="auto"/>
                <w:szCs w:val="21"/>
                <w:highlight w:val="none"/>
              </w:rPr>
            </w:pPr>
            <w:r>
              <w:rPr>
                <w:rFonts w:hint="eastAsia" w:ascii="宋体" w:hAnsi="宋体"/>
                <w:color w:val="auto"/>
                <w:szCs w:val="21"/>
                <w:highlight w:val="none"/>
              </w:rPr>
              <w:t>考评项目</w:t>
            </w:r>
          </w:p>
        </w:tc>
        <w:tc>
          <w:tcPr>
            <w:tcW w:w="2059" w:type="dxa"/>
            <w:vAlign w:val="center"/>
          </w:tcPr>
          <w:p w14:paraId="49408C0E">
            <w:pPr>
              <w:ind w:right="105" w:rightChars="50"/>
              <w:jc w:val="left"/>
              <w:rPr>
                <w:rFonts w:hint="eastAsia" w:ascii="宋体" w:hAnsi="宋体"/>
                <w:color w:val="auto"/>
                <w:szCs w:val="21"/>
                <w:highlight w:val="none"/>
              </w:rPr>
            </w:pPr>
            <w:r>
              <w:rPr>
                <w:rFonts w:hint="eastAsia" w:ascii="宋体" w:hAnsi="宋体"/>
                <w:color w:val="auto"/>
                <w:szCs w:val="21"/>
                <w:highlight w:val="none"/>
              </w:rPr>
              <w:t>评分标准</w:t>
            </w:r>
          </w:p>
        </w:tc>
        <w:tc>
          <w:tcPr>
            <w:tcW w:w="784" w:type="dxa"/>
            <w:vAlign w:val="center"/>
          </w:tcPr>
          <w:p w14:paraId="0AF32A8B">
            <w:pPr>
              <w:ind w:right="105" w:rightChars="50"/>
              <w:jc w:val="center"/>
              <w:rPr>
                <w:rFonts w:hint="eastAsia" w:ascii="宋体" w:hAnsi="宋体"/>
                <w:color w:val="auto"/>
                <w:szCs w:val="21"/>
                <w:highlight w:val="none"/>
              </w:rPr>
            </w:pPr>
            <w:r>
              <w:rPr>
                <w:rFonts w:hint="eastAsia" w:ascii="宋体" w:hAnsi="宋体"/>
                <w:color w:val="auto"/>
                <w:szCs w:val="21"/>
                <w:highlight w:val="none"/>
              </w:rPr>
              <w:t>分值</w:t>
            </w:r>
          </w:p>
        </w:tc>
        <w:tc>
          <w:tcPr>
            <w:tcW w:w="6217" w:type="dxa"/>
            <w:vAlign w:val="center"/>
          </w:tcPr>
          <w:p w14:paraId="68F25762">
            <w:pPr>
              <w:ind w:right="105" w:rightChars="50"/>
              <w:jc w:val="left"/>
              <w:rPr>
                <w:rFonts w:hint="eastAsia" w:ascii="宋体" w:hAnsi="宋体"/>
                <w:color w:val="auto"/>
                <w:szCs w:val="21"/>
                <w:highlight w:val="none"/>
              </w:rPr>
            </w:pPr>
            <w:r>
              <w:rPr>
                <w:rFonts w:hint="eastAsia" w:ascii="宋体" w:hAnsi="宋体"/>
                <w:color w:val="auto"/>
                <w:szCs w:val="21"/>
                <w:highlight w:val="none"/>
              </w:rPr>
              <w:t>评  定  依  据</w:t>
            </w:r>
          </w:p>
        </w:tc>
      </w:tr>
      <w:tr w14:paraId="3D25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rPr>
        <w:tc>
          <w:tcPr>
            <w:tcW w:w="750" w:type="dxa"/>
            <w:vMerge w:val="restart"/>
            <w:vAlign w:val="center"/>
          </w:tcPr>
          <w:p w14:paraId="1E38526E">
            <w:pPr>
              <w:ind w:right="105" w:rightChars="50"/>
              <w:jc w:val="left"/>
              <w:rPr>
                <w:rFonts w:hint="eastAsia" w:ascii="宋体" w:hAnsi="宋体"/>
                <w:color w:val="auto"/>
                <w:szCs w:val="21"/>
                <w:highlight w:val="none"/>
              </w:rPr>
            </w:pPr>
            <w:r>
              <w:rPr>
                <w:rFonts w:hint="eastAsia" w:ascii="宋体" w:hAnsi="宋体"/>
                <w:color w:val="auto"/>
                <w:szCs w:val="21"/>
                <w:highlight w:val="none"/>
              </w:rPr>
              <w:t>技术质量（4</w:t>
            </w: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2059" w:type="dxa"/>
            <w:vAlign w:val="center"/>
          </w:tcPr>
          <w:p w14:paraId="11047DD0">
            <w:pPr>
              <w:ind w:right="105" w:rightChars="50"/>
              <w:jc w:val="left"/>
              <w:rPr>
                <w:rFonts w:hint="eastAsia" w:ascii="宋体" w:hAnsi="宋体"/>
                <w:color w:val="auto"/>
                <w:szCs w:val="21"/>
                <w:highlight w:val="none"/>
              </w:rPr>
            </w:pPr>
            <w:r>
              <w:rPr>
                <w:rFonts w:hint="eastAsia" w:ascii="宋体" w:hAnsi="宋体"/>
                <w:color w:val="auto"/>
                <w:szCs w:val="21"/>
                <w:highlight w:val="none"/>
              </w:rPr>
              <w:t>1、对招标文件技术参数、整车配置要求的响应程度</w:t>
            </w:r>
          </w:p>
        </w:tc>
        <w:tc>
          <w:tcPr>
            <w:tcW w:w="784" w:type="dxa"/>
            <w:vAlign w:val="center"/>
          </w:tcPr>
          <w:p w14:paraId="7818A8DE">
            <w:pPr>
              <w:ind w:right="105" w:rightChars="5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40</w:t>
            </w:r>
          </w:p>
        </w:tc>
        <w:tc>
          <w:tcPr>
            <w:tcW w:w="6217" w:type="dxa"/>
            <w:vAlign w:val="center"/>
          </w:tcPr>
          <w:p w14:paraId="004E1EBC">
            <w:pPr>
              <w:ind w:right="105" w:rightChars="50"/>
              <w:jc w:val="left"/>
              <w:rPr>
                <w:rFonts w:hint="eastAsia" w:ascii="宋体" w:hAnsi="宋体"/>
                <w:color w:val="auto"/>
                <w:szCs w:val="21"/>
                <w:highlight w:val="none"/>
              </w:rPr>
            </w:pPr>
            <w:r>
              <w:rPr>
                <w:rFonts w:hint="eastAsia" w:ascii="宋体" w:hAnsi="宋体"/>
                <w:color w:val="auto"/>
                <w:szCs w:val="21"/>
                <w:highlight w:val="none"/>
              </w:rPr>
              <w:t>所投车型完全满足招标文件规定的相应“车辆技术配置要求”，得</w:t>
            </w:r>
            <w:r>
              <w:rPr>
                <w:rFonts w:hint="eastAsia" w:ascii="宋体" w:hAnsi="宋体"/>
                <w:color w:val="auto"/>
                <w:szCs w:val="21"/>
                <w:highlight w:val="none"/>
                <w:lang w:val="en-US" w:eastAsia="zh-CN"/>
              </w:rPr>
              <w:t>40</w:t>
            </w:r>
            <w:r>
              <w:rPr>
                <w:rFonts w:hint="eastAsia" w:ascii="宋体" w:hAnsi="宋体"/>
                <w:color w:val="auto"/>
                <w:szCs w:val="21"/>
                <w:highlight w:val="none"/>
              </w:rPr>
              <w:t>分；每偏离一项扣3分，扣完为止. （注：招标文件中技术参数中若有要求供应商提供相应佐证材料的，供应商未提供相应佐证材料或者响应承诺与其佐证材料不一致的为负偏离）</w:t>
            </w:r>
          </w:p>
        </w:tc>
      </w:tr>
      <w:tr w14:paraId="2476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 w:hRule="atLeast"/>
        </w:trPr>
        <w:tc>
          <w:tcPr>
            <w:tcW w:w="750" w:type="dxa"/>
            <w:vMerge w:val="continue"/>
            <w:vAlign w:val="center"/>
          </w:tcPr>
          <w:p w14:paraId="079420C6">
            <w:pPr>
              <w:ind w:right="105" w:rightChars="50"/>
              <w:jc w:val="left"/>
              <w:rPr>
                <w:rFonts w:hint="eastAsia" w:ascii="宋体" w:hAnsi="宋体"/>
                <w:color w:val="auto"/>
                <w:szCs w:val="21"/>
                <w:highlight w:val="none"/>
              </w:rPr>
            </w:pPr>
          </w:p>
        </w:tc>
        <w:tc>
          <w:tcPr>
            <w:tcW w:w="2059" w:type="dxa"/>
            <w:vMerge w:val="restart"/>
            <w:vAlign w:val="center"/>
          </w:tcPr>
          <w:p w14:paraId="42A69ECD">
            <w:pPr>
              <w:ind w:right="105" w:rightChars="5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综合实力</w:t>
            </w:r>
          </w:p>
        </w:tc>
        <w:tc>
          <w:tcPr>
            <w:tcW w:w="784" w:type="dxa"/>
            <w:shd w:val="clear" w:color="auto" w:fill="auto"/>
            <w:vAlign w:val="center"/>
          </w:tcPr>
          <w:p w14:paraId="3DDBFD3A">
            <w:pPr>
              <w:ind w:right="105" w:rightChars="50"/>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6217" w:type="dxa"/>
            <w:shd w:val="clear" w:color="auto" w:fill="auto"/>
            <w:vAlign w:val="center"/>
          </w:tcPr>
          <w:p w14:paraId="1846EB7D">
            <w:pPr>
              <w:ind w:right="105" w:rightChars="5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根据投标产品对招标人的适用性、产品质量、外观、制造 </w:t>
            </w:r>
          </w:p>
          <w:p w14:paraId="19DE990D">
            <w:pPr>
              <w:ind w:right="105" w:rightChars="5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工艺、成熟度等酌情打分，最低 0.5 分，最高 3 分。 </w:t>
            </w:r>
          </w:p>
        </w:tc>
      </w:tr>
      <w:tr w14:paraId="5FD9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0" w:type="dxa"/>
            <w:vMerge w:val="continue"/>
            <w:vAlign w:val="center"/>
          </w:tcPr>
          <w:p w14:paraId="39A8DCE9">
            <w:pPr>
              <w:ind w:right="105" w:rightChars="50"/>
              <w:jc w:val="left"/>
              <w:rPr>
                <w:rFonts w:hint="eastAsia" w:ascii="宋体" w:hAnsi="宋体"/>
                <w:color w:val="auto"/>
                <w:szCs w:val="21"/>
                <w:highlight w:val="none"/>
              </w:rPr>
            </w:pPr>
          </w:p>
        </w:tc>
        <w:tc>
          <w:tcPr>
            <w:tcW w:w="2059" w:type="dxa"/>
            <w:vMerge w:val="continue"/>
            <w:vAlign w:val="center"/>
          </w:tcPr>
          <w:p w14:paraId="295092EF">
            <w:pPr>
              <w:ind w:right="105" w:rightChars="50"/>
              <w:jc w:val="left"/>
              <w:rPr>
                <w:rFonts w:hint="eastAsia" w:ascii="宋体" w:hAnsi="宋体"/>
                <w:color w:val="auto"/>
                <w:szCs w:val="21"/>
                <w:highlight w:val="none"/>
              </w:rPr>
            </w:pPr>
          </w:p>
        </w:tc>
        <w:tc>
          <w:tcPr>
            <w:tcW w:w="784" w:type="dxa"/>
            <w:vAlign w:val="center"/>
          </w:tcPr>
          <w:p w14:paraId="71B4509C">
            <w:pPr>
              <w:ind w:right="105" w:rightChars="50"/>
              <w:jc w:val="center"/>
              <w:rPr>
                <w:rFonts w:hint="eastAsia" w:ascii="宋体" w:hAnsi="宋体"/>
                <w:color w:val="auto"/>
                <w:szCs w:val="21"/>
                <w:highlight w:val="none"/>
                <w:lang w:eastAsia="zh-CN"/>
              </w:rPr>
            </w:pPr>
            <w:r>
              <w:rPr>
                <w:rFonts w:hint="eastAsia" w:ascii="宋体" w:hAnsi="宋体"/>
                <w:color w:val="auto"/>
                <w:szCs w:val="21"/>
                <w:highlight w:val="none"/>
                <w:lang w:val="en-US" w:eastAsia="zh-CN"/>
              </w:rPr>
              <w:t>3</w:t>
            </w:r>
          </w:p>
        </w:tc>
        <w:tc>
          <w:tcPr>
            <w:tcW w:w="6217" w:type="dxa"/>
            <w:vAlign w:val="center"/>
          </w:tcPr>
          <w:p w14:paraId="28D68C53">
            <w:pPr>
              <w:ind w:right="105" w:rightChars="5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根据厂家品牌影响力、研发实力、获得荣誉、综合实力等 </w:t>
            </w:r>
          </w:p>
          <w:p w14:paraId="4396A7F5">
            <w:pPr>
              <w:ind w:right="105" w:rightChars="50"/>
              <w:jc w:val="left"/>
              <w:rPr>
                <w:rFonts w:hint="eastAsia" w:ascii="宋体" w:hAnsi="宋体"/>
                <w:color w:val="auto"/>
                <w:szCs w:val="21"/>
                <w:highlight w:val="none"/>
              </w:rPr>
            </w:pPr>
            <w:r>
              <w:rPr>
                <w:rFonts w:hint="eastAsia" w:ascii="宋体" w:hAnsi="宋体"/>
                <w:color w:val="auto"/>
                <w:szCs w:val="21"/>
                <w:highlight w:val="none"/>
                <w:lang w:val="en-US" w:eastAsia="zh-CN"/>
              </w:rPr>
              <w:t>酌情打分，最低 0.5 分，最高 3 分。</w:t>
            </w:r>
          </w:p>
        </w:tc>
      </w:tr>
      <w:tr w14:paraId="2260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50" w:type="dxa"/>
            <w:vMerge w:val="restart"/>
            <w:vAlign w:val="center"/>
          </w:tcPr>
          <w:p w14:paraId="3FBC9F86">
            <w:pPr>
              <w:ind w:right="105" w:rightChars="50"/>
              <w:jc w:val="left"/>
              <w:rPr>
                <w:rFonts w:hint="eastAsia" w:ascii="宋体" w:hAnsi="宋体"/>
                <w:color w:val="auto"/>
                <w:szCs w:val="21"/>
                <w:highlight w:val="none"/>
              </w:rPr>
            </w:pPr>
            <w:r>
              <w:rPr>
                <w:rFonts w:hint="eastAsia" w:ascii="宋体" w:hAnsi="宋体"/>
                <w:color w:val="auto"/>
                <w:szCs w:val="21"/>
                <w:highlight w:val="none"/>
              </w:rPr>
              <w:t>售后服务(1</w:t>
            </w: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c>
          <w:tcPr>
            <w:tcW w:w="2059" w:type="dxa"/>
            <w:vAlign w:val="center"/>
          </w:tcPr>
          <w:p w14:paraId="6DE48003">
            <w:pPr>
              <w:ind w:right="105" w:rightChars="50"/>
              <w:jc w:val="left"/>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、整车质保期限</w:t>
            </w:r>
          </w:p>
        </w:tc>
        <w:tc>
          <w:tcPr>
            <w:tcW w:w="784" w:type="dxa"/>
            <w:vAlign w:val="center"/>
          </w:tcPr>
          <w:p w14:paraId="5BC62795">
            <w:pPr>
              <w:ind w:right="105" w:rightChars="50"/>
              <w:jc w:val="center"/>
              <w:rPr>
                <w:rFonts w:hint="eastAsia" w:ascii="宋体" w:hAnsi="宋体"/>
                <w:color w:val="auto"/>
                <w:szCs w:val="21"/>
                <w:highlight w:val="none"/>
              </w:rPr>
            </w:pPr>
            <w:r>
              <w:rPr>
                <w:rFonts w:hint="eastAsia" w:ascii="宋体" w:hAnsi="宋体"/>
                <w:color w:val="auto"/>
                <w:szCs w:val="21"/>
                <w:highlight w:val="none"/>
              </w:rPr>
              <w:t>3</w:t>
            </w:r>
          </w:p>
        </w:tc>
        <w:tc>
          <w:tcPr>
            <w:tcW w:w="6217" w:type="dxa"/>
            <w:vAlign w:val="center"/>
          </w:tcPr>
          <w:p w14:paraId="758AA5BC">
            <w:pPr>
              <w:ind w:right="105" w:rightChars="50"/>
              <w:jc w:val="left"/>
              <w:rPr>
                <w:rFonts w:hint="eastAsia" w:ascii="宋体" w:hAnsi="宋体"/>
                <w:color w:val="auto"/>
                <w:szCs w:val="21"/>
                <w:highlight w:val="none"/>
              </w:rPr>
            </w:pPr>
            <w:r>
              <w:rPr>
                <w:rFonts w:hint="eastAsia" w:ascii="宋体" w:hAnsi="宋体"/>
                <w:color w:val="auto"/>
                <w:szCs w:val="21"/>
                <w:highlight w:val="none"/>
              </w:rPr>
              <w:t>整车质保期不计里程36个月的得2分，每延长半年得0.5分，最高得3分。需单独提供有效书面承诺书，否则不得分。</w:t>
            </w:r>
          </w:p>
        </w:tc>
      </w:tr>
      <w:tr w14:paraId="75DD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trPr>
        <w:tc>
          <w:tcPr>
            <w:tcW w:w="750" w:type="dxa"/>
            <w:vMerge w:val="continue"/>
            <w:vAlign w:val="center"/>
          </w:tcPr>
          <w:p w14:paraId="7ACB2065">
            <w:pPr>
              <w:ind w:right="105" w:rightChars="50"/>
              <w:jc w:val="left"/>
              <w:rPr>
                <w:rFonts w:hint="eastAsia" w:ascii="宋体" w:hAnsi="宋体"/>
                <w:color w:val="auto"/>
                <w:szCs w:val="21"/>
                <w:highlight w:val="none"/>
              </w:rPr>
            </w:pPr>
          </w:p>
        </w:tc>
        <w:tc>
          <w:tcPr>
            <w:tcW w:w="2059" w:type="dxa"/>
            <w:vAlign w:val="center"/>
          </w:tcPr>
          <w:p w14:paraId="4F679955">
            <w:pPr>
              <w:ind w:right="105" w:rightChars="50"/>
              <w:jc w:val="left"/>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、特约维修站</w:t>
            </w:r>
          </w:p>
        </w:tc>
        <w:tc>
          <w:tcPr>
            <w:tcW w:w="784" w:type="dxa"/>
            <w:vAlign w:val="center"/>
          </w:tcPr>
          <w:p w14:paraId="0271F617">
            <w:pPr>
              <w:ind w:right="105" w:rightChars="50"/>
              <w:jc w:val="center"/>
              <w:rPr>
                <w:rFonts w:hint="eastAsia" w:ascii="宋体" w:hAnsi="宋体"/>
                <w:color w:val="auto"/>
                <w:szCs w:val="21"/>
                <w:highlight w:val="none"/>
              </w:rPr>
            </w:pPr>
            <w:r>
              <w:rPr>
                <w:rFonts w:hint="eastAsia" w:ascii="宋体" w:hAnsi="宋体"/>
                <w:color w:val="auto"/>
                <w:szCs w:val="21"/>
                <w:highlight w:val="none"/>
              </w:rPr>
              <w:t>3</w:t>
            </w:r>
          </w:p>
        </w:tc>
        <w:tc>
          <w:tcPr>
            <w:tcW w:w="6217" w:type="dxa"/>
          </w:tcPr>
          <w:p w14:paraId="28F3B930">
            <w:pPr>
              <w:ind w:right="105" w:rightChars="50"/>
              <w:jc w:val="left"/>
              <w:rPr>
                <w:rFonts w:hint="eastAsia" w:ascii="宋体" w:hAnsi="宋体"/>
                <w:color w:val="auto"/>
                <w:szCs w:val="21"/>
                <w:highlight w:val="none"/>
              </w:rPr>
            </w:pPr>
            <w:r>
              <w:rPr>
                <w:rFonts w:hint="eastAsia" w:ascii="宋体" w:hAnsi="宋体"/>
                <w:color w:val="auto"/>
                <w:szCs w:val="21"/>
                <w:highlight w:val="none"/>
                <w:lang w:val="en-US" w:eastAsia="zh-CN"/>
              </w:rPr>
              <w:t>4.1</w:t>
            </w:r>
            <w:r>
              <w:rPr>
                <w:rFonts w:hint="eastAsia" w:ascii="宋体" w:hAnsi="宋体"/>
                <w:color w:val="auto"/>
                <w:szCs w:val="21"/>
                <w:highlight w:val="none"/>
              </w:rPr>
              <w:t>.已在宁海县范围内设有特约维修站并承诺实行24小时服务的得1分其他不得分。</w:t>
            </w:r>
          </w:p>
          <w:p w14:paraId="54A15566">
            <w:pPr>
              <w:ind w:right="105" w:rightChars="50"/>
              <w:jc w:val="left"/>
              <w:rPr>
                <w:rFonts w:hint="eastAsia" w:ascii="宋体" w:hAnsi="宋体"/>
                <w:color w:val="auto"/>
                <w:szCs w:val="21"/>
                <w:highlight w:val="none"/>
              </w:rPr>
            </w:pPr>
            <w:r>
              <w:rPr>
                <w:rFonts w:hint="eastAsia" w:ascii="宋体" w:hAnsi="宋体"/>
                <w:color w:val="auto"/>
                <w:szCs w:val="21"/>
                <w:highlight w:val="none"/>
                <w:lang w:val="en-US" w:eastAsia="zh-CN"/>
              </w:rPr>
              <w:t>4.2</w:t>
            </w:r>
            <w:r>
              <w:rPr>
                <w:rFonts w:hint="eastAsia" w:ascii="宋体" w:hAnsi="宋体"/>
                <w:color w:val="auto"/>
                <w:szCs w:val="21"/>
                <w:highlight w:val="none"/>
              </w:rPr>
              <w:t>.承诺在质保期内接报后1小时到现场解决故障，24小时内修复得1分，其他不得分。</w:t>
            </w:r>
          </w:p>
          <w:p w14:paraId="527063F9">
            <w:pPr>
              <w:ind w:right="105" w:rightChars="50"/>
              <w:jc w:val="left"/>
              <w:rPr>
                <w:rFonts w:hint="eastAsia" w:ascii="宋体" w:hAnsi="宋体"/>
                <w:color w:val="auto"/>
                <w:szCs w:val="21"/>
                <w:highlight w:val="none"/>
              </w:rPr>
            </w:pPr>
            <w:r>
              <w:rPr>
                <w:rFonts w:hint="eastAsia" w:ascii="宋体" w:hAnsi="宋体"/>
                <w:color w:val="auto"/>
                <w:szCs w:val="21"/>
                <w:highlight w:val="none"/>
                <w:lang w:val="en-US" w:eastAsia="zh-CN"/>
              </w:rPr>
              <w:t>4.3</w:t>
            </w:r>
            <w:r>
              <w:rPr>
                <w:rFonts w:hint="eastAsia" w:ascii="宋体" w:hAnsi="宋体"/>
                <w:color w:val="auto"/>
                <w:szCs w:val="21"/>
                <w:highlight w:val="none"/>
              </w:rPr>
              <w:t>.试运行一个月内三包人员跟踪服务、培训有内容、有计划、有承诺得1分，无承诺不得分。</w:t>
            </w:r>
          </w:p>
        </w:tc>
      </w:tr>
      <w:tr w14:paraId="594E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750" w:type="dxa"/>
            <w:vMerge w:val="continue"/>
            <w:vAlign w:val="center"/>
          </w:tcPr>
          <w:p w14:paraId="119B20A5">
            <w:pPr>
              <w:ind w:right="105" w:rightChars="50"/>
              <w:jc w:val="left"/>
              <w:rPr>
                <w:rFonts w:hint="eastAsia" w:ascii="宋体" w:hAnsi="宋体"/>
                <w:color w:val="auto"/>
                <w:szCs w:val="21"/>
                <w:highlight w:val="none"/>
              </w:rPr>
            </w:pPr>
          </w:p>
        </w:tc>
        <w:tc>
          <w:tcPr>
            <w:tcW w:w="2059" w:type="dxa"/>
            <w:vAlign w:val="center"/>
          </w:tcPr>
          <w:p w14:paraId="7B479ED9">
            <w:pPr>
              <w:ind w:right="105" w:rightChars="50"/>
              <w:jc w:val="left"/>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、主要配件</w:t>
            </w:r>
          </w:p>
        </w:tc>
        <w:tc>
          <w:tcPr>
            <w:tcW w:w="784" w:type="dxa"/>
            <w:vAlign w:val="center"/>
          </w:tcPr>
          <w:p w14:paraId="12A8806E">
            <w:pPr>
              <w:ind w:right="105" w:rightChars="50"/>
              <w:jc w:val="center"/>
              <w:rPr>
                <w:rFonts w:hint="eastAsia" w:ascii="宋体" w:hAnsi="宋体"/>
                <w:color w:val="auto"/>
                <w:szCs w:val="21"/>
                <w:highlight w:val="none"/>
              </w:rPr>
            </w:pPr>
            <w:r>
              <w:rPr>
                <w:rFonts w:hint="eastAsia" w:ascii="宋体" w:hAnsi="宋体"/>
                <w:color w:val="auto"/>
                <w:szCs w:val="21"/>
                <w:highlight w:val="none"/>
              </w:rPr>
              <w:t>2</w:t>
            </w:r>
          </w:p>
        </w:tc>
        <w:tc>
          <w:tcPr>
            <w:tcW w:w="6217" w:type="dxa"/>
            <w:vAlign w:val="center"/>
          </w:tcPr>
          <w:p w14:paraId="1B80E8B7">
            <w:pPr>
              <w:ind w:right="105" w:rightChars="50"/>
              <w:jc w:val="left"/>
              <w:rPr>
                <w:rFonts w:hint="eastAsia" w:ascii="宋体" w:hAnsi="宋体"/>
                <w:color w:val="auto"/>
                <w:szCs w:val="21"/>
                <w:highlight w:val="none"/>
              </w:rPr>
            </w:pPr>
            <w:r>
              <w:rPr>
                <w:rFonts w:hint="eastAsia" w:ascii="宋体" w:hAnsi="宋体"/>
                <w:color w:val="auto"/>
                <w:szCs w:val="21"/>
                <w:highlight w:val="none"/>
              </w:rPr>
              <w:t>提供主要配件报价完整且优惠政策最好的得2分，比较完整价格优惠相对合理的得1分，未提供不得分。</w:t>
            </w:r>
          </w:p>
        </w:tc>
      </w:tr>
      <w:tr w14:paraId="5C97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750" w:type="dxa"/>
            <w:vMerge w:val="continue"/>
            <w:vAlign w:val="center"/>
          </w:tcPr>
          <w:p w14:paraId="19445F61">
            <w:pPr>
              <w:ind w:right="105" w:rightChars="50"/>
              <w:jc w:val="left"/>
              <w:rPr>
                <w:rFonts w:hint="eastAsia" w:ascii="宋体" w:hAnsi="宋体"/>
                <w:color w:val="auto"/>
                <w:szCs w:val="21"/>
                <w:highlight w:val="none"/>
              </w:rPr>
            </w:pPr>
          </w:p>
        </w:tc>
        <w:tc>
          <w:tcPr>
            <w:tcW w:w="2059" w:type="dxa"/>
            <w:vAlign w:val="center"/>
          </w:tcPr>
          <w:p w14:paraId="10526167">
            <w:pPr>
              <w:ind w:right="105" w:rightChars="50"/>
              <w:jc w:val="left"/>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、售后服务满意度</w:t>
            </w:r>
          </w:p>
        </w:tc>
        <w:tc>
          <w:tcPr>
            <w:tcW w:w="784" w:type="dxa"/>
            <w:vAlign w:val="center"/>
          </w:tcPr>
          <w:p w14:paraId="3C636B6A">
            <w:pPr>
              <w:ind w:right="105" w:rightChars="50"/>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4</w:t>
            </w:r>
          </w:p>
        </w:tc>
        <w:tc>
          <w:tcPr>
            <w:tcW w:w="6217" w:type="dxa"/>
            <w:vAlign w:val="center"/>
          </w:tcPr>
          <w:p w14:paraId="071FB31A">
            <w:pPr>
              <w:ind w:right="105" w:rightChars="50"/>
              <w:jc w:val="left"/>
              <w:rPr>
                <w:rFonts w:hint="eastAsia" w:ascii="宋体" w:hAnsi="宋体"/>
                <w:color w:val="auto"/>
                <w:szCs w:val="21"/>
                <w:highlight w:val="none"/>
              </w:rPr>
            </w:pPr>
            <w:r>
              <w:rPr>
                <w:rFonts w:hint="eastAsia" w:ascii="宋体" w:hAnsi="宋体"/>
                <w:color w:val="auto"/>
                <w:szCs w:val="21"/>
                <w:highlight w:val="none"/>
              </w:rPr>
              <w:t>客车整车制造企业在2023年度中国汽车售后服务满意度调查（CAACS，简称卡思调查）中，售后满意度排名第1-2名的得4分，排名第3-4的得2分，排名第5-6的得1分，其余不得分。</w:t>
            </w:r>
          </w:p>
        </w:tc>
      </w:tr>
      <w:tr w14:paraId="7EA6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750" w:type="dxa"/>
            <w:vMerge w:val="continue"/>
            <w:vAlign w:val="center"/>
          </w:tcPr>
          <w:p w14:paraId="39DD20DB">
            <w:pPr>
              <w:ind w:right="105" w:rightChars="50"/>
              <w:jc w:val="left"/>
              <w:rPr>
                <w:rFonts w:hint="eastAsia" w:ascii="宋体" w:hAnsi="宋体"/>
                <w:color w:val="auto"/>
                <w:szCs w:val="21"/>
                <w:highlight w:val="none"/>
              </w:rPr>
            </w:pPr>
          </w:p>
        </w:tc>
        <w:tc>
          <w:tcPr>
            <w:tcW w:w="2059" w:type="dxa"/>
            <w:vAlign w:val="center"/>
          </w:tcPr>
          <w:p w14:paraId="05E989E4">
            <w:pPr>
              <w:ind w:right="105" w:rightChars="50"/>
              <w:jc w:val="left"/>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、优惠承诺</w:t>
            </w:r>
          </w:p>
        </w:tc>
        <w:tc>
          <w:tcPr>
            <w:tcW w:w="784" w:type="dxa"/>
            <w:vAlign w:val="center"/>
          </w:tcPr>
          <w:p w14:paraId="391CB975">
            <w:pPr>
              <w:ind w:right="105" w:rightChars="50"/>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2</w:t>
            </w:r>
          </w:p>
        </w:tc>
        <w:tc>
          <w:tcPr>
            <w:tcW w:w="6217" w:type="dxa"/>
            <w:vAlign w:val="center"/>
          </w:tcPr>
          <w:p w14:paraId="4039EB8E">
            <w:pPr>
              <w:snapToGrid w:val="0"/>
              <w:spacing w:line="340" w:lineRule="exact"/>
              <w:ind w:right="105" w:rightChars="50"/>
              <w:rPr>
                <w:rFonts w:ascii="宋体" w:hAnsi="宋体"/>
                <w:color w:val="auto"/>
                <w:szCs w:val="21"/>
                <w:highlight w:val="none"/>
              </w:rPr>
            </w:pPr>
            <w:r>
              <w:rPr>
                <w:color w:val="auto"/>
                <w:spacing w:val="10"/>
                <w:highlight w:val="none"/>
              </w:rPr>
              <w:t>根据投标人针对本项目的其他优惠承诺，根据优惠程度酌情</w:t>
            </w:r>
            <w:r>
              <w:rPr>
                <w:color w:val="auto"/>
                <w:spacing w:val="12"/>
                <w:highlight w:val="none"/>
              </w:rPr>
              <w:t xml:space="preserve"> </w:t>
            </w:r>
            <w:r>
              <w:rPr>
                <w:color w:val="auto"/>
                <w:spacing w:val="4"/>
                <w:highlight w:val="none"/>
              </w:rPr>
              <w:t>打分，最低</w:t>
            </w:r>
            <w:r>
              <w:rPr>
                <w:color w:val="auto"/>
                <w:spacing w:val="-38"/>
                <w:highlight w:val="none"/>
              </w:rPr>
              <w:t xml:space="preserve"> </w:t>
            </w:r>
            <w:r>
              <w:rPr>
                <w:color w:val="auto"/>
                <w:spacing w:val="4"/>
                <w:highlight w:val="none"/>
              </w:rPr>
              <w:t>0.5</w:t>
            </w:r>
            <w:r>
              <w:rPr>
                <w:color w:val="auto"/>
                <w:spacing w:val="-38"/>
                <w:highlight w:val="none"/>
              </w:rPr>
              <w:t xml:space="preserve"> </w:t>
            </w:r>
            <w:r>
              <w:rPr>
                <w:color w:val="auto"/>
                <w:spacing w:val="4"/>
                <w:highlight w:val="none"/>
              </w:rPr>
              <w:t>分，最高</w:t>
            </w:r>
            <w:r>
              <w:rPr>
                <w:color w:val="auto"/>
                <w:spacing w:val="-33"/>
                <w:highlight w:val="none"/>
              </w:rPr>
              <w:t xml:space="preserve"> </w:t>
            </w:r>
            <w:r>
              <w:rPr>
                <w:rFonts w:hint="eastAsia"/>
                <w:color w:val="auto"/>
                <w:spacing w:val="4"/>
                <w:highlight w:val="none"/>
                <w:lang w:val="en-US" w:eastAsia="zh-CN"/>
              </w:rPr>
              <w:t>2</w:t>
            </w:r>
            <w:r>
              <w:rPr>
                <w:color w:val="auto"/>
                <w:spacing w:val="-35"/>
                <w:highlight w:val="none"/>
              </w:rPr>
              <w:t xml:space="preserve"> </w:t>
            </w:r>
            <w:r>
              <w:rPr>
                <w:color w:val="auto"/>
                <w:spacing w:val="4"/>
                <w:highlight w:val="none"/>
              </w:rPr>
              <w:t>分。</w:t>
            </w:r>
          </w:p>
        </w:tc>
      </w:tr>
      <w:tr w14:paraId="4524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750" w:type="dxa"/>
            <w:vAlign w:val="center"/>
          </w:tcPr>
          <w:p w14:paraId="2A669039">
            <w:pPr>
              <w:ind w:right="105" w:rightChars="50"/>
              <w:jc w:val="left"/>
              <w:rPr>
                <w:rFonts w:hint="eastAsia" w:ascii="宋体" w:hAnsi="宋体"/>
                <w:color w:val="auto"/>
                <w:szCs w:val="21"/>
                <w:highlight w:val="none"/>
              </w:rPr>
            </w:pPr>
            <w:r>
              <w:rPr>
                <w:rFonts w:hint="eastAsia" w:ascii="宋体" w:hAnsi="宋体"/>
                <w:color w:val="auto"/>
                <w:szCs w:val="21"/>
                <w:highlight w:val="none"/>
              </w:rPr>
              <w:t>二</w:t>
            </w:r>
          </w:p>
        </w:tc>
        <w:tc>
          <w:tcPr>
            <w:tcW w:w="9060" w:type="dxa"/>
            <w:gridSpan w:val="3"/>
            <w:vAlign w:val="center"/>
          </w:tcPr>
          <w:p w14:paraId="00B2A70E">
            <w:pPr>
              <w:ind w:right="105" w:rightChars="50"/>
              <w:jc w:val="left"/>
              <w:rPr>
                <w:rFonts w:hint="eastAsia" w:ascii="宋体" w:hAnsi="宋体"/>
                <w:color w:val="auto"/>
                <w:szCs w:val="21"/>
                <w:highlight w:val="none"/>
              </w:rPr>
            </w:pPr>
            <w:r>
              <w:rPr>
                <w:rFonts w:hint="eastAsia" w:ascii="宋体" w:hAnsi="宋体"/>
                <w:color w:val="auto"/>
                <w:szCs w:val="21"/>
                <w:highlight w:val="none"/>
              </w:rPr>
              <w:t>投标价格分（40分）</w:t>
            </w:r>
          </w:p>
        </w:tc>
      </w:tr>
      <w:tr w14:paraId="1BC5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8" w:hRule="atLeast"/>
        </w:trPr>
        <w:tc>
          <w:tcPr>
            <w:tcW w:w="750" w:type="dxa"/>
            <w:vAlign w:val="center"/>
          </w:tcPr>
          <w:p w14:paraId="37324D7B">
            <w:pPr>
              <w:ind w:right="105" w:rightChars="50"/>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p>
        </w:tc>
        <w:tc>
          <w:tcPr>
            <w:tcW w:w="9060" w:type="dxa"/>
            <w:gridSpan w:val="3"/>
            <w:vAlign w:val="center"/>
          </w:tcPr>
          <w:p w14:paraId="47DFB289">
            <w:pPr>
              <w:rPr>
                <w:rFonts w:ascii="Arial" w:hAnsi="宋体" w:cs="Arial"/>
                <w:bCs/>
                <w:snapToGrid w:val="0"/>
                <w:color w:val="auto"/>
                <w:szCs w:val="21"/>
                <w:highlight w:val="none"/>
              </w:rPr>
            </w:pPr>
            <w:r>
              <w:rPr>
                <w:rFonts w:hint="eastAsia" w:ascii="Arial" w:hAnsi="宋体" w:cs="Arial"/>
                <w:bCs/>
                <w:snapToGrid w:val="0"/>
                <w:color w:val="auto"/>
                <w:szCs w:val="21"/>
                <w:highlight w:val="none"/>
              </w:rPr>
              <w:t>本次招标设最高投标限价：超过最高限价的，其投标文件作为无效标处理。</w:t>
            </w:r>
          </w:p>
          <w:p w14:paraId="594ED4FD">
            <w:pPr>
              <w:rPr>
                <w:rFonts w:ascii="Arial" w:hAnsi="宋体" w:cs="Arial"/>
                <w:bCs/>
                <w:snapToGrid w:val="0"/>
                <w:color w:val="auto"/>
                <w:szCs w:val="21"/>
                <w:highlight w:val="none"/>
              </w:rPr>
            </w:pPr>
            <w:r>
              <w:rPr>
                <w:rFonts w:hint="eastAsia" w:ascii="Arial" w:hAnsi="宋体" w:cs="Arial"/>
                <w:bCs/>
                <w:snapToGrid w:val="0"/>
                <w:color w:val="auto"/>
                <w:szCs w:val="21"/>
                <w:highlight w:val="none"/>
              </w:rPr>
              <w:t>评标基准价的确定：</w:t>
            </w:r>
          </w:p>
          <w:p w14:paraId="5B0A124D">
            <w:pPr>
              <w:tabs>
                <w:tab w:val="left" w:pos="420"/>
                <w:tab w:val="left" w:pos="982"/>
              </w:tabs>
              <w:snapToGrid w:val="0"/>
              <w:spacing w:line="340" w:lineRule="exact"/>
              <w:rPr>
                <w:rFonts w:ascii="宋体"/>
                <w:color w:val="auto"/>
                <w:highlight w:val="none"/>
              </w:rPr>
            </w:pPr>
            <w:r>
              <w:rPr>
                <w:rFonts w:hint="eastAsia" w:ascii="宋体" w:hAnsi="宋体"/>
                <w:color w:val="auto"/>
                <w:szCs w:val="22"/>
                <w:highlight w:val="none"/>
              </w:rPr>
              <w:t>进入商务报价程序的</w:t>
            </w:r>
            <w:r>
              <w:rPr>
                <w:rFonts w:hint="eastAsia" w:ascii="宋体" w:hAnsi="Calibri"/>
                <w:color w:val="auto"/>
                <w:szCs w:val="22"/>
                <w:highlight w:val="none"/>
              </w:rPr>
              <w:t>全部有效投标供应商中的</w:t>
            </w:r>
            <w:r>
              <w:rPr>
                <w:rFonts w:hint="eastAsia" w:ascii="Arial" w:hAnsi="Arial"/>
                <w:snapToGrid w:val="0"/>
                <w:color w:val="auto"/>
                <w:szCs w:val="22"/>
                <w:highlight w:val="none"/>
                <w:lang w:val="en-US" w:eastAsia="zh-CN"/>
              </w:rPr>
              <w:t>平均价为</w:t>
            </w:r>
            <w:r>
              <w:rPr>
                <w:rFonts w:hint="eastAsia" w:ascii="Arial" w:hAnsi="宋体" w:cs="Arial"/>
                <w:bCs/>
                <w:snapToGrid w:val="0"/>
                <w:color w:val="auto"/>
                <w:szCs w:val="21"/>
                <w:highlight w:val="none"/>
              </w:rPr>
              <w:t>（</w:t>
            </w:r>
            <w:r>
              <w:rPr>
                <w:rFonts w:hint="eastAsia" w:ascii="Arial" w:hAnsi="Arial"/>
                <w:snapToGrid w:val="0"/>
                <w:color w:val="auto"/>
                <w:szCs w:val="22"/>
                <w:highlight w:val="none"/>
                <w:lang w:val="en-US" w:eastAsia="zh-CN"/>
              </w:rPr>
              <w:t>不含补贴的</w:t>
            </w:r>
            <w:r>
              <w:rPr>
                <w:rFonts w:hint="eastAsia" w:ascii="Arial" w:hAnsi="宋体" w:cs="Arial"/>
                <w:bCs/>
                <w:snapToGrid w:val="0"/>
                <w:color w:val="auto"/>
                <w:szCs w:val="21"/>
                <w:highlight w:val="none"/>
              </w:rPr>
              <w:t>投标总报价）</w:t>
            </w:r>
            <w:r>
              <w:rPr>
                <w:rFonts w:hint="eastAsia" w:ascii="宋体" w:hAnsi="Calibri"/>
                <w:color w:val="auto"/>
                <w:szCs w:val="22"/>
                <w:highlight w:val="none"/>
              </w:rPr>
              <w:t>作为评分基准值。投标供应商商务报价与基准值对比，计算出商务报价评分值：</w:t>
            </w:r>
          </w:p>
          <w:p w14:paraId="5AA89958">
            <w:pPr>
              <w:tabs>
                <w:tab w:val="left" w:pos="435"/>
                <w:tab w:val="left" w:pos="1134"/>
              </w:tabs>
              <w:snapToGrid w:val="0"/>
              <w:spacing w:line="360" w:lineRule="exact"/>
              <w:rPr>
                <w:rFonts w:ascii="Arial" w:hAnsi="Arial"/>
                <w:color w:val="auto"/>
                <w:szCs w:val="22"/>
                <w:highlight w:val="none"/>
              </w:rPr>
            </w:pPr>
            <w:r>
              <w:rPr>
                <w:rFonts w:hint="eastAsia" w:ascii="Arial" w:hAnsi="Arial"/>
                <w:color w:val="auto"/>
                <w:szCs w:val="22"/>
                <w:highlight w:val="none"/>
              </w:rPr>
              <w:t>（1）全部有效投标供应商中的</w:t>
            </w:r>
            <w:r>
              <w:rPr>
                <w:rFonts w:hint="eastAsia" w:ascii="Arial" w:hAnsi="Arial"/>
                <w:snapToGrid w:val="0"/>
                <w:color w:val="auto"/>
                <w:szCs w:val="22"/>
                <w:highlight w:val="none"/>
                <w:lang w:val="en-US" w:eastAsia="zh-CN"/>
              </w:rPr>
              <w:t>平均</w:t>
            </w:r>
            <w:r>
              <w:rPr>
                <w:rFonts w:hint="eastAsia" w:ascii="Arial" w:hAnsi="宋体" w:cs="Arial"/>
                <w:bCs/>
                <w:snapToGrid w:val="0"/>
                <w:color w:val="auto"/>
                <w:szCs w:val="21"/>
                <w:highlight w:val="none"/>
              </w:rPr>
              <w:t>报价</w:t>
            </w:r>
            <w:r>
              <w:rPr>
                <w:rFonts w:hint="eastAsia" w:ascii="Arial" w:hAnsi="Arial"/>
                <w:color w:val="auto"/>
                <w:szCs w:val="22"/>
                <w:highlight w:val="none"/>
              </w:rPr>
              <w:t>作为评标基准价。</w:t>
            </w:r>
          </w:p>
          <w:p w14:paraId="4D1EDD87">
            <w:pPr>
              <w:tabs>
                <w:tab w:val="left" w:pos="420"/>
                <w:tab w:val="left" w:pos="982"/>
              </w:tabs>
              <w:snapToGrid w:val="0"/>
              <w:spacing w:line="340" w:lineRule="exact"/>
              <w:rPr>
                <w:rFonts w:ascii="Arial" w:hAnsi="Arial"/>
                <w:snapToGrid w:val="0"/>
                <w:color w:val="auto"/>
                <w:szCs w:val="22"/>
                <w:highlight w:val="none"/>
              </w:rPr>
            </w:pPr>
            <w:r>
              <w:rPr>
                <w:rFonts w:hint="eastAsia" w:ascii="Arial" w:hAnsi="Arial"/>
                <w:snapToGrid w:val="0"/>
                <w:color w:val="auto"/>
                <w:szCs w:val="22"/>
                <w:highlight w:val="none"/>
                <w:lang w:eastAsia="zh-CN"/>
              </w:rPr>
              <w:t>（</w:t>
            </w:r>
            <w:r>
              <w:rPr>
                <w:rFonts w:hint="eastAsia" w:ascii="Arial" w:hAnsi="Arial"/>
                <w:snapToGrid w:val="0"/>
                <w:color w:val="auto"/>
                <w:szCs w:val="22"/>
                <w:highlight w:val="none"/>
                <w:lang w:val="en-US" w:eastAsia="zh-CN"/>
              </w:rPr>
              <w:t>2</w:t>
            </w:r>
            <w:r>
              <w:rPr>
                <w:rFonts w:hint="eastAsia" w:ascii="Arial" w:hAnsi="Arial"/>
                <w:snapToGrid w:val="0"/>
                <w:color w:val="auto"/>
                <w:szCs w:val="22"/>
                <w:highlight w:val="none"/>
                <w:lang w:eastAsia="zh-CN"/>
              </w:rPr>
              <w:t>）</w:t>
            </w:r>
            <w:r>
              <w:rPr>
                <w:rFonts w:hint="eastAsia"/>
                <w:color w:val="auto"/>
                <w:szCs w:val="24"/>
                <w:highlight w:val="none"/>
              </w:rPr>
              <w:t>投标人的投标报价与基准价一致得</w:t>
            </w:r>
            <w:r>
              <w:rPr>
                <w:rFonts w:hint="eastAsia"/>
                <w:color w:val="auto"/>
                <w:szCs w:val="24"/>
                <w:highlight w:val="none"/>
                <w:lang w:val="en-US" w:eastAsia="zh-CN"/>
              </w:rPr>
              <w:t>4</w:t>
            </w:r>
            <w:r>
              <w:rPr>
                <w:rFonts w:hint="eastAsia"/>
                <w:color w:val="auto"/>
                <w:szCs w:val="24"/>
                <w:highlight w:val="none"/>
              </w:rPr>
              <w:t>0分，每高于基准价1%，扣0.</w:t>
            </w:r>
            <w:r>
              <w:rPr>
                <w:rFonts w:hint="eastAsia"/>
                <w:color w:val="auto"/>
                <w:szCs w:val="24"/>
                <w:highlight w:val="none"/>
                <w:lang w:val="en-US" w:eastAsia="zh-CN"/>
              </w:rPr>
              <w:t>5</w:t>
            </w:r>
            <w:r>
              <w:rPr>
                <w:rFonts w:hint="eastAsia"/>
                <w:color w:val="auto"/>
                <w:szCs w:val="24"/>
                <w:highlight w:val="none"/>
              </w:rPr>
              <w:t>分，每低于基准价1%，扣0.</w:t>
            </w:r>
            <w:r>
              <w:rPr>
                <w:rFonts w:hint="eastAsia"/>
                <w:color w:val="auto"/>
                <w:szCs w:val="24"/>
                <w:highlight w:val="none"/>
                <w:lang w:val="en-US" w:eastAsia="zh-CN"/>
              </w:rPr>
              <w:t>3</w:t>
            </w:r>
            <w:r>
              <w:rPr>
                <w:rFonts w:hint="eastAsia"/>
                <w:color w:val="auto"/>
                <w:szCs w:val="24"/>
                <w:highlight w:val="none"/>
              </w:rPr>
              <w:t>分（中间值采用内插法计算），以此类推，扣完为止。</w:t>
            </w:r>
          </w:p>
          <w:p w14:paraId="227827AC">
            <w:pPr>
              <w:ind w:right="105" w:rightChars="50"/>
              <w:jc w:val="left"/>
              <w:rPr>
                <w:rFonts w:hint="eastAsia" w:ascii="宋体" w:hAnsi="宋体"/>
                <w:color w:val="auto"/>
                <w:szCs w:val="21"/>
                <w:highlight w:val="none"/>
              </w:rPr>
            </w:pPr>
            <w:r>
              <w:rPr>
                <w:rFonts w:hint="eastAsia" w:ascii="Arial" w:hAnsi="Arial"/>
                <w:snapToGrid w:val="0"/>
                <w:color w:val="auto"/>
                <w:szCs w:val="22"/>
                <w:highlight w:val="none"/>
              </w:rPr>
              <w:t>投标报价分得分计算保留小数</w:t>
            </w:r>
            <w:r>
              <w:rPr>
                <w:rFonts w:ascii="Arial" w:hAnsi="Arial"/>
                <w:snapToGrid w:val="0"/>
                <w:color w:val="auto"/>
                <w:szCs w:val="22"/>
                <w:highlight w:val="none"/>
              </w:rPr>
              <w:t>2</w:t>
            </w:r>
            <w:r>
              <w:rPr>
                <w:rFonts w:hint="eastAsia" w:ascii="Arial" w:hAnsi="Arial"/>
                <w:snapToGrid w:val="0"/>
                <w:color w:val="auto"/>
                <w:szCs w:val="22"/>
                <w:highlight w:val="none"/>
              </w:rPr>
              <w:t>位，第三位四舍五入。</w:t>
            </w:r>
          </w:p>
        </w:tc>
      </w:tr>
    </w:tbl>
    <w:p w14:paraId="4ABA5778">
      <w:pPr>
        <w:spacing w:line="360" w:lineRule="exact"/>
        <w:jc w:val="both"/>
        <w:rPr>
          <w:rFonts w:hint="default" w:ascii="宋体" w:hAnsi="宋体" w:eastAsia="宋体"/>
          <w:color w:val="auto"/>
          <w:szCs w:val="21"/>
          <w:highlight w:val="none"/>
          <w:lang w:val="en-US" w:eastAsia="zh-CN"/>
        </w:rPr>
      </w:pPr>
    </w:p>
    <w:p w14:paraId="06140987">
      <w:pPr>
        <w:spacing w:line="360" w:lineRule="auto"/>
        <w:jc w:val="left"/>
        <w:rPr>
          <w:rFonts w:ascii="黑体" w:eastAsia="黑体"/>
          <w:b/>
          <w:color w:val="auto"/>
          <w:sz w:val="32"/>
          <w:highlight w:val="none"/>
        </w:rPr>
      </w:pPr>
      <w:r>
        <w:rPr>
          <w:rFonts w:hint="eastAsia" w:ascii="宋体" w:hAnsi="宋体"/>
          <w:b/>
          <w:bCs/>
          <w:color w:val="auto"/>
          <w:szCs w:val="21"/>
          <w:highlight w:val="none"/>
          <w:lang w:eastAsia="zh-CN"/>
        </w:rPr>
        <w:t>标项（子包）</w:t>
      </w:r>
      <w:r>
        <w:rPr>
          <w:rFonts w:hint="eastAsia" w:ascii="宋体" w:hAnsi="宋体"/>
          <w:b/>
          <w:bCs/>
          <w:color w:val="auto"/>
          <w:szCs w:val="21"/>
          <w:highlight w:val="none"/>
          <w:lang w:val="en-US" w:eastAsia="zh-CN"/>
        </w:rPr>
        <w:t>四</w:t>
      </w:r>
      <w:r>
        <w:rPr>
          <w:rFonts w:hint="eastAsia" w:ascii="宋体" w:hAnsi="宋体"/>
          <w:b/>
          <w:bCs/>
          <w:color w:val="auto"/>
          <w:szCs w:val="21"/>
          <w:highlight w:val="none"/>
        </w:rPr>
        <w:t>评分内容和标准见下表：</w:t>
      </w:r>
    </w:p>
    <w:tbl>
      <w:tblPr>
        <w:tblStyle w:val="45"/>
        <w:tblpPr w:leftFromText="180" w:rightFromText="180" w:vertAnchor="text" w:horzAnchor="page" w:tblpX="1192" w:tblpY="450"/>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127"/>
        <w:gridCol w:w="788"/>
        <w:gridCol w:w="6159"/>
      </w:tblGrid>
      <w:tr w14:paraId="05D3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3" w:hRule="atLeast"/>
        </w:trPr>
        <w:tc>
          <w:tcPr>
            <w:tcW w:w="736" w:type="dxa"/>
            <w:noWrap w:val="0"/>
            <w:vAlign w:val="center"/>
          </w:tcPr>
          <w:p w14:paraId="7D843E87">
            <w:pPr>
              <w:ind w:left="-708" w:leftChars="-337" w:firstLine="706" w:firstLineChars="335"/>
              <w:jc w:val="center"/>
              <w:rPr>
                <w:rFonts w:ascii="Arial" w:hAnsi="宋体" w:cs="Arial"/>
                <w:b/>
                <w:bCs/>
                <w:snapToGrid w:val="0"/>
                <w:color w:val="auto"/>
                <w:szCs w:val="21"/>
                <w:highlight w:val="none"/>
              </w:rPr>
            </w:pPr>
            <w:r>
              <w:rPr>
                <w:rFonts w:hint="eastAsia" w:ascii="Arial" w:hAnsi="宋体" w:cs="Arial"/>
                <w:b/>
                <w:bCs/>
                <w:snapToGrid w:val="0"/>
                <w:color w:val="auto"/>
                <w:szCs w:val="21"/>
                <w:highlight w:val="none"/>
              </w:rPr>
              <w:t>一</w:t>
            </w:r>
          </w:p>
        </w:tc>
        <w:tc>
          <w:tcPr>
            <w:tcW w:w="9074" w:type="dxa"/>
            <w:gridSpan w:val="3"/>
            <w:noWrap w:val="0"/>
            <w:vAlign w:val="center"/>
          </w:tcPr>
          <w:p w14:paraId="27549B5B">
            <w:pPr>
              <w:spacing w:line="440" w:lineRule="exact"/>
              <w:ind w:right="6"/>
              <w:jc w:val="center"/>
              <w:rPr>
                <w:rFonts w:ascii="宋体" w:hAnsi="宋体" w:cs="Arial"/>
                <w:b/>
                <w:bCs/>
                <w:color w:val="auto"/>
                <w:kern w:val="28"/>
                <w:szCs w:val="21"/>
                <w:highlight w:val="none"/>
              </w:rPr>
            </w:pPr>
            <w:r>
              <w:rPr>
                <w:rFonts w:hint="eastAsia" w:ascii="Arial" w:hAnsi="宋体" w:cs="Arial"/>
                <w:b/>
                <w:snapToGrid w:val="0"/>
                <w:color w:val="auto"/>
                <w:szCs w:val="21"/>
                <w:highlight w:val="none"/>
              </w:rPr>
              <w:t>技术商务分（60分</w:t>
            </w:r>
            <w:r>
              <w:rPr>
                <w:rFonts w:hint="eastAsia" w:ascii="宋体" w:hAnsi="宋体" w:cs="Arial"/>
                <w:b/>
                <w:bCs/>
                <w:color w:val="auto"/>
                <w:kern w:val="28"/>
                <w:szCs w:val="21"/>
                <w:highlight w:val="none"/>
              </w:rPr>
              <w:t>）</w:t>
            </w:r>
          </w:p>
          <w:p w14:paraId="4DE8EEFD">
            <w:pPr>
              <w:rPr>
                <w:rFonts w:ascii="Arial" w:hAnsi="宋体" w:cs="Arial"/>
                <w:b/>
                <w:bCs/>
                <w:snapToGrid w:val="0"/>
                <w:color w:val="auto"/>
                <w:szCs w:val="21"/>
                <w:highlight w:val="none"/>
              </w:rPr>
            </w:pPr>
            <w:r>
              <w:rPr>
                <w:rFonts w:hint="eastAsia" w:ascii="Arial" w:hAnsi="宋体" w:cs="Arial"/>
                <w:b/>
                <w:snapToGrid w:val="0"/>
                <w:color w:val="auto"/>
                <w:szCs w:val="21"/>
                <w:highlight w:val="none"/>
              </w:rPr>
              <w:t>最终得分为评标专家组成员的有效评分中的算术平均值</w:t>
            </w:r>
            <w:r>
              <w:rPr>
                <w:rFonts w:ascii="Arial" w:hAnsi="宋体" w:cs="Arial"/>
                <w:b/>
                <w:snapToGrid w:val="0"/>
                <w:color w:val="auto"/>
                <w:szCs w:val="21"/>
                <w:highlight w:val="none"/>
              </w:rPr>
              <w:t>(</w:t>
            </w:r>
            <w:r>
              <w:rPr>
                <w:rFonts w:hint="eastAsia" w:ascii="Arial" w:hAnsi="宋体" w:cs="Arial"/>
                <w:b/>
                <w:snapToGrid w:val="0"/>
                <w:color w:val="auto"/>
                <w:szCs w:val="21"/>
                <w:highlight w:val="none"/>
              </w:rPr>
              <w:t>计算评分值时保留二位小数，第三位四舍五入</w:t>
            </w:r>
            <w:r>
              <w:rPr>
                <w:rFonts w:ascii="Arial" w:hAnsi="宋体" w:cs="Arial"/>
                <w:b/>
                <w:snapToGrid w:val="0"/>
                <w:color w:val="auto"/>
                <w:szCs w:val="21"/>
                <w:highlight w:val="none"/>
              </w:rPr>
              <w:t>)</w:t>
            </w:r>
            <w:r>
              <w:rPr>
                <w:rFonts w:hint="eastAsia" w:ascii="Arial" w:hAnsi="宋体" w:cs="Arial"/>
                <w:b/>
                <w:snapToGrid w:val="0"/>
                <w:color w:val="auto"/>
                <w:szCs w:val="21"/>
                <w:highlight w:val="none"/>
              </w:rPr>
              <w:t>。</w:t>
            </w:r>
          </w:p>
        </w:tc>
      </w:tr>
      <w:tr w14:paraId="17AD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36" w:type="dxa"/>
            <w:noWrap w:val="0"/>
            <w:vAlign w:val="center"/>
          </w:tcPr>
          <w:p w14:paraId="2E820F3E">
            <w:pPr>
              <w:jc w:val="center"/>
              <w:rPr>
                <w:rFonts w:ascii="Arial" w:hAnsi="宋体" w:cs="Arial"/>
                <w:b/>
                <w:snapToGrid w:val="0"/>
                <w:color w:val="auto"/>
                <w:szCs w:val="21"/>
                <w:highlight w:val="none"/>
              </w:rPr>
            </w:pPr>
            <w:r>
              <w:rPr>
                <w:rFonts w:hint="eastAsia" w:ascii="Arial" w:hAnsi="宋体" w:cs="Arial"/>
                <w:b/>
                <w:snapToGrid w:val="0"/>
                <w:color w:val="auto"/>
                <w:szCs w:val="21"/>
                <w:highlight w:val="none"/>
              </w:rPr>
              <w:t>考评项目</w:t>
            </w:r>
          </w:p>
        </w:tc>
        <w:tc>
          <w:tcPr>
            <w:tcW w:w="2127" w:type="dxa"/>
            <w:noWrap w:val="0"/>
            <w:vAlign w:val="center"/>
          </w:tcPr>
          <w:p w14:paraId="38EE7981">
            <w:pPr>
              <w:jc w:val="center"/>
              <w:rPr>
                <w:rFonts w:ascii="Arial" w:hAnsi="宋体" w:cs="Arial"/>
                <w:b/>
                <w:snapToGrid w:val="0"/>
                <w:color w:val="auto"/>
                <w:szCs w:val="21"/>
                <w:highlight w:val="none"/>
              </w:rPr>
            </w:pPr>
            <w:r>
              <w:rPr>
                <w:rFonts w:hint="eastAsia" w:ascii="Arial" w:hAnsi="宋体" w:cs="Arial"/>
                <w:b/>
                <w:snapToGrid w:val="0"/>
                <w:color w:val="auto"/>
                <w:szCs w:val="21"/>
                <w:highlight w:val="none"/>
              </w:rPr>
              <w:t>评分标准</w:t>
            </w:r>
          </w:p>
        </w:tc>
        <w:tc>
          <w:tcPr>
            <w:tcW w:w="788" w:type="dxa"/>
            <w:noWrap w:val="0"/>
            <w:vAlign w:val="center"/>
          </w:tcPr>
          <w:p w14:paraId="4F719429">
            <w:pPr>
              <w:jc w:val="center"/>
              <w:rPr>
                <w:rFonts w:ascii="Arial" w:hAnsi="宋体" w:cs="Arial"/>
                <w:b/>
                <w:snapToGrid w:val="0"/>
                <w:color w:val="auto"/>
                <w:szCs w:val="21"/>
                <w:highlight w:val="none"/>
              </w:rPr>
            </w:pPr>
            <w:r>
              <w:rPr>
                <w:rFonts w:hint="eastAsia" w:ascii="Arial" w:hAnsi="宋体" w:cs="Arial"/>
                <w:b/>
                <w:snapToGrid w:val="0"/>
                <w:color w:val="auto"/>
                <w:szCs w:val="21"/>
                <w:highlight w:val="none"/>
              </w:rPr>
              <w:t>分值</w:t>
            </w:r>
          </w:p>
        </w:tc>
        <w:tc>
          <w:tcPr>
            <w:tcW w:w="6159" w:type="dxa"/>
            <w:noWrap w:val="0"/>
            <w:vAlign w:val="center"/>
          </w:tcPr>
          <w:p w14:paraId="0518F002">
            <w:pPr>
              <w:jc w:val="center"/>
              <w:rPr>
                <w:rFonts w:ascii="Arial" w:hAnsi="宋体" w:cs="Arial"/>
                <w:b/>
                <w:snapToGrid w:val="0"/>
                <w:color w:val="auto"/>
                <w:szCs w:val="21"/>
                <w:highlight w:val="none"/>
              </w:rPr>
            </w:pPr>
            <w:r>
              <w:rPr>
                <w:rFonts w:hint="eastAsia" w:ascii="宋体" w:hAnsi="宋体"/>
                <w:b/>
                <w:bCs/>
                <w:color w:val="auto"/>
                <w:sz w:val="24"/>
                <w:szCs w:val="22"/>
                <w:highlight w:val="none"/>
              </w:rPr>
              <w:t>评  定  依  据</w:t>
            </w:r>
          </w:p>
        </w:tc>
      </w:tr>
      <w:tr w14:paraId="3CCC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736" w:type="dxa"/>
            <w:vMerge w:val="restart"/>
            <w:noWrap w:val="0"/>
            <w:vAlign w:val="center"/>
          </w:tcPr>
          <w:p w14:paraId="1D609301">
            <w:pPr>
              <w:jc w:val="center"/>
              <w:rPr>
                <w:rFonts w:ascii="Arial" w:hAnsi="宋体" w:cs="Arial"/>
                <w:b/>
                <w:snapToGrid w:val="0"/>
                <w:color w:val="auto"/>
                <w:szCs w:val="21"/>
                <w:highlight w:val="none"/>
              </w:rPr>
            </w:pPr>
            <w:r>
              <w:rPr>
                <w:rFonts w:hint="eastAsia" w:ascii="宋体" w:hAnsi="宋体" w:cs="宋体"/>
                <w:bCs/>
                <w:color w:val="auto"/>
                <w:szCs w:val="21"/>
                <w:highlight w:val="none"/>
              </w:rPr>
              <w:t>技术质量（4</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分）</w:t>
            </w:r>
          </w:p>
        </w:tc>
        <w:tc>
          <w:tcPr>
            <w:tcW w:w="2127" w:type="dxa"/>
            <w:noWrap w:val="0"/>
            <w:vAlign w:val="center"/>
          </w:tcPr>
          <w:p w14:paraId="65682748">
            <w:pPr>
              <w:ind w:right="105" w:rightChars="50"/>
              <w:jc w:val="left"/>
              <w:rPr>
                <w:rFonts w:ascii="宋体" w:hAnsi="宋体"/>
                <w:color w:val="auto"/>
                <w:szCs w:val="21"/>
                <w:highlight w:val="none"/>
              </w:rPr>
            </w:pPr>
            <w:r>
              <w:rPr>
                <w:rFonts w:hint="eastAsia" w:ascii="宋体" w:hAnsi="宋体"/>
                <w:color w:val="auto"/>
                <w:szCs w:val="21"/>
                <w:highlight w:val="none"/>
              </w:rPr>
              <w:t>1、对招标文件技术参数、整车配置要求的响应程度</w:t>
            </w:r>
          </w:p>
        </w:tc>
        <w:tc>
          <w:tcPr>
            <w:tcW w:w="788" w:type="dxa"/>
            <w:noWrap w:val="0"/>
            <w:vAlign w:val="center"/>
          </w:tcPr>
          <w:p w14:paraId="03A78044">
            <w:pPr>
              <w:ind w:left="105" w:leftChars="50" w:right="105" w:rightChars="5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40</w:t>
            </w:r>
          </w:p>
        </w:tc>
        <w:tc>
          <w:tcPr>
            <w:tcW w:w="6159" w:type="dxa"/>
            <w:noWrap w:val="0"/>
            <w:vAlign w:val="center"/>
          </w:tcPr>
          <w:p w14:paraId="5C213FA5">
            <w:pPr>
              <w:ind w:left="105" w:leftChars="50" w:right="105" w:rightChars="50"/>
              <w:jc w:val="left"/>
              <w:rPr>
                <w:rFonts w:ascii="宋体" w:hAnsi="宋体"/>
                <w:bCs/>
                <w:color w:val="auto"/>
                <w:szCs w:val="21"/>
                <w:highlight w:val="none"/>
              </w:rPr>
            </w:pPr>
            <w:r>
              <w:rPr>
                <w:rFonts w:hint="eastAsia" w:ascii="宋体" w:hAnsi="宋体"/>
                <w:bCs/>
                <w:color w:val="auto"/>
                <w:szCs w:val="21"/>
                <w:highlight w:val="none"/>
              </w:rPr>
              <w:t>根据投标人所投的产品技术参数和基本要求的符合性进行评分，负偏离的每项扣3分，扣完为止。</w:t>
            </w:r>
          </w:p>
        </w:tc>
      </w:tr>
      <w:tr w14:paraId="2DD0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736" w:type="dxa"/>
            <w:vMerge w:val="continue"/>
            <w:noWrap w:val="0"/>
            <w:vAlign w:val="center"/>
          </w:tcPr>
          <w:p w14:paraId="7DDEBFF1">
            <w:pPr>
              <w:widowControl/>
              <w:jc w:val="left"/>
              <w:rPr>
                <w:rFonts w:hint="default" w:ascii="宋体" w:hAnsi="宋体" w:eastAsia="宋体" w:cs="宋体"/>
                <w:bCs/>
                <w:color w:val="auto"/>
                <w:szCs w:val="21"/>
                <w:highlight w:val="none"/>
                <w:lang w:val="en-US" w:eastAsia="zh-CN"/>
              </w:rPr>
            </w:pPr>
          </w:p>
        </w:tc>
        <w:tc>
          <w:tcPr>
            <w:tcW w:w="2127" w:type="dxa"/>
            <w:noWrap w:val="0"/>
            <w:vAlign w:val="center"/>
          </w:tcPr>
          <w:p w14:paraId="48D36947">
            <w:pPr>
              <w:widowControl/>
              <w:ind w:right="105" w:rightChars="5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2、企业实力</w:t>
            </w:r>
          </w:p>
        </w:tc>
        <w:tc>
          <w:tcPr>
            <w:tcW w:w="788" w:type="dxa"/>
            <w:noWrap w:val="0"/>
            <w:vAlign w:val="center"/>
          </w:tcPr>
          <w:p w14:paraId="2BD37043">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6159" w:type="dxa"/>
            <w:noWrap w:val="0"/>
            <w:vAlign w:val="center"/>
          </w:tcPr>
          <w:p w14:paraId="6A2D96A8">
            <w:pPr>
              <w:spacing w:line="300" w:lineRule="exact"/>
              <w:rPr>
                <w:rFonts w:ascii="宋体" w:hAnsi="宋体"/>
                <w:color w:val="auto"/>
                <w:highlight w:val="none"/>
              </w:rPr>
            </w:pPr>
            <w:r>
              <w:rPr>
                <w:rFonts w:hint="eastAsia" w:ascii="宋体" w:hAnsi="宋体"/>
                <w:color w:val="auto"/>
                <w:highlight w:val="none"/>
              </w:rPr>
              <w:t>投标客车生产企业具备</w:t>
            </w:r>
          </w:p>
          <w:p w14:paraId="69408014">
            <w:pPr>
              <w:spacing w:line="300" w:lineRule="exact"/>
              <w:rPr>
                <w:rFonts w:ascii="宋体" w:hAnsi="宋体"/>
                <w:color w:val="auto"/>
                <w:highlight w:val="none"/>
              </w:rPr>
            </w:pPr>
            <w:r>
              <w:rPr>
                <w:rFonts w:hint="eastAsia" w:ascii="宋体" w:hAnsi="宋体"/>
                <w:color w:val="auto"/>
                <w:highlight w:val="none"/>
              </w:rPr>
              <w:t>1.ISO9001质量管理体系认证；</w:t>
            </w:r>
          </w:p>
          <w:p w14:paraId="279E0B87">
            <w:pPr>
              <w:spacing w:line="300" w:lineRule="exact"/>
              <w:rPr>
                <w:rFonts w:ascii="宋体" w:hAnsi="宋体"/>
                <w:color w:val="auto"/>
                <w:highlight w:val="none"/>
              </w:rPr>
            </w:pPr>
            <w:r>
              <w:rPr>
                <w:rFonts w:hint="eastAsia" w:ascii="宋体" w:hAnsi="宋体"/>
                <w:color w:val="auto"/>
                <w:highlight w:val="none"/>
              </w:rPr>
              <w:t>2.ISO/TS16949、IATF16949汽车质量管理体系认证；</w:t>
            </w:r>
          </w:p>
          <w:p w14:paraId="3A0FAEF9">
            <w:pPr>
              <w:spacing w:line="300" w:lineRule="exact"/>
              <w:rPr>
                <w:rFonts w:ascii="宋体" w:hAnsi="宋体"/>
                <w:color w:val="auto"/>
                <w:highlight w:val="none"/>
              </w:rPr>
            </w:pPr>
            <w:r>
              <w:rPr>
                <w:rFonts w:hint="eastAsia" w:ascii="宋体" w:hAnsi="宋体"/>
                <w:color w:val="auto"/>
                <w:highlight w:val="none"/>
              </w:rPr>
              <w:t>3.ISO14001环境管理体系认证；</w:t>
            </w:r>
          </w:p>
          <w:p w14:paraId="2210331E">
            <w:pPr>
              <w:spacing w:line="300" w:lineRule="exact"/>
              <w:rPr>
                <w:rFonts w:ascii="宋体" w:hAnsi="宋体"/>
                <w:color w:val="auto"/>
                <w:highlight w:val="none"/>
              </w:rPr>
            </w:pPr>
            <w:r>
              <w:rPr>
                <w:rFonts w:hint="eastAsia" w:ascii="宋体" w:hAnsi="宋体"/>
                <w:color w:val="auto"/>
                <w:highlight w:val="none"/>
              </w:rPr>
              <w:t>4.职业健康安全管理体系认证；</w:t>
            </w:r>
          </w:p>
          <w:p w14:paraId="6D12B7FC">
            <w:pPr>
              <w:spacing w:line="300" w:lineRule="exact"/>
              <w:rPr>
                <w:rFonts w:ascii="宋体" w:hAnsi="宋体"/>
                <w:color w:val="auto"/>
                <w:highlight w:val="none"/>
              </w:rPr>
            </w:pPr>
            <w:r>
              <w:rPr>
                <w:rFonts w:hint="eastAsia" w:ascii="宋体" w:hAnsi="宋体"/>
                <w:color w:val="auto"/>
                <w:highlight w:val="none"/>
              </w:rPr>
              <w:t>5.ISO50001能源管理体系认证证书；</w:t>
            </w:r>
          </w:p>
          <w:p w14:paraId="0969ADC8">
            <w:pPr>
              <w:spacing w:line="300" w:lineRule="exact"/>
              <w:rPr>
                <w:rFonts w:ascii="宋体" w:hAnsi="宋体"/>
                <w:color w:val="auto"/>
                <w:highlight w:val="none"/>
              </w:rPr>
            </w:pPr>
            <w:r>
              <w:rPr>
                <w:rFonts w:hint="eastAsia" w:ascii="宋体" w:hAnsi="宋体"/>
                <w:color w:val="auto"/>
                <w:highlight w:val="none"/>
              </w:rPr>
              <w:t>6.知识产权管理体系认证证书。</w:t>
            </w:r>
          </w:p>
          <w:p w14:paraId="4E1A7E94">
            <w:pPr>
              <w:spacing w:line="300" w:lineRule="exact"/>
              <w:rPr>
                <w:rFonts w:ascii="宋体" w:hAnsi="宋体"/>
                <w:color w:val="auto"/>
                <w:highlight w:val="none"/>
              </w:rPr>
            </w:pPr>
            <w:r>
              <w:rPr>
                <w:rFonts w:hint="eastAsia" w:ascii="宋体" w:hAnsi="宋体"/>
                <w:color w:val="auto"/>
                <w:highlight w:val="none"/>
              </w:rPr>
              <w:t>以上证书全部具备的得4分；具备四项以上的得1分；低于四项的得0分，不重复得分。</w:t>
            </w:r>
          </w:p>
          <w:p w14:paraId="70E68600">
            <w:pPr>
              <w:widowControl/>
              <w:snapToGrid w:val="0"/>
              <w:rPr>
                <w:rFonts w:ascii="宋体" w:hAnsi="宋体" w:cs="宋体"/>
                <w:color w:val="auto"/>
                <w:szCs w:val="21"/>
                <w:highlight w:val="none"/>
              </w:rPr>
            </w:pPr>
            <w:r>
              <w:rPr>
                <w:rFonts w:hint="eastAsia" w:ascii="宋体" w:hAnsi="宋体"/>
                <w:color w:val="auto"/>
                <w:highlight w:val="none"/>
              </w:rPr>
              <w:t>证书须在有效期内，投标文件中提供证书复印件</w:t>
            </w:r>
            <w:r>
              <w:rPr>
                <w:rFonts w:hint="eastAsia"/>
                <w:color w:val="auto"/>
                <w:highlight w:val="none"/>
              </w:rPr>
              <w:t>。</w:t>
            </w:r>
          </w:p>
        </w:tc>
      </w:tr>
      <w:tr w14:paraId="431A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736" w:type="dxa"/>
            <w:vMerge w:val="continue"/>
            <w:noWrap w:val="0"/>
            <w:vAlign w:val="center"/>
          </w:tcPr>
          <w:p w14:paraId="72B2E242">
            <w:pPr>
              <w:widowControl/>
              <w:jc w:val="left"/>
              <w:rPr>
                <w:rFonts w:ascii="宋体" w:hAnsi="宋体" w:cs="宋体"/>
                <w:bCs/>
                <w:color w:val="auto"/>
                <w:szCs w:val="21"/>
                <w:highlight w:val="none"/>
              </w:rPr>
            </w:pPr>
          </w:p>
        </w:tc>
        <w:tc>
          <w:tcPr>
            <w:tcW w:w="2127" w:type="dxa"/>
            <w:noWrap w:val="0"/>
            <w:vAlign w:val="center"/>
          </w:tcPr>
          <w:p w14:paraId="59AC4CFC">
            <w:pPr>
              <w:ind w:right="105" w:rightChars="5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产品外观</w:t>
            </w:r>
          </w:p>
        </w:tc>
        <w:tc>
          <w:tcPr>
            <w:tcW w:w="788" w:type="dxa"/>
            <w:noWrap w:val="0"/>
            <w:vAlign w:val="center"/>
          </w:tcPr>
          <w:p w14:paraId="3A99B4E5">
            <w:pPr>
              <w:ind w:left="105" w:leftChars="50" w:right="105" w:rightChars="50"/>
              <w:jc w:val="center"/>
              <w:rPr>
                <w:rFonts w:ascii="宋体" w:hAnsi="宋体"/>
                <w:color w:val="auto"/>
                <w:szCs w:val="21"/>
                <w:highlight w:val="none"/>
              </w:rPr>
            </w:pPr>
            <w:r>
              <w:rPr>
                <w:rFonts w:hint="eastAsia" w:ascii="宋体" w:hAnsi="宋体"/>
                <w:color w:val="auto"/>
                <w:szCs w:val="21"/>
                <w:highlight w:val="none"/>
              </w:rPr>
              <w:t>3</w:t>
            </w:r>
          </w:p>
        </w:tc>
        <w:tc>
          <w:tcPr>
            <w:tcW w:w="6159" w:type="dxa"/>
            <w:noWrap w:val="0"/>
            <w:vAlign w:val="center"/>
          </w:tcPr>
          <w:p w14:paraId="0A2979A9">
            <w:pPr>
              <w:rPr>
                <w:rFonts w:ascii="宋体" w:hAnsi="宋体"/>
                <w:color w:val="auto"/>
                <w:szCs w:val="21"/>
                <w:highlight w:val="none"/>
              </w:rPr>
            </w:pPr>
            <w:r>
              <w:rPr>
                <w:rFonts w:hint="eastAsia" w:ascii="宋体" w:hAnsi="宋体"/>
                <w:color w:val="auto"/>
                <w:szCs w:val="21"/>
                <w:highlight w:val="none"/>
              </w:rPr>
              <w:t>车辆外观与内饰：符合公交车型，外观要美观协调，维修简便、材料轻量化、操作简便、内饰材料耐脏易清洗布置合理、色彩搭配柔和、前后过道小圆角人性化设计、座椅布置等，（提供实车前、后正面照片，左、右侧45度角车身照片，车内驾驶室、车内由前向后、由后向前照片），由评委进行横向比较综合打分</w:t>
            </w:r>
            <w:r>
              <w:rPr>
                <w:color w:val="auto"/>
                <w:spacing w:val="6"/>
                <w:highlight w:val="none"/>
              </w:rPr>
              <w:t>。</w:t>
            </w:r>
          </w:p>
        </w:tc>
      </w:tr>
      <w:tr w14:paraId="14C2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736" w:type="dxa"/>
            <w:vMerge w:val="restart"/>
            <w:noWrap w:val="0"/>
            <w:vAlign w:val="center"/>
          </w:tcPr>
          <w:p w14:paraId="19983224">
            <w:pPr>
              <w:widowControl/>
              <w:jc w:val="left"/>
              <w:rPr>
                <w:rFonts w:ascii="宋体" w:hAnsi="宋体" w:cs="宋体"/>
                <w:bCs/>
                <w:color w:val="auto"/>
                <w:szCs w:val="21"/>
                <w:highlight w:val="none"/>
              </w:rPr>
            </w:pPr>
            <w:r>
              <w:rPr>
                <w:rFonts w:hint="eastAsia" w:ascii="宋体" w:hAnsi="宋体" w:cs="宋体"/>
                <w:bCs/>
                <w:color w:val="auto"/>
                <w:szCs w:val="21"/>
                <w:highlight w:val="none"/>
                <w:lang w:val="en-US" w:eastAsia="zh-CN"/>
              </w:rPr>
              <w:t>售后服务（13分）</w:t>
            </w:r>
          </w:p>
        </w:tc>
        <w:tc>
          <w:tcPr>
            <w:tcW w:w="2127" w:type="dxa"/>
            <w:noWrap w:val="0"/>
            <w:vAlign w:val="center"/>
          </w:tcPr>
          <w:p w14:paraId="680D125E">
            <w:pPr>
              <w:ind w:right="105" w:rightChars="50"/>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4、优惠承诺</w:t>
            </w:r>
          </w:p>
        </w:tc>
        <w:tc>
          <w:tcPr>
            <w:tcW w:w="788" w:type="dxa"/>
            <w:noWrap w:val="0"/>
            <w:vAlign w:val="center"/>
          </w:tcPr>
          <w:p w14:paraId="6A6FE95A">
            <w:pPr>
              <w:ind w:left="105" w:leftChars="50" w:right="105" w:rightChars="5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6159" w:type="dxa"/>
            <w:noWrap w:val="0"/>
            <w:vAlign w:val="center"/>
          </w:tcPr>
          <w:p w14:paraId="343C8006">
            <w:pPr>
              <w:rPr>
                <w:color w:val="auto"/>
                <w:spacing w:val="6"/>
                <w:highlight w:val="none"/>
              </w:rPr>
            </w:pPr>
            <w:r>
              <w:rPr>
                <w:color w:val="auto"/>
                <w:spacing w:val="10"/>
                <w:highlight w:val="none"/>
              </w:rPr>
              <w:t>根据投标人针对本项目的其他优惠承诺，根据优惠程度酌情</w:t>
            </w:r>
            <w:r>
              <w:rPr>
                <w:color w:val="auto"/>
                <w:spacing w:val="12"/>
                <w:highlight w:val="none"/>
              </w:rPr>
              <w:t xml:space="preserve"> </w:t>
            </w:r>
            <w:r>
              <w:rPr>
                <w:color w:val="auto"/>
                <w:spacing w:val="4"/>
                <w:highlight w:val="none"/>
              </w:rPr>
              <w:t>打分，最低</w:t>
            </w:r>
            <w:r>
              <w:rPr>
                <w:color w:val="auto"/>
                <w:spacing w:val="-38"/>
                <w:highlight w:val="none"/>
              </w:rPr>
              <w:t xml:space="preserve"> </w:t>
            </w:r>
            <w:r>
              <w:rPr>
                <w:color w:val="auto"/>
                <w:spacing w:val="4"/>
                <w:highlight w:val="none"/>
              </w:rPr>
              <w:t>0.5</w:t>
            </w:r>
            <w:r>
              <w:rPr>
                <w:color w:val="auto"/>
                <w:spacing w:val="-38"/>
                <w:highlight w:val="none"/>
              </w:rPr>
              <w:t xml:space="preserve"> </w:t>
            </w:r>
            <w:r>
              <w:rPr>
                <w:color w:val="auto"/>
                <w:spacing w:val="4"/>
                <w:highlight w:val="none"/>
              </w:rPr>
              <w:t>分，最高</w:t>
            </w:r>
            <w:r>
              <w:rPr>
                <w:color w:val="auto"/>
                <w:spacing w:val="-33"/>
                <w:highlight w:val="none"/>
              </w:rPr>
              <w:t xml:space="preserve"> </w:t>
            </w:r>
            <w:r>
              <w:rPr>
                <w:rFonts w:hint="eastAsia"/>
                <w:color w:val="auto"/>
                <w:spacing w:val="4"/>
                <w:highlight w:val="none"/>
                <w:lang w:val="en-US" w:eastAsia="zh-CN"/>
              </w:rPr>
              <w:t>2</w:t>
            </w:r>
            <w:r>
              <w:rPr>
                <w:color w:val="auto"/>
                <w:spacing w:val="-35"/>
                <w:highlight w:val="none"/>
              </w:rPr>
              <w:t xml:space="preserve"> </w:t>
            </w:r>
            <w:r>
              <w:rPr>
                <w:color w:val="auto"/>
                <w:spacing w:val="4"/>
                <w:highlight w:val="none"/>
              </w:rPr>
              <w:t>分。</w:t>
            </w:r>
          </w:p>
        </w:tc>
      </w:tr>
      <w:tr w14:paraId="7F64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trPr>
        <w:tc>
          <w:tcPr>
            <w:tcW w:w="736" w:type="dxa"/>
            <w:vMerge w:val="continue"/>
            <w:noWrap w:val="0"/>
            <w:vAlign w:val="center"/>
          </w:tcPr>
          <w:p w14:paraId="74EF5C5B">
            <w:pPr>
              <w:widowControl/>
              <w:jc w:val="left"/>
              <w:rPr>
                <w:rFonts w:ascii="Arial" w:hAnsi="宋体" w:cs="Arial"/>
                <w:b/>
                <w:snapToGrid w:val="0"/>
                <w:color w:val="auto"/>
                <w:szCs w:val="21"/>
                <w:highlight w:val="none"/>
              </w:rPr>
            </w:pPr>
          </w:p>
        </w:tc>
        <w:tc>
          <w:tcPr>
            <w:tcW w:w="2127" w:type="dxa"/>
            <w:noWrap w:val="0"/>
            <w:vAlign w:val="center"/>
          </w:tcPr>
          <w:p w14:paraId="6FBA30CD">
            <w:pPr>
              <w:spacing w:line="360" w:lineRule="exact"/>
              <w:jc w:val="left"/>
              <w:rPr>
                <w:rFonts w:ascii="宋体" w:hAnsi="宋体"/>
                <w:color w:val="auto"/>
                <w:szCs w:val="21"/>
                <w:highlight w:val="none"/>
              </w:rPr>
            </w:pPr>
            <w:r>
              <w:rPr>
                <w:rFonts w:hint="eastAsia" w:ascii="宋体" w:hAnsi="宋体" w:cs="Arial"/>
                <w:snapToGrid w:val="0"/>
                <w:color w:val="auto"/>
                <w:szCs w:val="21"/>
                <w:highlight w:val="none"/>
                <w:lang w:val="en-US" w:eastAsia="zh-CN"/>
              </w:rPr>
              <w:t>5</w:t>
            </w:r>
            <w:r>
              <w:rPr>
                <w:rFonts w:hint="eastAsia" w:ascii="宋体" w:hAnsi="宋体" w:cs="Arial"/>
                <w:snapToGrid w:val="0"/>
                <w:color w:val="auto"/>
                <w:szCs w:val="21"/>
                <w:highlight w:val="none"/>
              </w:rPr>
              <w:t>、整车质保期限</w:t>
            </w:r>
          </w:p>
        </w:tc>
        <w:tc>
          <w:tcPr>
            <w:tcW w:w="788" w:type="dxa"/>
            <w:noWrap w:val="0"/>
            <w:vAlign w:val="center"/>
          </w:tcPr>
          <w:p w14:paraId="6F27E379">
            <w:pPr>
              <w:spacing w:line="360" w:lineRule="exact"/>
              <w:jc w:val="center"/>
              <w:rPr>
                <w:rFonts w:hint="eastAsia" w:ascii="宋体" w:hAnsi="宋体" w:eastAsia="宋体"/>
                <w:color w:val="auto"/>
                <w:szCs w:val="21"/>
                <w:highlight w:val="none"/>
                <w:lang w:eastAsia="zh-CN"/>
              </w:rPr>
            </w:pPr>
            <w:r>
              <w:rPr>
                <w:rFonts w:hint="eastAsia" w:ascii="宋体" w:hAnsi="宋体" w:cs="Arial"/>
                <w:snapToGrid w:val="0"/>
                <w:color w:val="auto"/>
                <w:szCs w:val="21"/>
                <w:highlight w:val="none"/>
                <w:lang w:val="en-US" w:eastAsia="zh-CN"/>
              </w:rPr>
              <w:t>5</w:t>
            </w:r>
          </w:p>
        </w:tc>
        <w:tc>
          <w:tcPr>
            <w:tcW w:w="6159" w:type="dxa"/>
            <w:noWrap w:val="0"/>
            <w:vAlign w:val="center"/>
          </w:tcPr>
          <w:p w14:paraId="2E7E782D">
            <w:pPr>
              <w:spacing w:line="360" w:lineRule="exact"/>
              <w:jc w:val="left"/>
              <w:rPr>
                <w:rFonts w:hAnsi="宋体"/>
                <w:color w:val="auto"/>
                <w:szCs w:val="21"/>
                <w:highlight w:val="none"/>
              </w:rPr>
            </w:pPr>
            <w:r>
              <w:rPr>
                <w:rFonts w:hint="eastAsia" w:ascii="宋体" w:hAnsi="宋体" w:cs="Arial"/>
                <w:snapToGrid w:val="0"/>
                <w:color w:val="auto"/>
                <w:szCs w:val="21"/>
                <w:highlight w:val="none"/>
              </w:rPr>
              <w:t>整车质保期不计里程</w:t>
            </w:r>
            <w:r>
              <w:rPr>
                <w:rFonts w:hint="eastAsia" w:ascii="宋体" w:hAnsi="宋体" w:cs="Arial"/>
                <w:snapToGrid w:val="0"/>
                <w:color w:val="auto"/>
                <w:szCs w:val="21"/>
                <w:highlight w:val="none"/>
                <w:lang w:val="en-US" w:eastAsia="zh-CN"/>
              </w:rPr>
              <w:t>36</w:t>
            </w:r>
            <w:r>
              <w:rPr>
                <w:rFonts w:hint="eastAsia" w:ascii="宋体" w:hAnsi="宋体" w:cs="Arial"/>
                <w:snapToGrid w:val="0"/>
                <w:color w:val="auto"/>
                <w:szCs w:val="21"/>
                <w:highlight w:val="none"/>
              </w:rPr>
              <w:t>个月的得</w:t>
            </w:r>
            <w:r>
              <w:rPr>
                <w:rFonts w:hint="eastAsia" w:ascii="宋体" w:hAnsi="宋体" w:cs="Arial"/>
                <w:snapToGrid w:val="0"/>
                <w:color w:val="auto"/>
                <w:szCs w:val="21"/>
                <w:highlight w:val="none"/>
                <w:lang w:val="en-US" w:eastAsia="zh-CN"/>
              </w:rPr>
              <w:t>3</w:t>
            </w:r>
            <w:r>
              <w:rPr>
                <w:rFonts w:hint="eastAsia" w:ascii="宋体" w:hAnsi="宋体" w:cs="Arial"/>
                <w:snapToGrid w:val="0"/>
                <w:color w:val="auto"/>
                <w:szCs w:val="21"/>
                <w:highlight w:val="none"/>
              </w:rPr>
              <w:t>分，每延长半年得</w:t>
            </w:r>
            <w:r>
              <w:rPr>
                <w:rFonts w:hint="eastAsia" w:ascii="宋体" w:hAnsi="宋体" w:cs="Arial"/>
                <w:snapToGrid w:val="0"/>
                <w:color w:val="auto"/>
                <w:szCs w:val="21"/>
                <w:highlight w:val="none"/>
                <w:lang w:val="en-US" w:eastAsia="zh-CN"/>
              </w:rPr>
              <w:t>1</w:t>
            </w:r>
            <w:r>
              <w:rPr>
                <w:rFonts w:hint="eastAsia" w:ascii="宋体" w:hAnsi="宋体" w:cs="Arial"/>
                <w:snapToGrid w:val="0"/>
                <w:color w:val="auto"/>
                <w:szCs w:val="21"/>
                <w:highlight w:val="none"/>
              </w:rPr>
              <w:t>分，最高得</w:t>
            </w:r>
            <w:r>
              <w:rPr>
                <w:rFonts w:hint="eastAsia" w:ascii="宋体" w:hAnsi="宋体" w:cs="Arial"/>
                <w:snapToGrid w:val="0"/>
                <w:color w:val="auto"/>
                <w:szCs w:val="21"/>
                <w:highlight w:val="none"/>
                <w:lang w:val="en-US" w:eastAsia="zh-CN"/>
              </w:rPr>
              <w:t>5</w:t>
            </w:r>
            <w:r>
              <w:rPr>
                <w:rFonts w:hint="eastAsia" w:ascii="宋体" w:hAnsi="宋体" w:cs="Arial"/>
                <w:snapToGrid w:val="0"/>
                <w:color w:val="auto"/>
                <w:szCs w:val="21"/>
                <w:highlight w:val="none"/>
              </w:rPr>
              <w:t>分。需单独提供有效书面承诺书，否则不得分。</w:t>
            </w:r>
          </w:p>
        </w:tc>
      </w:tr>
      <w:tr w14:paraId="2850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trPr>
        <w:tc>
          <w:tcPr>
            <w:tcW w:w="736" w:type="dxa"/>
            <w:vMerge w:val="continue"/>
            <w:noWrap w:val="0"/>
            <w:vAlign w:val="center"/>
          </w:tcPr>
          <w:p w14:paraId="7F325268">
            <w:pPr>
              <w:widowControl/>
              <w:jc w:val="left"/>
              <w:rPr>
                <w:rFonts w:ascii="Arial" w:hAnsi="宋体" w:cs="Arial"/>
                <w:b/>
                <w:snapToGrid w:val="0"/>
                <w:color w:val="auto"/>
                <w:szCs w:val="21"/>
                <w:highlight w:val="none"/>
              </w:rPr>
            </w:pPr>
          </w:p>
        </w:tc>
        <w:tc>
          <w:tcPr>
            <w:tcW w:w="2127" w:type="dxa"/>
            <w:noWrap w:val="0"/>
            <w:vAlign w:val="center"/>
          </w:tcPr>
          <w:p w14:paraId="2E824117">
            <w:pPr>
              <w:pStyle w:val="137"/>
              <w:spacing w:line="360" w:lineRule="exact"/>
              <w:ind w:firstLine="0" w:firstLineChars="0"/>
              <w:jc w:val="left"/>
              <w:rPr>
                <w:rFonts w:ascii="宋体" w:hAnsi="宋体"/>
                <w:color w:val="auto"/>
                <w:szCs w:val="21"/>
                <w:highlight w:val="none"/>
              </w:rPr>
            </w:pPr>
            <w:r>
              <w:rPr>
                <w:rFonts w:hint="eastAsia" w:ascii="宋体" w:hAnsi="宋体" w:cs="Arial"/>
                <w:snapToGrid w:val="0"/>
                <w:color w:val="auto"/>
                <w:szCs w:val="21"/>
                <w:highlight w:val="none"/>
                <w:lang w:val="en-US" w:eastAsia="zh-CN"/>
              </w:rPr>
              <w:t>6</w:t>
            </w:r>
            <w:r>
              <w:rPr>
                <w:rFonts w:hint="eastAsia" w:ascii="宋体" w:hAnsi="宋体" w:cs="Arial"/>
                <w:snapToGrid w:val="0"/>
                <w:color w:val="auto"/>
                <w:szCs w:val="21"/>
                <w:highlight w:val="none"/>
              </w:rPr>
              <w:t>、特约维修站</w:t>
            </w:r>
          </w:p>
        </w:tc>
        <w:tc>
          <w:tcPr>
            <w:tcW w:w="788" w:type="dxa"/>
            <w:noWrap w:val="0"/>
            <w:vAlign w:val="center"/>
          </w:tcPr>
          <w:p w14:paraId="74CCFAA3">
            <w:pPr>
              <w:spacing w:line="360" w:lineRule="exact"/>
              <w:jc w:val="center"/>
              <w:rPr>
                <w:rFonts w:ascii="宋体" w:hAnsi="宋体"/>
                <w:color w:val="auto"/>
                <w:szCs w:val="21"/>
                <w:highlight w:val="none"/>
              </w:rPr>
            </w:pPr>
            <w:r>
              <w:rPr>
                <w:rFonts w:hint="eastAsia" w:ascii="宋体" w:hAnsi="宋体" w:cs="Arial"/>
                <w:snapToGrid w:val="0"/>
                <w:color w:val="auto"/>
                <w:szCs w:val="21"/>
                <w:highlight w:val="none"/>
              </w:rPr>
              <w:t>3</w:t>
            </w:r>
          </w:p>
        </w:tc>
        <w:tc>
          <w:tcPr>
            <w:tcW w:w="6159" w:type="dxa"/>
            <w:noWrap w:val="0"/>
            <w:vAlign w:val="top"/>
          </w:tcPr>
          <w:p w14:paraId="56342FA7">
            <w:pPr>
              <w:widowControl/>
              <w:snapToGrid w:val="0"/>
              <w:rPr>
                <w:rFonts w:ascii="宋体" w:hAnsi="宋体" w:cs="宋体"/>
                <w:bCs/>
                <w:color w:val="auto"/>
                <w:szCs w:val="21"/>
                <w:highlight w:val="none"/>
              </w:rPr>
            </w:pPr>
            <w:r>
              <w:rPr>
                <w:rFonts w:hint="eastAsia" w:ascii="宋体" w:hAnsi="宋体" w:cs="宋体"/>
                <w:bCs/>
                <w:color w:val="auto"/>
                <w:szCs w:val="21"/>
                <w:highlight w:val="none"/>
                <w:lang w:val="en-US" w:eastAsia="zh-CN"/>
              </w:rPr>
              <w:t>7.1</w:t>
            </w:r>
            <w:r>
              <w:rPr>
                <w:rFonts w:hint="eastAsia" w:ascii="宋体" w:hAnsi="宋体" w:cs="宋体"/>
                <w:bCs/>
                <w:color w:val="auto"/>
                <w:szCs w:val="21"/>
                <w:highlight w:val="none"/>
              </w:rPr>
              <w:t>.已在宁海县范围内设有特约维修站并承诺实行24小时服务的得1分其他不得分。</w:t>
            </w:r>
          </w:p>
          <w:p w14:paraId="704CE772">
            <w:pPr>
              <w:widowControl/>
              <w:snapToGrid w:val="0"/>
              <w:rPr>
                <w:rFonts w:ascii="宋体" w:hAnsi="宋体" w:cs="宋体"/>
                <w:bCs/>
                <w:color w:val="auto"/>
                <w:szCs w:val="21"/>
                <w:highlight w:val="none"/>
              </w:rPr>
            </w:pPr>
            <w:r>
              <w:rPr>
                <w:rFonts w:hint="eastAsia" w:ascii="宋体" w:hAnsi="宋体" w:cs="宋体"/>
                <w:bCs/>
                <w:color w:val="auto"/>
                <w:szCs w:val="21"/>
                <w:highlight w:val="none"/>
                <w:lang w:val="en-US" w:eastAsia="zh-CN"/>
              </w:rPr>
              <w:t>7.2</w:t>
            </w:r>
            <w:r>
              <w:rPr>
                <w:rFonts w:hint="eastAsia" w:ascii="宋体" w:hAnsi="宋体" w:cs="宋体"/>
                <w:bCs/>
                <w:color w:val="auto"/>
                <w:szCs w:val="21"/>
                <w:highlight w:val="none"/>
              </w:rPr>
              <w:t>.承诺在质保期内接报后1小时到现场解决故障，24小时内修复得1分，其他不得分。</w:t>
            </w:r>
          </w:p>
          <w:p w14:paraId="7310EC77">
            <w:pPr>
              <w:widowControl/>
              <w:snapToGrid w:val="0"/>
              <w:rPr>
                <w:rFonts w:ascii="宋体" w:hAnsi="宋体" w:cs="宋体"/>
                <w:bCs/>
                <w:color w:val="auto"/>
                <w:szCs w:val="21"/>
                <w:highlight w:val="none"/>
              </w:rPr>
            </w:pPr>
            <w:r>
              <w:rPr>
                <w:rFonts w:hint="eastAsia" w:ascii="宋体" w:hAnsi="宋体" w:cs="宋体"/>
                <w:bCs/>
                <w:color w:val="auto"/>
                <w:szCs w:val="21"/>
                <w:highlight w:val="none"/>
                <w:lang w:val="en-US" w:eastAsia="zh-CN"/>
              </w:rPr>
              <w:t>7.3</w:t>
            </w:r>
            <w:r>
              <w:rPr>
                <w:rFonts w:hint="eastAsia" w:ascii="宋体" w:hAnsi="宋体" w:cs="宋体"/>
                <w:bCs/>
                <w:color w:val="auto"/>
                <w:szCs w:val="21"/>
                <w:highlight w:val="none"/>
              </w:rPr>
              <w:t>.试运行一个月内三包人员跟踪服务、培训有内容、有计划、有承诺得1分，无承诺不得分</w:t>
            </w:r>
          </w:p>
        </w:tc>
      </w:tr>
      <w:tr w14:paraId="61CF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trPr>
        <w:tc>
          <w:tcPr>
            <w:tcW w:w="736" w:type="dxa"/>
            <w:vMerge w:val="continue"/>
            <w:noWrap w:val="0"/>
            <w:vAlign w:val="center"/>
          </w:tcPr>
          <w:p w14:paraId="0E5FA5EE">
            <w:pPr>
              <w:widowControl/>
              <w:jc w:val="left"/>
              <w:rPr>
                <w:rFonts w:ascii="Arial" w:hAnsi="宋体" w:cs="Arial"/>
                <w:b/>
                <w:snapToGrid w:val="0"/>
                <w:color w:val="auto"/>
                <w:szCs w:val="21"/>
                <w:highlight w:val="none"/>
              </w:rPr>
            </w:pPr>
          </w:p>
        </w:tc>
        <w:tc>
          <w:tcPr>
            <w:tcW w:w="2127" w:type="dxa"/>
            <w:noWrap w:val="0"/>
            <w:vAlign w:val="center"/>
          </w:tcPr>
          <w:p w14:paraId="6BC55A59">
            <w:pPr>
              <w:spacing w:line="360" w:lineRule="exact"/>
              <w:jc w:val="center"/>
              <w:rPr>
                <w:rFonts w:ascii="宋体" w:hAnsi="宋体" w:cs="Arial"/>
                <w:snapToGrid w:val="0"/>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w:t>
            </w:r>
            <w:r>
              <w:rPr>
                <w:rFonts w:hint="eastAsia" w:ascii="宋体" w:hAnsi="宋体" w:cs="宋体"/>
                <w:bCs/>
                <w:color w:val="auto"/>
                <w:kern w:val="0"/>
                <w:szCs w:val="21"/>
                <w:highlight w:val="none"/>
              </w:rPr>
              <w:t>售后服务满意度</w:t>
            </w:r>
          </w:p>
        </w:tc>
        <w:tc>
          <w:tcPr>
            <w:tcW w:w="788" w:type="dxa"/>
            <w:noWrap w:val="0"/>
            <w:vAlign w:val="center"/>
          </w:tcPr>
          <w:p w14:paraId="29C585DD">
            <w:pPr>
              <w:spacing w:line="360" w:lineRule="exact"/>
              <w:jc w:val="center"/>
              <w:rPr>
                <w:rFonts w:ascii="宋体" w:hAnsi="宋体" w:cs="Arial"/>
                <w:snapToGrid w:val="0"/>
                <w:color w:val="auto"/>
                <w:szCs w:val="21"/>
                <w:highlight w:val="none"/>
              </w:rPr>
            </w:pPr>
            <w:r>
              <w:rPr>
                <w:rFonts w:hint="eastAsia" w:ascii="宋体" w:hAnsi="宋体" w:cs="Arial"/>
                <w:snapToGrid w:val="0"/>
                <w:color w:val="auto"/>
                <w:szCs w:val="21"/>
                <w:highlight w:val="none"/>
              </w:rPr>
              <w:t>3</w:t>
            </w:r>
          </w:p>
        </w:tc>
        <w:tc>
          <w:tcPr>
            <w:tcW w:w="6159" w:type="dxa"/>
            <w:noWrap w:val="0"/>
            <w:vAlign w:val="center"/>
          </w:tcPr>
          <w:p w14:paraId="0667BB37">
            <w:pPr>
              <w:spacing w:line="360" w:lineRule="exact"/>
              <w:jc w:val="left"/>
              <w:rPr>
                <w:rFonts w:hint="eastAsia" w:ascii="宋体" w:hAnsi="宋体" w:eastAsia="宋体" w:cs="宋体"/>
                <w:bCs/>
                <w:color w:val="auto"/>
                <w:szCs w:val="21"/>
                <w:highlight w:val="none"/>
                <w:lang w:eastAsia="zh-CN"/>
              </w:rPr>
            </w:pPr>
            <w:r>
              <w:rPr>
                <w:rFonts w:hint="eastAsia"/>
                <w:color w:val="auto"/>
                <w:highlight w:val="none"/>
              </w:rPr>
              <w:t>投标人所投车辆生产企业获得CTEAS1001-2017《CTEAS售后服务体系完善程度认证评价规范》七星级售后服务认证证书的得3分，五星级售后服务认证证书的得1分，其他不得分。提供相关证明材料复印件加盖公章</w:t>
            </w:r>
            <w:r>
              <w:rPr>
                <w:rFonts w:hint="eastAsia"/>
                <w:color w:val="auto"/>
                <w:highlight w:val="none"/>
                <w:lang w:eastAsia="zh-CN"/>
              </w:rPr>
              <w:t>。</w:t>
            </w:r>
          </w:p>
        </w:tc>
      </w:tr>
      <w:tr w14:paraId="3085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736" w:type="dxa"/>
            <w:noWrap w:val="0"/>
            <w:vAlign w:val="center"/>
          </w:tcPr>
          <w:p w14:paraId="5626C11E">
            <w:pPr>
              <w:jc w:val="center"/>
              <w:rPr>
                <w:rFonts w:ascii="宋体" w:hAnsi="宋体" w:cs="宋体"/>
                <w:b/>
                <w:snapToGrid w:val="0"/>
                <w:color w:val="auto"/>
                <w:szCs w:val="21"/>
                <w:highlight w:val="none"/>
              </w:rPr>
            </w:pPr>
            <w:r>
              <w:rPr>
                <w:rFonts w:hint="eastAsia" w:ascii="宋体" w:hAnsi="宋体" w:cs="宋体"/>
                <w:b/>
                <w:snapToGrid w:val="0"/>
                <w:color w:val="auto"/>
                <w:szCs w:val="21"/>
                <w:highlight w:val="none"/>
              </w:rPr>
              <w:t>二</w:t>
            </w:r>
          </w:p>
        </w:tc>
        <w:tc>
          <w:tcPr>
            <w:tcW w:w="9074" w:type="dxa"/>
            <w:gridSpan w:val="3"/>
            <w:noWrap w:val="0"/>
            <w:vAlign w:val="center"/>
          </w:tcPr>
          <w:p w14:paraId="0A21F318">
            <w:pPr>
              <w:jc w:val="center"/>
              <w:rPr>
                <w:rFonts w:ascii="宋体" w:hAnsi="宋体" w:cs="宋体"/>
                <w:b/>
                <w:i/>
                <w:snapToGrid w:val="0"/>
                <w:color w:val="auto"/>
                <w:szCs w:val="21"/>
                <w:highlight w:val="none"/>
              </w:rPr>
            </w:pPr>
            <w:r>
              <w:rPr>
                <w:rFonts w:hint="eastAsia" w:ascii="Arial" w:hAnsi="宋体" w:cs="Arial"/>
                <w:b/>
                <w:snapToGrid w:val="0"/>
                <w:color w:val="auto"/>
                <w:szCs w:val="21"/>
                <w:highlight w:val="none"/>
              </w:rPr>
              <w:t>投标价格分（40分）</w:t>
            </w:r>
          </w:p>
        </w:tc>
      </w:tr>
      <w:tr w14:paraId="6CB2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0" w:hRule="atLeast"/>
        </w:trPr>
        <w:tc>
          <w:tcPr>
            <w:tcW w:w="736" w:type="dxa"/>
            <w:noWrap w:val="0"/>
            <w:vAlign w:val="center"/>
          </w:tcPr>
          <w:p w14:paraId="0EFA2FD8">
            <w:pPr>
              <w:jc w:val="center"/>
              <w:rPr>
                <w:rFonts w:hint="eastAsia" w:ascii="Arial" w:hAnsi="宋体" w:eastAsia="宋体" w:cs="Arial"/>
                <w:snapToGrid w:val="0"/>
                <w:color w:val="auto"/>
                <w:szCs w:val="21"/>
                <w:highlight w:val="none"/>
                <w:lang w:eastAsia="zh-CN"/>
              </w:rPr>
            </w:pPr>
            <w:r>
              <w:rPr>
                <w:rFonts w:hint="eastAsia" w:ascii="Arial" w:hAnsi="宋体" w:cs="Arial"/>
                <w:snapToGrid w:val="0"/>
                <w:color w:val="auto"/>
                <w:szCs w:val="21"/>
                <w:highlight w:val="none"/>
                <w:lang w:val="en-US" w:eastAsia="zh-CN"/>
              </w:rPr>
              <w:t>1</w:t>
            </w:r>
          </w:p>
        </w:tc>
        <w:tc>
          <w:tcPr>
            <w:tcW w:w="9074" w:type="dxa"/>
            <w:gridSpan w:val="3"/>
            <w:noWrap w:val="0"/>
            <w:vAlign w:val="center"/>
          </w:tcPr>
          <w:p w14:paraId="59BDEFBD">
            <w:pPr>
              <w:rPr>
                <w:rFonts w:ascii="Arial" w:hAnsi="宋体" w:cs="Arial"/>
                <w:bCs/>
                <w:snapToGrid w:val="0"/>
                <w:color w:val="auto"/>
                <w:szCs w:val="21"/>
                <w:highlight w:val="none"/>
              </w:rPr>
            </w:pPr>
            <w:r>
              <w:rPr>
                <w:rFonts w:hint="eastAsia" w:ascii="Arial" w:hAnsi="宋体" w:cs="Arial"/>
                <w:bCs/>
                <w:snapToGrid w:val="0"/>
                <w:color w:val="auto"/>
                <w:szCs w:val="21"/>
                <w:highlight w:val="none"/>
              </w:rPr>
              <w:t>本次招标设最高投标限价：超过最高限价的，其投标文件作为无效标处理。</w:t>
            </w:r>
          </w:p>
          <w:p w14:paraId="74103703">
            <w:pPr>
              <w:rPr>
                <w:rFonts w:ascii="Arial" w:hAnsi="宋体" w:cs="Arial"/>
                <w:bCs/>
                <w:snapToGrid w:val="0"/>
                <w:color w:val="auto"/>
                <w:szCs w:val="21"/>
                <w:highlight w:val="none"/>
              </w:rPr>
            </w:pPr>
            <w:r>
              <w:rPr>
                <w:rFonts w:hint="eastAsia" w:ascii="Arial" w:hAnsi="宋体" w:cs="Arial"/>
                <w:bCs/>
                <w:snapToGrid w:val="0"/>
                <w:color w:val="auto"/>
                <w:szCs w:val="21"/>
                <w:highlight w:val="none"/>
              </w:rPr>
              <w:t>评标基准价的确定：</w:t>
            </w:r>
          </w:p>
          <w:p w14:paraId="4ECFBD79">
            <w:pPr>
              <w:tabs>
                <w:tab w:val="left" w:pos="420"/>
                <w:tab w:val="left" w:pos="982"/>
              </w:tabs>
              <w:snapToGrid w:val="0"/>
              <w:spacing w:line="340" w:lineRule="exact"/>
              <w:rPr>
                <w:rFonts w:ascii="宋体"/>
                <w:color w:val="auto"/>
                <w:highlight w:val="none"/>
              </w:rPr>
            </w:pPr>
            <w:r>
              <w:rPr>
                <w:rFonts w:hint="eastAsia" w:ascii="宋体" w:hAnsi="宋体"/>
                <w:color w:val="auto"/>
                <w:szCs w:val="22"/>
                <w:highlight w:val="none"/>
              </w:rPr>
              <w:t>进入商务报价程序的</w:t>
            </w:r>
            <w:r>
              <w:rPr>
                <w:rFonts w:hint="eastAsia" w:ascii="宋体" w:hAnsi="Calibri"/>
                <w:color w:val="auto"/>
                <w:szCs w:val="22"/>
                <w:highlight w:val="none"/>
              </w:rPr>
              <w:t>全部有效投标供应商中的</w:t>
            </w:r>
            <w:r>
              <w:rPr>
                <w:rFonts w:hint="eastAsia" w:ascii="Arial" w:hAnsi="Arial"/>
                <w:snapToGrid w:val="0"/>
                <w:color w:val="auto"/>
                <w:szCs w:val="22"/>
                <w:highlight w:val="none"/>
                <w:lang w:val="en-US" w:eastAsia="zh-CN"/>
              </w:rPr>
              <w:t>平均价为</w:t>
            </w:r>
            <w:r>
              <w:rPr>
                <w:rFonts w:hint="eastAsia" w:ascii="Arial" w:hAnsi="宋体" w:cs="Arial"/>
                <w:bCs/>
                <w:snapToGrid w:val="0"/>
                <w:color w:val="auto"/>
                <w:szCs w:val="21"/>
                <w:highlight w:val="none"/>
              </w:rPr>
              <w:t>（</w:t>
            </w:r>
            <w:r>
              <w:rPr>
                <w:rFonts w:hint="eastAsia" w:ascii="Arial" w:hAnsi="Arial"/>
                <w:snapToGrid w:val="0"/>
                <w:color w:val="auto"/>
                <w:szCs w:val="22"/>
                <w:highlight w:val="none"/>
                <w:lang w:val="en-US" w:eastAsia="zh-CN"/>
              </w:rPr>
              <w:t>不含补贴的</w:t>
            </w:r>
            <w:r>
              <w:rPr>
                <w:rFonts w:hint="eastAsia" w:ascii="Arial" w:hAnsi="宋体" w:cs="Arial"/>
                <w:bCs/>
                <w:snapToGrid w:val="0"/>
                <w:color w:val="auto"/>
                <w:szCs w:val="21"/>
                <w:highlight w:val="none"/>
              </w:rPr>
              <w:t>投标总报价）</w:t>
            </w:r>
            <w:r>
              <w:rPr>
                <w:rFonts w:hint="eastAsia" w:ascii="宋体" w:hAnsi="Calibri"/>
                <w:color w:val="auto"/>
                <w:szCs w:val="22"/>
                <w:highlight w:val="none"/>
              </w:rPr>
              <w:t>作为评分基准值。投标供应商商务报价与基准值对比，计算出商务报价评分值：</w:t>
            </w:r>
          </w:p>
          <w:p w14:paraId="509F84D6">
            <w:pPr>
              <w:tabs>
                <w:tab w:val="left" w:pos="435"/>
                <w:tab w:val="left" w:pos="1134"/>
              </w:tabs>
              <w:snapToGrid w:val="0"/>
              <w:spacing w:line="360" w:lineRule="exact"/>
              <w:rPr>
                <w:rFonts w:ascii="Arial" w:hAnsi="Arial"/>
                <w:color w:val="auto"/>
                <w:szCs w:val="22"/>
                <w:highlight w:val="none"/>
              </w:rPr>
            </w:pPr>
            <w:r>
              <w:rPr>
                <w:rFonts w:hint="eastAsia" w:ascii="Arial" w:hAnsi="Arial"/>
                <w:color w:val="auto"/>
                <w:szCs w:val="22"/>
                <w:highlight w:val="none"/>
              </w:rPr>
              <w:t>（1）全部有效投标供应商中的</w:t>
            </w:r>
            <w:r>
              <w:rPr>
                <w:rFonts w:hint="eastAsia" w:ascii="Arial" w:hAnsi="Arial"/>
                <w:snapToGrid w:val="0"/>
                <w:color w:val="auto"/>
                <w:szCs w:val="22"/>
                <w:highlight w:val="none"/>
                <w:lang w:val="en-US" w:eastAsia="zh-CN"/>
              </w:rPr>
              <w:t>平均</w:t>
            </w:r>
            <w:r>
              <w:rPr>
                <w:rFonts w:hint="eastAsia" w:ascii="Arial" w:hAnsi="宋体" w:cs="Arial"/>
                <w:bCs/>
                <w:snapToGrid w:val="0"/>
                <w:color w:val="auto"/>
                <w:szCs w:val="21"/>
                <w:highlight w:val="none"/>
              </w:rPr>
              <w:t>报价</w:t>
            </w:r>
            <w:r>
              <w:rPr>
                <w:rFonts w:hint="eastAsia" w:ascii="Arial" w:hAnsi="Arial"/>
                <w:color w:val="auto"/>
                <w:szCs w:val="22"/>
                <w:highlight w:val="none"/>
              </w:rPr>
              <w:t>作为评标基准价。</w:t>
            </w:r>
          </w:p>
          <w:p w14:paraId="341189D9">
            <w:pPr>
              <w:tabs>
                <w:tab w:val="left" w:pos="420"/>
                <w:tab w:val="left" w:pos="982"/>
              </w:tabs>
              <w:snapToGrid w:val="0"/>
              <w:spacing w:line="340" w:lineRule="exact"/>
              <w:rPr>
                <w:rFonts w:ascii="Arial" w:hAnsi="Arial"/>
                <w:snapToGrid w:val="0"/>
                <w:color w:val="auto"/>
                <w:szCs w:val="22"/>
                <w:highlight w:val="none"/>
              </w:rPr>
            </w:pPr>
            <w:r>
              <w:rPr>
                <w:rFonts w:hint="eastAsia" w:ascii="Arial" w:hAnsi="Arial"/>
                <w:snapToGrid w:val="0"/>
                <w:color w:val="auto"/>
                <w:szCs w:val="22"/>
                <w:highlight w:val="none"/>
                <w:lang w:eastAsia="zh-CN"/>
              </w:rPr>
              <w:t>（</w:t>
            </w:r>
            <w:r>
              <w:rPr>
                <w:rFonts w:hint="eastAsia" w:ascii="Arial" w:hAnsi="Arial"/>
                <w:snapToGrid w:val="0"/>
                <w:color w:val="auto"/>
                <w:szCs w:val="22"/>
                <w:highlight w:val="none"/>
                <w:lang w:val="en-US" w:eastAsia="zh-CN"/>
              </w:rPr>
              <w:t>2</w:t>
            </w:r>
            <w:r>
              <w:rPr>
                <w:rFonts w:hint="eastAsia" w:ascii="Arial" w:hAnsi="Arial"/>
                <w:snapToGrid w:val="0"/>
                <w:color w:val="auto"/>
                <w:szCs w:val="22"/>
                <w:highlight w:val="none"/>
                <w:lang w:eastAsia="zh-CN"/>
              </w:rPr>
              <w:t>）</w:t>
            </w:r>
            <w:r>
              <w:rPr>
                <w:rFonts w:hint="eastAsia"/>
                <w:color w:val="auto"/>
                <w:szCs w:val="24"/>
                <w:highlight w:val="none"/>
              </w:rPr>
              <w:t>投标人的投标报价与基准价一致得</w:t>
            </w:r>
            <w:r>
              <w:rPr>
                <w:rFonts w:hint="eastAsia"/>
                <w:color w:val="auto"/>
                <w:szCs w:val="24"/>
                <w:highlight w:val="none"/>
                <w:lang w:val="en-US" w:eastAsia="zh-CN"/>
              </w:rPr>
              <w:t>4</w:t>
            </w:r>
            <w:r>
              <w:rPr>
                <w:rFonts w:hint="eastAsia"/>
                <w:color w:val="auto"/>
                <w:szCs w:val="24"/>
                <w:highlight w:val="none"/>
              </w:rPr>
              <w:t>0分，每高于基准价1%，扣0.</w:t>
            </w:r>
            <w:r>
              <w:rPr>
                <w:rFonts w:hint="eastAsia"/>
                <w:color w:val="auto"/>
                <w:szCs w:val="24"/>
                <w:highlight w:val="none"/>
                <w:lang w:val="en-US" w:eastAsia="zh-CN"/>
              </w:rPr>
              <w:t>5</w:t>
            </w:r>
            <w:r>
              <w:rPr>
                <w:rFonts w:hint="eastAsia"/>
                <w:color w:val="auto"/>
                <w:szCs w:val="24"/>
                <w:highlight w:val="none"/>
              </w:rPr>
              <w:t>分，每低于基准价1%，扣0.</w:t>
            </w:r>
            <w:r>
              <w:rPr>
                <w:rFonts w:hint="eastAsia"/>
                <w:color w:val="auto"/>
                <w:szCs w:val="24"/>
                <w:highlight w:val="none"/>
                <w:lang w:val="en-US" w:eastAsia="zh-CN"/>
              </w:rPr>
              <w:t>3</w:t>
            </w:r>
            <w:r>
              <w:rPr>
                <w:rFonts w:hint="eastAsia"/>
                <w:color w:val="auto"/>
                <w:szCs w:val="24"/>
                <w:highlight w:val="none"/>
              </w:rPr>
              <w:t>分（中间值采用内插法计算），以此类推，扣完为止。</w:t>
            </w:r>
          </w:p>
          <w:p w14:paraId="29F3F132">
            <w:pPr>
              <w:tabs>
                <w:tab w:val="left" w:pos="420"/>
                <w:tab w:val="left" w:pos="982"/>
              </w:tabs>
              <w:snapToGrid w:val="0"/>
              <w:spacing w:line="340" w:lineRule="exact"/>
              <w:rPr>
                <w:rFonts w:hint="default" w:ascii="Arial" w:hAnsi="Arial"/>
                <w:snapToGrid w:val="0"/>
                <w:color w:val="auto"/>
                <w:szCs w:val="22"/>
                <w:highlight w:val="none"/>
                <w:lang w:val="en-US" w:eastAsia="zh-CN"/>
              </w:rPr>
            </w:pPr>
            <w:r>
              <w:rPr>
                <w:rFonts w:hint="eastAsia" w:ascii="Arial" w:hAnsi="Arial"/>
                <w:snapToGrid w:val="0"/>
                <w:color w:val="auto"/>
                <w:szCs w:val="22"/>
                <w:highlight w:val="none"/>
              </w:rPr>
              <w:t>投标报价分得分计算保留小数</w:t>
            </w:r>
            <w:r>
              <w:rPr>
                <w:rFonts w:ascii="Arial" w:hAnsi="Arial"/>
                <w:snapToGrid w:val="0"/>
                <w:color w:val="auto"/>
                <w:szCs w:val="22"/>
                <w:highlight w:val="none"/>
              </w:rPr>
              <w:t>2</w:t>
            </w:r>
            <w:r>
              <w:rPr>
                <w:rFonts w:hint="eastAsia" w:ascii="Arial" w:hAnsi="Arial"/>
                <w:snapToGrid w:val="0"/>
                <w:color w:val="auto"/>
                <w:szCs w:val="22"/>
                <w:highlight w:val="none"/>
              </w:rPr>
              <w:t>位，第三位四舍五入。</w:t>
            </w:r>
          </w:p>
        </w:tc>
      </w:tr>
    </w:tbl>
    <w:p w14:paraId="7345026E">
      <w:pPr>
        <w:spacing w:line="360" w:lineRule="exact"/>
        <w:jc w:val="both"/>
        <w:rPr>
          <w:rFonts w:hint="default" w:ascii="宋体" w:hAnsi="宋体" w:eastAsia="宋体"/>
          <w:color w:val="auto"/>
          <w:szCs w:val="21"/>
          <w:highlight w:val="none"/>
          <w:lang w:val="en-US" w:eastAsia="zh-CN"/>
        </w:rPr>
      </w:pPr>
    </w:p>
    <w:p w14:paraId="5D8CC0D3">
      <w:pPr>
        <w:tabs>
          <w:tab w:val="left" w:pos="256"/>
        </w:tabs>
        <w:bidi w:val="0"/>
        <w:jc w:val="left"/>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ab/>
      </w:r>
    </w:p>
    <w:p w14:paraId="04FB0763">
      <w:pPr>
        <w:tabs>
          <w:tab w:val="left" w:pos="256"/>
        </w:tabs>
        <w:bidi w:val="0"/>
        <w:jc w:val="left"/>
        <w:rPr>
          <w:rFonts w:ascii="Times New Roman" w:hAnsi="Times New Roman" w:eastAsia="宋体" w:cs="Times New Roman"/>
          <w:color w:val="auto"/>
          <w:kern w:val="2"/>
          <w:sz w:val="21"/>
          <w:lang w:val="en-US" w:eastAsia="zh-CN" w:bidi="ar-SA"/>
        </w:rPr>
        <w:sectPr>
          <w:footerReference r:id="rId12" w:type="first"/>
          <w:footerReference r:id="rId11" w:type="default"/>
          <w:pgSz w:w="11907" w:h="16840"/>
          <w:pgMar w:top="1304" w:right="1588" w:bottom="1304" w:left="1588" w:header="720" w:footer="720" w:gutter="0"/>
          <w:pgNumType w:fmt="decimal" w:start="23"/>
          <w:cols w:space="720" w:num="1"/>
          <w:docGrid w:linePitch="285" w:charSpace="0"/>
        </w:sectPr>
      </w:pPr>
    </w:p>
    <w:p w14:paraId="32776F7B">
      <w:pPr>
        <w:snapToGrid w:val="0"/>
        <w:spacing w:line="440" w:lineRule="exact"/>
        <w:jc w:val="center"/>
        <w:rPr>
          <w:b/>
          <w:bCs/>
          <w:color w:val="auto"/>
          <w:kern w:val="44"/>
          <w:sz w:val="32"/>
          <w:szCs w:val="32"/>
          <w:highlight w:val="none"/>
        </w:rPr>
      </w:pPr>
      <w:bookmarkStart w:id="105" w:name="_Toc435088077"/>
      <w:r>
        <w:rPr>
          <w:rFonts w:hint="eastAsia"/>
          <w:b/>
          <w:bCs/>
          <w:color w:val="auto"/>
          <w:kern w:val="44"/>
          <w:sz w:val="32"/>
          <w:szCs w:val="32"/>
          <w:highlight w:val="none"/>
        </w:rPr>
        <w:t>第五部分采购内容及</w:t>
      </w:r>
      <w:bookmarkEnd w:id="12"/>
      <w:bookmarkEnd w:id="13"/>
      <w:r>
        <w:rPr>
          <w:rFonts w:hint="eastAsia"/>
          <w:b/>
          <w:bCs/>
          <w:color w:val="auto"/>
          <w:kern w:val="44"/>
          <w:sz w:val="32"/>
          <w:szCs w:val="32"/>
          <w:highlight w:val="none"/>
        </w:rPr>
        <w:t>要求</w:t>
      </w:r>
      <w:bookmarkEnd w:id="14"/>
      <w:bookmarkEnd w:id="105"/>
    </w:p>
    <w:p w14:paraId="3E611356">
      <w:pPr>
        <w:snapToGrid w:val="0"/>
        <w:spacing w:line="440" w:lineRule="exact"/>
        <w:jc w:val="center"/>
        <w:rPr>
          <w:b/>
          <w:bCs/>
          <w:color w:val="auto"/>
          <w:kern w:val="44"/>
          <w:sz w:val="32"/>
          <w:szCs w:val="32"/>
          <w:highlight w:val="none"/>
        </w:rPr>
      </w:pPr>
    </w:p>
    <w:p w14:paraId="1740E538">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lang w:eastAsia="zh-CN"/>
        </w:rPr>
        <w:t>标项（子包）</w:t>
      </w: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rPr>
        <w:t>米一级踏步纯电动公交客车技术参数要求：</w:t>
      </w:r>
    </w:p>
    <w:p w14:paraId="1CD1FE08">
      <w:pPr>
        <w:spacing w:line="360" w:lineRule="auto"/>
        <w:ind w:firstLine="420" w:firstLineChars="200"/>
        <w:rPr>
          <w:rStyle w:val="50"/>
          <w:rFonts w:hint="eastAsia" w:ascii="宋体" w:hAnsi="宋体" w:cs="宋体"/>
          <w:color w:val="auto"/>
          <w:highlight w:val="none"/>
        </w:rPr>
      </w:pPr>
      <w:r>
        <w:rPr>
          <w:rFonts w:hint="eastAsia" w:ascii="宋体" w:hAnsi="宋体" w:cs="黑体"/>
          <w:bCs/>
          <w:color w:val="auto"/>
          <w:szCs w:val="21"/>
          <w:highlight w:val="none"/>
        </w:rPr>
        <w:t>客车整车在功能、结构、强度等方面的技术要求均应符合</w:t>
      </w:r>
      <w:r>
        <w:rPr>
          <w:rFonts w:ascii="宋体" w:hAnsi="宋体" w:cs="黑体"/>
          <w:bCs/>
          <w:color w:val="auto"/>
          <w:szCs w:val="21"/>
          <w:highlight w:val="none"/>
        </w:rPr>
        <w:t>GB13094</w:t>
      </w:r>
      <w:r>
        <w:rPr>
          <w:rFonts w:hint="eastAsia" w:ascii="宋体" w:hAnsi="宋体" w:cs="黑体"/>
          <w:bCs/>
          <w:color w:val="auto"/>
          <w:szCs w:val="21"/>
          <w:highlight w:val="none"/>
        </w:rPr>
        <w:t>－</w:t>
      </w:r>
      <w:r>
        <w:rPr>
          <w:rFonts w:ascii="宋体" w:hAnsi="宋体" w:cs="黑体"/>
          <w:bCs/>
          <w:color w:val="auto"/>
          <w:szCs w:val="21"/>
          <w:highlight w:val="none"/>
        </w:rPr>
        <w:t>201</w:t>
      </w:r>
      <w:r>
        <w:rPr>
          <w:rFonts w:hint="eastAsia" w:ascii="宋体" w:hAnsi="宋体" w:cs="黑体"/>
          <w:bCs/>
          <w:color w:val="auto"/>
          <w:szCs w:val="21"/>
          <w:highlight w:val="none"/>
        </w:rPr>
        <w:t>7《客车结构安全要求》、</w:t>
      </w:r>
      <w:r>
        <w:rPr>
          <w:rFonts w:ascii="宋体" w:hAnsi="宋体" w:cs="黑体"/>
          <w:bCs/>
          <w:color w:val="auto"/>
          <w:szCs w:val="21"/>
          <w:highlight w:val="none"/>
        </w:rPr>
        <w:t>GB7258—2017</w:t>
      </w:r>
      <w:r>
        <w:rPr>
          <w:rFonts w:hint="eastAsia" w:ascii="宋体" w:hAnsi="宋体" w:cs="黑体"/>
          <w:bCs/>
          <w:color w:val="auto"/>
          <w:szCs w:val="21"/>
          <w:highlight w:val="none"/>
        </w:rPr>
        <w:t>《机动车运行安</w:t>
      </w:r>
      <w:r>
        <w:rPr>
          <w:rFonts w:hint="eastAsia" w:ascii="宋体" w:hAnsi="宋体" w:eastAsia="宋体" w:cs="黑体"/>
          <w:bCs/>
          <w:color w:val="auto"/>
          <w:szCs w:val="21"/>
          <w:highlight w:val="none"/>
        </w:rPr>
        <w:t>全技术条件》、</w:t>
      </w:r>
      <w:r>
        <w:rPr>
          <w:rFonts w:ascii="宋体" w:hAnsi="宋体" w:eastAsia="宋体" w:cs="黑体"/>
          <w:bCs/>
          <w:color w:val="auto"/>
          <w:szCs w:val="21"/>
          <w:highlight w:val="none"/>
        </w:rPr>
        <w:t>GB18384-20</w:t>
      </w:r>
      <w:r>
        <w:rPr>
          <w:rFonts w:hint="eastAsia" w:ascii="宋体" w:hAnsi="宋体" w:eastAsia="宋体" w:cs="黑体"/>
          <w:bCs/>
          <w:color w:val="auto"/>
          <w:szCs w:val="21"/>
          <w:highlight w:val="none"/>
        </w:rPr>
        <w:t>20《电动汽车安全要求》、</w:t>
      </w:r>
      <w:r>
        <w:rPr>
          <w:rFonts w:ascii="宋体" w:hAnsi="宋体" w:eastAsia="宋体" w:cs="黑体"/>
          <w:bCs/>
          <w:color w:val="auto"/>
          <w:szCs w:val="21"/>
          <w:highlight w:val="none"/>
        </w:rPr>
        <w:t>GB 38032-2020</w:t>
      </w:r>
      <w:r>
        <w:rPr>
          <w:rFonts w:hint="eastAsia" w:ascii="宋体" w:hAnsi="宋体" w:eastAsia="宋体" w:cs="黑体"/>
          <w:bCs/>
          <w:color w:val="auto"/>
          <w:szCs w:val="21"/>
          <w:highlight w:val="none"/>
        </w:rPr>
        <w:t>《</w:t>
      </w:r>
      <w:r>
        <w:rPr>
          <w:rFonts w:ascii="宋体" w:hAnsi="宋体" w:eastAsia="宋体" w:cs="黑体"/>
          <w:bCs/>
          <w:color w:val="auto"/>
          <w:szCs w:val="21"/>
          <w:highlight w:val="none"/>
        </w:rPr>
        <w:t>电动客车安全要求</w:t>
      </w:r>
      <w:r>
        <w:rPr>
          <w:rFonts w:hint="eastAsia" w:ascii="宋体" w:hAnsi="宋体" w:eastAsia="宋体" w:cs="黑体"/>
          <w:bCs/>
          <w:color w:val="auto"/>
          <w:szCs w:val="21"/>
          <w:highlight w:val="none"/>
        </w:rPr>
        <w:t>》、</w:t>
      </w:r>
      <w:r>
        <w:rPr>
          <w:rFonts w:ascii="宋体" w:hAnsi="宋体" w:eastAsia="宋体" w:cs="黑体"/>
          <w:bCs/>
          <w:color w:val="auto"/>
          <w:szCs w:val="21"/>
          <w:highlight w:val="none"/>
        </w:rPr>
        <w:t>GB38031-2020</w:t>
      </w:r>
      <w:r>
        <w:rPr>
          <w:rFonts w:hint="eastAsia" w:ascii="宋体" w:hAnsi="宋体" w:eastAsia="宋体" w:cs="黑体"/>
          <w:bCs/>
          <w:color w:val="auto"/>
          <w:szCs w:val="21"/>
          <w:highlight w:val="none"/>
        </w:rPr>
        <w:t>《电动汽车用动力蓄电池安全要求》、</w:t>
      </w:r>
      <w:r>
        <w:rPr>
          <w:rFonts w:ascii="宋体" w:hAnsi="宋体" w:eastAsia="宋体" w:cs="黑体"/>
          <w:bCs/>
          <w:color w:val="auto"/>
          <w:szCs w:val="21"/>
          <w:highlight w:val="none"/>
        </w:rPr>
        <w:t>GB/T32</w:t>
      </w:r>
      <w:r>
        <w:rPr>
          <w:rFonts w:hint="eastAsia" w:ascii="宋体" w:hAnsi="宋体" w:cs="黑体"/>
          <w:bCs/>
          <w:color w:val="auto"/>
          <w:szCs w:val="21"/>
          <w:highlight w:val="none"/>
          <w:lang w:eastAsia="zh-CN"/>
        </w:rPr>
        <w:t>976</w:t>
      </w:r>
      <w:r>
        <w:rPr>
          <w:rFonts w:ascii="宋体" w:hAnsi="宋体" w:eastAsia="宋体" w:cs="黑体"/>
          <w:bCs/>
          <w:color w:val="auto"/>
          <w:szCs w:val="21"/>
          <w:highlight w:val="none"/>
        </w:rPr>
        <w:t>—2016</w:t>
      </w:r>
      <w:r>
        <w:rPr>
          <w:rFonts w:hint="eastAsia" w:ascii="宋体" w:hAnsi="宋体" w:eastAsia="宋体" w:cs="黑体"/>
          <w:bCs/>
          <w:color w:val="auto"/>
          <w:szCs w:val="21"/>
          <w:highlight w:val="none"/>
        </w:rPr>
        <w:t>《电动汽车远程服务与管理系统技术规范》、JT/T:1240-2019《城市公共汽电车车辆专用安全设施技术要求》及国家现行最新有关标准</w:t>
      </w:r>
      <w:r>
        <w:rPr>
          <w:rFonts w:ascii="宋体" w:hAnsi="宋体" w:eastAsia="宋体" w:cs="黑体"/>
          <w:bCs/>
          <w:color w:val="auto"/>
          <w:szCs w:val="21"/>
          <w:highlight w:val="none"/>
        </w:rPr>
        <w:t>,</w:t>
      </w:r>
      <w:r>
        <w:rPr>
          <w:rFonts w:hint="eastAsia" w:ascii="宋体" w:hAnsi="宋体" w:eastAsia="宋体" w:cs="黑体"/>
          <w:bCs/>
          <w:color w:val="auto"/>
          <w:szCs w:val="21"/>
          <w:highlight w:val="none"/>
        </w:rPr>
        <w:t>以及投标人明确达到的各项技术指标要求。车型和各大总成通过“</w:t>
      </w:r>
      <w:r>
        <w:rPr>
          <w:rFonts w:ascii="宋体" w:hAnsi="宋体" w:eastAsia="宋体" w:cs="黑体"/>
          <w:bCs/>
          <w:color w:val="auto"/>
          <w:szCs w:val="21"/>
          <w:highlight w:val="none"/>
        </w:rPr>
        <w:t>3C</w:t>
      </w:r>
      <w:r>
        <w:rPr>
          <w:rFonts w:hint="eastAsia" w:ascii="宋体" w:hAnsi="宋体" w:eastAsia="宋体" w:cs="黑体"/>
          <w:bCs/>
          <w:color w:val="auto"/>
          <w:szCs w:val="21"/>
          <w:highlight w:val="none"/>
        </w:rPr>
        <w:t>”认证等相关机构认证资格证明。客车必须具有国家批准的纯电动客车生产资质，车辆上牌前须具备国家工信部颁发的《道路机动车辆生产企业及产品公告》和《享受车船税减免优惠的节约能源使用新能源汽车车型目录》《</w:t>
      </w:r>
      <w:r>
        <w:rPr>
          <w:rFonts w:ascii="宋体" w:hAnsi="宋体" w:eastAsia="宋体" w:cs="黑体"/>
          <w:bCs/>
          <w:color w:val="auto"/>
          <w:szCs w:val="21"/>
          <w:highlight w:val="none"/>
        </w:rPr>
        <w:fldChar w:fldCharType="begin"/>
      </w:r>
      <w:r>
        <w:rPr>
          <w:rFonts w:ascii="宋体" w:hAnsi="宋体" w:eastAsia="宋体" w:cs="黑体"/>
          <w:bCs/>
          <w:color w:val="auto"/>
          <w:szCs w:val="21"/>
          <w:highlight w:val="none"/>
        </w:rPr>
        <w:instrText xml:space="preserve"> HYPERLINK "https://www.miit.gov.cn/cms_files/filemanager/1226211233/attach/20244/4aabd4e028a74981be7faf6d7200bae5.doc" </w:instrText>
      </w:r>
      <w:r>
        <w:rPr>
          <w:rFonts w:ascii="宋体" w:hAnsi="宋体" w:eastAsia="宋体" w:cs="黑体"/>
          <w:bCs/>
          <w:color w:val="auto"/>
          <w:szCs w:val="21"/>
          <w:highlight w:val="none"/>
        </w:rPr>
        <w:fldChar w:fldCharType="separate"/>
      </w:r>
      <w:r>
        <w:rPr>
          <w:rFonts w:ascii="宋体" w:hAnsi="宋体" w:eastAsia="宋体" w:cs="黑体"/>
          <w:bCs/>
          <w:color w:val="auto"/>
          <w:szCs w:val="21"/>
          <w:highlight w:val="none"/>
        </w:rPr>
        <w:t>减免车辆购置税的新能源汽车车型目录</w:t>
      </w:r>
      <w:r>
        <w:rPr>
          <w:rFonts w:hint="eastAsia" w:ascii="宋体" w:hAnsi="宋体" w:eastAsia="宋体" w:cs="黑体"/>
          <w:bCs/>
          <w:color w:val="auto"/>
          <w:szCs w:val="21"/>
          <w:highlight w:val="none"/>
        </w:rPr>
        <w:t>》（投标文件中提供公示公告参数页面截图）。</w:t>
      </w:r>
      <w:r>
        <w:rPr>
          <w:rFonts w:hint="eastAsia" w:ascii="宋体" w:hAnsi="宋体" w:eastAsia="宋体" w:cs="黑体"/>
          <w:bCs/>
          <w:color w:val="auto"/>
          <w:szCs w:val="21"/>
          <w:highlight w:val="none"/>
        </w:rPr>
        <w:fldChar w:fldCharType="end"/>
      </w:r>
    </w:p>
    <w:tbl>
      <w:tblPr>
        <w:tblStyle w:val="45"/>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886"/>
      </w:tblGrid>
      <w:tr w14:paraId="5DEC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40EC84BF">
            <w:pPr>
              <w:spacing w:line="360" w:lineRule="auto"/>
              <w:rPr>
                <w:rFonts w:ascii="宋体" w:hAnsi="宋体" w:cs="宋体"/>
                <w:bCs/>
                <w:color w:val="auto"/>
                <w:szCs w:val="21"/>
                <w:highlight w:val="none"/>
              </w:rPr>
            </w:pPr>
            <w:r>
              <w:rPr>
                <w:rFonts w:hint="eastAsia" w:ascii="宋体" w:hAnsi="宋体" w:cs="宋体"/>
                <w:bCs/>
                <w:color w:val="auto"/>
                <w:szCs w:val="21"/>
                <w:highlight w:val="none"/>
              </w:rPr>
              <w:t>项目</w:t>
            </w:r>
          </w:p>
        </w:tc>
        <w:tc>
          <w:tcPr>
            <w:tcW w:w="8886" w:type="dxa"/>
            <w:tcBorders>
              <w:top w:val="single" w:color="auto" w:sz="4" w:space="0"/>
              <w:left w:val="single" w:color="auto" w:sz="4" w:space="0"/>
              <w:bottom w:val="single" w:color="auto" w:sz="4" w:space="0"/>
              <w:right w:val="single" w:color="auto" w:sz="4" w:space="0"/>
            </w:tcBorders>
            <w:noWrap w:val="0"/>
            <w:vAlign w:val="center"/>
          </w:tcPr>
          <w:p w14:paraId="776DD94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技术要求</w:t>
            </w:r>
          </w:p>
        </w:tc>
      </w:tr>
      <w:tr w14:paraId="1E87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249EC3B">
            <w:pPr>
              <w:spacing w:line="360" w:lineRule="auto"/>
              <w:rPr>
                <w:rFonts w:ascii="宋体" w:hAnsi="宋体" w:cs="宋体"/>
                <w:bCs/>
                <w:color w:val="auto"/>
                <w:szCs w:val="21"/>
                <w:highlight w:val="none"/>
              </w:rPr>
            </w:pPr>
            <w:r>
              <w:rPr>
                <w:rFonts w:hint="eastAsia" w:ascii="宋体" w:hAnsi="宋体" w:cs="宋体"/>
                <w:bCs/>
                <w:color w:val="auto"/>
                <w:szCs w:val="21"/>
                <w:highlight w:val="none"/>
              </w:rPr>
              <w:t>外型尺寸(mm)：</w:t>
            </w:r>
          </w:p>
        </w:tc>
        <w:tc>
          <w:tcPr>
            <w:tcW w:w="8886" w:type="dxa"/>
            <w:tcBorders>
              <w:top w:val="single" w:color="auto" w:sz="4" w:space="0"/>
              <w:left w:val="single" w:color="auto" w:sz="4" w:space="0"/>
              <w:bottom w:val="single" w:color="auto" w:sz="4" w:space="0"/>
              <w:right w:val="single" w:color="auto" w:sz="4" w:space="0"/>
            </w:tcBorders>
            <w:noWrap w:val="0"/>
            <w:vAlign w:val="center"/>
          </w:tcPr>
          <w:p w14:paraId="1405776C">
            <w:pPr>
              <w:spacing w:line="360" w:lineRule="auto"/>
              <w:rPr>
                <w:rFonts w:ascii="宋体" w:hAnsi="宋体" w:cs="宋体"/>
                <w:bCs/>
                <w:color w:val="auto"/>
                <w:szCs w:val="21"/>
                <w:highlight w:val="none"/>
              </w:rPr>
            </w:pPr>
            <w:r>
              <w:rPr>
                <w:rFonts w:hint="eastAsia" w:ascii="宋体" w:hAnsi="宋体" w:cs="宋体"/>
                <w:bCs/>
                <w:color w:val="auto"/>
                <w:szCs w:val="21"/>
                <w:highlight w:val="none"/>
              </w:rPr>
              <w:t>长</w:t>
            </w:r>
            <w:r>
              <w:rPr>
                <w:rFonts w:hint="eastAsia" w:ascii="宋体" w:hAnsi="宋体" w:cs="宋体"/>
                <w:bCs/>
                <w:color w:val="auto"/>
                <w:szCs w:val="21"/>
                <w:highlight w:val="none"/>
                <w:lang w:val="en-US" w:eastAsia="zh-CN"/>
              </w:rPr>
              <w:t>6990</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7100</w:t>
            </w:r>
            <w:r>
              <w:rPr>
                <w:rFonts w:hint="eastAsia" w:ascii="宋体" w:hAnsi="宋体" w:cs="宋体"/>
                <w:bCs/>
                <w:color w:val="auto"/>
                <w:szCs w:val="21"/>
                <w:highlight w:val="none"/>
              </w:rPr>
              <w:t>mm，宽2</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00-25</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0mm，高</w:t>
            </w:r>
            <w:r>
              <w:rPr>
                <w:rFonts w:hint="eastAsia" w:ascii="宋体" w:hAnsi="宋体" w:cs="宋体"/>
                <w:bCs/>
                <w:color w:val="auto"/>
                <w:szCs w:val="21"/>
                <w:highlight w:val="none"/>
                <w:lang w:val="en-US" w:eastAsia="zh-CN"/>
              </w:rPr>
              <w:t>2950</w:t>
            </w: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00mm</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含空调</w:t>
            </w:r>
            <w:r>
              <w:rPr>
                <w:rFonts w:hint="eastAsia" w:ascii="宋体" w:hAnsi="宋体" w:cs="宋体"/>
                <w:bCs/>
                <w:color w:val="auto"/>
                <w:szCs w:val="21"/>
                <w:highlight w:val="none"/>
                <w:lang w:eastAsia="zh-CN"/>
              </w:rPr>
              <w:t>）。</w:t>
            </w:r>
          </w:p>
        </w:tc>
      </w:tr>
      <w:tr w14:paraId="59D7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F386E56">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动力电池组及BMS</w:t>
            </w:r>
          </w:p>
        </w:tc>
        <w:tc>
          <w:tcPr>
            <w:tcW w:w="8886" w:type="dxa"/>
            <w:tcBorders>
              <w:top w:val="single" w:color="auto" w:sz="4" w:space="0"/>
              <w:left w:val="single" w:color="auto" w:sz="4" w:space="0"/>
              <w:bottom w:val="single" w:color="auto" w:sz="4" w:space="0"/>
              <w:right w:val="single" w:color="auto" w:sz="4" w:space="0"/>
            </w:tcBorders>
            <w:noWrap w:val="0"/>
            <w:vAlign w:val="center"/>
          </w:tcPr>
          <w:p w14:paraId="15F33DE9">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黑体"/>
                <w:bCs/>
                <w:color w:val="auto"/>
                <w:szCs w:val="21"/>
                <w:highlight w:val="none"/>
              </w:rPr>
            </w:pPr>
            <w:r>
              <w:rPr>
                <w:rFonts w:ascii="宋体" w:hAnsi="宋体" w:cs="黑体"/>
                <w:bCs/>
                <w:color w:val="auto"/>
                <w:szCs w:val="21"/>
                <w:highlight w:val="none"/>
              </w:rPr>
              <w:t>1</w:t>
            </w:r>
            <w:r>
              <w:rPr>
                <w:rFonts w:hint="eastAsia" w:ascii="宋体" w:hAnsi="宋体" w:cs="黑体"/>
                <w:bCs/>
                <w:color w:val="auto"/>
                <w:szCs w:val="21"/>
                <w:highlight w:val="none"/>
              </w:rPr>
              <w:t>、动力电池：电池电量高于≥1</w:t>
            </w:r>
            <w:r>
              <w:rPr>
                <w:rFonts w:hint="eastAsia" w:ascii="宋体" w:hAnsi="宋体" w:cs="黑体"/>
                <w:bCs/>
                <w:color w:val="auto"/>
                <w:szCs w:val="21"/>
                <w:highlight w:val="none"/>
                <w:lang w:val="en-US" w:eastAsia="zh-CN"/>
              </w:rPr>
              <w:t>76</w:t>
            </w:r>
            <w:r>
              <w:rPr>
                <w:rFonts w:ascii="宋体" w:hAnsi="宋体" w:cs="黑体"/>
                <w:bCs/>
                <w:color w:val="auto"/>
                <w:szCs w:val="21"/>
                <w:highlight w:val="none"/>
              </w:rPr>
              <w:t>KWH</w:t>
            </w:r>
            <w:r>
              <w:rPr>
                <w:rFonts w:hint="eastAsia" w:ascii="宋体" w:hAnsi="宋体" w:cs="黑体"/>
                <w:bCs/>
                <w:color w:val="auto"/>
                <w:szCs w:val="21"/>
                <w:highlight w:val="none"/>
              </w:rPr>
              <w:t>。选用磷酸铁锂电池</w:t>
            </w:r>
            <w:r>
              <w:rPr>
                <w:rFonts w:hint="eastAsia" w:ascii="宋体" w:hAnsi="宋体" w:cs="黑体"/>
                <w:bCs/>
                <w:color w:val="auto"/>
                <w:szCs w:val="21"/>
                <w:highlight w:val="none"/>
                <w:lang w:eastAsia="zh-CN"/>
              </w:rPr>
              <w:t>（</w:t>
            </w:r>
            <w:r>
              <w:rPr>
                <w:rFonts w:hint="eastAsia" w:ascii="宋体" w:hAnsi="宋体" w:cs="黑体"/>
                <w:bCs/>
                <w:color w:val="auto"/>
                <w:szCs w:val="21"/>
                <w:highlight w:val="none"/>
                <w:lang w:val="en-US" w:eastAsia="zh-CN"/>
              </w:rPr>
              <w:t>BC5新电芯产品）</w:t>
            </w:r>
            <w:r>
              <w:rPr>
                <w:rFonts w:hint="eastAsia" w:ascii="宋体" w:hAnsi="宋体" w:cs="黑体"/>
                <w:bCs/>
                <w:color w:val="auto"/>
                <w:szCs w:val="21"/>
                <w:highlight w:val="none"/>
              </w:rPr>
              <w:t>，充电倍率≥0.8</w:t>
            </w:r>
            <w:r>
              <w:rPr>
                <w:rFonts w:ascii="宋体" w:hAnsi="宋体" w:cs="黑体"/>
                <w:bCs/>
                <w:color w:val="auto"/>
                <w:szCs w:val="21"/>
                <w:highlight w:val="none"/>
              </w:rPr>
              <w:t>C</w:t>
            </w:r>
            <w:r>
              <w:rPr>
                <w:rFonts w:hint="eastAsia" w:ascii="宋体" w:hAnsi="宋体" w:cs="黑体"/>
                <w:bCs/>
                <w:color w:val="auto"/>
                <w:szCs w:val="21"/>
                <w:highlight w:val="none"/>
              </w:rPr>
              <w:t>，采用国内主要品牌宁德时代且</w:t>
            </w:r>
            <w:r>
              <w:rPr>
                <w:rFonts w:hint="eastAsia"/>
                <w:color w:val="auto"/>
                <w:highlight w:val="none"/>
              </w:rPr>
              <w:t>电芯和电池</w:t>
            </w:r>
            <w:r>
              <w:rPr>
                <w:color w:val="auto"/>
                <w:highlight w:val="none"/>
              </w:rPr>
              <w:t>pack</w:t>
            </w:r>
            <w:r>
              <w:rPr>
                <w:rFonts w:hint="eastAsia"/>
                <w:color w:val="auto"/>
                <w:highlight w:val="none"/>
              </w:rPr>
              <w:t>为同一品牌</w:t>
            </w:r>
            <w:r>
              <w:rPr>
                <w:rFonts w:hint="eastAsia"/>
                <w:color w:val="auto"/>
                <w:highlight w:val="none"/>
                <w:lang w:eastAsia="zh-CN"/>
              </w:rPr>
              <w:t>，</w:t>
            </w:r>
            <w:r>
              <w:rPr>
                <w:rFonts w:hint="eastAsia" w:ascii="宋体" w:hAnsi="宋体" w:cs="黑体"/>
                <w:bCs/>
                <w:color w:val="auto"/>
                <w:szCs w:val="21"/>
                <w:highlight w:val="none"/>
              </w:rPr>
              <w:t>能量密度≥160</w:t>
            </w:r>
            <w:r>
              <w:rPr>
                <w:rFonts w:ascii="宋体" w:hAnsi="宋体" w:cs="黑体"/>
                <w:bCs/>
                <w:color w:val="auto"/>
                <w:szCs w:val="21"/>
                <w:highlight w:val="none"/>
              </w:rPr>
              <w:t>Wh/kg</w:t>
            </w:r>
          </w:p>
          <w:p w14:paraId="572C8B24">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黑体"/>
                <w:bCs/>
                <w:color w:val="auto"/>
                <w:szCs w:val="21"/>
                <w:highlight w:val="none"/>
              </w:rPr>
            </w:pPr>
            <w:r>
              <w:rPr>
                <w:rFonts w:hint="eastAsia" w:ascii="宋体" w:hAnsi="宋体" w:cs="黑体"/>
                <w:bCs/>
                <w:color w:val="auto"/>
                <w:szCs w:val="21"/>
                <w:highlight w:val="none"/>
                <w:lang w:val="en-US" w:eastAsia="zh-CN"/>
              </w:rPr>
              <w:t>2、</w:t>
            </w:r>
            <w:r>
              <w:rPr>
                <w:rFonts w:hint="eastAsia" w:ascii="宋体" w:hAnsi="宋体" w:cs="黑体"/>
                <w:bCs/>
                <w:color w:val="auto"/>
                <w:szCs w:val="21"/>
                <w:highlight w:val="none"/>
              </w:rPr>
              <w:t>高压部件安装在独立舱体内，具有通风，散热，防水，报警设计，确保高压部件的工作温度。</w:t>
            </w:r>
          </w:p>
          <w:p w14:paraId="6C1962E7">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控制系统仓内，动力电池组、控制系统等布置合理，通风良好；做好安全措施，安装自动灭火装置，安装烟雾报警器，</w:t>
            </w:r>
            <w:r>
              <w:rPr>
                <w:rFonts w:hint="eastAsia" w:ascii="宋体" w:hAnsi="宋体" w:cs="宋体"/>
                <w:color w:val="auto"/>
                <w:szCs w:val="21"/>
                <w:highlight w:val="none"/>
              </w:rPr>
              <w:t>安装电池仓及后仓（高压仓）专用灭火器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质保8年，如需更换由客车厂家负责</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799E4733">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黑体"/>
                <w:bCs/>
                <w:color w:val="auto"/>
                <w:szCs w:val="21"/>
                <w:highlight w:val="none"/>
              </w:rPr>
            </w:pPr>
            <w:r>
              <w:rPr>
                <w:color w:val="auto"/>
                <w:spacing w:val="11"/>
              </w:rPr>
              <w:t>动力电池箱内安装专用灭火装置，要求采用全氟己酮或七氟丙烷灭火剂，</w:t>
            </w:r>
            <w:r>
              <w:rPr>
                <w:color w:val="auto"/>
                <w:spacing w:val="7"/>
              </w:rPr>
              <w:t xml:space="preserve"> </w:t>
            </w:r>
            <w:r>
              <w:rPr>
                <w:rFonts w:hint="eastAsia"/>
                <w:color w:val="auto"/>
                <w:spacing w:val="8"/>
                <w:lang w:val="en-US" w:eastAsia="zh-CN"/>
              </w:rPr>
              <w:t>不小于3</w:t>
            </w:r>
            <w:r>
              <w:rPr>
                <w:color w:val="auto"/>
              </w:rPr>
              <w:t>KG</w:t>
            </w:r>
            <w:r>
              <w:rPr>
                <w:color w:val="auto"/>
                <w:spacing w:val="8"/>
              </w:rPr>
              <w:t>，具有温度传感器、气体分解传感器、烟雾传感</w:t>
            </w:r>
            <w:r>
              <w:rPr>
                <w:color w:val="auto"/>
                <w:spacing w:val="7"/>
              </w:rPr>
              <w:t>器、电解液漏液自动</w:t>
            </w:r>
            <w:r>
              <w:rPr>
                <w:color w:val="auto"/>
              </w:rPr>
              <w:t xml:space="preserve"> </w:t>
            </w:r>
            <w:r>
              <w:rPr>
                <w:color w:val="auto"/>
                <w:spacing w:val="6"/>
              </w:rPr>
              <w:t>检测和火灾自动探测等检测和报警功能，能实现自动启动和手动启动功能，</w:t>
            </w:r>
            <w:r>
              <w:rPr>
                <w:color w:val="auto"/>
                <w:spacing w:val="2"/>
              </w:rPr>
              <w:t xml:space="preserve"> </w:t>
            </w:r>
            <w:r>
              <w:rPr>
                <w:color w:val="auto"/>
                <w:spacing w:val="10"/>
              </w:rPr>
              <w:t>需满足全天侯待机工作状态，探测装置、灭火装置等质保</w:t>
            </w:r>
            <w:r>
              <w:rPr>
                <w:color w:val="auto"/>
                <w:spacing w:val="-39"/>
              </w:rPr>
              <w:t xml:space="preserve"> </w:t>
            </w:r>
            <w:r>
              <w:rPr>
                <w:color w:val="auto"/>
                <w:spacing w:val="10"/>
              </w:rPr>
              <w:t>8</w:t>
            </w:r>
            <w:r>
              <w:rPr>
                <w:color w:val="auto"/>
                <w:spacing w:val="-34"/>
              </w:rPr>
              <w:t xml:space="preserve"> </w:t>
            </w:r>
            <w:r>
              <w:rPr>
                <w:color w:val="auto"/>
                <w:spacing w:val="10"/>
              </w:rPr>
              <w:t>年，质保期内系统的检修及更换全部由投标方免费负责</w:t>
            </w:r>
            <w:r>
              <w:rPr>
                <w:b/>
                <w:bCs/>
                <w:color w:val="auto"/>
                <w:spacing w:val="10"/>
              </w:rPr>
              <w:t>（</w:t>
            </w:r>
            <w:r>
              <w:rPr>
                <w:color w:val="auto"/>
                <w:spacing w:val="10"/>
              </w:rPr>
              <w:t>包含总成件、所属配件、易损</w:t>
            </w:r>
            <w:r>
              <w:rPr>
                <w:color w:val="auto"/>
                <w:spacing w:val="18"/>
              </w:rPr>
              <w:t xml:space="preserve"> </w:t>
            </w:r>
            <w:r>
              <w:rPr>
                <w:color w:val="auto"/>
                <w:spacing w:val="9"/>
              </w:rPr>
              <w:t>件及工时，合同签订前由配套产品厂家和投标方提供共同书面承诺函</w:t>
            </w:r>
            <w:r>
              <w:rPr>
                <w:b/>
                <w:bCs/>
                <w:color w:val="auto"/>
                <w:spacing w:val="9"/>
              </w:rPr>
              <w:t>）</w:t>
            </w:r>
            <w:r>
              <w:rPr>
                <w:rFonts w:hint="eastAsia" w:ascii="宋体" w:hAnsi="宋体" w:cs="宋体"/>
                <w:bCs/>
                <w:color w:val="auto"/>
                <w:szCs w:val="21"/>
                <w:highlight w:val="none"/>
              </w:rPr>
              <w:t>。</w:t>
            </w:r>
            <w:r>
              <w:rPr>
                <w:color w:val="auto"/>
                <w:spacing w:val="11"/>
              </w:rPr>
              <w:t>灭火装置及部件有国家公安部消防鉴定证书，电池箱</w:t>
            </w:r>
            <w:r>
              <w:rPr>
                <w:color w:val="auto"/>
                <w:spacing w:val="10"/>
              </w:rPr>
              <w:t>及电池舱自动灭火装</w:t>
            </w:r>
            <w:r>
              <w:rPr>
                <w:color w:val="auto"/>
              </w:rPr>
              <w:t xml:space="preserve"> </w:t>
            </w:r>
            <w:r>
              <w:rPr>
                <w:color w:val="auto"/>
                <w:spacing w:val="9"/>
              </w:rPr>
              <w:t>置需有</w:t>
            </w:r>
            <w:r>
              <w:rPr>
                <w:color w:val="auto"/>
                <w:spacing w:val="-36"/>
              </w:rPr>
              <w:t xml:space="preserve"> </w:t>
            </w:r>
            <w:r>
              <w:rPr>
                <w:color w:val="auto"/>
                <w:spacing w:val="9"/>
              </w:rPr>
              <w:t>8</w:t>
            </w:r>
            <w:r>
              <w:rPr>
                <w:color w:val="auto"/>
                <w:spacing w:val="-37"/>
              </w:rPr>
              <w:t xml:space="preserve"> </w:t>
            </w:r>
            <w:r>
              <w:rPr>
                <w:color w:val="auto"/>
                <w:spacing w:val="9"/>
              </w:rPr>
              <w:t>年商业保险，电池箱单次事故保额不小于</w:t>
            </w:r>
            <w:r>
              <w:rPr>
                <w:color w:val="auto"/>
                <w:spacing w:val="-34"/>
              </w:rPr>
              <w:t xml:space="preserve"> </w:t>
            </w:r>
            <w:r>
              <w:rPr>
                <w:color w:val="auto"/>
                <w:spacing w:val="9"/>
              </w:rPr>
              <w:t>20</w:t>
            </w:r>
            <w:r>
              <w:rPr>
                <w:color w:val="auto"/>
                <w:spacing w:val="8"/>
              </w:rPr>
              <w:t>0</w:t>
            </w:r>
            <w:r>
              <w:rPr>
                <w:color w:val="auto"/>
                <w:spacing w:val="-35"/>
              </w:rPr>
              <w:t xml:space="preserve"> </w:t>
            </w:r>
            <w:r>
              <w:rPr>
                <w:color w:val="auto"/>
                <w:spacing w:val="8"/>
              </w:rPr>
              <w:t>万，电池舱单次事</w:t>
            </w:r>
            <w:r>
              <w:rPr>
                <w:color w:val="auto"/>
              </w:rPr>
              <w:t xml:space="preserve"> </w:t>
            </w:r>
            <w:r>
              <w:rPr>
                <w:color w:val="auto"/>
                <w:spacing w:val="9"/>
              </w:rPr>
              <w:t>故保额不小于</w:t>
            </w:r>
            <w:r>
              <w:rPr>
                <w:color w:val="auto"/>
                <w:spacing w:val="-16"/>
              </w:rPr>
              <w:t xml:space="preserve"> </w:t>
            </w:r>
            <w:r>
              <w:rPr>
                <w:color w:val="auto"/>
                <w:spacing w:val="9"/>
              </w:rPr>
              <w:t>100</w:t>
            </w:r>
            <w:r>
              <w:rPr>
                <w:color w:val="auto"/>
                <w:spacing w:val="-33"/>
              </w:rPr>
              <w:t xml:space="preserve"> </w:t>
            </w:r>
            <w:r>
              <w:rPr>
                <w:color w:val="auto"/>
                <w:spacing w:val="9"/>
              </w:rPr>
              <w:t>万，承诺非人为损坏和失效的免费更换。如因装用不合</w:t>
            </w:r>
            <w:r>
              <w:rPr>
                <w:color w:val="auto"/>
              </w:rPr>
              <w:t xml:space="preserve"> </w:t>
            </w:r>
            <w:r>
              <w:rPr>
                <w:color w:val="auto"/>
                <w:spacing w:val="8"/>
              </w:rPr>
              <w:t>格的电池箱或电池仓灭火装置引起的各种损失及责任，</w:t>
            </w:r>
            <w:r>
              <w:rPr>
                <w:color w:val="auto"/>
                <w:spacing w:val="-58"/>
              </w:rPr>
              <w:t xml:space="preserve"> </w:t>
            </w:r>
            <w:r>
              <w:rPr>
                <w:color w:val="auto"/>
                <w:spacing w:val="8"/>
              </w:rPr>
              <w:t>由投标方承担</w:t>
            </w:r>
          </w:p>
          <w:p w14:paraId="2E1C67EC">
            <w:pPr>
              <w:spacing w:line="360" w:lineRule="auto"/>
              <w:rPr>
                <w:rFonts w:ascii="宋体" w:hAnsi="宋体" w:cs="宋体"/>
                <w:bCs/>
                <w:color w:val="auto"/>
                <w:szCs w:val="21"/>
                <w:highlight w:val="none"/>
              </w:rPr>
            </w:pPr>
            <w:r>
              <w:rPr>
                <w:rFonts w:hint="eastAsia" w:ascii="宋体" w:hAnsi="宋体" w:cs="黑体"/>
                <w:bCs/>
                <w:color w:val="auto"/>
                <w:szCs w:val="21"/>
                <w:highlight w:val="none"/>
                <w:lang w:val="en-US" w:eastAsia="zh-CN"/>
              </w:rPr>
              <w:t>4、</w:t>
            </w:r>
            <w:r>
              <w:rPr>
                <w:rFonts w:ascii="宋体" w:hAnsi="宋体" w:cs="黑体"/>
                <w:bCs/>
                <w:color w:val="auto"/>
                <w:szCs w:val="21"/>
                <w:highlight w:val="none"/>
              </w:rPr>
              <w:t>动力电池必须有专门的冷却设施（液冷），</w:t>
            </w:r>
            <w:r>
              <w:rPr>
                <w:rFonts w:hint="eastAsia" w:ascii="宋体" w:hAnsi="宋体" w:cs="宋体"/>
                <w:bCs/>
                <w:color w:val="auto"/>
                <w:szCs w:val="21"/>
                <w:highlight w:val="none"/>
              </w:rPr>
              <w:t>将电池的工作温度控制在最佳工作温度，延缓电池的容量衰减。</w:t>
            </w:r>
          </w:p>
          <w:p w14:paraId="52CC29DE">
            <w:pPr>
              <w:keepNext w:val="0"/>
              <w:keepLines w:val="0"/>
              <w:pageBreakBefore w:val="0"/>
              <w:widowControl w:val="0"/>
              <w:numPr>
                <w:ilvl w:val="0"/>
                <w:numId w:val="0"/>
              </w:numPr>
              <w:kinsoku/>
              <w:wordWrap/>
              <w:overflowPunct/>
              <w:topLinePunct w:val="0"/>
              <w:autoSpaceDE/>
              <w:autoSpaceDN/>
              <w:bidi w:val="0"/>
              <w:adjustRightInd/>
              <w:spacing w:line="540" w:lineRule="exact"/>
              <w:textAlignment w:val="auto"/>
              <w:rPr>
                <w:rFonts w:hint="eastAsia" w:ascii="宋体" w:hAnsi="宋体" w:cs="黑体"/>
                <w:bCs/>
                <w:color w:val="auto"/>
                <w:szCs w:val="21"/>
                <w:highlight w:val="none"/>
              </w:rPr>
            </w:pPr>
            <w:r>
              <w:rPr>
                <w:rFonts w:hint="eastAsia" w:ascii="宋体" w:hAnsi="宋体" w:cs="宋体"/>
                <w:color w:val="auto"/>
                <w:sz w:val="21"/>
                <w:szCs w:val="21"/>
                <w:highlight w:val="none"/>
                <w:lang w:val="en-US" w:eastAsia="zh-CN"/>
              </w:rPr>
              <w:t>5、</w:t>
            </w:r>
            <w:r>
              <w:rPr>
                <w:rFonts w:hint="eastAsia" w:ascii="宋体" w:hAnsi="宋体" w:cs="黑体"/>
                <w:bCs/>
                <w:color w:val="auto"/>
                <w:szCs w:val="21"/>
                <w:highlight w:val="none"/>
              </w:rPr>
              <w:t>动力电池</w:t>
            </w:r>
            <w:r>
              <w:rPr>
                <w:rFonts w:hint="eastAsia" w:ascii="宋体" w:hAnsi="宋体" w:cs="黑体"/>
                <w:bCs/>
                <w:color w:val="auto"/>
                <w:szCs w:val="21"/>
                <w:highlight w:val="none"/>
                <w:lang w:val="en-US" w:eastAsia="zh-CN"/>
              </w:rPr>
              <w:t>10</w:t>
            </w:r>
            <w:r>
              <w:rPr>
                <w:rFonts w:hint="eastAsia" w:ascii="宋体" w:hAnsi="宋体" w:cs="黑体"/>
                <w:bCs/>
                <w:color w:val="auto"/>
                <w:szCs w:val="21"/>
                <w:highlight w:val="none"/>
              </w:rPr>
              <w:t>年内衰减不超过</w:t>
            </w:r>
            <w:r>
              <w:rPr>
                <w:rFonts w:hint="eastAsia" w:ascii="宋体" w:hAnsi="宋体" w:cs="黑体"/>
                <w:bCs/>
                <w:color w:val="auto"/>
                <w:szCs w:val="21"/>
                <w:highlight w:val="none"/>
                <w:lang w:val="en-US" w:eastAsia="zh-CN"/>
              </w:rPr>
              <w:t>3</w:t>
            </w:r>
            <w:r>
              <w:rPr>
                <w:rFonts w:hint="eastAsia" w:ascii="宋体" w:hAnsi="宋体" w:cs="黑体"/>
                <w:bCs/>
                <w:color w:val="auto"/>
                <w:szCs w:val="21"/>
                <w:highlight w:val="none"/>
              </w:rPr>
              <w:t>0%，质保</w:t>
            </w:r>
            <w:r>
              <w:rPr>
                <w:rFonts w:hint="eastAsia" w:ascii="宋体" w:hAnsi="宋体" w:cs="黑体"/>
                <w:bCs/>
                <w:color w:val="auto"/>
                <w:szCs w:val="21"/>
                <w:highlight w:val="none"/>
                <w:lang w:val="en-US" w:eastAsia="zh-CN"/>
              </w:rPr>
              <w:t>10</w:t>
            </w:r>
            <w:r>
              <w:rPr>
                <w:rFonts w:hint="eastAsia" w:ascii="宋体" w:hAnsi="宋体" w:cs="黑体"/>
                <w:bCs/>
                <w:color w:val="auto"/>
                <w:szCs w:val="21"/>
                <w:highlight w:val="none"/>
              </w:rPr>
              <w:t>年（以具有合格资质的第三方检测报告为准，</w:t>
            </w:r>
            <w:r>
              <w:rPr>
                <w:rFonts w:hint="eastAsia" w:ascii="宋体" w:hAnsi="宋体" w:cs="宋体"/>
                <w:bCs/>
                <w:color w:val="auto"/>
                <w:szCs w:val="21"/>
                <w:highlight w:val="none"/>
              </w:rPr>
              <w:t>在质保期内无偿每年定期进行一次质量检测</w:t>
            </w:r>
            <w:r>
              <w:rPr>
                <w:rFonts w:hint="eastAsia" w:ascii="宋体" w:hAnsi="宋体" w:cs="宋体"/>
                <w:bCs/>
                <w:color w:val="auto"/>
                <w:szCs w:val="21"/>
                <w:highlight w:val="none"/>
                <w:lang w:eastAsia="zh-CN"/>
              </w:rPr>
              <w:t>）</w:t>
            </w:r>
          </w:p>
          <w:p w14:paraId="33B3F6C8">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具有故障诊断功能(包括电压、电流、温度、高压、均衡、CAN通讯故障) ；有过压、欠压、过流、过温、充电超出限制、放电超出限制等保护及报警功能。</w:t>
            </w:r>
          </w:p>
          <w:p w14:paraId="27C851DB">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采用标准模组、标准电池箱体，进行一体化设计，箱体采用压铸制造工艺。动力电池安装位置必须保证车厢空间不受影响。</w:t>
            </w:r>
          </w:p>
          <w:p w14:paraId="0F956E4B">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、车辆设置为乘客门未关闭车辆不能起步功能。</w:t>
            </w:r>
          </w:p>
          <w:p w14:paraId="22141F49">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、车辆设置充电口，符合国标GBT 20234.3要求；充电方式：采用直流充电、慢充快补。充电接口应有明显标志标示，防止人员误操作。具有充电枪未拔出不能启动车辆功能</w:t>
            </w:r>
          </w:p>
          <w:p w14:paraId="569C5680">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、动力系统模块接入CAN总线，储能装置BMS管理系统具有远程监控功能，用户可通过互联网登陆平台实时查询和监控储能装置使用情况。</w:t>
            </w:r>
          </w:p>
        </w:tc>
      </w:tr>
      <w:tr w14:paraId="5B06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2D766CB">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驱动电机及控制器</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56AD0304">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黑体"/>
                <w:bCs/>
                <w:color w:val="auto"/>
                <w:szCs w:val="21"/>
                <w:highlight w:val="none"/>
                <w:lang w:val="en-US" w:eastAsia="zh-CN"/>
              </w:rPr>
              <w:t>1</w:t>
            </w:r>
            <w:r>
              <w:rPr>
                <w:rFonts w:hint="eastAsia" w:ascii="宋体" w:hAnsi="宋体" w:cs="黑体"/>
                <w:bCs/>
                <w:color w:val="auto"/>
                <w:szCs w:val="21"/>
                <w:highlight w:val="none"/>
              </w:rPr>
              <w:t>、</w:t>
            </w:r>
            <w:r>
              <w:rPr>
                <w:rFonts w:hint="eastAsia" w:ascii="宋体" w:hAnsi="宋体" w:cs="宋体"/>
                <w:color w:val="auto"/>
                <w:szCs w:val="21"/>
                <w:highlight w:val="none"/>
              </w:rPr>
              <w:t>采用水冷永磁同步驱动电机，电机采用集成电驱桥，直接驱动后桥；选用优质品牌电机，质保</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年。</w:t>
            </w:r>
            <w:r>
              <w:rPr>
                <w:rFonts w:hint="eastAsia"/>
                <w:color w:val="auto"/>
                <w:highlight w:val="none"/>
              </w:rPr>
              <w:t>电机峰值功率≥</w:t>
            </w:r>
            <w:r>
              <w:rPr>
                <w:color w:val="auto"/>
                <w:highlight w:val="none"/>
              </w:rPr>
              <w:t>1</w:t>
            </w:r>
            <w:r>
              <w:rPr>
                <w:rFonts w:hint="eastAsia"/>
                <w:color w:val="auto"/>
                <w:highlight w:val="none"/>
                <w:lang w:val="en-US" w:eastAsia="zh-CN"/>
              </w:rPr>
              <w:t>6</w:t>
            </w:r>
            <w:r>
              <w:rPr>
                <w:color w:val="auto"/>
                <w:highlight w:val="none"/>
              </w:rPr>
              <w:t>0KW</w:t>
            </w:r>
            <w:r>
              <w:rPr>
                <w:rFonts w:hint="eastAsia"/>
                <w:color w:val="auto"/>
                <w:highlight w:val="none"/>
              </w:rPr>
              <w:t>额定功率≥</w:t>
            </w:r>
            <w:r>
              <w:rPr>
                <w:rFonts w:hint="eastAsia"/>
                <w:color w:val="auto"/>
                <w:highlight w:val="none"/>
                <w:lang w:val="en-US" w:eastAsia="zh-CN"/>
              </w:rPr>
              <w:t>8</w:t>
            </w:r>
            <w:r>
              <w:rPr>
                <w:rFonts w:hint="eastAsia"/>
                <w:color w:val="auto"/>
                <w:highlight w:val="none"/>
              </w:rPr>
              <w:t>0</w:t>
            </w:r>
            <w:r>
              <w:rPr>
                <w:color w:val="auto"/>
                <w:highlight w:val="none"/>
              </w:rPr>
              <w:t>KW；</w:t>
            </w:r>
            <w:r>
              <w:rPr>
                <w:rFonts w:hint="eastAsia"/>
                <w:color w:val="auto"/>
                <w:highlight w:val="none"/>
              </w:rPr>
              <w:t>外壳防护等级不低于</w:t>
            </w:r>
            <w:r>
              <w:rPr>
                <w:color w:val="auto"/>
                <w:highlight w:val="none"/>
              </w:rPr>
              <w:t>IP6</w:t>
            </w:r>
            <w:r>
              <w:rPr>
                <w:rFonts w:hint="eastAsia"/>
                <w:color w:val="auto"/>
                <w:highlight w:val="none"/>
              </w:rPr>
              <w:t>8，在投标文件中提供厂家车辆公告页</w:t>
            </w:r>
            <w:r>
              <w:rPr>
                <w:rFonts w:hint="eastAsia" w:ascii="宋体" w:hAnsi="宋体" w:cs="宋体"/>
                <w:color w:val="auto"/>
                <w:szCs w:val="21"/>
                <w:highlight w:val="none"/>
              </w:rPr>
              <w:t>。驱动电机具备缓速和能量回收功能。选用轻量化和体积小的铝壳驱动电机，并兼顾电机维保的方便性。驱动电机功率须满足公交服务要求，并具有低速大转矩特性及较宽范围内的恒功率特性，能够在车辆满载、爬坡等工况下提供充足动力。</w:t>
            </w:r>
          </w:p>
        </w:tc>
      </w:tr>
      <w:tr w14:paraId="6E99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270D5B7">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整车控制器</w:t>
            </w:r>
          </w:p>
        </w:tc>
        <w:tc>
          <w:tcPr>
            <w:tcW w:w="8886" w:type="dxa"/>
            <w:tcBorders>
              <w:top w:val="single" w:color="auto" w:sz="4" w:space="0"/>
              <w:left w:val="single" w:color="auto" w:sz="4" w:space="0"/>
              <w:bottom w:val="single" w:color="auto" w:sz="4" w:space="0"/>
              <w:right w:val="single" w:color="auto" w:sz="4" w:space="0"/>
            </w:tcBorders>
            <w:noWrap w:val="0"/>
            <w:vAlign w:val="center"/>
          </w:tcPr>
          <w:p w14:paraId="3CBD1256">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1、具备故障诊断、过压保护、过流保护、过热保护、充电保护、漏电保护及信息自动传输。</w:t>
            </w:r>
          </w:p>
          <w:p w14:paraId="77D337D4">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2、满足传导抗扰度ISO 7637-2-2004；辐射抗扰度ISO 11452-2-2004（A级）；大电流注入ISO 11452-4-2005（A级）；静电放电ISO 10605-2008（A级）要求。</w:t>
            </w:r>
          </w:p>
          <w:p w14:paraId="6D129AB6">
            <w:pPr>
              <w:keepNext w:val="0"/>
              <w:keepLines w:val="0"/>
              <w:pageBreakBefore w:val="0"/>
              <w:widowControl w:val="0"/>
              <w:kinsoku/>
              <w:wordWrap/>
              <w:overflowPunct/>
              <w:topLinePunct w:val="0"/>
              <w:autoSpaceDE/>
              <w:autoSpaceDN/>
              <w:bidi w:val="0"/>
              <w:adjustRightInd/>
              <w:spacing w:line="540" w:lineRule="exact"/>
              <w:textAlignment w:val="auto"/>
              <w:rPr>
                <w:color w:val="auto"/>
                <w:highlight w:val="none"/>
              </w:rPr>
            </w:pPr>
            <w:r>
              <w:rPr>
                <w:rFonts w:hint="eastAsia"/>
                <w:color w:val="auto"/>
                <w:highlight w:val="none"/>
              </w:rPr>
              <w:t>3、</w:t>
            </w:r>
            <w:r>
              <w:rPr>
                <w:color w:val="auto"/>
                <w:highlight w:val="none"/>
              </w:rPr>
              <w:t>具有油门误踩系统（EAPM）：能智能分辨正常踩油门和油门误踩，当油门瞬间异常开度时，车辆不会前进或倒退。不具有车辆蠕动功能。（车辆档位在 D 或 R，在没有踩油门信号前提下，车辆不会前进或后退）。切换档位要求前进档与倒车档切换时必须先按空档再按前进挡或倒挡。</w:t>
            </w:r>
          </w:p>
          <w:p w14:paraId="292E0999">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kern w:val="0"/>
                <w:szCs w:val="21"/>
                <w:highlight w:val="none"/>
                <w:lang w:val="en-US" w:eastAsia="zh-CN"/>
              </w:rPr>
              <w:t>4</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整车控制器</w:t>
            </w:r>
            <w:r>
              <w:rPr>
                <w:rFonts w:hint="eastAsia" w:ascii="宋体" w:hAnsi="宋体" w:cs="宋体"/>
                <w:bCs/>
                <w:color w:val="auto"/>
                <w:szCs w:val="21"/>
                <w:highlight w:val="none"/>
              </w:rPr>
              <w:t>防护等级达到IP68 ，</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年质保。</w:t>
            </w:r>
          </w:p>
        </w:tc>
      </w:tr>
      <w:tr w14:paraId="24B9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7D52BB2">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底盘</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6E4B42AD">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1、采用一级踏步，前桥采用门式桥，盘式制动，带制动器磨损极限报警，</w:t>
            </w:r>
            <w:r>
              <w:rPr>
                <w:rFonts w:hint="eastAsia" w:ascii="宋体" w:hAnsi="宋体" w:cs="宋体"/>
                <w:bCs/>
                <w:color w:val="auto"/>
                <w:szCs w:val="21"/>
                <w:highlight w:val="none"/>
                <w:lang w:val="en-US" w:eastAsia="zh-CN"/>
              </w:rPr>
              <w:t>前后制动器具有制动高温预警系统，通过CAN总线可实时检测制动器卡钳温度，</w:t>
            </w:r>
            <w:r>
              <w:rPr>
                <w:rFonts w:hint="eastAsia" w:ascii="宋体" w:hAnsi="宋体" w:cs="宋体"/>
                <w:bCs/>
                <w:color w:val="auto"/>
                <w:szCs w:val="21"/>
                <w:highlight w:val="none"/>
              </w:rPr>
              <w:t>额定载荷≥</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T；后桥盘式制动，额定载荷≥</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T，前后桥使用脂润滑免维护轮毂（质保8年，质保期内故障必须更换总成），冲压焊接整体式桥壳，新能源公交车专用主减，主减速器速比的设定应根据运行的特点，确保能量消耗的经济性，主减速器质保期为8年。配ABS系统（考虑在仪表上增加或可直接显示故障轮的功能）。</w:t>
            </w:r>
          </w:p>
          <w:p w14:paraId="4D1A56C2">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2、动力系统最大承载扭矩必须满足城市公交运行线路实际超载运行的特殊要求。</w:t>
            </w:r>
          </w:p>
          <w:p w14:paraId="7C2A7DA9">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3、双回路气制动系统，整车主要制动管路采用铜管，气管路安装空气干燥装置；安装低气压报警装置（制动系统符合GB7258制动系的要求），安装自动排水系统。</w:t>
            </w:r>
          </w:p>
          <w:p w14:paraId="669F71D1">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4、采用电子驻车系统。</w:t>
            </w:r>
          </w:p>
          <w:p w14:paraId="72B4397F">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kern w:val="0"/>
                <w:szCs w:val="21"/>
                <w:highlight w:val="none"/>
                <w:lang w:val="en-US" w:eastAsia="zh-CN"/>
              </w:rPr>
              <w:t>5</w:t>
            </w:r>
            <w:r>
              <w:rPr>
                <w:rFonts w:hint="eastAsia" w:ascii="宋体" w:hAnsi="宋体" w:cs="宋体"/>
                <w:bCs/>
                <w:color w:val="auto"/>
                <w:szCs w:val="21"/>
                <w:highlight w:val="none"/>
              </w:rPr>
              <w:t>、采用集中润滑系统，质保8年。</w:t>
            </w:r>
          </w:p>
          <w:p w14:paraId="71D3D29E">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6、采用无内胎子午线轮胎，</w:t>
            </w:r>
            <w:r>
              <w:rPr>
                <w:rFonts w:hint="eastAsia" w:ascii="宋体" w:hAnsi="宋体" w:cs="宋体"/>
                <w:bCs/>
                <w:color w:val="auto"/>
                <w:szCs w:val="21"/>
                <w:highlight w:val="none"/>
                <w:lang w:val="en-US" w:eastAsia="zh-CN"/>
              </w:rPr>
              <w:t>轮胎规格</w:t>
            </w:r>
            <w:r>
              <w:rPr>
                <w:rFonts w:hint="eastAsia" w:ascii="宋体" w:hAnsi="宋体" w:cs="黑体"/>
                <w:bCs/>
                <w:color w:val="auto"/>
                <w:szCs w:val="21"/>
                <w:highlight w:val="none"/>
                <w:lang w:val="en-US" w:eastAsia="zh-CN"/>
              </w:rPr>
              <w:t>245/70R17.5，全车配</w:t>
            </w:r>
            <w:r>
              <w:rPr>
                <w:rFonts w:hint="eastAsia" w:ascii="宋体" w:hAnsi="宋体" w:cs="宋体"/>
                <w:bCs/>
                <w:color w:val="auto"/>
                <w:szCs w:val="21"/>
                <w:highlight w:val="none"/>
              </w:rPr>
              <w:t>铝合金轮毂（带平衡器），含备胎7只</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备胎铝合金轮毂也带平衡器</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p>
          <w:p w14:paraId="5E036902">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、采用</w:t>
            </w:r>
            <w:r>
              <w:rPr>
                <w:rFonts w:hint="eastAsia" w:ascii="宋体" w:hAnsi="宋体"/>
                <w:color w:val="auto"/>
                <w:szCs w:val="21"/>
                <w:highlight w:val="none"/>
              </w:rPr>
              <w:t>前2后</w:t>
            </w:r>
            <w:r>
              <w:rPr>
                <w:rFonts w:hint="eastAsia" w:ascii="宋体" w:hAnsi="宋体"/>
                <w:color w:val="auto"/>
                <w:szCs w:val="21"/>
                <w:highlight w:val="none"/>
                <w:lang w:val="en-US" w:eastAsia="zh-CN"/>
              </w:rPr>
              <w:t>2</w:t>
            </w:r>
            <w:r>
              <w:rPr>
                <w:rFonts w:hint="eastAsia" w:ascii="宋体" w:hAnsi="宋体"/>
                <w:color w:val="auto"/>
                <w:szCs w:val="21"/>
                <w:highlight w:val="none"/>
              </w:rPr>
              <w:t>空气悬架</w:t>
            </w:r>
            <w:r>
              <w:rPr>
                <w:rFonts w:hint="eastAsia" w:ascii="宋体" w:hAnsi="宋体" w:cs="宋体"/>
                <w:bCs/>
                <w:color w:val="auto"/>
                <w:szCs w:val="21"/>
                <w:highlight w:val="none"/>
              </w:rPr>
              <w:t>。悬架系统承载力须满足公交运营线路实际超载要求，必须满足郊区线路道路条件，前桥配横向稳定杆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提供产品公告页</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p>
          <w:p w14:paraId="734BE7D6">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、转向器：</w:t>
            </w:r>
            <w:r>
              <w:rPr>
                <w:rFonts w:hint="eastAsia" w:ascii="宋体" w:hAnsi="宋体" w:cs="宋体"/>
                <w:bCs/>
                <w:color w:val="auto"/>
                <w:szCs w:val="21"/>
                <w:highlight w:val="none"/>
                <w:lang w:val="en-US" w:eastAsia="zh-CN"/>
              </w:rPr>
              <w:t>双源电助力转向器，</w:t>
            </w:r>
            <w:r>
              <w:rPr>
                <w:rFonts w:hint="eastAsia" w:ascii="宋体" w:hAnsi="宋体" w:cs="宋体"/>
                <w:bCs/>
                <w:color w:val="auto"/>
                <w:szCs w:val="21"/>
                <w:highlight w:val="none"/>
              </w:rPr>
              <w:t>系统油管采用整根结构（或接头在易于检查维护的较低点），要求储油罐及油管接头防止渗漏油。整车高压断电异常情况时，保持转向系统维持助力状态。</w:t>
            </w:r>
          </w:p>
          <w:p w14:paraId="3D3BB1DC">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、ATS系统散热器（整套质保8年）：采用铜质或铝质型材散热器，进口无刷风机；ECU具有一键回家模式，气流逆转除尘；与CAN总线无缝对接；配置无刷磁力泵，防护等级IP68 ，具有空转、欠压、反接保护功能，具有故障诊断及指示灯报警功能。</w:t>
            </w:r>
          </w:p>
          <w:p w14:paraId="149CA8D3">
            <w:pPr>
              <w:pStyle w:val="44"/>
              <w:keepNext w:val="0"/>
              <w:keepLines w:val="0"/>
              <w:pageBreakBefore w:val="0"/>
              <w:widowControl w:val="0"/>
              <w:kinsoku/>
              <w:wordWrap/>
              <w:overflowPunct/>
              <w:topLinePunct w:val="0"/>
              <w:autoSpaceDE/>
              <w:autoSpaceDN/>
              <w:bidi w:val="0"/>
              <w:adjustRightInd/>
              <w:spacing w:line="540" w:lineRule="exact"/>
              <w:ind w:left="0" w:leftChars="0" w:firstLine="0" w:firstLineChars="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采用无油</w:t>
            </w:r>
            <w:r>
              <w:rPr>
                <w:rFonts w:hint="eastAsia" w:ascii="宋体" w:hAnsi="宋体" w:eastAsia="宋体" w:cs="宋体"/>
                <w:bCs/>
                <w:color w:val="auto"/>
                <w:szCs w:val="21"/>
                <w:highlight w:val="none"/>
              </w:rPr>
              <w:t>电动空气压缩机（质保8年）。</w:t>
            </w:r>
          </w:p>
        </w:tc>
      </w:tr>
      <w:tr w14:paraId="052E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01807F44">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电器系统</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1499071C">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1、配备2</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0A</w:t>
            </w:r>
            <w:r>
              <w:rPr>
                <w:rFonts w:hint="eastAsia" w:ascii="宋体" w:hAnsi="宋体" w:cs="宋体"/>
                <w:bCs/>
                <w:color w:val="auto"/>
                <w:szCs w:val="21"/>
                <w:highlight w:val="none"/>
                <w:lang w:val="en-US" w:eastAsia="zh-CN"/>
              </w:rPr>
              <w:t>以上</w:t>
            </w:r>
            <w:r>
              <w:rPr>
                <w:rFonts w:hint="eastAsia" w:ascii="宋体" w:hAnsi="宋体" w:cs="宋体"/>
                <w:bCs/>
                <w:color w:val="auto"/>
                <w:szCs w:val="21"/>
                <w:highlight w:val="none"/>
              </w:rPr>
              <w:t>免维护蓄电池（电池容量需符合车辆电器设备的需求），质保期不少于2年。</w:t>
            </w:r>
            <w:r>
              <w:rPr>
                <w:rFonts w:hint="eastAsia" w:ascii="宋体" w:hAnsi="宋体" w:cs="宋体"/>
                <w:bCs/>
                <w:strike w:val="0"/>
                <w:dstrike w:val="0"/>
                <w:color w:val="auto"/>
                <w:szCs w:val="21"/>
                <w:highlight w:val="none"/>
                <w:u w:val="none"/>
              </w:rPr>
              <w:t>蓄电池仓单独设立（可与后控盒共用），与车身间具有密封结构，底座留排水孔。</w:t>
            </w:r>
            <w:r>
              <w:rPr>
                <w:rFonts w:hint="eastAsia" w:ascii="宋体" w:hAnsi="宋体" w:cs="宋体"/>
                <w:bCs/>
                <w:color w:val="auto"/>
                <w:szCs w:val="21"/>
                <w:highlight w:val="none"/>
              </w:rPr>
              <w:t>电瓶线预留5-6公分。</w:t>
            </w:r>
          </w:p>
          <w:p w14:paraId="39E0AEB7">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2、电器线路：整车电器、电器线路、接插件和熔断器必须符合国家相关标准要求。除信号线等特殊线束外，其余电线采用辐照交联阻燃型材料（耐温≥125℃），底盘电线和电线束外加套阻燃波纹管，线束接插件采用安普原装进口，底盘线束需防水。</w:t>
            </w:r>
          </w:p>
          <w:p w14:paraId="03B56A4F">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3、电线和电线束布置符合GB7258相关规定。电线及线束与车身接触处用阻尼胶固定；穿越孔洞时须装防磨损胶垫圈和绝缘护套，进入车身暗线必须加套阻燃绝缘管，布置整齐、接头牢固并有绝缘套，每隔300mm安装固定扣攀。</w:t>
            </w:r>
          </w:p>
          <w:p w14:paraId="240B5A20">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4、前、后围线束布置需有保护（尽量保证在大梁内侧），避免因车辆刮擦引起线束损坏。</w:t>
            </w:r>
          </w:p>
          <w:p w14:paraId="36E5AB1D">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5、车辆预留部分备用线路或接线柱（20A和10A），并且接线柱或插接件前段有保险装置，要有标识（外接电源），以备车辆增加临时用电器的需求（备用线路由ACC控制）。</w:t>
            </w:r>
          </w:p>
          <w:p w14:paraId="34406AE2">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6、灯光、照明装置，信号装置，开关的布置符合相关法规要求。车厢外照明及信号装置的技术条件符合GB7258的规定。</w:t>
            </w:r>
          </w:p>
          <w:p w14:paraId="05868D9C">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7、前、后门上下客区域设置侧边迎宾灯（车门开启，灯光自动开启，避免直射眼睛）；车厢内照明采用分段可调式LED灯。</w:t>
            </w:r>
          </w:p>
          <w:p w14:paraId="36D9B076">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8、电磁式电源总开关和旋转式机械开关。</w:t>
            </w:r>
          </w:p>
          <w:p w14:paraId="10D14769">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9、安装限速及限速报警装置，限定速度</w:t>
            </w:r>
            <w:r>
              <w:rPr>
                <w:rFonts w:hint="eastAsia" w:ascii="宋体" w:hAnsi="宋体" w:cs="宋体"/>
                <w:bCs/>
                <w:color w:val="auto"/>
                <w:szCs w:val="21"/>
                <w:highlight w:val="none"/>
                <w:lang w:val="en-US" w:eastAsia="zh-CN"/>
              </w:rPr>
              <w:t>50</w:t>
            </w:r>
            <w:r>
              <w:rPr>
                <w:rFonts w:hint="eastAsia" w:ascii="宋体" w:hAnsi="宋体" w:cs="宋体"/>
                <w:bCs/>
                <w:color w:val="auto"/>
                <w:szCs w:val="21"/>
                <w:highlight w:val="none"/>
              </w:rPr>
              <w:t>km/h（车辆交付后根据实际情况可进行修正）。</w:t>
            </w:r>
          </w:p>
          <w:p w14:paraId="247AD612">
            <w:pPr>
              <w:keepNext w:val="0"/>
              <w:keepLines w:val="0"/>
              <w:pageBreakBefore w:val="0"/>
              <w:widowControl w:val="0"/>
              <w:kinsoku/>
              <w:wordWrap/>
              <w:overflowPunct/>
              <w:topLinePunct w:val="0"/>
              <w:autoSpaceDE/>
              <w:autoSpaceDN/>
              <w:bidi w:val="0"/>
              <w:adjustRightInd/>
              <w:spacing w:line="540" w:lineRule="exact"/>
              <w:textAlignment w:val="auto"/>
              <w:rPr>
                <w:color w:val="auto"/>
                <w:highlight w:val="none"/>
              </w:rPr>
            </w:pPr>
            <w:r>
              <w:rPr>
                <w:rFonts w:hint="eastAsia" w:ascii="宋体" w:hAnsi="宋体" w:cs="宋体"/>
                <w:bCs/>
                <w:color w:val="auto"/>
                <w:szCs w:val="21"/>
                <w:highlight w:val="none"/>
              </w:rPr>
              <w:t>10、CAN彩屏总线系统：</w:t>
            </w:r>
            <w:r>
              <w:rPr>
                <w:color w:val="auto"/>
                <w:highlight w:val="none"/>
              </w:rPr>
              <w:t>整车采用优质 CAN 总线系统（与招标方车辆使用单位的技术信息管理平台对接），整车 CAN 总线控制系统（三级）集成客车电机、电机驱动系统（含电源）、空气悬挂系统、制动系统、电池设备仓散热系统、ABS、灯光、雨刷、车门、车载电子设备、空调与暖风装置等全部总成部件，具有状态显示、故障预警、故障判断、电耗与里程记录、故障记录、短路与过载保护等功能；预留电耗与里程以及故障信息等多项数据下载和传输接口。所有电器接插件采用进口 AMP 电线电器接插件（底盘部分为防水型）。线束布置整齐，走向合理，防护良好，固定可靠，不会出现坠挂和车辆运动中碰擦其他零部件或因抖动出现断裂。并提供 CAN 总线全部接口</w:t>
            </w:r>
          </w:p>
          <w:p w14:paraId="625C83E3">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11、</w:t>
            </w:r>
            <w:r>
              <w:rPr>
                <w:rFonts w:hint="eastAsia" w:ascii="宋体" w:hAnsi="宋体" w:cs="宋体"/>
                <w:bCs/>
                <w:color w:val="auto"/>
                <w:szCs w:val="21"/>
                <w:highlight w:val="none"/>
                <w:lang w:val="en-US" w:eastAsia="zh-CN"/>
              </w:rPr>
              <w:t>全车</w:t>
            </w:r>
            <w:r>
              <w:rPr>
                <w:rFonts w:hint="eastAsia" w:ascii="宋体" w:hAnsi="宋体" w:cs="宋体"/>
                <w:bCs/>
                <w:color w:val="auto"/>
                <w:szCs w:val="21"/>
                <w:highlight w:val="none"/>
              </w:rPr>
              <w:t>轮胎</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含备胎</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安装智能胎压监测系统。轮胎压力监测系统宜组合安装在仪表台内或安装在驾驶员易于观察的位置；应具备自检功能，当轮胎压力检测系统发生故障时应向驾驶员发出声或光报警信号；检测系统传感器宜为内置式传感器；检测系统宜集成轮胎身份电子标签系统，应具备轮胎更换系统自动识别匹配功能；检测系统应具备轮胎高压、低压报警装置并可显示温度功能，当车辆启动后，轮胎压力检测系统应在检测到轮胎压力出现异常后，立即提供声和光报警，并显示轮胎异常位置和异常类型，在轮胎压力恢复正常后应立即消除异常报警。</w:t>
            </w:r>
          </w:p>
          <w:p w14:paraId="652DB3C7">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12、</w:t>
            </w:r>
            <w:r>
              <w:rPr>
                <w:rFonts w:hint="eastAsia" w:ascii="宋体" w:hAnsi="宋体" w:cs="宋体"/>
                <w:color w:val="auto"/>
                <w:szCs w:val="21"/>
                <w:highlight w:val="none"/>
              </w:rPr>
              <w:t>前后配电盒均采用全铝智能防火配电盒，取消保险和继电器，所有功率输出采用功率芯片来控制，具备CAN通讯功能（质保8年）</w:t>
            </w:r>
            <w:r>
              <w:rPr>
                <w:rFonts w:hint="eastAsia" w:ascii="宋体" w:hAnsi="宋体" w:cs="宋体"/>
                <w:bCs/>
                <w:color w:val="auto"/>
                <w:szCs w:val="21"/>
                <w:highlight w:val="none"/>
              </w:rPr>
              <w:t>。</w:t>
            </w:r>
          </w:p>
        </w:tc>
      </w:tr>
      <w:tr w14:paraId="0C85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248B033A">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车身</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6874B7C8">
            <w:pPr>
              <w:pStyle w:val="44"/>
              <w:keepNext w:val="0"/>
              <w:keepLines w:val="0"/>
              <w:pageBreakBefore w:val="0"/>
              <w:widowControl w:val="0"/>
              <w:numPr>
                <w:ilvl w:val="0"/>
                <w:numId w:val="0"/>
              </w:numPr>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 为保证乘客上下方便，采用中低地板，前乘客门到中门之间均为一级踏步平地板，</w:t>
            </w:r>
            <w:r>
              <w:rPr>
                <w:rFonts w:hint="eastAsia"/>
                <w:color w:val="auto"/>
                <w:highlight w:val="none"/>
                <w:lang w:val="en-US" w:eastAsia="zh-CN"/>
              </w:rPr>
              <w:t>通道宽度</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680</w:t>
            </w:r>
            <w:r>
              <w:rPr>
                <w:rFonts w:hint="eastAsia" w:ascii="宋体" w:hAnsi="宋体" w:cs="宋体"/>
                <w:bCs/>
                <w:color w:val="auto"/>
                <w:szCs w:val="21"/>
                <w:highlight w:val="none"/>
              </w:rPr>
              <w:t>mm</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 xml:space="preserve">前后乘客门一级踏步形式，一级踏步高度≤320mm。 </w:t>
            </w:r>
          </w:p>
          <w:p w14:paraId="30B01904">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2、采用全承载整体式车身结构，车身骨架应有足够的强度、刚度，抗扭、抗弯性能好，整车密封性良好，采用阴极电泳等防腐处理，车身质保期8年。车身外侧采用涨拉蒙皮结构。整车前后桥轮毂罩区域应有两层密封防腐处理。车身顶棚骨架间距不大于900mm。上、下乘客门一踏骨架加强，防止地板塌陷。</w:t>
            </w:r>
          </w:p>
          <w:p w14:paraId="25F205F8">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3、符合国家标准车用内饰材料、地板铺地材料、车身隔热材料、动力电池舱隔热材料等阻燃性能应符合JT/T 1095的规定。客车整车采用防火阻燃材料，不得使用聚氨酯发泡。车顶棚骨架、侧围骨架使用防火隔热闭泡材料，底盘和轮毂使用乙烯基吸声降噪材料或气凝胶，技术性能必须达到GB38262-2019《汽车内饰材料燃烧特性》，防火等级A0级，内饰材料需提供国家认可机构出具的报告，车顶骨架和侧围使用厚度不少于25mm；电池舱使用气凝胶防火毯。整车使用面积不少于52平方。</w:t>
            </w:r>
          </w:p>
          <w:p w14:paraId="344ED67D">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4、车厢内顶板采用中顶铝塑板，内侧板采用PVC不燃烧阻燃材料，采用全景式铝合金空调风道（风道灯光设置为三段可调式），出风口为弥漫式（后排乘客区域不得直接对头部出风）。质保8年</w:t>
            </w:r>
          </w:p>
          <w:p w14:paraId="3CCAE9D3">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5、</w:t>
            </w:r>
            <w:r>
              <w:rPr>
                <w:rFonts w:hint="eastAsia" w:ascii="宋体" w:hAnsi="宋体" w:cs="宋体"/>
                <w:bCs/>
                <w:strike w:val="0"/>
                <w:dstrike w:val="0"/>
                <w:color w:val="auto"/>
                <w:szCs w:val="21"/>
                <w:highlight w:val="none"/>
              </w:rPr>
              <w:t>根据车身结构，在车身左右侧设置维修边门。</w:t>
            </w:r>
            <w:r>
              <w:rPr>
                <w:rFonts w:hint="eastAsia" w:ascii="宋体" w:hAnsi="宋体" w:cs="宋体"/>
                <w:bCs/>
                <w:color w:val="auto"/>
                <w:szCs w:val="21"/>
                <w:highlight w:val="none"/>
              </w:rPr>
              <w:t>为方便雨刷器等部件的检修，客车前围可打开，电瓶仓开小门。</w:t>
            </w:r>
          </w:p>
          <w:p w14:paraId="35C60EA3">
            <w:pPr>
              <w:keepNext w:val="0"/>
              <w:keepLines w:val="0"/>
              <w:pageBreakBefore w:val="0"/>
              <w:widowControl w:val="0"/>
              <w:kinsoku/>
              <w:wordWrap/>
              <w:overflowPunct/>
              <w:topLinePunct w:val="0"/>
              <w:autoSpaceDE/>
              <w:autoSpaceDN/>
              <w:bidi w:val="0"/>
              <w:adjustRightInd/>
              <w:spacing w:line="540" w:lineRule="exact"/>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6、车辆前部设置气管快接头，便于车辆施救，车辆前部设计为施救无需拆除保险杆即可硬杆拖车。</w:t>
            </w:r>
          </w:p>
        </w:tc>
      </w:tr>
      <w:tr w14:paraId="20F6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74F625C9">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地板</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14A6C9E1">
            <w:pPr>
              <w:keepNext w:val="0"/>
              <w:keepLines w:val="0"/>
              <w:pageBreakBefore w:val="0"/>
              <w:widowControl w:val="0"/>
              <w:numPr>
                <w:ilvl w:val="0"/>
                <w:numId w:val="3"/>
              </w:numPr>
              <w:kinsoku/>
              <w:wordWrap/>
              <w:overflowPunct/>
              <w:topLinePunct w:val="0"/>
              <w:autoSpaceDE/>
              <w:autoSpaceDN/>
              <w:bidi w:val="0"/>
              <w:adjustRightInd/>
              <w:spacing w:line="540" w:lineRule="exac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采用无机复合防水不燃烧PVC地板（厚度≥18mm），质保8年；地板革采用进口加厚耐磨石英砂地板革。前、后乘客门踏步区域采用黄色专用地板革，上、下乘客门一踏地板革增加“站立禁区”，车厢内设置轮椅专用设施。</w:t>
            </w:r>
          </w:p>
          <w:p w14:paraId="28D5315D">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、车厢内各阴阳角拼接缝处采用铝合金型材拼压，直角拼缝处采用磨光45°对接，圆弧拼缝处采用成型或锯齿状弯曲拼压。</w:t>
            </w:r>
          </w:p>
          <w:p w14:paraId="1040DE58">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、车内设置检修孔和盖板（检修孔和盖板处需安装金属框架，确保不得塌陷）。</w:t>
            </w:r>
          </w:p>
        </w:tc>
      </w:tr>
      <w:tr w14:paraId="0E05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0D1ED745">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门窗及玻璃</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54C7B448">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bCs/>
                <w:color w:val="auto"/>
                <w:szCs w:val="21"/>
                <w:highlight w:val="none"/>
              </w:rPr>
            </w:pPr>
            <w:r>
              <w:rPr>
                <w:rFonts w:hint="eastAsia" w:ascii="宋体" w:hAnsi="宋体"/>
                <w:bCs/>
                <w:color w:val="auto"/>
                <w:szCs w:val="21"/>
                <w:highlight w:val="none"/>
              </w:rPr>
              <w:t>1、乘客车门为前单后双形式，铝合金门板，内摆门内置转臂结构。前门全开时的净宽度为≥650mm，后门全开时的净宽度为≥1000mm。满足客车厂的设计要求，采用进口气动元件核心部件，可靠性、密封性好，维护方便，寿命长。符合国家或相关行业标准。采用国内主要品牌。质保八年。</w:t>
            </w:r>
            <w:r>
              <w:rPr>
                <w:rFonts w:hint="eastAsia" w:ascii="宋体" w:hAnsi="宋体" w:cs="宋体"/>
                <w:bCs/>
                <w:color w:val="auto"/>
                <w:szCs w:val="21"/>
                <w:highlight w:val="none"/>
              </w:rPr>
              <w:t>具备开关门保护功能，车辆未停稳不允许开门，乘客门没关闭不允许起步。</w:t>
            </w:r>
          </w:p>
          <w:p w14:paraId="06C52559">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bCs/>
                <w:color w:val="auto"/>
                <w:szCs w:val="21"/>
                <w:highlight w:val="none"/>
              </w:rPr>
            </w:pPr>
            <w:r>
              <w:rPr>
                <w:rFonts w:hint="eastAsia" w:ascii="宋体" w:hAnsi="宋体"/>
                <w:bCs/>
                <w:color w:val="auto"/>
                <w:szCs w:val="21"/>
                <w:highlight w:val="none"/>
              </w:rPr>
              <w:t>2、乘客门在开启状况时，门外缘距车身外缘不大于100 mm，后内摆门立柱安装防夹装置。前门转轴和后门转轴防夹罩上均要有 “请勿扶手，当心门夹”字样（黄色或红色喷漆）。</w:t>
            </w:r>
            <w:r>
              <w:rPr>
                <w:rFonts w:hint="eastAsia" w:ascii="宋体" w:hAnsi="宋体" w:cs="黑体"/>
                <w:bCs/>
                <w:color w:val="auto"/>
                <w:szCs w:val="21"/>
                <w:highlight w:val="none"/>
              </w:rPr>
              <w:t>乘客门底部防尘功能采用翻板形式，翻板应采用分体式结构，损坏时可单独拆卸更换</w:t>
            </w:r>
          </w:p>
          <w:p w14:paraId="120B039B">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cs="宋体"/>
                <w:bCs/>
                <w:color w:val="auto"/>
                <w:szCs w:val="21"/>
                <w:highlight w:val="none"/>
              </w:rPr>
            </w:pPr>
            <w:r>
              <w:rPr>
                <w:rFonts w:hint="eastAsia" w:ascii="宋体" w:hAnsi="宋体"/>
                <w:bCs/>
                <w:color w:val="auto"/>
                <w:szCs w:val="21"/>
                <w:highlight w:val="none"/>
              </w:rPr>
              <w:t>3、</w:t>
            </w:r>
            <w:r>
              <w:rPr>
                <w:rFonts w:hint="eastAsia" w:ascii="宋体" w:hAnsi="宋体" w:cs="宋体"/>
                <w:bCs/>
                <w:color w:val="auto"/>
                <w:szCs w:val="21"/>
                <w:highlight w:val="none"/>
              </w:rPr>
              <w:t>乘客门应装有防夹缓冲装置，配门锁装置。</w:t>
            </w:r>
          </w:p>
          <w:p w14:paraId="6428B5F5">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bCs/>
                <w:color w:val="auto"/>
                <w:szCs w:val="21"/>
                <w:highlight w:val="none"/>
              </w:rPr>
            </w:pPr>
            <w:r>
              <w:rPr>
                <w:rFonts w:hint="eastAsia" w:ascii="宋体" w:hAnsi="宋体"/>
                <w:bCs/>
                <w:color w:val="auto"/>
                <w:szCs w:val="21"/>
                <w:highlight w:val="none"/>
              </w:rPr>
              <w:t>4、门泵驱动系统采用电控气动方式，采用进口电磁阀和继电器。在驾驶区适当位置设置乘客门应急打开气动控制阀开关。前后乘客门应急开关设置位置合理，离地板高度1800mm左右。</w:t>
            </w:r>
          </w:p>
          <w:p w14:paraId="0045BB9E">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Cs w:val="21"/>
                <w:highlight w:val="none"/>
                <w:lang w:eastAsia="zh-CN"/>
              </w:rPr>
            </w:pPr>
            <w:r>
              <w:rPr>
                <w:rFonts w:hint="eastAsia" w:ascii="宋体" w:hAnsi="宋体"/>
                <w:bCs/>
                <w:color w:val="auto"/>
                <w:szCs w:val="21"/>
                <w:highlight w:val="none"/>
              </w:rPr>
              <w:t>5、侧窗采用粘贴式内藏推拉窗，推拉窗部分尽量大。侧窗下缘距地板高度小于680mm时应采取安全措施。左侧第一扇窗玻璃为白玻璃，前半扇可移动，后半扇固定。右侧安装路牌处对应部分玻璃为透明。左右侧窗各安装一扇内置推拉式紧急出口推窗，便于紧急情况下乘客逃生，并具有开启声响报警提醒功能。</w:t>
            </w:r>
            <w:r>
              <w:rPr>
                <w:rFonts w:hint="eastAsia" w:ascii="宋体" w:hAnsi="宋体" w:cs="宋体"/>
                <w:bCs/>
                <w:color w:val="auto"/>
                <w:szCs w:val="21"/>
                <w:highlight w:val="none"/>
              </w:rPr>
              <w:t>侧窗玻璃采用纳米隔热，透光率51%，厚度5mm及以上。前后乘客门玻璃采用白玻璃。整车安装新能源无火药一拖四手自一体破窗器，带翻盖报警功能，质保8年。</w:t>
            </w:r>
            <w:r>
              <w:rPr>
                <w:rFonts w:hint="eastAsia" w:ascii="宋体" w:hAnsi="宋体"/>
                <w:bCs/>
                <w:color w:val="auto"/>
                <w:szCs w:val="21"/>
                <w:highlight w:val="none"/>
              </w:rPr>
              <w:t>配报警式护手安全锤（6把及以上，其中司机上方1把）</w:t>
            </w:r>
            <w:r>
              <w:rPr>
                <w:rFonts w:hint="eastAsia" w:ascii="宋体" w:hAnsi="宋体"/>
                <w:bCs/>
                <w:color w:val="auto"/>
                <w:szCs w:val="21"/>
                <w:highlight w:val="none"/>
                <w:lang w:eastAsia="zh-CN"/>
              </w:rPr>
              <w:t>。</w:t>
            </w:r>
          </w:p>
          <w:p w14:paraId="28055848">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bCs/>
                <w:color w:val="auto"/>
                <w:szCs w:val="21"/>
                <w:highlight w:val="none"/>
              </w:rPr>
            </w:pPr>
            <w:r>
              <w:rPr>
                <w:rFonts w:hint="eastAsia" w:ascii="宋体" w:hAnsi="宋体"/>
                <w:bCs/>
                <w:color w:val="auto"/>
                <w:szCs w:val="21"/>
                <w:highlight w:val="none"/>
              </w:rPr>
              <w:t>6、前挡风玻璃采用全景整体夹胶安全玻璃，并配有除雾装置。后挡风玻璃采用整体式钢化安全玻璃。风窗玻璃涂黑部分尺寸必须满足后视镜视角和电子路牌显示要求。</w:t>
            </w:r>
          </w:p>
          <w:p w14:paraId="7B0E2655">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bCs/>
                <w:color w:val="auto"/>
                <w:szCs w:val="21"/>
                <w:highlight w:val="none"/>
              </w:rPr>
            </w:pPr>
            <w:r>
              <w:rPr>
                <w:rFonts w:hint="eastAsia" w:ascii="宋体" w:hAnsi="宋体"/>
                <w:bCs/>
                <w:color w:val="auto"/>
                <w:szCs w:val="21"/>
                <w:highlight w:val="none"/>
              </w:rPr>
              <w:t>7、驾驶座前方、左方安装下拉式活动遮阳帘，前方遮阳帘尽量往左靠。全车安装窗帘轨道。</w:t>
            </w:r>
          </w:p>
          <w:p w14:paraId="27A72107">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bCs/>
                <w:color w:val="auto"/>
                <w:szCs w:val="21"/>
                <w:highlight w:val="none"/>
              </w:rPr>
            </w:pPr>
            <w:r>
              <w:rPr>
                <w:rFonts w:hint="eastAsia" w:ascii="宋体" w:hAnsi="宋体"/>
                <w:bCs/>
                <w:color w:val="auto"/>
                <w:szCs w:val="21"/>
                <w:highlight w:val="none"/>
              </w:rPr>
              <w:t>8、前乘客门与右前第一排座位之间、后乘客门与（高地板区）右后第一排座位之间，必须安装挡板，防止乘客轧伤。</w:t>
            </w:r>
          </w:p>
          <w:p w14:paraId="6BEE9A8C">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bCs/>
                <w:color w:val="auto"/>
                <w:szCs w:val="21"/>
                <w:highlight w:val="none"/>
              </w:rPr>
            </w:pPr>
            <w:r>
              <w:rPr>
                <w:rFonts w:hint="eastAsia" w:ascii="宋体" w:hAnsi="宋体"/>
                <w:bCs/>
                <w:color w:val="auto"/>
                <w:szCs w:val="21"/>
                <w:highlight w:val="none"/>
              </w:rPr>
              <w:t>9、安装1只带有换气功能的安全天窗，符合国家标准，天窗设计合理，开关轻便，顶盖部分钢板设计制作，不老化不锈蚀不漏雨，大功率多面进排风结构，强排风、低噪音，采用国内主要品牌。</w:t>
            </w:r>
          </w:p>
          <w:p w14:paraId="618AA0DE">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p>
        </w:tc>
      </w:tr>
      <w:tr w14:paraId="4BF0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51339C2">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座椅附手杆</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7C16105A">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全车配（相当于</w:t>
            </w:r>
            <w:r>
              <w:rPr>
                <w:rFonts w:hint="eastAsia" w:ascii="宋体" w:hAnsi="宋体" w:cs="宋体"/>
                <w:bCs/>
                <w:color w:val="auto"/>
                <w:szCs w:val="21"/>
                <w:highlight w:val="none"/>
                <w:lang w:val="en-US" w:eastAsia="zh-CN"/>
              </w:rPr>
              <w:t>18</w:t>
            </w:r>
            <w:r>
              <w:rPr>
                <w:rFonts w:ascii="宋体" w:hAnsi="宋体" w:cs="宋体"/>
                <w:bCs/>
                <w:color w:val="auto"/>
                <w:szCs w:val="21"/>
                <w:highlight w:val="none"/>
              </w:rPr>
              <w:t>+1）</w:t>
            </w:r>
            <w:r>
              <w:rPr>
                <w:rFonts w:hint="eastAsia" w:ascii="宋体" w:hAnsi="宋体" w:cs="宋体"/>
                <w:bCs/>
                <w:color w:val="auto"/>
                <w:szCs w:val="21"/>
                <w:highlight w:val="none"/>
              </w:rPr>
              <w:t>公交乘客座椅，</w:t>
            </w:r>
            <w:r>
              <w:rPr>
                <w:rFonts w:ascii="宋体" w:hAnsi="宋体" w:cs="宋体"/>
                <w:bCs/>
                <w:color w:val="auto"/>
                <w:szCs w:val="21"/>
                <w:highlight w:val="none"/>
              </w:rPr>
              <w:t>座椅布置及数量在公告允许范围内由招标人确定。</w:t>
            </w:r>
            <w:r>
              <w:rPr>
                <w:rFonts w:hint="eastAsia" w:ascii="宋体" w:hAnsi="宋体" w:cs="宋体"/>
                <w:bCs/>
                <w:color w:val="auto"/>
                <w:szCs w:val="21"/>
                <w:highlight w:val="none"/>
              </w:rPr>
              <w:t>座椅布置及“爱心座椅”由招标人选定（投标人提供布置图），“爱心座椅”每车不少于5个，颜色为黄色需要由铝牌标识。</w:t>
            </w:r>
          </w:p>
          <w:p w14:paraId="74273A43">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2、司机座椅采用气囊减震式真皮驾驶椅，配三点式安全带（高度可调），增加安全带未系提醒。</w:t>
            </w:r>
          </w:p>
          <w:p w14:paraId="5DECF218">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3、驾驶区防护隔离设施必须符合JT/T 1241-2019标准要求，护围门玻璃材料应使用符合GB 9656中的钢化玻璃的相关规定，厚度应不小于5mm。应避免驾驶员受阳光眩光和车内灯光的影响，护围门上部玻璃的可见光透射比应不小于95%，可见光反射比应不大于1.5%。在合适位置张贴警示标志：“影响公交车驾驶员安全驾驶，涉嫌违法犯罪”和图片解说。</w:t>
            </w:r>
          </w:p>
          <w:p w14:paraId="22FA639F">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4、车窗需安装护栏的，护栏高度符合GB7258规定逃生出口尺寸。</w:t>
            </w:r>
          </w:p>
          <w:p w14:paraId="62504467">
            <w:pPr>
              <w:keepNext w:val="0"/>
              <w:keepLines w:val="0"/>
              <w:pageBreakBefore w:val="0"/>
              <w:widowControl w:val="0"/>
              <w:kinsoku/>
              <w:wordWrap/>
              <w:overflowPunct/>
              <w:topLinePunct w:val="0"/>
              <w:autoSpaceDE/>
              <w:autoSpaceDN/>
              <w:bidi w:val="0"/>
              <w:adjustRightInd/>
              <w:spacing w:line="540" w:lineRule="exact"/>
              <w:textAlignment w:val="auto"/>
              <w:rPr>
                <w:color w:val="auto"/>
                <w:highlight w:val="none"/>
              </w:rPr>
            </w:pPr>
            <w:r>
              <w:rPr>
                <w:rFonts w:hint="eastAsia" w:ascii="宋体" w:hAnsi="宋体" w:cs="宋体"/>
                <w:bCs/>
                <w:color w:val="auto"/>
                <w:szCs w:val="21"/>
                <w:highlight w:val="none"/>
              </w:rPr>
              <w:t>5、</w:t>
            </w:r>
            <w:r>
              <w:rPr>
                <w:color w:val="auto"/>
                <w:highlight w:val="none"/>
              </w:rPr>
              <w:t>手扶杆采用</w:t>
            </w:r>
            <w:r>
              <w:rPr>
                <w:rFonts w:hint="eastAsia"/>
                <w:color w:val="auto"/>
                <w:highlight w:val="none"/>
                <w:lang w:val="en-US" w:eastAsia="zh-CN"/>
              </w:rPr>
              <w:t>内置</w:t>
            </w:r>
            <w:r>
              <w:rPr>
                <w:rFonts w:hint="eastAsia"/>
                <w:strike w:val="0"/>
                <w:dstrike w:val="0"/>
                <w:color w:val="auto"/>
                <w:highlight w:val="none"/>
                <w:lang w:val="en-US" w:eastAsia="zh-CN"/>
              </w:rPr>
              <w:t>24V</w:t>
            </w:r>
            <w:r>
              <w:rPr>
                <w:rFonts w:hint="eastAsia"/>
                <w:color w:val="auto"/>
                <w:highlight w:val="none"/>
                <w:lang w:val="en-US" w:eastAsia="zh-CN"/>
              </w:rPr>
              <w:t>不锈钢</w:t>
            </w:r>
            <w:r>
              <w:rPr>
                <w:color w:val="auto"/>
                <w:highlight w:val="none"/>
              </w:rPr>
              <w:t>公交扶手</w:t>
            </w:r>
            <w:r>
              <w:rPr>
                <w:rFonts w:hint="eastAsia"/>
                <w:color w:val="auto"/>
                <w:highlight w:val="none"/>
                <w:lang w:val="en-US" w:eastAsia="zh-CN"/>
              </w:rPr>
              <w:t>杆</w:t>
            </w:r>
            <w:r>
              <w:rPr>
                <w:color w:val="auto"/>
                <w:highlight w:val="none"/>
              </w:rPr>
              <w:t>，带防寒套，</w:t>
            </w:r>
            <w:r>
              <w:rPr>
                <w:rFonts w:hint="eastAsia"/>
                <w:color w:val="auto"/>
                <w:highlight w:val="none"/>
                <w:lang w:val="en-US" w:eastAsia="zh-CN"/>
              </w:rPr>
              <w:t>前门第一根显示为“宁海公交欢迎您”，中门旁一根显示为“下车请按铃”，车厢中间区域选择一根显示“坐稳扶牢”，</w:t>
            </w:r>
            <w:r>
              <w:rPr>
                <w:color w:val="auto"/>
                <w:highlight w:val="none"/>
              </w:rPr>
              <w:t>采用</w:t>
            </w:r>
            <w:r>
              <w:rPr>
                <w:rFonts w:hint="eastAsia"/>
                <w:color w:val="auto"/>
                <w:highlight w:val="none"/>
                <w:lang w:val="en-US" w:eastAsia="zh-CN"/>
              </w:rPr>
              <w:t>不锈钢</w:t>
            </w:r>
            <w:r>
              <w:rPr>
                <w:color w:val="auto"/>
                <w:highlight w:val="none"/>
              </w:rPr>
              <w:t>拉环，扶手颜色按招标人在用车型一样、包括乘客门安全扶手。侧窗扶手安装要有利于应急逃生。手扶立柱配下车提示开关</w:t>
            </w:r>
            <w:r>
              <w:rPr>
                <w:rFonts w:hint="eastAsia"/>
                <w:color w:val="auto"/>
                <w:highlight w:val="none"/>
                <w:lang w:eastAsia="zh-CN"/>
              </w:rPr>
              <w:t>（</w:t>
            </w:r>
            <w:r>
              <w:rPr>
                <w:rFonts w:hint="eastAsia"/>
                <w:color w:val="auto"/>
                <w:highlight w:val="none"/>
                <w:lang w:val="en-US" w:eastAsia="zh-CN"/>
              </w:rPr>
              <w:t>全车不少于6个提示开关</w:t>
            </w:r>
            <w:r>
              <w:rPr>
                <w:rFonts w:hint="eastAsia"/>
                <w:color w:val="auto"/>
                <w:highlight w:val="none"/>
                <w:lang w:eastAsia="zh-CN"/>
              </w:rPr>
              <w:t>）</w:t>
            </w:r>
            <w:r>
              <w:rPr>
                <w:color w:val="auto"/>
                <w:highlight w:val="none"/>
              </w:rPr>
              <w:t>。在上客门处直扶手上配装 1.3 米的儿童票价标志牌 1 块。扶手各连接部位的螺栓加保护螺套。整车采用直扶手设计形式，直扶手与直扶手采用错距安装，最大限度地确保车厢内部通道宽度。</w:t>
            </w:r>
          </w:p>
        </w:tc>
      </w:tr>
      <w:tr w14:paraId="64E3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451AE647">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后视镜</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1CE86EDC">
            <w:pPr>
              <w:keepNext w:val="0"/>
              <w:keepLines w:val="0"/>
              <w:pageBreakBefore w:val="0"/>
              <w:widowControl w:val="0"/>
              <w:numPr>
                <w:ilvl w:val="0"/>
                <w:numId w:val="4"/>
              </w:numPr>
              <w:kinsoku/>
              <w:wordWrap/>
              <w:overflowPunct/>
              <w:topLinePunct w:val="0"/>
              <w:autoSpaceDE/>
              <w:autoSpaceDN/>
              <w:bidi w:val="0"/>
              <w:adjustRightInd/>
              <w:spacing w:line="540" w:lineRule="exac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车辆外侧安装手动铁支架式大视野后视镜，支撑牢固，视野清晰。后视镜视野范围应符合GB7258规定。</w:t>
            </w:r>
          </w:p>
          <w:p w14:paraId="0E7CFD0E">
            <w:pPr>
              <w:keepNext w:val="0"/>
              <w:keepLines w:val="0"/>
              <w:pageBreakBefore w:val="0"/>
              <w:widowControl w:val="0"/>
              <w:numPr>
                <w:ilvl w:val="0"/>
                <w:numId w:val="4"/>
              </w:numPr>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
                <w:color w:val="auto"/>
                <w:szCs w:val="21"/>
                <w:highlight w:val="none"/>
              </w:rPr>
              <w:t>车外监视系统：</w:t>
            </w:r>
            <w:r>
              <w:rPr>
                <w:rFonts w:hint="eastAsia" w:ascii="宋体" w:hAnsi="宋体" w:cs="黑体"/>
                <w:bCs/>
                <w:color w:val="auto"/>
                <w:szCs w:val="21"/>
                <w:highlight w:val="none"/>
              </w:rPr>
              <w:t>前风挡玻璃两侧A柱上安装车外监视系统，带夜视、亮度可调功能，对车外身两侧路面情况进行实时监测，优先采用嵌入式屏幕安装模式</w:t>
            </w:r>
            <w:r>
              <w:rPr>
                <w:rFonts w:ascii="宋体" w:hAnsi="宋体" w:cs="黑体"/>
                <w:bCs/>
                <w:color w:val="auto"/>
                <w:szCs w:val="21"/>
                <w:highlight w:val="none"/>
              </w:rPr>
              <w:t>，</w:t>
            </w:r>
            <w:r>
              <w:rPr>
                <w:rFonts w:hint="eastAsia" w:ascii="宋体" w:hAnsi="宋体" w:cs="黑体"/>
                <w:bCs/>
                <w:color w:val="auto"/>
                <w:szCs w:val="21"/>
                <w:highlight w:val="none"/>
              </w:rPr>
              <w:t>减少驾驶员视线遮挡。</w:t>
            </w:r>
          </w:p>
          <w:p w14:paraId="32A34F40">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黑体"/>
                <w:bCs/>
                <w:color w:val="auto"/>
                <w:szCs w:val="21"/>
                <w:highlight w:val="none"/>
              </w:rPr>
              <w:t>主机主芯片采用车规级SOC处理器；内存不低于2GB DDR3+8GB EMMC；不少于1路TF卡，具备RS485接口、CAN接口</w:t>
            </w:r>
            <w:r>
              <w:rPr>
                <w:rFonts w:ascii="宋体" w:hAnsi="宋体" w:cs="黑体"/>
                <w:bCs/>
                <w:color w:val="auto"/>
                <w:szCs w:val="21"/>
                <w:highlight w:val="none"/>
              </w:rPr>
              <w:t>。2</w:t>
            </w:r>
            <w:r>
              <w:rPr>
                <w:rFonts w:hint="eastAsia" w:ascii="宋体" w:hAnsi="宋体" w:cs="黑体"/>
                <w:bCs/>
                <w:color w:val="auto"/>
                <w:szCs w:val="21"/>
                <w:highlight w:val="none"/>
              </w:rPr>
              <w:t>.</w:t>
            </w:r>
            <w:r>
              <w:rPr>
                <w:rFonts w:ascii="宋体" w:hAnsi="宋体" w:cs="黑体"/>
                <w:bCs/>
                <w:color w:val="auto"/>
                <w:szCs w:val="21"/>
                <w:highlight w:val="none"/>
              </w:rPr>
              <w:t>3</w:t>
            </w:r>
            <w:r>
              <w:rPr>
                <w:rFonts w:hint="eastAsia" w:ascii="宋体" w:hAnsi="宋体" w:cs="黑体"/>
                <w:bCs/>
                <w:color w:val="auto"/>
                <w:szCs w:val="21"/>
                <w:highlight w:val="none"/>
              </w:rPr>
              <w:t>采用12.3寸TFT-LCD车规级高清屏，可视角度不小于160度，分辨率不低于1920×720；防眩光，单侧显示屏支持2路或4路高清图像输入，支持大盲区、小盲区，倒车等显示；采用高清摄像头，达到显光级成像模组，确保成像清晰</w:t>
            </w:r>
            <w:r>
              <w:rPr>
                <w:rFonts w:ascii="宋体" w:hAnsi="宋体" w:cs="黑体"/>
                <w:bCs/>
                <w:color w:val="auto"/>
                <w:szCs w:val="21"/>
                <w:highlight w:val="none"/>
              </w:rPr>
              <w:t>；常规显示模式下，后方视角置于屏幕下侧（大屏），下方视角置于屏幕上侧（小屏）；</w:t>
            </w:r>
            <w:r>
              <w:rPr>
                <w:rFonts w:hint="eastAsia" w:ascii="宋体" w:hAnsi="宋体" w:cs="黑体"/>
                <w:bCs/>
                <w:color w:val="auto"/>
                <w:szCs w:val="21"/>
                <w:highlight w:val="none"/>
              </w:rPr>
              <w:t>车外监视系统</w:t>
            </w:r>
            <w:r>
              <w:rPr>
                <w:rFonts w:ascii="宋体" w:hAnsi="宋体" w:cs="黑体"/>
                <w:bCs/>
                <w:color w:val="auto"/>
                <w:szCs w:val="21"/>
                <w:highlight w:val="none"/>
              </w:rPr>
              <w:t>2</w:t>
            </w:r>
            <w:r>
              <w:rPr>
                <w:rFonts w:hint="eastAsia" w:ascii="宋体" w:hAnsi="宋体" w:cs="黑体"/>
                <w:bCs/>
                <w:color w:val="auto"/>
                <w:szCs w:val="21"/>
                <w:highlight w:val="none"/>
              </w:rPr>
              <w:t>路图像需接入车载视频监控系统，</w:t>
            </w:r>
          </w:p>
          <w:p w14:paraId="0F6E179B">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、车厢内前挡风中部安装车内后视镜，可调节。</w:t>
            </w:r>
          </w:p>
          <w:p w14:paraId="398444DF">
            <w:pPr>
              <w:pStyle w:val="44"/>
              <w:keepNext w:val="0"/>
              <w:keepLines w:val="0"/>
              <w:pageBreakBefore w:val="0"/>
              <w:widowControl w:val="0"/>
              <w:kinsoku/>
              <w:wordWrap/>
              <w:overflowPunct/>
              <w:topLinePunct w:val="0"/>
              <w:autoSpaceDE/>
              <w:autoSpaceDN/>
              <w:bidi w:val="0"/>
              <w:adjustRightInd/>
              <w:spacing w:line="540" w:lineRule="exact"/>
              <w:ind w:left="0" w:leftChars="0" w:firstLine="0" w:firstLineChars="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、安装电子后视镜。软件功能必须具备以下功能：1）、屏幕支持显示2路以上摄像头画面，支持2路以上视频输入；2）支持CAN通讯电平检测等功能；3）支持SD卡存储，容量256G以上；</w:t>
            </w:r>
          </w:p>
        </w:tc>
      </w:tr>
      <w:tr w14:paraId="6F8E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218F4B81">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空调</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2DA841EA">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1、智能变频冷暖空调，带电加热，优质铜管路芯体，变频压缩机，符合 GB/T21361-2008《汽车用空调器》及相关标准</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制冷量≥</w:t>
            </w:r>
            <w:r>
              <w:rPr>
                <w:rFonts w:hint="eastAsia" w:ascii="宋体" w:hAnsi="宋体" w:cs="宋体"/>
                <w:bCs/>
                <w:color w:val="auto"/>
                <w:szCs w:val="21"/>
                <w:highlight w:val="none"/>
                <w:lang w:val="en-US" w:eastAsia="zh-CN"/>
              </w:rPr>
              <w:t>14</w:t>
            </w:r>
            <w:r>
              <w:rPr>
                <w:rFonts w:hint="eastAsia" w:ascii="宋体" w:hAnsi="宋体" w:cs="宋体"/>
                <w:bCs/>
                <w:color w:val="auto"/>
                <w:szCs w:val="21"/>
                <w:highlight w:val="none"/>
              </w:rPr>
              <w:t>000</w:t>
            </w:r>
            <w:r>
              <w:rPr>
                <w:rFonts w:hint="eastAsia" w:ascii="宋体" w:hAnsi="宋体" w:cs="宋体"/>
                <w:bCs/>
                <w:color w:val="auto"/>
                <w:szCs w:val="21"/>
                <w:highlight w:val="none"/>
                <w:lang w:val="en-US" w:eastAsia="zh-CN"/>
              </w:rPr>
              <w:t>KCAL/H</w:t>
            </w:r>
            <w:r>
              <w:rPr>
                <w:rFonts w:hint="eastAsia" w:ascii="宋体" w:hAnsi="宋体" w:cs="宋体"/>
                <w:bCs/>
                <w:color w:val="auto"/>
                <w:szCs w:val="21"/>
                <w:highlight w:val="none"/>
              </w:rPr>
              <w:t>，制</w:t>
            </w:r>
            <w:r>
              <w:rPr>
                <w:rFonts w:hint="eastAsia" w:ascii="宋体" w:hAnsi="宋体" w:cs="宋体"/>
                <w:bCs/>
                <w:color w:val="auto"/>
                <w:szCs w:val="21"/>
                <w:highlight w:val="none"/>
                <w:lang w:val="en-US" w:eastAsia="zh-CN"/>
              </w:rPr>
              <w:t>热</w:t>
            </w:r>
            <w:r>
              <w:rPr>
                <w:rFonts w:hint="eastAsia" w:ascii="宋体" w:hAnsi="宋体" w:cs="宋体"/>
                <w:bCs/>
                <w:color w:val="auto"/>
                <w:szCs w:val="21"/>
                <w:highlight w:val="none"/>
              </w:rPr>
              <w:t>量≥</w:t>
            </w: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rPr>
              <w:t>000</w:t>
            </w:r>
            <w:r>
              <w:rPr>
                <w:rFonts w:hint="eastAsia" w:ascii="宋体" w:hAnsi="宋体" w:cs="宋体"/>
                <w:bCs/>
                <w:color w:val="auto"/>
                <w:szCs w:val="21"/>
                <w:highlight w:val="none"/>
                <w:lang w:val="en-US" w:eastAsia="zh-CN"/>
              </w:rPr>
              <w:t>KCAL/H，带PTC、新风功能，</w:t>
            </w:r>
            <w:r>
              <w:rPr>
                <w:rFonts w:hint="eastAsia" w:ascii="宋体" w:hAnsi="宋体" w:cs="宋体"/>
                <w:bCs/>
                <w:color w:val="auto"/>
                <w:szCs w:val="21"/>
                <w:highlight w:val="none"/>
              </w:rPr>
              <w:t>符合实际使用需求。空调机组安装牢固可靠，整机性能稳定；前、后车厢及驾驶区域温度均匀一致。空调蒸发器出风口处的顶盖蒙皮设有防水止口，排水管布置合理，防止冷凝水进入车内。</w:t>
            </w:r>
          </w:p>
          <w:p w14:paraId="4BC47474">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2、空调系统接入CAN总线，实现云数据处理，可对车辆空调是否开启，温度值进行后台判断。</w:t>
            </w:r>
          </w:p>
          <w:p w14:paraId="5BCB1AD9">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在驾驶员位置必须加大出风量，要求单独铺设导风管至驾驶员位置并加装出风口，驾驶区域安装三个可调式出风口正对驾驶员,防止前热后冷现象。</w:t>
            </w:r>
          </w:p>
          <w:p w14:paraId="4E6F440E">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cs="宋体"/>
                <w:bCs/>
                <w:color w:val="auto"/>
                <w:szCs w:val="21"/>
                <w:highlight w:val="none"/>
              </w:rPr>
              <w:t>由于宁波地区冬日严寒,车辆在短时间内热量提升较慢,要求配置独立电采暖，司机独立电采暖1个。质保8年。</w:t>
            </w:r>
          </w:p>
          <w:p w14:paraId="4D4582C4">
            <w:pPr>
              <w:keepNext w:val="0"/>
              <w:keepLines w:val="0"/>
              <w:pageBreakBefore w:val="0"/>
              <w:widowControl w:val="0"/>
              <w:kinsoku/>
              <w:wordWrap/>
              <w:overflowPunct/>
              <w:topLinePunct w:val="0"/>
              <w:autoSpaceDE/>
              <w:autoSpaceDN/>
              <w:bidi w:val="0"/>
              <w:adjustRightInd/>
              <w:spacing w:line="540" w:lineRule="exact"/>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、前挡风高压电除霜系统。</w:t>
            </w:r>
            <w:r>
              <w:rPr>
                <w:rFonts w:hint="eastAsia" w:ascii="宋体" w:hAnsi="宋体" w:cs="宋体"/>
                <w:bCs/>
                <w:color w:val="auto"/>
                <w:szCs w:val="21"/>
                <w:highlight w:val="none"/>
                <w:lang w:val="en-US" w:eastAsia="zh-CN"/>
              </w:rPr>
              <w:t xml:space="preserve">  </w:t>
            </w:r>
          </w:p>
        </w:tc>
      </w:tr>
      <w:tr w14:paraId="404A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4511BE3">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服务系统</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32EB2369">
            <w:pPr>
              <w:keepNext w:val="0"/>
              <w:keepLines w:val="0"/>
              <w:pageBreakBefore w:val="0"/>
              <w:widowControl w:val="0"/>
              <w:kinsoku/>
              <w:wordWrap/>
              <w:overflowPunct/>
              <w:topLinePunct w:val="0"/>
              <w:autoSpaceDE/>
              <w:autoSpaceDN/>
              <w:bidi w:val="0"/>
              <w:adjustRightInd/>
              <w:snapToGrid w:val="0"/>
              <w:spacing w:line="540" w:lineRule="exact"/>
              <w:textAlignment w:val="auto"/>
              <w:outlineLvl w:val="0"/>
              <w:rPr>
                <w:rFonts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选用</w:t>
            </w:r>
            <w:r>
              <w:rPr>
                <w:rFonts w:hint="eastAsia" w:ascii="宋体" w:hAnsi="宋体" w:cs="宋体"/>
                <w:bCs/>
                <w:color w:val="auto"/>
                <w:szCs w:val="21"/>
                <w:highlight w:val="none"/>
                <w:lang w:val="en-US" w:eastAsia="zh-CN"/>
              </w:rPr>
              <w:t>安徽中科中涣信息技术有限公司FC10系列智能终端</w:t>
            </w:r>
            <w:r>
              <w:rPr>
                <w:rFonts w:hint="eastAsia" w:ascii="宋体" w:hAnsi="宋体" w:cs="宋体"/>
                <w:bCs/>
                <w:color w:val="auto"/>
                <w:szCs w:val="21"/>
                <w:highlight w:val="none"/>
              </w:rPr>
              <w:t>（带客流分析、主动安全、驾驶行为分析功能），要确保一个通道只安装一个摄像头，</w:t>
            </w:r>
            <w:r>
              <w:rPr>
                <w:rFonts w:ascii="宋体" w:hAnsi="宋体" w:cs="宋体"/>
                <w:bCs/>
                <w:color w:val="auto"/>
                <w:szCs w:val="21"/>
                <w:highlight w:val="none"/>
              </w:rPr>
              <w:t>安装位置合理、防水，</w:t>
            </w:r>
            <w:r>
              <w:rPr>
                <w:rFonts w:hint="eastAsia" w:ascii="宋体" w:hAnsi="宋体" w:cs="宋体"/>
                <w:bCs/>
                <w:color w:val="auto"/>
                <w:szCs w:val="21"/>
                <w:highlight w:val="none"/>
              </w:rPr>
              <w:t>支持</w:t>
            </w:r>
            <w:r>
              <w:rPr>
                <w:rFonts w:ascii="宋体" w:hAnsi="宋体" w:cs="宋体"/>
                <w:bCs/>
                <w:color w:val="auto"/>
                <w:szCs w:val="21"/>
                <w:highlight w:val="none"/>
              </w:rPr>
              <w:t>CAN</w:t>
            </w:r>
            <w:r>
              <w:rPr>
                <w:rFonts w:hint="eastAsia" w:ascii="宋体" w:hAnsi="宋体" w:cs="宋体"/>
                <w:bCs/>
                <w:color w:val="auto"/>
                <w:szCs w:val="21"/>
                <w:highlight w:val="none"/>
              </w:rPr>
              <w:t>总线数据传输。</w:t>
            </w:r>
          </w:p>
          <w:p w14:paraId="5F8ACA03">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2、仪表台、工具箱、由客车厂提供布置图，招标人确认。</w:t>
            </w:r>
          </w:p>
          <w:p w14:paraId="2ECED4BB">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3、采用</w:t>
            </w:r>
            <w:r>
              <w:rPr>
                <w:rFonts w:hint="eastAsia" w:ascii="宋体" w:hAnsi="宋体" w:cs="宋体"/>
                <w:bCs/>
                <w:color w:val="auto"/>
                <w:szCs w:val="21"/>
                <w:highlight w:val="none"/>
                <w:lang w:val="en-US" w:eastAsia="zh-CN"/>
              </w:rPr>
              <w:t>24</w:t>
            </w:r>
            <w:r>
              <w:rPr>
                <w:rFonts w:hint="eastAsia" w:ascii="宋体" w:hAnsi="宋体" w:cs="宋体"/>
                <w:bCs/>
                <w:color w:val="auto"/>
                <w:szCs w:val="21"/>
                <w:highlight w:val="none"/>
              </w:rPr>
              <w:t>矩阵电子路牌，前电子路牌要求11字显示，具体按中标车型尺寸确定；车厢内安装9字显示滚动屏附电子钟，前门后侧玻璃1/3处安装6字滚动型线路电子腰牌,</w:t>
            </w:r>
            <w:r>
              <w:rPr>
                <w:rFonts w:ascii="宋体" w:hAnsi="宋体" w:cs="宋体"/>
                <w:bCs/>
                <w:color w:val="auto"/>
                <w:szCs w:val="21"/>
                <w:highlight w:val="none"/>
              </w:rPr>
              <w:t>具体按中标车型尺寸确定；后路牌6字显示，</w:t>
            </w:r>
            <w:r>
              <w:rPr>
                <w:rFonts w:hint="eastAsia" w:ascii="宋体" w:hAnsi="宋体" w:cs="宋体"/>
                <w:bCs/>
                <w:color w:val="auto"/>
                <w:szCs w:val="21"/>
                <w:highlight w:val="none"/>
              </w:rPr>
              <w:t>车辆转向和制动时在后电子路牌显示“刹车，左转弯或右转弯”等信息。</w:t>
            </w:r>
          </w:p>
          <w:p w14:paraId="4F3EF5E1">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4、安装3</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寸LCD车内乘客导乘屏，安装位置要牢固可靠，通讯接口与协议必须与宁海公交现有的智能调度监控系统兼容，具体通讯协议按招标人技术标准对接。</w:t>
            </w:r>
          </w:p>
          <w:p w14:paraId="1A00A073">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5、采用无人售票设计，安装含计数功能的投币机一个</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三个银袋</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国内优秀品牌，投币机翻板开关与前门联动，并单独设置投币箱翻板开关按钮。旁设POS机杆，前门安装宁波市民卡刷卡机具设备，为方便今后采用分段计费需求，在下客门合适位置预留安装刷卡设备支架，预铺设跟前门刷卡设备相连接的的电源线（电源线向市民卡公司采购），预铺设人脸识别设备电源线，电源直接从蓄电池引出。</w:t>
            </w:r>
          </w:p>
          <w:p w14:paraId="5B384FA0">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6、预留移动电视（车厢前部）和车内后滚动屏电源线。</w:t>
            </w:r>
          </w:p>
          <w:p w14:paraId="3B053A4E">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7、车厢内均匀布置扬声器，报站器与电视喇叭合理分配，报站时自动降低电视音量。</w:t>
            </w:r>
          </w:p>
          <w:p w14:paraId="2265FE8F">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8、前门扶手杆设立儿童身高限位标尺，标高1.3米。</w:t>
            </w:r>
          </w:p>
          <w:p w14:paraId="610B04C3">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9、智能公交监控系统设置独立电器箱安装位置，预留电源接口。</w:t>
            </w:r>
          </w:p>
          <w:p w14:paraId="3898DCC1">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10、预留车载无线WIFA线束（驾驶台附近隐蔽位置）。</w:t>
            </w:r>
          </w:p>
          <w:p w14:paraId="79864516">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11、驾驶员旁安装电风扇。</w:t>
            </w:r>
          </w:p>
          <w:p w14:paraId="3146304E">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、车内服务标识，车厂按招标人要求制作并按照指定位置安装。</w:t>
            </w:r>
          </w:p>
          <w:p w14:paraId="763D3806">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、标配智能转弯提醒器，音量大小可根据不同时段自动调节，各项技术符合国标，配低速提醒装置。</w:t>
            </w:r>
          </w:p>
          <w:p w14:paraId="358F1120">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、车厢两侧安装USB充电插口</w:t>
            </w:r>
          </w:p>
        </w:tc>
      </w:tr>
      <w:tr w14:paraId="1542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0DBFE603">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其他</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0ACDA498">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1、车厢配内</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只4KG干粉灭火器</w:t>
            </w:r>
            <w:r>
              <w:rPr>
                <w:rFonts w:hint="eastAsia" w:ascii="宋体" w:hAnsi="宋体" w:cs="宋体"/>
                <w:bCs/>
                <w:color w:val="auto"/>
                <w:szCs w:val="21"/>
                <w:highlight w:val="none"/>
                <w:lang w:eastAsia="zh-CN"/>
              </w:rPr>
              <w:t>，</w:t>
            </w:r>
            <w:r>
              <w:rPr>
                <w:rFonts w:hint="eastAsia" w:ascii="宋体" w:hAnsi="宋体"/>
                <w:bCs/>
                <w:color w:val="auto"/>
                <w:szCs w:val="21"/>
                <w:highlight w:val="none"/>
              </w:rPr>
              <w:t>4只为手掷式灭火瓶</w:t>
            </w:r>
            <w:r>
              <w:rPr>
                <w:rFonts w:hint="eastAsia" w:ascii="宋体" w:hAnsi="宋体"/>
                <w:bCs/>
                <w:color w:val="auto"/>
                <w:szCs w:val="21"/>
                <w:highlight w:val="none"/>
                <w:lang w:eastAsia="zh-CN"/>
              </w:rPr>
              <w:t>（</w:t>
            </w:r>
            <w:r>
              <w:rPr>
                <w:rFonts w:hint="eastAsia" w:ascii="宋体" w:hAnsi="宋体"/>
                <w:bCs/>
                <w:color w:val="auto"/>
                <w:szCs w:val="21"/>
                <w:highlight w:val="none"/>
              </w:rPr>
              <w:t>安装在驾驶员工作区域</w:t>
            </w:r>
            <w:r>
              <w:rPr>
                <w:rFonts w:hint="eastAsia" w:ascii="宋体" w:hAnsi="宋体"/>
                <w:bCs/>
                <w:color w:val="auto"/>
                <w:szCs w:val="21"/>
                <w:highlight w:val="none"/>
                <w:lang w:eastAsia="zh-CN"/>
              </w:rPr>
              <w:t>）</w:t>
            </w:r>
            <w:r>
              <w:rPr>
                <w:rFonts w:hint="eastAsia" w:ascii="宋体" w:hAnsi="宋体"/>
                <w:bCs/>
                <w:color w:val="auto"/>
                <w:szCs w:val="21"/>
                <w:highlight w:val="none"/>
              </w:rPr>
              <w:t>，安装位置得当，不得影响乘客行走安全</w:t>
            </w:r>
            <w:r>
              <w:rPr>
                <w:rFonts w:hint="eastAsia" w:ascii="宋体" w:hAnsi="宋体" w:cs="宋体"/>
                <w:bCs/>
                <w:color w:val="auto"/>
                <w:szCs w:val="21"/>
                <w:highlight w:val="none"/>
              </w:rPr>
              <w:t>。</w:t>
            </w:r>
          </w:p>
          <w:p w14:paraId="35923F3C">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、车内安全设施的标识牌等必须使用铝牌铆接，确保不脱落，不掉色。</w:t>
            </w:r>
          </w:p>
          <w:p w14:paraId="303093E1">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、车内布置</w:t>
            </w:r>
            <w:r>
              <w:rPr>
                <w:rFonts w:hint="eastAsia" w:ascii="宋体" w:hAnsi="宋体" w:cs="宋体"/>
                <w:bCs/>
                <w:color w:val="auto"/>
                <w:szCs w:val="21"/>
                <w:highlight w:val="none"/>
                <w:lang w:val="en-US" w:eastAsia="zh-CN"/>
              </w:rPr>
              <w:t>一体式</w:t>
            </w:r>
            <w:r>
              <w:rPr>
                <w:rFonts w:hint="eastAsia" w:ascii="宋体" w:hAnsi="宋体" w:cs="宋体"/>
                <w:bCs/>
                <w:color w:val="auto"/>
                <w:szCs w:val="21"/>
                <w:highlight w:val="none"/>
              </w:rPr>
              <w:t>不锈钢垃圾箱。</w:t>
            </w:r>
          </w:p>
          <w:p w14:paraId="2E6093EC">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、驾驶员脚下区域采用耐磨不锈钢脚垫，同时右脚处加装不锈钢脚踏。</w:t>
            </w:r>
          </w:p>
          <w:p w14:paraId="5F52095B">
            <w:pPr>
              <w:keepNext w:val="0"/>
              <w:keepLines w:val="0"/>
              <w:pageBreakBefore w:val="0"/>
              <w:widowControl w:val="0"/>
              <w:kinsoku/>
              <w:wordWrap/>
              <w:overflowPunct/>
              <w:topLinePunct w:val="0"/>
              <w:autoSpaceDE/>
              <w:autoSpaceDN/>
              <w:bidi w:val="0"/>
              <w:adjustRightInd/>
              <w:spacing w:line="540" w:lineRule="exact"/>
              <w:textAlignment w:val="auto"/>
              <w:rPr>
                <w:color w:val="auto"/>
                <w:spacing w:val="9"/>
              </w:rPr>
            </w:pPr>
            <w:r>
              <w:rPr>
                <w:rFonts w:hint="eastAsia" w:ascii="宋体" w:hAnsi="宋体" w:cs="宋体"/>
                <w:bCs/>
                <w:color w:val="auto"/>
                <w:szCs w:val="21"/>
                <w:highlight w:val="none"/>
                <w:lang w:val="en-US" w:eastAsia="zh-CN"/>
              </w:rPr>
              <w:t>5、</w:t>
            </w:r>
            <w:r>
              <w:rPr>
                <w:color w:val="auto"/>
                <w:spacing w:val="9"/>
              </w:rPr>
              <w:t>驾驶室区域布置</w:t>
            </w:r>
            <w:r>
              <w:rPr>
                <w:color w:val="auto"/>
                <w:spacing w:val="-10"/>
              </w:rPr>
              <w:t xml:space="preserve"> </w:t>
            </w:r>
            <w:r>
              <w:rPr>
                <w:color w:val="auto"/>
                <w:spacing w:val="9"/>
              </w:rPr>
              <w:t>1</w:t>
            </w:r>
            <w:r>
              <w:rPr>
                <w:color w:val="auto"/>
                <w:spacing w:val="-38"/>
              </w:rPr>
              <w:t xml:space="preserve"> </w:t>
            </w:r>
            <w:r>
              <w:rPr>
                <w:color w:val="auto"/>
                <w:spacing w:val="9"/>
              </w:rPr>
              <w:t>个手机存放盒</w:t>
            </w:r>
          </w:p>
          <w:p w14:paraId="2F2B11D2">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、车内设置电器箱，各类模块和总保险盒统一放置在内。</w:t>
            </w:r>
          </w:p>
          <w:p w14:paraId="5583461E">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、车身颜色、图案、标识由招标人提供。</w:t>
            </w:r>
          </w:p>
          <w:p w14:paraId="16EE1F64">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、随车工具和资料。</w:t>
            </w:r>
          </w:p>
          <w:p w14:paraId="69066E1B">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、车辆上牌所需照片和资料。</w:t>
            </w:r>
          </w:p>
        </w:tc>
      </w:tr>
    </w:tbl>
    <w:p w14:paraId="05DB79A5">
      <w:pPr>
        <w:keepNext w:val="0"/>
        <w:keepLines w:val="0"/>
        <w:pageBreakBefore w:val="0"/>
        <w:widowControl w:val="0"/>
        <w:kinsoku/>
        <w:wordWrap/>
        <w:overflowPunct/>
        <w:topLinePunct w:val="0"/>
        <w:autoSpaceDE/>
        <w:autoSpaceDN/>
        <w:bidi w:val="0"/>
        <w:adjustRightInd/>
        <w:spacing w:line="540" w:lineRule="exact"/>
        <w:textAlignment w:val="auto"/>
        <w:rPr>
          <w:color w:val="auto"/>
          <w:highlight w:val="none"/>
        </w:rPr>
      </w:pPr>
    </w:p>
    <w:p w14:paraId="0C01C81C">
      <w:pPr>
        <w:pStyle w:val="44"/>
        <w:keepNext w:val="0"/>
        <w:keepLines w:val="0"/>
        <w:pageBreakBefore w:val="0"/>
        <w:widowControl w:val="0"/>
        <w:kinsoku/>
        <w:wordWrap/>
        <w:overflowPunct/>
        <w:topLinePunct w:val="0"/>
        <w:autoSpaceDE/>
        <w:autoSpaceDN/>
        <w:bidi w:val="0"/>
        <w:adjustRightInd/>
        <w:spacing w:line="540" w:lineRule="exact"/>
        <w:textAlignment w:val="auto"/>
        <w:rPr>
          <w:color w:val="auto"/>
          <w:highlight w:val="none"/>
        </w:rPr>
      </w:pPr>
    </w:p>
    <w:p w14:paraId="63BB9537">
      <w:pPr>
        <w:pStyle w:val="43"/>
        <w:tabs>
          <w:tab w:val="left" w:pos="574"/>
        </w:tabs>
        <w:rPr>
          <w:color w:val="auto"/>
          <w:highlight w:val="none"/>
        </w:rPr>
      </w:pPr>
    </w:p>
    <w:p w14:paraId="1F6A07E8">
      <w:pPr>
        <w:rPr>
          <w:color w:val="auto"/>
          <w:highlight w:val="none"/>
        </w:rPr>
      </w:pPr>
    </w:p>
    <w:p w14:paraId="16BDF6D8">
      <w:pPr>
        <w:rPr>
          <w:color w:val="auto"/>
          <w:highlight w:val="none"/>
        </w:rPr>
      </w:pPr>
    </w:p>
    <w:p w14:paraId="7C9A3614">
      <w:pPr>
        <w:rPr>
          <w:color w:val="auto"/>
          <w:highlight w:val="none"/>
        </w:rPr>
      </w:pPr>
    </w:p>
    <w:p w14:paraId="17A85B9B">
      <w:pPr>
        <w:rPr>
          <w:color w:val="auto"/>
          <w:highlight w:val="none"/>
        </w:rPr>
      </w:pPr>
    </w:p>
    <w:p w14:paraId="0CE82FA0">
      <w:pPr>
        <w:rPr>
          <w:color w:val="auto"/>
          <w:highlight w:val="none"/>
        </w:rPr>
      </w:pPr>
    </w:p>
    <w:p w14:paraId="5B5623E3">
      <w:pPr>
        <w:rPr>
          <w:color w:val="auto"/>
          <w:highlight w:val="none"/>
        </w:rPr>
      </w:pPr>
    </w:p>
    <w:p w14:paraId="624C705E">
      <w:pPr>
        <w:rPr>
          <w:color w:val="auto"/>
          <w:highlight w:val="none"/>
        </w:rPr>
      </w:pPr>
    </w:p>
    <w:p w14:paraId="45BD0840">
      <w:pPr>
        <w:rPr>
          <w:color w:val="auto"/>
          <w:highlight w:val="none"/>
        </w:rPr>
      </w:pPr>
    </w:p>
    <w:p w14:paraId="77E6C405">
      <w:pPr>
        <w:rPr>
          <w:color w:val="auto"/>
          <w:highlight w:val="none"/>
        </w:rPr>
      </w:pPr>
    </w:p>
    <w:p w14:paraId="26E0A00C">
      <w:pPr>
        <w:rPr>
          <w:color w:val="auto"/>
          <w:highlight w:val="none"/>
        </w:rPr>
      </w:pPr>
    </w:p>
    <w:p w14:paraId="2A6DFDFC">
      <w:pPr>
        <w:rPr>
          <w:color w:val="auto"/>
          <w:highlight w:val="none"/>
        </w:rPr>
      </w:pPr>
    </w:p>
    <w:p w14:paraId="42D6A7B9">
      <w:pPr>
        <w:rPr>
          <w:color w:val="auto"/>
          <w:highlight w:val="none"/>
        </w:rPr>
      </w:pPr>
    </w:p>
    <w:p w14:paraId="376901B0">
      <w:pPr>
        <w:rPr>
          <w:color w:val="auto"/>
          <w:highlight w:val="none"/>
        </w:rPr>
      </w:pPr>
    </w:p>
    <w:p w14:paraId="7FF3AB3C">
      <w:pPr>
        <w:rPr>
          <w:color w:val="auto"/>
          <w:highlight w:val="none"/>
        </w:rPr>
      </w:pPr>
    </w:p>
    <w:p w14:paraId="04F36767">
      <w:pPr>
        <w:rPr>
          <w:color w:val="auto"/>
          <w:highlight w:val="none"/>
        </w:rPr>
      </w:pPr>
    </w:p>
    <w:p w14:paraId="57D73C48">
      <w:pPr>
        <w:rPr>
          <w:color w:val="auto"/>
          <w:highlight w:val="none"/>
        </w:rPr>
      </w:pPr>
    </w:p>
    <w:p w14:paraId="38AAA83E">
      <w:pPr>
        <w:rPr>
          <w:color w:val="auto"/>
          <w:highlight w:val="none"/>
        </w:rPr>
      </w:pPr>
    </w:p>
    <w:p w14:paraId="587F649A">
      <w:pPr>
        <w:rPr>
          <w:color w:val="auto"/>
          <w:highlight w:val="none"/>
        </w:rPr>
        <w:sectPr>
          <w:footerReference r:id="rId13" w:type="default"/>
          <w:pgSz w:w="11906" w:h="16839"/>
          <w:pgMar w:top="1431" w:right="1687" w:bottom="1231" w:left="1687" w:header="0" w:footer="984" w:gutter="0"/>
          <w:pgNumType w:fmt="decimal"/>
          <w:cols w:space="720" w:num="1"/>
        </w:sectPr>
      </w:pPr>
    </w:p>
    <w:p w14:paraId="60FD48B2">
      <w:pPr>
        <w:rPr>
          <w:color w:val="auto"/>
          <w:highlight w:val="none"/>
        </w:rPr>
      </w:pPr>
    </w:p>
    <w:p w14:paraId="6CE8711C">
      <w:pPr>
        <w:spacing w:before="143" w:line="228" w:lineRule="auto"/>
        <w:ind w:left="541"/>
        <w:rPr>
          <w:rFonts w:hint="eastAsia" w:ascii="宋体" w:hAnsi="宋体" w:eastAsia="宋体" w:cs="宋体"/>
          <w:color w:val="auto"/>
          <w:sz w:val="20"/>
          <w:szCs w:val="20"/>
          <w:highlight w:val="none"/>
          <w:lang w:eastAsia="zh-CN"/>
        </w:rPr>
      </w:pPr>
      <w:r>
        <w:rPr>
          <w:rFonts w:ascii="宋体" w:hAnsi="宋体" w:eastAsia="宋体" w:cs="宋体"/>
          <w:b/>
          <w:bCs/>
          <w:color w:val="auto"/>
          <w:spacing w:val="6"/>
          <w:sz w:val="20"/>
          <w:szCs w:val="20"/>
          <w:highlight w:val="none"/>
        </w:rPr>
        <w:t>技术附件</w:t>
      </w:r>
      <w:r>
        <w:rPr>
          <w:rFonts w:ascii="宋体" w:hAnsi="宋体" w:eastAsia="宋体" w:cs="宋体"/>
          <w:color w:val="auto"/>
          <w:spacing w:val="-38"/>
          <w:sz w:val="20"/>
          <w:szCs w:val="20"/>
          <w:highlight w:val="none"/>
        </w:rPr>
        <w:t xml:space="preserve"> </w:t>
      </w:r>
      <w:r>
        <w:rPr>
          <w:rFonts w:hint="eastAsia" w:ascii="宋体" w:hAnsi="宋体" w:cs="宋体"/>
          <w:b/>
          <w:bCs/>
          <w:color w:val="auto"/>
          <w:spacing w:val="6"/>
          <w:sz w:val="20"/>
          <w:szCs w:val="20"/>
          <w:highlight w:val="none"/>
          <w:lang w:val="en-US" w:eastAsia="zh-CN"/>
        </w:rPr>
        <w:t>1</w:t>
      </w:r>
    </w:p>
    <w:p w14:paraId="0C1540E3">
      <w:pPr>
        <w:spacing w:line="140" w:lineRule="auto"/>
        <w:rPr>
          <w:rFonts w:ascii="Arial"/>
          <w:color w:val="auto"/>
          <w:sz w:val="2"/>
          <w:highlight w:val="none"/>
        </w:rPr>
      </w:pPr>
    </w:p>
    <w:tbl>
      <w:tblPr>
        <w:tblStyle w:val="22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810"/>
        <w:gridCol w:w="675"/>
        <w:gridCol w:w="1081"/>
        <w:gridCol w:w="2972"/>
        <w:gridCol w:w="2040"/>
      </w:tblGrid>
      <w:tr w14:paraId="2DF86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526" w:type="dxa"/>
            <w:gridSpan w:val="6"/>
            <w:noWrap w:val="0"/>
            <w:vAlign w:val="top"/>
          </w:tcPr>
          <w:p w14:paraId="10BA82F9">
            <w:pPr>
              <w:pStyle w:val="223"/>
              <w:spacing w:before="97" w:line="228" w:lineRule="auto"/>
              <w:ind w:left="3004"/>
              <w:rPr>
                <w:color w:val="auto"/>
                <w:highlight w:val="none"/>
              </w:rPr>
            </w:pPr>
            <w:r>
              <w:rPr>
                <w:b/>
                <w:bCs/>
                <w:color w:val="auto"/>
                <w:spacing w:val="7"/>
                <w:highlight w:val="none"/>
              </w:rPr>
              <w:t>车辆零部件质量保修期限表</w:t>
            </w:r>
          </w:p>
        </w:tc>
      </w:tr>
      <w:tr w14:paraId="27949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noWrap w:val="0"/>
            <w:vAlign w:val="top"/>
          </w:tcPr>
          <w:p w14:paraId="4DE16BE2">
            <w:pPr>
              <w:pStyle w:val="223"/>
              <w:spacing w:before="52" w:line="261" w:lineRule="auto"/>
              <w:ind w:left="168" w:right="158" w:hanging="4"/>
              <w:rPr>
                <w:color w:val="auto"/>
                <w:highlight w:val="none"/>
              </w:rPr>
            </w:pPr>
            <w:r>
              <w:rPr>
                <w:color w:val="auto"/>
                <w:spacing w:val="6"/>
                <w:highlight w:val="none"/>
              </w:rPr>
              <w:t>整车系</w:t>
            </w:r>
            <w:r>
              <w:rPr>
                <w:color w:val="auto"/>
                <w:highlight w:val="none"/>
              </w:rPr>
              <w:t xml:space="preserve"> </w:t>
            </w:r>
            <w:r>
              <w:rPr>
                <w:color w:val="auto"/>
                <w:spacing w:val="5"/>
                <w:highlight w:val="none"/>
              </w:rPr>
              <w:t>统分类</w:t>
            </w:r>
          </w:p>
        </w:tc>
        <w:tc>
          <w:tcPr>
            <w:tcW w:w="810" w:type="dxa"/>
            <w:noWrap w:val="0"/>
            <w:vAlign w:val="top"/>
          </w:tcPr>
          <w:p w14:paraId="2C488EC2">
            <w:pPr>
              <w:pStyle w:val="223"/>
              <w:spacing w:before="208" w:line="230" w:lineRule="auto"/>
              <w:ind w:left="199"/>
              <w:rPr>
                <w:color w:val="auto"/>
                <w:highlight w:val="none"/>
              </w:rPr>
            </w:pPr>
            <w:r>
              <w:rPr>
                <w:color w:val="auto"/>
                <w:spacing w:val="5"/>
                <w:highlight w:val="none"/>
              </w:rPr>
              <w:t>序号</w:t>
            </w:r>
          </w:p>
        </w:tc>
        <w:tc>
          <w:tcPr>
            <w:tcW w:w="1756" w:type="dxa"/>
            <w:gridSpan w:val="2"/>
            <w:noWrap w:val="0"/>
            <w:vAlign w:val="top"/>
          </w:tcPr>
          <w:p w14:paraId="10D02CFC">
            <w:pPr>
              <w:pStyle w:val="223"/>
              <w:spacing w:before="209" w:line="228" w:lineRule="auto"/>
              <w:ind w:left="466"/>
              <w:rPr>
                <w:color w:val="auto"/>
                <w:highlight w:val="none"/>
              </w:rPr>
            </w:pPr>
            <w:r>
              <w:rPr>
                <w:color w:val="auto"/>
                <w:spacing w:val="6"/>
                <w:highlight w:val="none"/>
              </w:rPr>
              <w:t>项目分类</w:t>
            </w:r>
          </w:p>
        </w:tc>
        <w:tc>
          <w:tcPr>
            <w:tcW w:w="2972" w:type="dxa"/>
            <w:noWrap w:val="0"/>
            <w:vAlign w:val="top"/>
          </w:tcPr>
          <w:p w14:paraId="41835357">
            <w:pPr>
              <w:pStyle w:val="223"/>
              <w:spacing w:before="209" w:line="228" w:lineRule="auto"/>
              <w:ind w:left="1073"/>
              <w:rPr>
                <w:color w:val="auto"/>
                <w:highlight w:val="none"/>
              </w:rPr>
            </w:pPr>
            <w:r>
              <w:rPr>
                <w:color w:val="auto"/>
                <w:spacing w:val="7"/>
                <w:highlight w:val="none"/>
              </w:rPr>
              <w:t>保修内容</w:t>
            </w:r>
          </w:p>
        </w:tc>
        <w:tc>
          <w:tcPr>
            <w:tcW w:w="2040" w:type="dxa"/>
            <w:noWrap w:val="0"/>
            <w:vAlign w:val="top"/>
          </w:tcPr>
          <w:p w14:paraId="184AB1E7">
            <w:pPr>
              <w:pStyle w:val="223"/>
              <w:spacing w:before="209" w:line="229" w:lineRule="auto"/>
              <w:ind w:left="396"/>
              <w:rPr>
                <w:color w:val="auto"/>
                <w:highlight w:val="none"/>
              </w:rPr>
            </w:pPr>
            <w:r>
              <w:rPr>
                <w:color w:val="auto"/>
                <w:spacing w:val="8"/>
                <w:highlight w:val="none"/>
              </w:rPr>
              <w:t>质保期限要求</w:t>
            </w:r>
          </w:p>
        </w:tc>
      </w:tr>
      <w:tr w14:paraId="2BB08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noWrap w:val="0"/>
            <w:vAlign w:val="top"/>
          </w:tcPr>
          <w:p w14:paraId="33F9A1B1">
            <w:pPr>
              <w:pStyle w:val="223"/>
              <w:spacing w:before="54" w:line="260" w:lineRule="auto"/>
              <w:ind w:left="270" w:right="158" w:hanging="106"/>
              <w:rPr>
                <w:color w:val="auto"/>
                <w:highlight w:val="none"/>
              </w:rPr>
            </w:pPr>
            <w:r>
              <w:rPr>
                <w:color w:val="auto"/>
                <w:spacing w:val="6"/>
                <w:highlight w:val="none"/>
              </w:rPr>
              <w:t>新能源</w:t>
            </w:r>
            <w:r>
              <w:rPr>
                <w:color w:val="auto"/>
                <w:highlight w:val="none"/>
              </w:rPr>
              <w:t xml:space="preserve"> </w:t>
            </w:r>
            <w:r>
              <w:rPr>
                <w:color w:val="auto"/>
                <w:spacing w:val="3"/>
                <w:highlight w:val="none"/>
              </w:rPr>
              <w:t>客车</w:t>
            </w:r>
          </w:p>
        </w:tc>
        <w:tc>
          <w:tcPr>
            <w:tcW w:w="810" w:type="dxa"/>
            <w:noWrap w:val="0"/>
            <w:vAlign w:val="top"/>
          </w:tcPr>
          <w:p w14:paraId="6FB2BC46">
            <w:pPr>
              <w:pStyle w:val="223"/>
              <w:spacing w:before="242" w:line="189" w:lineRule="auto"/>
              <w:ind w:left="371"/>
              <w:rPr>
                <w:color w:val="auto"/>
                <w:highlight w:val="none"/>
              </w:rPr>
            </w:pPr>
            <w:r>
              <w:rPr>
                <w:color w:val="auto"/>
                <w:highlight w:val="none"/>
              </w:rPr>
              <w:t>1</w:t>
            </w:r>
          </w:p>
        </w:tc>
        <w:tc>
          <w:tcPr>
            <w:tcW w:w="1756" w:type="dxa"/>
            <w:gridSpan w:val="2"/>
            <w:noWrap w:val="0"/>
            <w:vAlign w:val="top"/>
          </w:tcPr>
          <w:p w14:paraId="1D6B6ED8">
            <w:pPr>
              <w:pStyle w:val="223"/>
              <w:spacing w:before="210" w:line="228" w:lineRule="auto"/>
              <w:ind w:left="674"/>
              <w:rPr>
                <w:color w:val="auto"/>
                <w:highlight w:val="none"/>
              </w:rPr>
            </w:pPr>
            <w:r>
              <w:rPr>
                <w:color w:val="auto"/>
                <w:spacing w:val="4"/>
                <w:highlight w:val="none"/>
              </w:rPr>
              <w:t>整车</w:t>
            </w:r>
          </w:p>
        </w:tc>
        <w:tc>
          <w:tcPr>
            <w:tcW w:w="2972" w:type="dxa"/>
            <w:noWrap w:val="0"/>
            <w:vAlign w:val="top"/>
          </w:tcPr>
          <w:p w14:paraId="561D83DC">
            <w:pPr>
              <w:pStyle w:val="223"/>
              <w:spacing w:before="210" w:line="228" w:lineRule="auto"/>
              <w:ind w:left="666"/>
              <w:rPr>
                <w:color w:val="auto"/>
                <w:highlight w:val="none"/>
              </w:rPr>
            </w:pPr>
            <w:r>
              <w:rPr>
                <w:color w:val="auto"/>
                <w:spacing w:val="6"/>
                <w:highlight w:val="none"/>
              </w:rPr>
              <w:t>易损、易耗件除外</w:t>
            </w:r>
          </w:p>
        </w:tc>
        <w:tc>
          <w:tcPr>
            <w:tcW w:w="2040" w:type="dxa"/>
            <w:noWrap w:val="0"/>
            <w:vAlign w:val="top"/>
          </w:tcPr>
          <w:p w14:paraId="2AD461B1">
            <w:pPr>
              <w:pStyle w:val="223"/>
              <w:spacing w:before="210" w:line="228" w:lineRule="auto"/>
              <w:ind w:left="846"/>
              <w:rPr>
                <w:rFonts w:hint="eastAsia" w:eastAsia="宋体"/>
                <w:color w:val="auto"/>
                <w:spacing w:val="-4"/>
                <w:highlight w:val="none"/>
                <w:lang w:val="en-US" w:eastAsia="zh-CN"/>
              </w:rPr>
            </w:pPr>
            <w:r>
              <w:rPr>
                <w:rFonts w:hint="eastAsia"/>
                <w:color w:val="auto"/>
                <w:spacing w:val="-4"/>
                <w:highlight w:val="none"/>
                <w:lang w:val="en-US" w:eastAsia="zh-CN"/>
              </w:rPr>
              <w:t>3年</w:t>
            </w:r>
          </w:p>
        </w:tc>
      </w:tr>
      <w:tr w14:paraId="6EF8F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8" w:type="dxa"/>
            <w:vMerge w:val="restart"/>
            <w:tcBorders>
              <w:bottom w:val="nil"/>
            </w:tcBorders>
            <w:noWrap w:val="0"/>
            <w:vAlign w:val="top"/>
          </w:tcPr>
          <w:p w14:paraId="518B2331">
            <w:pPr>
              <w:spacing w:line="246" w:lineRule="auto"/>
              <w:rPr>
                <w:rFonts w:ascii="Arial"/>
                <w:color w:val="auto"/>
                <w:sz w:val="21"/>
                <w:highlight w:val="none"/>
              </w:rPr>
            </w:pPr>
          </w:p>
          <w:p w14:paraId="077FD5F5">
            <w:pPr>
              <w:spacing w:line="246" w:lineRule="auto"/>
              <w:rPr>
                <w:rFonts w:ascii="Arial"/>
                <w:color w:val="auto"/>
                <w:sz w:val="21"/>
                <w:highlight w:val="none"/>
              </w:rPr>
            </w:pPr>
          </w:p>
          <w:p w14:paraId="0D231B97">
            <w:pPr>
              <w:spacing w:line="246" w:lineRule="auto"/>
              <w:rPr>
                <w:rFonts w:ascii="Arial"/>
                <w:color w:val="auto"/>
                <w:sz w:val="21"/>
                <w:highlight w:val="none"/>
              </w:rPr>
            </w:pPr>
          </w:p>
          <w:p w14:paraId="54F88F1D">
            <w:pPr>
              <w:spacing w:line="246" w:lineRule="auto"/>
              <w:rPr>
                <w:rFonts w:ascii="Arial"/>
                <w:color w:val="auto"/>
                <w:sz w:val="21"/>
                <w:highlight w:val="none"/>
              </w:rPr>
            </w:pPr>
          </w:p>
          <w:p w14:paraId="6EE5CA51">
            <w:pPr>
              <w:spacing w:line="246" w:lineRule="auto"/>
              <w:rPr>
                <w:rFonts w:ascii="Arial"/>
                <w:color w:val="auto"/>
                <w:sz w:val="21"/>
                <w:highlight w:val="none"/>
              </w:rPr>
            </w:pPr>
          </w:p>
          <w:p w14:paraId="44960063">
            <w:pPr>
              <w:spacing w:line="246" w:lineRule="auto"/>
              <w:rPr>
                <w:rFonts w:ascii="Arial"/>
                <w:color w:val="auto"/>
                <w:sz w:val="21"/>
                <w:highlight w:val="none"/>
              </w:rPr>
            </w:pPr>
          </w:p>
          <w:p w14:paraId="4F95A6DB">
            <w:pPr>
              <w:spacing w:line="246" w:lineRule="auto"/>
              <w:rPr>
                <w:rFonts w:ascii="Arial"/>
                <w:color w:val="auto"/>
                <w:sz w:val="21"/>
                <w:highlight w:val="none"/>
              </w:rPr>
            </w:pPr>
          </w:p>
          <w:p w14:paraId="0EDEC1F9">
            <w:pPr>
              <w:spacing w:line="246" w:lineRule="auto"/>
              <w:rPr>
                <w:rFonts w:ascii="Arial"/>
                <w:color w:val="auto"/>
                <w:sz w:val="21"/>
                <w:highlight w:val="none"/>
              </w:rPr>
            </w:pPr>
          </w:p>
          <w:p w14:paraId="1BACAD29">
            <w:pPr>
              <w:spacing w:line="246" w:lineRule="auto"/>
              <w:rPr>
                <w:rFonts w:ascii="Arial"/>
                <w:color w:val="auto"/>
                <w:sz w:val="21"/>
                <w:highlight w:val="none"/>
              </w:rPr>
            </w:pPr>
          </w:p>
          <w:p w14:paraId="08C562C0">
            <w:pPr>
              <w:spacing w:line="246" w:lineRule="auto"/>
              <w:rPr>
                <w:rFonts w:ascii="Arial"/>
                <w:color w:val="auto"/>
                <w:sz w:val="21"/>
                <w:highlight w:val="none"/>
              </w:rPr>
            </w:pPr>
          </w:p>
          <w:p w14:paraId="78FFA2E2">
            <w:pPr>
              <w:spacing w:line="246" w:lineRule="auto"/>
              <w:rPr>
                <w:rFonts w:ascii="Arial"/>
                <w:color w:val="auto"/>
                <w:sz w:val="21"/>
                <w:highlight w:val="none"/>
              </w:rPr>
            </w:pPr>
          </w:p>
          <w:p w14:paraId="454B77E3">
            <w:pPr>
              <w:spacing w:line="246" w:lineRule="auto"/>
              <w:rPr>
                <w:rFonts w:ascii="Arial"/>
                <w:color w:val="auto"/>
                <w:sz w:val="21"/>
                <w:highlight w:val="none"/>
              </w:rPr>
            </w:pPr>
          </w:p>
          <w:p w14:paraId="67A9A55D">
            <w:pPr>
              <w:spacing w:line="247" w:lineRule="auto"/>
              <w:rPr>
                <w:rFonts w:ascii="Arial"/>
                <w:color w:val="auto"/>
                <w:sz w:val="21"/>
                <w:highlight w:val="none"/>
              </w:rPr>
            </w:pPr>
          </w:p>
          <w:p w14:paraId="75D0B29C">
            <w:pPr>
              <w:spacing w:line="247" w:lineRule="auto"/>
              <w:rPr>
                <w:rFonts w:ascii="Arial"/>
                <w:color w:val="auto"/>
                <w:sz w:val="21"/>
                <w:highlight w:val="none"/>
              </w:rPr>
            </w:pPr>
          </w:p>
          <w:p w14:paraId="762C015F">
            <w:pPr>
              <w:spacing w:line="247" w:lineRule="auto"/>
              <w:rPr>
                <w:rFonts w:ascii="Arial"/>
                <w:color w:val="auto"/>
                <w:sz w:val="21"/>
                <w:highlight w:val="none"/>
              </w:rPr>
            </w:pPr>
          </w:p>
          <w:p w14:paraId="17F8479C">
            <w:pPr>
              <w:pStyle w:val="223"/>
              <w:spacing w:before="65" w:line="229" w:lineRule="auto"/>
              <w:ind w:left="164"/>
              <w:rPr>
                <w:color w:val="auto"/>
                <w:highlight w:val="none"/>
              </w:rPr>
            </w:pPr>
            <w:r>
              <w:rPr>
                <w:color w:val="auto"/>
                <w:spacing w:val="6"/>
                <w:highlight w:val="none"/>
              </w:rPr>
              <w:t>新能源</w:t>
            </w:r>
          </w:p>
          <w:p w14:paraId="6112E6AC">
            <w:pPr>
              <w:pStyle w:val="223"/>
              <w:spacing w:before="64" w:line="228" w:lineRule="auto"/>
              <w:ind w:left="166"/>
              <w:rPr>
                <w:color w:val="auto"/>
                <w:highlight w:val="none"/>
              </w:rPr>
            </w:pPr>
            <w:r>
              <w:rPr>
                <w:color w:val="auto"/>
                <w:spacing w:val="6"/>
                <w:highlight w:val="none"/>
              </w:rPr>
              <w:t>部分主</w:t>
            </w:r>
          </w:p>
          <w:p w14:paraId="5AAB9525">
            <w:pPr>
              <w:pStyle w:val="223"/>
              <w:spacing w:before="64" w:line="228" w:lineRule="auto"/>
              <w:ind w:left="164"/>
              <w:rPr>
                <w:color w:val="auto"/>
                <w:highlight w:val="none"/>
              </w:rPr>
            </w:pPr>
            <w:r>
              <w:rPr>
                <w:color w:val="auto"/>
                <w:spacing w:val="6"/>
                <w:highlight w:val="none"/>
              </w:rPr>
              <w:t>要零部</w:t>
            </w:r>
          </w:p>
          <w:p w14:paraId="1AFA08EA">
            <w:pPr>
              <w:pStyle w:val="223"/>
              <w:spacing w:before="65" w:line="228" w:lineRule="auto"/>
              <w:ind w:left="374"/>
              <w:rPr>
                <w:color w:val="auto"/>
                <w:highlight w:val="none"/>
              </w:rPr>
            </w:pPr>
            <w:r>
              <w:rPr>
                <w:color w:val="auto"/>
                <w:spacing w:val="1"/>
                <w:highlight w:val="none"/>
              </w:rPr>
              <w:t>件</w:t>
            </w:r>
          </w:p>
        </w:tc>
        <w:tc>
          <w:tcPr>
            <w:tcW w:w="810" w:type="dxa"/>
            <w:vMerge w:val="restart"/>
            <w:tcBorders>
              <w:bottom w:val="nil"/>
            </w:tcBorders>
            <w:noWrap w:val="0"/>
            <w:vAlign w:val="top"/>
          </w:tcPr>
          <w:p w14:paraId="46A3E1ED">
            <w:pPr>
              <w:spacing w:line="244" w:lineRule="auto"/>
              <w:rPr>
                <w:rFonts w:ascii="Arial"/>
                <w:color w:val="auto"/>
                <w:sz w:val="21"/>
                <w:highlight w:val="none"/>
              </w:rPr>
            </w:pPr>
          </w:p>
          <w:p w14:paraId="3F71428C">
            <w:pPr>
              <w:spacing w:line="244" w:lineRule="auto"/>
              <w:rPr>
                <w:rFonts w:ascii="Arial"/>
                <w:color w:val="auto"/>
                <w:sz w:val="21"/>
                <w:highlight w:val="none"/>
              </w:rPr>
            </w:pPr>
          </w:p>
          <w:p w14:paraId="326CAE56">
            <w:pPr>
              <w:spacing w:line="244" w:lineRule="auto"/>
              <w:rPr>
                <w:rFonts w:ascii="Arial"/>
                <w:color w:val="auto"/>
                <w:sz w:val="21"/>
                <w:highlight w:val="none"/>
              </w:rPr>
            </w:pPr>
          </w:p>
          <w:p w14:paraId="374F0EF5">
            <w:pPr>
              <w:spacing w:line="244" w:lineRule="auto"/>
              <w:rPr>
                <w:rFonts w:ascii="Arial"/>
                <w:color w:val="auto"/>
                <w:sz w:val="21"/>
                <w:highlight w:val="none"/>
              </w:rPr>
            </w:pPr>
          </w:p>
          <w:p w14:paraId="0D13AB3A">
            <w:pPr>
              <w:spacing w:line="244" w:lineRule="auto"/>
              <w:rPr>
                <w:rFonts w:ascii="Arial"/>
                <w:color w:val="auto"/>
                <w:sz w:val="21"/>
                <w:highlight w:val="none"/>
              </w:rPr>
            </w:pPr>
          </w:p>
          <w:p w14:paraId="3161494B">
            <w:pPr>
              <w:spacing w:line="244" w:lineRule="auto"/>
              <w:rPr>
                <w:rFonts w:ascii="Arial"/>
                <w:color w:val="auto"/>
                <w:sz w:val="21"/>
                <w:highlight w:val="none"/>
              </w:rPr>
            </w:pPr>
          </w:p>
          <w:p w14:paraId="58CB219A">
            <w:pPr>
              <w:spacing w:line="244" w:lineRule="auto"/>
              <w:rPr>
                <w:rFonts w:ascii="Arial"/>
                <w:color w:val="auto"/>
                <w:sz w:val="21"/>
                <w:highlight w:val="none"/>
              </w:rPr>
            </w:pPr>
          </w:p>
          <w:p w14:paraId="363CED4E">
            <w:pPr>
              <w:spacing w:line="245" w:lineRule="auto"/>
              <w:rPr>
                <w:rFonts w:ascii="Arial"/>
                <w:color w:val="auto"/>
                <w:sz w:val="21"/>
                <w:highlight w:val="none"/>
              </w:rPr>
            </w:pPr>
          </w:p>
          <w:p w14:paraId="4E9EFC02">
            <w:pPr>
              <w:spacing w:line="245" w:lineRule="auto"/>
              <w:rPr>
                <w:rFonts w:ascii="Arial"/>
                <w:color w:val="auto"/>
                <w:sz w:val="21"/>
                <w:highlight w:val="none"/>
              </w:rPr>
            </w:pPr>
          </w:p>
          <w:p w14:paraId="51C43B4E">
            <w:pPr>
              <w:spacing w:line="245" w:lineRule="auto"/>
              <w:rPr>
                <w:rFonts w:ascii="Arial"/>
                <w:color w:val="auto"/>
                <w:sz w:val="21"/>
                <w:highlight w:val="none"/>
              </w:rPr>
            </w:pPr>
          </w:p>
          <w:p w14:paraId="7E9FAA65">
            <w:pPr>
              <w:spacing w:line="245" w:lineRule="auto"/>
              <w:rPr>
                <w:rFonts w:ascii="Arial"/>
                <w:color w:val="auto"/>
                <w:sz w:val="21"/>
                <w:highlight w:val="none"/>
              </w:rPr>
            </w:pPr>
          </w:p>
          <w:p w14:paraId="5CE6BAAD">
            <w:pPr>
              <w:spacing w:line="245" w:lineRule="auto"/>
              <w:rPr>
                <w:rFonts w:ascii="Arial"/>
                <w:color w:val="auto"/>
                <w:sz w:val="21"/>
                <w:highlight w:val="none"/>
              </w:rPr>
            </w:pPr>
          </w:p>
          <w:p w14:paraId="56A11C62">
            <w:pPr>
              <w:spacing w:line="245" w:lineRule="auto"/>
              <w:rPr>
                <w:rFonts w:ascii="Arial"/>
                <w:color w:val="auto"/>
                <w:sz w:val="21"/>
                <w:highlight w:val="none"/>
              </w:rPr>
            </w:pPr>
          </w:p>
          <w:p w14:paraId="62F6E8A3">
            <w:pPr>
              <w:spacing w:line="245" w:lineRule="auto"/>
              <w:rPr>
                <w:rFonts w:ascii="Arial"/>
                <w:color w:val="auto"/>
                <w:sz w:val="21"/>
                <w:highlight w:val="none"/>
              </w:rPr>
            </w:pPr>
          </w:p>
          <w:p w14:paraId="2923432B">
            <w:pPr>
              <w:spacing w:line="245" w:lineRule="auto"/>
              <w:rPr>
                <w:rFonts w:ascii="Arial"/>
                <w:color w:val="auto"/>
                <w:sz w:val="21"/>
                <w:highlight w:val="none"/>
              </w:rPr>
            </w:pPr>
          </w:p>
          <w:p w14:paraId="00127A28">
            <w:pPr>
              <w:pStyle w:val="223"/>
              <w:spacing w:before="65" w:line="189" w:lineRule="auto"/>
              <w:ind w:left="358"/>
              <w:rPr>
                <w:color w:val="auto"/>
                <w:highlight w:val="none"/>
              </w:rPr>
            </w:pPr>
            <w:r>
              <w:rPr>
                <w:color w:val="auto"/>
                <w:highlight w:val="none"/>
              </w:rPr>
              <w:t>2</w:t>
            </w:r>
          </w:p>
        </w:tc>
        <w:tc>
          <w:tcPr>
            <w:tcW w:w="675" w:type="dxa"/>
            <w:vMerge w:val="restart"/>
            <w:tcBorders>
              <w:bottom w:val="nil"/>
            </w:tcBorders>
            <w:noWrap w:val="0"/>
            <w:vAlign w:val="top"/>
          </w:tcPr>
          <w:p w14:paraId="049C7581">
            <w:pPr>
              <w:spacing w:line="248" w:lineRule="auto"/>
              <w:rPr>
                <w:rFonts w:ascii="Arial"/>
                <w:color w:val="auto"/>
                <w:sz w:val="21"/>
                <w:highlight w:val="none"/>
              </w:rPr>
            </w:pPr>
          </w:p>
          <w:p w14:paraId="4C4015E8">
            <w:pPr>
              <w:spacing w:line="248" w:lineRule="auto"/>
              <w:rPr>
                <w:rFonts w:ascii="Arial"/>
                <w:color w:val="auto"/>
                <w:sz w:val="21"/>
                <w:highlight w:val="none"/>
              </w:rPr>
            </w:pPr>
          </w:p>
          <w:p w14:paraId="4291E7F5">
            <w:pPr>
              <w:spacing w:line="248" w:lineRule="auto"/>
              <w:rPr>
                <w:rFonts w:ascii="Arial"/>
                <w:color w:val="auto"/>
                <w:sz w:val="21"/>
                <w:highlight w:val="none"/>
              </w:rPr>
            </w:pPr>
          </w:p>
          <w:p w14:paraId="4EFA76A9">
            <w:pPr>
              <w:spacing w:line="248" w:lineRule="auto"/>
              <w:rPr>
                <w:rFonts w:ascii="Arial"/>
                <w:color w:val="auto"/>
                <w:sz w:val="21"/>
                <w:highlight w:val="none"/>
              </w:rPr>
            </w:pPr>
          </w:p>
          <w:p w14:paraId="636A0459">
            <w:pPr>
              <w:spacing w:line="248" w:lineRule="auto"/>
              <w:rPr>
                <w:rFonts w:ascii="Arial"/>
                <w:color w:val="auto"/>
                <w:sz w:val="21"/>
                <w:highlight w:val="none"/>
              </w:rPr>
            </w:pPr>
          </w:p>
          <w:p w14:paraId="3BD04CBF">
            <w:pPr>
              <w:spacing w:line="249" w:lineRule="auto"/>
              <w:rPr>
                <w:rFonts w:ascii="Arial"/>
                <w:color w:val="auto"/>
                <w:sz w:val="21"/>
                <w:highlight w:val="none"/>
              </w:rPr>
            </w:pPr>
          </w:p>
          <w:p w14:paraId="38FB2AE2">
            <w:pPr>
              <w:spacing w:line="249" w:lineRule="auto"/>
              <w:rPr>
                <w:rFonts w:ascii="Arial"/>
                <w:color w:val="auto"/>
                <w:sz w:val="21"/>
                <w:highlight w:val="none"/>
              </w:rPr>
            </w:pPr>
          </w:p>
          <w:p w14:paraId="40AF97BB">
            <w:pPr>
              <w:spacing w:line="249" w:lineRule="auto"/>
              <w:rPr>
                <w:rFonts w:ascii="Arial"/>
                <w:color w:val="auto"/>
                <w:sz w:val="21"/>
                <w:highlight w:val="none"/>
              </w:rPr>
            </w:pPr>
          </w:p>
          <w:p w14:paraId="16640874">
            <w:pPr>
              <w:spacing w:line="249" w:lineRule="auto"/>
              <w:rPr>
                <w:rFonts w:ascii="Arial"/>
                <w:color w:val="auto"/>
                <w:sz w:val="21"/>
                <w:highlight w:val="none"/>
              </w:rPr>
            </w:pPr>
          </w:p>
          <w:p w14:paraId="7B701625">
            <w:pPr>
              <w:spacing w:line="249" w:lineRule="auto"/>
              <w:rPr>
                <w:rFonts w:ascii="Arial"/>
                <w:color w:val="auto"/>
                <w:sz w:val="21"/>
                <w:highlight w:val="none"/>
              </w:rPr>
            </w:pPr>
          </w:p>
          <w:p w14:paraId="704680EE">
            <w:pPr>
              <w:spacing w:line="249" w:lineRule="auto"/>
              <w:rPr>
                <w:rFonts w:ascii="Arial"/>
                <w:color w:val="auto"/>
                <w:sz w:val="21"/>
                <w:highlight w:val="none"/>
              </w:rPr>
            </w:pPr>
          </w:p>
          <w:p w14:paraId="5CE66BF9">
            <w:pPr>
              <w:spacing w:line="249" w:lineRule="auto"/>
              <w:rPr>
                <w:rFonts w:ascii="Arial"/>
                <w:color w:val="auto"/>
                <w:sz w:val="21"/>
                <w:highlight w:val="none"/>
              </w:rPr>
            </w:pPr>
          </w:p>
          <w:p w14:paraId="13103406">
            <w:pPr>
              <w:spacing w:line="249" w:lineRule="auto"/>
              <w:rPr>
                <w:rFonts w:ascii="Arial"/>
                <w:color w:val="auto"/>
                <w:sz w:val="21"/>
                <w:highlight w:val="none"/>
              </w:rPr>
            </w:pPr>
          </w:p>
          <w:p w14:paraId="7B6F9B30">
            <w:pPr>
              <w:spacing w:line="249" w:lineRule="auto"/>
              <w:rPr>
                <w:rFonts w:ascii="Arial"/>
                <w:color w:val="auto"/>
                <w:sz w:val="21"/>
                <w:highlight w:val="none"/>
              </w:rPr>
            </w:pPr>
          </w:p>
          <w:p w14:paraId="4D8CA58B">
            <w:pPr>
              <w:pStyle w:val="223"/>
              <w:spacing w:before="65" w:line="274" w:lineRule="auto"/>
              <w:ind w:left="135" w:right="128" w:hanging="4"/>
              <w:rPr>
                <w:color w:val="auto"/>
                <w:highlight w:val="none"/>
              </w:rPr>
            </w:pPr>
            <w:r>
              <w:rPr>
                <w:color w:val="auto"/>
                <w:spacing w:val="4"/>
                <w:highlight w:val="none"/>
              </w:rPr>
              <w:t>三电</w:t>
            </w:r>
            <w:r>
              <w:rPr>
                <w:color w:val="auto"/>
                <w:highlight w:val="none"/>
              </w:rPr>
              <w:t xml:space="preserve"> </w:t>
            </w:r>
            <w:r>
              <w:rPr>
                <w:color w:val="auto"/>
                <w:spacing w:val="2"/>
                <w:highlight w:val="none"/>
              </w:rPr>
              <w:t>系统</w:t>
            </w:r>
          </w:p>
        </w:tc>
        <w:tc>
          <w:tcPr>
            <w:tcW w:w="1081" w:type="dxa"/>
            <w:noWrap w:val="0"/>
            <w:vAlign w:val="top"/>
          </w:tcPr>
          <w:p w14:paraId="527A2E47">
            <w:pPr>
              <w:spacing w:line="304" w:lineRule="auto"/>
              <w:rPr>
                <w:rFonts w:ascii="Arial"/>
                <w:color w:val="auto"/>
                <w:sz w:val="21"/>
                <w:highlight w:val="none"/>
              </w:rPr>
            </w:pPr>
          </w:p>
          <w:p w14:paraId="0C825DE7">
            <w:pPr>
              <w:spacing w:line="305" w:lineRule="auto"/>
              <w:rPr>
                <w:rFonts w:ascii="Arial"/>
                <w:color w:val="auto"/>
                <w:sz w:val="21"/>
                <w:highlight w:val="none"/>
              </w:rPr>
            </w:pPr>
          </w:p>
          <w:p w14:paraId="1E8AF551">
            <w:pPr>
              <w:pStyle w:val="223"/>
              <w:spacing w:before="65" w:line="228" w:lineRule="auto"/>
              <w:ind w:left="126"/>
              <w:rPr>
                <w:color w:val="auto"/>
                <w:highlight w:val="none"/>
              </w:rPr>
            </w:pPr>
            <w:r>
              <w:rPr>
                <w:color w:val="auto"/>
                <w:spacing w:val="7"/>
                <w:highlight w:val="none"/>
              </w:rPr>
              <w:t>动力电池</w:t>
            </w:r>
          </w:p>
        </w:tc>
        <w:tc>
          <w:tcPr>
            <w:tcW w:w="2972" w:type="dxa"/>
            <w:noWrap w:val="0"/>
            <w:vAlign w:val="top"/>
          </w:tcPr>
          <w:p w14:paraId="73B43BF9">
            <w:pPr>
              <w:pStyle w:val="223"/>
              <w:spacing w:before="54" w:line="273" w:lineRule="auto"/>
              <w:ind w:left="652" w:right="147" w:hanging="474"/>
              <w:rPr>
                <w:color w:val="auto"/>
                <w:highlight w:val="none"/>
              </w:rPr>
            </w:pPr>
            <w:r>
              <w:rPr>
                <w:color w:val="auto"/>
                <w:spacing w:val="5"/>
                <w:highlight w:val="none"/>
              </w:rPr>
              <w:t>电池容量衰减不超过</w:t>
            </w:r>
            <w:r>
              <w:rPr>
                <w:color w:val="auto"/>
                <w:spacing w:val="-30"/>
                <w:highlight w:val="none"/>
              </w:rPr>
              <w:t xml:space="preserve"> </w:t>
            </w:r>
            <w:r>
              <w:rPr>
                <w:color w:val="auto"/>
                <w:spacing w:val="5"/>
                <w:highlight w:val="none"/>
              </w:rPr>
              <w:t>20%，安</w:t>
            </w:r>
            <w:r>
              <w:rPr>
                <w:color w:val="auto"/>
                <w:highlight w:val="none"/>
              </w:rPr>
              <w:t xml:space="preserve"> </w:t>
            </w:r>
            <w:r>
              <w:rPr>
                <w:color w:val="auto"/>
                <w:spacing w:val="7"/>
                <w:highlight w:val="none"/>
              </w:rPr>
              <w:t>全检测数值达标。</w:t>
            </w:r>
          </w:p>
          <w:p w14:paraId="72E980AC">
            <w:pPr>
              <w:pStyle w:val="223"/>
              <w:spacing w:before="32" w:line="228" w:lineRule="auto"/>
              <w:ind w:left="137"/>
              <w:rPr>
                <w:color w:val="auto"/>
                <w:highlight w:val="none"/>
              </w:rPr>
            </w:pPr>
            <w:r>
              <w:rPr>
                <w:color w:val="auto"/>
                <w:spacing w:val="2"/>
                <w:highlight w:val="none"/>
              </w:rPr>
              <w:t>电池包总成（含电芯、</w:t>
            </w:r>
            <w:r>
              <w:rPr>
                <w:color w:val="auto"/>
                <w:highlight w:val="none"/>
              </w:rPr>
              <w:t>BMS</w:t>
            </w:r>
            <w:r>
              <w:rPr>
                <w:color w:val="auto"/>
                <w:spacing w:val="2"/>
                <w:highlight w:val="none"/>
              </w:rPr>
              <w:t>、高</w:t>
            </w:r>
          </w:p>
          <w:p w14:paraId="119C9C57">
            <w:pPr>
              <w:pStyle w:val="223"/>
              <w:spacing w:before="64" w:line="260" w:lineRule="auto"/>
              <w:ind w:left="1075" w:right="118" w:hanging="947"/>
              <w:rPr>
                <w:color w:val="auto"/>
                <w:highlight w:val="none"/>
              </w:rPr>
            </w:pPr>
            <w:r>
              <w:rPr>
                <w:color w:val="auto"/>
                <w:spacing w:val="9"/>
                <w:highlight w:val="none"/>
              </w:rPr>
              <w:t>压接触器、高低压插件、连接</w:t>
            </w:r>
            <w:r>
              <w:rPr>
                <w:color w:val="auto"/>
                <w:spacing w:val="1"/>
                <w:highlight w:val="none"/>
              </w:rPr>
              <w:t xml:space="preserve"> </w:t>
            </w:r>
            <w:r>
              <w:rPr>
                <w:color w:val="auto"/>
                <w:spacing w:val="4"/>
                <w:highlight w:val="none"/>
              </w:rPr>
              <w:t>线束等）</w:t>
            </w:r>
          </w:p>
        </w:tc>
        <w:tc>
          <w:tcPr>
            <w:tcW w:w="2040" w:type="dxa"/>
            <w:noWrap w:val="0"/>
            <w:vAlign w:val="top"/>
          </w:tcPr>
          <w:p w14:paraId="21D1C68A">
            <w:pPr>
              <w:spacing w:line="304" w:lineRule="auto"/>
              <w:rPr>
                <w:rFonts w:ascii="Arial"/>
                <w:color w:val="auto"/>
                <w:sz w:val="21"/>
                <w:highlight w:val="none"/>
              </w:rPr>
            </w:pPr>
          </w:p>
          <w:p w14:paraId="7804DEC5">
            <w:pPr>
              <w:pStyle w:val="223"/>
              <w:spacing w:before="65" w:line="228" w:lineRule="auto"/>
              <w:rPr>
                <w:color w:val="auto"/>
                <w:spacing w:val="5"/>
                <w:highlight w:val="none"/>
              </w:rPr>
            </w:pPr>
          </w:p>
          <w:p w14:paraId="5FE04AEF">
            <w:pPr>
              <w:pStyle w:val="223"/>
              <w:spacing w:before="65" w:line="228" w:lineRule="auto"/>
              <w:ind w:left="317"/>
              <w:rPr>
                <w:rFonts w:hint="default" w:eastAsia="宋体"/>
                <w:color w:val="auto"/>
                <w:spacing w:val="5"/>
                <w:highlight w:val="none"/>
                <w:lang w:val="en-US" w:eastAsia="zh-CN"/>
              </w:rPr>
            </w:pPr>
            <w:r>
              <w:rPr>
                <w:rFonts w:hint="eastAsia"/>
                <w:color w:val="auto"/>
                <w:spacing w:val="5"/>
                <w:highlight w:val="none"/>
                <w:lang w:val="en-US" w:eastAsia="zh-CN"/>
              </w:rPr>
              <w:t>10年（含附件）</w:t>
            </w:r>
          </w:p>
        </w:tc>
      </w:tr>
      <w:tr w14:paraId="4ECFB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1DF2049A">
            <w:pPr>
              <w:rPr>
                <w:rFonts w:ascii="Arial"/>
                <w:color w:val="auto"/>
                <w:sz w:val="21"/>
                <w:highlight w:val="none"/>
              </w:rPr>
            </w:pPr>
          </w:p>
        </w:tc>
        <w:tc>
          <w:tcPr>
            <w:tcW w:w="810" w:type="dxa"/>
            <w:vMerge w:val="continue"/>
            <w:tcBorders>
              <w:top w:val="nil"/>
              <w:bottom w:val="nil"/>
            </w:tcBorders>
            <w:noWrap w:val="0"/>
            <w:vAlign w:val="top"/>
          </w:tcPr>
          <w:p w14:paraId="63236C9C">
            <w:pPr>
              <w:rPr>
                <w:rFonts w:ascii="Arial"/>
                <w:color w:val="auto"/>
                <w:sz w:val="21"/>
                <w:highlight w:val="none"/>
              </w:rPr>
            </w:pPr>
          </w:p>
        </w:tc>
        <w:tc>
          <w:tcPr>
            <w:tcW w:w="675" w:type="dxa"/>
            <w:vMerge w:val="continue"/>
            <w:tcBorders>
              <w:top w:val="nil"/>
              <w:bottom w:val="nil"/>
            </w:tcBorders>
            <w:noWrap w:val="0"/>
            <w:vAlign w:val="top"/>
          </w:tcPr>
          <w:p w14:paraId="165D7EA3">
            <w:pPr>
              <w:rPr>
                <w:rFonts w:ascii="Arial"/>
                <w:color w:val="auto"/>
                <w:sz w:val="21"/>
                <w:highlight w:val="none"/>
              </w:rPr>
            </w:pPr>
          </w:p>
        </w:tc>
        <w:tc>
          <w:tcPr>
            <w:tcW w:w="1081" w:type="dxa"/>
            <w:noWrap w:val="0"/>
            <w:vAlign w:val="top"/>
          </w:tcPr>
          <w:p w14:paraId="7119FD5B">
            <w:pPr>
              <w:pStyle w:val="223"/>
              <w:spacing w:before="68" w:line="228" w:lineRule="auto"/>
              <w:ind w:left="128"/>
              <w:rPr>
                <w:color w:val="auto"/>
                <w:highlight w:val="none"/>
              </w:rPr>
            </w:pPr>
            <w:r>
              <w:rPr>
                <w:color w:val="auto"/>
                <w:spacing w:val="6"/>
                <w:highlight w:val="none"/>
              </w:rPr>
              <w:t>驱动电机</w:t>
            </w:r>
          </w:p>
        </w:tc>
        <w:tc>
          <w:tcPr>
            <w:tcW w:w="2972" w:type="dxa"/>
            <w:noWrap w:val="0"/>
            <w:vAlign w:val="top"/>
          </w:tcPr>
          <w:p w14:paraId="641CA473">
            <w:pPr>
              <w:pStyle w:val="223"/>
              <w:spacing w:before="68" w:line="228" w:lineRule="auto"/>
              <w:ind w:left="341"/>
              <w:rPr>
                <w:rFonts w:hint="default" w:eastAsia="宋体"/>
                <w:color w:val="auto"/>
                <w:highlight w:val="none"/>
                <w:lang w:val="en-US" w:eastAsia="zh-CN"/>
              </w:rPr>
            </w:pPr>
            <w:r>
              <w:rPr>
                <w:color w:val="auto"/>
                <w:spacing w:val="7"/>
                <w:highlight w:val="none"/>
              </w:rPr>
              <w:t>驱动电机总成</w:t>
            </w:r>
            <w:r>
              <w:rPr>
                <w:rFonts w:hint="eastAsia"/>
                <w:color w:val="auto"/>
                <w:spacing w:val="7"/>
                <w:highlight w:val="none"/>
                <w:lang w:val="en-US" w:eastAsia="zh-CN"/>
              </w:rPr>
              <w:t xml:space="preserve">    </w:t>
            </w:r>
          </w:p>
        </w:tc>
        <w:tc>
          <w:tcPr>
            <w:tcW w:w="2040" w:type="dxa"/>
            <w:noWrap w:val="0"/>
            <w:vAlign w:val="top"/>
          </w:tcPr>
          <w:p w14:paraId="7D199FC4">
            <w:pPr>
              <w:pStyle w:val="223"/>
              <w:spacing w:before="69" w:line="228" w:lineRule="auto"/>
              <w:rPr>
                <w:rFonts w:hint="default" w:eastAsia="宋体"/>
                <w:color w:val="auto"/>
                <w:highlight w:val="none"/>
                <w:lang w:val="en-US" w:eastAsia="zh-CN"/>
              </w:rPr>
            </w:pPr>
            <w:r>
              <w:rPr>
                <w:rFonts w:hint="eastAsia"/>
                <w:color w:val="auto"/>
                <w:spacing w:val="-3"/>
                <w:highlight w:val="none"/>
                <w:lang w:val="en-US" w:eastAsia="zh-CN"/>
              </w:rPr>
              <w:t xml:space="preserve">        10年</w:t>
            </w:r>
          </w:p>
        </w:tc>
      </w:tr>
      <w:tr w14:paraId="05223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469D473A">
            <w:pPr>
              <w:rPr>
                <w:rFonts w:ascii="Arial"/>
                <w:color w:val="auto"/>
                <w:sz w:val="21"/>
                <w:highlight w:val="none"/>
              </w:rPr>
            </w:pPr>
          </w:p>
        </w:tc>
        <w:tc>
          <w:tcPr>
            <w:tcW w:w="810" w:type="dxa"/>
            <w:vMerge w:val="continue"/>
            <w:tcBorders>
              <w:top w:val="nil"/>
              <w:bottom w:val="nil"/>
            </w:tcBorders>
            <w:noWrap w:val="0"/>
            <w:vAlign w:val="top"/>
          </w:tcPr>
          <w:p w14:paraId="5442E85F">
            <w:pPr>
              <w:rPr>
                <w:rFonts w:ascii="Arial"/>
                <w:color w:val="auto"/>
                <w:sz w:val="21"/>
                <w:highlight w:val="none"/>
              </w:rPr>
            </w:pPr>
          </w:p>
        </w:tc>
        <w:tc>
          <w:tcPr>
            <w:tcW w:w="675" w:type="dxa"/>
            <w:vMerge w:val="continue"/>
            <w:tcBorders>
              <w:top w:val="nil"/>
              <w:bottom w:val="nil"/>
            </w:tcBorders>
            <w:noWrap w:val="0"/>
            <w:vAlign w:val="top"/>
          </w:tcPr>
          <w:p w14:paraId="0C2E84B6">
            <w:pPr>
              <w:rPr>
                <w:rFonts w:ascii="Arial"/>
                <w:color w:val="auto"/>
                <w:sz w:val="21"/>
                <w:highlight w:val="none"/>
              </w:rPr>
            </w:pPr>
          </w:p>
        </w:tc>
        <w:tc>
          <w:tcPr>
            <w:tcW w:w="1081" w:type="dxa"/>
            <w:vMerge w:val="restart"/>
            <w:tcBorders>
              <w:bottom w:val="nil"/>
            </w:tcBorders>
            <w:noWrap w:val="0"/>
            <w:vAlign w:val="top"/>
          </w:tcPr>
          <w:p w14:paraId="31C62FC1">
            <w:pPr>
              <w:spacing w:line="243" w:lineRule="auto"/>
              <w:rPr>
                <w:rFonts w:ascii="Arial"/>
                <w:color w:val="auto"/>
                <w:sz w:val="21"/>
                <w:highlight w:val="none"/>
              </w:rPr>
            </w:pPr>
          </w:p>
          <w:p w14:paraId="7D8886C2">
            <w:pPr>
              <w:spacing w:line="244" w:lineRule="auto"/>
              <w:rPr>
                <w:rFonts w:ascii="Arial"/>
                <w:color w:val="auto"/>
                <w:sz w:val="21"/>
                <w:highlight w:val="none"/>
              </w:rPr>
            </w:pPr>
          </w:p>
          <w:p w14:paraId="2D2C8C0E">
            <w:pPr>
              <w:spacing w:line="244" w:lineRule="auto"/>
              <w:rPr>
                <w:rFonts w:ascii="Arial"/>
                <w:color w:val="auto"/>
                <w:sz w:val="21"/>
                <w:highlight w:val="none"/>
              </w:rPr>
            </w:pPr>
          </w:p>
          <w:p w14:paraId="5EF29A47">
            <w:pPr>
              <w:spacing w:line="244" w:lineRule="auto"/>
              <w:rPr>
                <w:rFonts w:ascii="Arial"/>
                <w:color w:val="auto"/>
                <w:sz w:val="21"/>
                <w:highlight w:val="none"/>
              </w:rPr>
            </w:pPr>
          </w:p>
          <w:p w14:paraId="2730857D">
            <w:pPr>
              <w:spacing w:line="244" w:lineRule="auto"/>
              <w:rPr>
                <w:rFonts w:ascii="Arial"/>
                <w:color w:val="auto"/>
                <w:sz w:val="21"/>
                <w:highlight w:val="none"/>
              </w:rPr>
            </w:pPr>
          </w:p>
          <w:p w14:paraId="5D17CD08">
            <w:pPr>
              <w:spacing w:line="244" w:lineRule="auto"/>
              <w:rPr>
                <w:rFonts w:ascii="Arial"/>
                <w:color w:val="auto"/>
                <w:sz w:val="21"/>
                <w:highlight w:val="none"/>
              </w:rPr>
            </w:pPr>
          </w:p>
          <w:p w14:paraId="7DE06530">
            <w:pPr>
              <w:spacing w:line="244" w:lineRule="auto"/>
              <w:rPr>
                <w:rFonts w:ascii="Arial"/>
                <w:color w:val="auto"/>
                <w:sz w:val="21"/>
                <w:highlight w:val="none"/>
              </w:rPr>
            </w:pPr>
          </w:p>
          <w:p w14:paraId="19499AC7">
            <w:pPr>
              <w:spacing w:line="244" w:lineRule="auto"/>
              <w:rPr>
                <w:rFonts w:ascii="Arial"/>
                <w:color w:val="auto"/>
                <w:sz w:val="21"/>
                <w:highlight w:val="none"/>
              </w:rPr>
            </w:pPr>
          </w:p>
          <w:p w14:paraId="4CBD2A37">
            <w:pPr>
              <w:spacing w:line="244" w:lineRule="auto"/>
              <w:rPr>
                <w:rFonts w:ascii="Arial"/>
                <w:color w:val="auto"/>
                <w:sz w:val="21"/>
                <w:highlight w:val="none"/>
              </w:rPr>
            </w:pPr>
          </w:p>
          <w:p w14:paraId="533E4558">
            <w:pPr>
              <w:spacing w:line="244" w:lineRule="auto"/>
              <w:rPr>
                <w:rFonts w:ascii="Arial"/>
                <w:color w:val="auto"/>
                <w:sz w:val="21"/>
                <w:highlight w:val="none"/>
              </w:rPr>
            </w:pPr>
          </w:p>
          <w:p w14:paraId="51294E10">
            <w:pPr>
              <w:spacing w:line="244" w:lineRule="auto"/>
              <w:rPr>
                <w:rFonts w:ascii="Arial"/>
                <w:color w:val="auto"/>
                <w:sz w:val="21"/>
                <w:highlight w:val="none"/>
              </w:rPr>
            </w:pPr>
          </w:p>
          <w:p w14:paraId="62550AE0">
            <w:pPr>
              <w:pStyle w:val="223"/>
              <w:spacing w:before="65" w:line="229" w:lineRule="auto"/>
              <w:ind w:left="150"/>
              <w:rPr>
                <w:color w:val="auto"/>
                <w:highlight w:val="none"/>
              </w:rPr>
            </w:pPr>
            <w:r>
              <w:rPr>
                <w:color w:val="auto"/>
                <w:spacing w:val="1"/>
                <w:highlight w:val="none"/>
              </w:rPr>
              <w:t>电控系统</w:t>
            </w:r>
          </w:p>
        </w:tc>
        <w:tc>
          <w:tcPr>
            <w:tcW w:w="2972" w:type="dxa"/>
            <w:noWrap w:val="0"/>
            <w:vAlign w:val="top"/>
          </w:tcPr>
          <w:p w14:paraId="493D55D7">
            <w:pPr>
              <w:pStyle w:val="223"/>
              <w:spacing w:before="69" w:line="228" w:lineRule="auto"/>
              <w:ind w:left="235"/>
              <w:rPr>
                <w:color w:val="auto"/>
                <w:highlight w:val="none"/>
              </w:rPr>
            </w:pPr>
            <w:r>
              <w:rPr>
                <w:color w:val="auto"/>
                <w:spacing w:val="8"/>
                <w:highlight w:val="none"/>
              </w:rPr>
              <w:t>驱动电机控制器</w:t>
            </w:r>
          </w:p>
        </w:tc>
        <w:tc>
          <w:tcPr>
            <w:tcW w:w="2040" w:type="dxa"/>
            <w:noWrap w:val="0"/>
            <w:vAlign w:val="top"/>
          </w:tcPr>
          <w:p w14:paraId="0F0E7633">
            <w:pPr>
              <w:pStyle w:val="223"/>
              <w:spacing w:before="70" w:line="228" w:lineRule="auto"/>
              <w:ind w:left="842"/>
              <w:rPr>
                <w:color w:val="auto"/>
                <w:highlight w:val="none"/>
              </w:rPr>
            </w:pPr>
            <w:r>
              <w:rPr>
                <w:rFonts w:hint="eastAsia"/>
                <w:color w:val="auto"/>
                <w:spacing w:val="-3"/>
                <w:highlight w:val="none"/>
                <w:lang w:val="en-US" w:eastAsia="zh-CN"/>
              </w:rPr>
              <w:t>10</w:t>
            </w:r>
            <w:r>
              <w:rPr>
                <w:color w:val="auto"/>
                <w:spacing w:val="-39"/>
                <w:highlight w:val="none"/>
              </w:rPr>
              <w:t xml:space="preserve"> </w:t>
            </w:r>
            <w:r>
              <w:rPr>
                <w:color w:val="auto"/>
                <w:spacing w:val="-3"/>
                <w:highlight w:val="none"/>
              </w:rPr>
              <w:t>年</w:t>
            </w:r>
          </w:p>
        </w:tc>
      </w:tr>
      <w:tr w14:paraId="3D930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48" w:type="dxa"/>
            <w:vMerge w:val="continue"/>
            <w:tcBorders>
              <w:top w:val="nil"/>
              <w:bottom w:val="nil"/>
            </w:tcBorders>
            <w:noWrap w:val="0"/>
            <w:vAlign w:val="top"/>
          </w:tcPr>
          <w:p w14:paraId="6D260611">
            <w:pPr>
              <w:rPr>
                <w:rFonts w:ascii="Arial"/>
                <w:color w:val="auto"/>
                <w:sz w:val="21"/>
                <w:highlight w:val="none"/>
              </w:rPr>
            </w:pPr>
          </w:p>
        </w:tc>
        <w:tc>
          <w:tcPr>
            <w:tcW w:w="810" w:type="dxa"/>
            <w:vMerge w:val="continue"/>
            <w:tcBorders>
              <w:top w:val="nil"/>
              <w:bottom w:val="nil"/>
            </w:tcBorders>
            <w:noWrap w:val="0"/>
            <w:vAlign w:val="top"/>
          </w:tcPr>
          <w:p w14:paraId="5A94D5AC">
            <w:pPr>
              <w:rPr>
                <w:rFonts w:ascii="Arial"/>
                <w:color w:val="auto"/>
                <w:sz w:val="21"/>
                <w:highlight w:val="none"/>
              </w:rPr>
            </w:pPr>
          </w:p>
        </w:tc>
        <w:tc>
          <w:tcPr>
            <w:tcW w:w="675" w:type="dxa"/>
            <w:vMerge w:val="continue"/>
            <w:tcBorders>
              <w:top w:val="nil"/>
              <w:bottom w:val="nil"/>
            </w:tcBorders>
            <w:noWrap w:val="0"/>
            <w:vAlign w:val="top"/>
          </w:tcPr>
          <w:p w14:paraId="66E6F01B">
            <w:pPr>
              <w:rPr>
                <w:rFonts w:ascii="Arial"/>
                <w:color w:val="auto"/>
                <w:sz w:val="21"/>
                <w:highlight w:val="none"/>
              </w:rPr>
            </w:pPr>
          </w:p>
        </w:tc>
        <w:tc>
          <w:tcPr>
            <w:tcW w:w="1081" w:type="dxa"/>
            <w:vMerge w:val="continue"/>
            <w:tcBorders>
              <w:top w:val="nil"/>
              <w:bottom w:val="nil"/>
            </w:tcBorders>
            <w:noWrap w:val="0"/>
            <w:vAlign w:val="top"/>
          </w:tcPr>
          <w:p w14:paraId="13754A83">
            <w:pPr>
              <w:rPr>
                <w:rFonts w:ascii="Arial"/>
                <w:color w:val="auto"/>
                <w:sz w:val="21"/>
                <w:highlight w:val="none"/>
              </w:rPr>
            </w:pPr>
          </w:p>
        </w:tc>
        <w:tc>
          <w:tcPr>
            <w:tcW w:w="2972" w:type="dxa"/>
            <w:noWrap w:val="0"/>
            <w:vAlign w:val="top"/>
          </w:tcPr>
          <w:p w14:paraId="471845B7">
            <w:pPr>
              <w:pStyle w:val="223"/>
              <w:spacing w:before="96" w:line="228" w:lineRule="auto"/>
              <w:ind w:left="1076"/>
              <w:rPr>
                <w:color w:val="auto"/>
                <w:highlight w:val="none"/>
              </w:rPr>
            </w:pPr>
            <w:r>
              <w:rPr>
                <w:color w:val="auto"/>
                <w:spacing w:val="6"/>
                <w:highlight w:val="none"/>
              </w:rPr>
              <w:t>维修开关</w:t>
            </w:r>
          </w:p>
        </w:tc>
        <w:tc>
          <w:tcPr>
            <w:tcW w:w="2040" w:type="dxa"/>
            <w:noWrap w:val="0"/>
            <w:vAlign w:val="top"/>
          </w:tcPr>
          <w:p w14:paraId="55425B01">
            <w:pPr>
              <w:pStyle w:val="223"/>
              <w:spacing w:before="96" w:line="228" w:lineRule="auto"/>
              <w:ind w:left="842"/>
              <w:rPr>
                <w:color w:val="auto"/>
                <w:highlight w:val="none"/>
              </w:rPr>
            </w:pPr>
            <w:r>
              <w:rPr>
                <w:rFonts w:hint="eastAsia"/>
                <w:color w:val="auto"/>
                <w:spacing w:val="-39"/>
                <w:highlight w:val="none"/>
                <w:lang w:val="en-US" w:eastAsia="zh-CN"/>
              </w:rPr>
              <w:t>10</w:t>
            </w:r>
            <w:r>
              <w:rPr>
                <w:color w:val="auto"/>
                <w:spacing w:val="-39"/>
                <w:highlight w:val="none"/>
              </w:rPr>
              <w:t xml:space="preserve"> </w:t>
            </w:r>
            <w:r>
              <w:rPr>
                <w:color w:val="auto"/>
                <w:spacing w:val="-3"/>
                <w:highlight w:val="none"/>
              </w:rPr>
              <w:t>年</w:t>
            </w:r>
          </w:p>
        </w:tc>
      </w:tr>
      <w:tr w14:paraId="75691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48" w:type="dxa"/>
            <w:vMerge w:val="continue"/>
            <w:tcBorders>
              <w:top w:val="nil"/>
              <w:bottom w:val="nil"/>
            </w:tcBorders>
            <w:noWrap w:val="0"/>
            <w:vAlign w:val="top"/>
          </w:tcPr>
          <w:p w14:paraId="46871136">
            <w:pPr>
              <w:rPr>
                <w:rFonts w:ascii="Arial"/>
                <w:color w:val="auto"/>
                <w:sz w:val="21"/>
                <w:highlight w:val="none"/>
              </w:rPr>
            </w:pPr>
          </w:p>
        </w:tc>
        <w:tc>
          <w:tcPr>
            <w:tcW w:w="810" w:type="dxa"/>
            <w:vMerge w:val="continue"/>
            <w:tcBorders>
              <w:top w:val="nil"/>
              <w:bottom w:val="nil"/>
            </w:tcBorders>
            <w:noWrap w:val="0"/>
            <w:vAlign w:val="top"/>
          </w:tcPr>
          <w:p w14:paraId="2786B510">
            <w:pPr>
              <w:rPr>
                <w:rFonts w:ascii="Arial"/>
                <w:color w:val="auto"/>
                <w:sz w:val="21"/>
                <w:highlight w:val="none"/>
              </w:rPr>
            </w:pPr>
          </w:p>
        </w:tc>
        <w:tc>
          <w:tcPr>
            <w:tcW w:w="675" w:type="dxa"/>
            <w:vMerge w:val="continue"/>
            <w:tcBorders>
              <w:top w:val="nil"/>
              <w:bottom w:val="nil"/>
            </w:tcBorders>
            <w:noWrap w:val="0"/>
            <w:vAlign w:val="top"/>
          </w:tcPr>
          <w:p w14:paraId="1C937A5D">
            <w:pPr>
              <w:rPr>
                <w:rFonts w:ascii="Arial"/>
                <w:color w:val="auto"/>
                <w:sz w:val="21"/>
                <w:highlight w:val="none"/>
              </w:rPr>
            </w:pPr>
          </w:p>
        </w:tc>
        <w:tc>
          <w:tcPr>
            <w:tcW w:w="1081" w:type="dxa"/>
            <w:vMerge w:val="continue"/>
            <w:tcBorders>
              <w:top w:val="nil"/>
              <w:bottom w:val="nil"/>
            </w:tcBorders>
            <w:noWrap w:val="0"/>
            <w:vAlign w:val="top"/>
          </w:tcPr>
          <w:p w14:paraId="2664DCD9">
            <w:pPr>
              <w:rPr>
                <w:rFonts w:ascii="Arial"/>
                <w:color w:val="auto"/>
                <w:sz w:val="21"/>
                <w:highlight w:val="none"/>
              </w:rPr>
            </w:pPr>
          </w:p>
        </w:tc>
        <w:tc>
          <w:tcPr>
            <w:tcW w:w="2972" w:type="dxa"/>
            <w:noWrap w:val="0"/>
            <w:vAlign w:val="top"/>
          </w:tcPr>
          <w:p w14:paraId="487C054F">
            <w:pPr>
              <w:pStyle w:val="223"/>
              <w:spacing w:before="104" w:line="228" w:lineRule="auto"/>
              <w:ind w:left="341"/>
              <w:rPr>
                <w:color w:val="auto"/>
                <w:highlight w:val="none"/>
              </w:rPr>
            </w:pPr>
            <w:r>
              <w:rPr>
                <w:color w:val="auto"/>
                <w:spacing w:val="7"/>
                <w:highlight w:val="none"/>
              </w:rPr>
              <w:t>充电口</w:t>
            </w:r>
          </w:p>
        </w:tc>
        <w:tc>
          <w:tcPr>
            <w:tcW w:w="2040" w:type="dxa"/>
            <w:noWrap w:val="0"/>
            <w:vAlign w:val="top"/>
          </w:tcPr>
          <w:p w14:paraId="4F780FF6">
            <w:pPr>
              <w:pStyle w:val="223"/>
              <w:spacing w:before="105" w:line="228" w:lineRule="auto"/>
              <w:ind w:left="842"/>
              <w:rPr>
                <w:color w:val="auto"/>
                <w:highlight w:val="none"/>
              </w:rPr>
            </w:pPr>
            <w:r>
              <w:rPr>
                <w:rFonts w:hint="eastAsia"/>
                <w:color w:val="auto"/>
                <w:spacing w:val="-3"/>
                <w:highlight w:val="none"/>
                <w:lang w:val="en-US" w:eastAsia="zh-CN"/>
              </w:rPr>
              <w:t>10</w:t>
            </w:r>
            <w:r>
              <w:rPr>
                <w:color w:val="auto"/>
                <w:spacing w:val="-3"/>
                <w:highlight w:val="none"/>
              </w:rPr>
              <w:t>年</w:t>
            </w:r>
          </w:p>
        </w:tc>
      </w:tr>
      <w:tr w14:paraId="024F5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948" w:type="dxa"/>
            <w:vMerge w:val="continue"/>
            <w:tcBorders>
              <w:top w:val="nil"/>
              <w:bottom w:val="nil"/>
            </w:tcBorders>
            <w:noWrap w:val="0"/>
            <w:vAlign w:val="top"/>
          </w:tcPr>
          <w:p w14:paraId="5D73F234">
            <w:pPr>
              <w:rPr>
                <w:rFonts w:ascii="Arial"/>
                <w:color w:val="auto"/>
                <w:sz w:val="21"/>
                <w:highlight w:val="none"/>
              </w:rPr>
            </w:pPr>
          </w:p>
        </w:tc>
        <w:tc>
          <w:tcPr>
            <w:tcW w:w="810" w:type="dxa"/>
            <w:vMerge w:val="continue"/>
            <w:tcBorders>
              <w:top w:val="nil"/>
              <w:bottom w:val="nil"/>
            </w:tcBorders>
            <w:noWrap w:val="0"/>
            <w:vAlign w:val="top"/>
          </w:tcPr>
          <w:p w14:paraId="02759148">
            <w:pPr>
              <w:rPr>
                <w:rFonts w:ascii="Arial"/>
                <w:color w:val="auto"/>
                <w:sz w:val="21"/>
                <w:highlight w:val="none"/>
              </w:rPr>
            </w:pPr>
          </w:p>
        </w:tc>
        <w:tc>
          <w:tcPr>
            <w:tcW w:w="675" w:type="dxa"/>
            <w:vMerge w:val="continue"/>
            <w:tcBorders>
              <w:top w:val="nil"/>
              <w:bottom w:val="nil"/>
            </w:tcBorders>
            <w:noWrap w:val="0"/>
            <w:vAlign w:val="top"/>
          </w:tcPr>
          <w:p w14:paraId="05EAC3C0">
            <w:pPr>
              <w:rPr>
                <w:rFonts w:ascii="Arial"/>
                <w:color w:val="auto"/>
                <w:sz w:val="21"/>
                <w:highlight w:val="none"/>
              </w:rPr>
            </w:pPr>
          </w:p>
        </w:tc>
        <w:tc>
          <w:tcPr>
            <w:tcW w:w="1081" w:type="dxa"/>
            <w:vMerge w:val="continue"/>
            <w:tcBorders>
              <w:top w:val="nil"/>
              <w:bottom w:val="nil"/>
            </w:tcBorders>
            <w:noWrap w:val="0"/>
            <w:vAlign w:val="top"/>
          </w:tcPr>
          <w:p w14:paraId="7D4B00FE">
            <w:pPr>
              <w:rPr>
                <w:rFonts w:ascii="Arial"/>
                <w:color w:val="auto"/>
                <w:sz w:val="21"/>
                <w:highlight w:val="none"/>
              </w:rPr>
            </w:pPr>
          </w:p>
        </w:tc>
        <w:tc>
          <w:tcPr>
            <w:tcW w:w="2972" w:type="dxa"/>
            <w:noWrap w:val="0"/>
            <w:vAlign w:val="top"/>
          </w:tcPr>
          <w:p w14:paraId="5BD93477">
            <w:pPr>
              <w:pStyle w:val="223"/>
              <w:spacing w:before="108" w:line="228" w:lineRule="auto"/>
              <w:ind w:left="236"/>
              <w:rPr>
                <w:color w:val="auto"/>
                <w:highlight w:val="none"/>
              </w:rPr>
            </w:pPr>
            <w:r>
              <w:rPr>
                <w:color w:val="auto"/>
                <w:spacing w:val="8"/>
                <w:highlight w:val="none"/>
              </w:rPr>
              <w:t>前后辅助控制器</w:t>
            </w:r>
          </w:p>
        </w:tc>
        <w:tc>
          <w:tcPr>
            <w:tcW w:w="2040" w:type="dxa"/>
            <w:noWrap w:val="0"/>
            <w:vAlign w:val="top"/>
          </w:tcPr>
          <w:p w14:paraId="31417879">
            <w:pPr>
              <w:pStyle w:val="223"/>
              <w:spacing w:before="109" w:line="228" w:lineRule="auto"/>
              <w:ind w:left="842"/>
              <w:rPr>
                <w:color w:val="auto"/>
                <w:highlight w:val="none"/>
              </w:rPr>
            </w:pPr>
            <w:r>
              <w:rPr>
                <w:rFonts w:hint="eastAsia"/>
                <w:color w:val="auto"/>
                <w:spacing w:val="-3"/>
                <w:highlight w:val="none"/>
                <w:lang w:val="en-US" w:eastAsia="zh-CN"/>
              </w:rPr>
              <w:t>10</w:t>
            </w:r>
            <w:r>
              <w:rPr>
                <w:color w:val="auto"/>
                <w:spacing w:val="-3"/>
                <w:highlight w:val="none"/>
              </w:rPr>
              <w:t>年</w:t>
            </w:r>
          </w:p>
        </w:tc>
      </w:tr>
      <w:tr w14:paraId="2B476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48" w:type="dxa"/>
            <w:vMerge w:val="continue"/>
            <w:tcBorders>
              <w:top w:val="nil"/>
              <w:bottom w:val="nil"/>
            </w:tcBorders>
            <w:noWrap w:val="0"/>
            <w:vAlign w:val="top"/>
          </w:tcPr>
          <w:p w14:paraId="47C6C3F7">
            <w:pPr>
              <w:rPr>
                <w:rFonts w:ascii="Arial"/>
                <w:color w:val="auto"/>
                <w:sz w:val="21"/>
                <w:highlight w:val="none"/>
              </w:rPr>
            </w:pPr>
          </w:p>
        </w:tc>
        <w:tc>
          <w:tcPr>
            <w:tcW w:w="810" w:type="dxa"/>
            <w:vMerge w:val="continue"/>
            <w:tcBorders>
              <w:top w:val="nil"/>
              <w:bottom w:val="nil"/>
            </w:tcBorders>
            <w:noWrap w:val="0"/>
            <w:vAlign w:val="top"/>
          </w:tcPr>
          <w:p w14:paraId="3B0CA95B">
            <w:pPr>
              <w:rPr>
                <w:rFonts w:ascii="Arial"/>
                <w:color w:val="auto"/>
                <w:sz w:val="21"/>
                <w:highlight w:val="none"/>
              </w:rPr>
            </w:pPr>
          </w:p>
        </w:tc>
        <w:tc>
          <w:tcPr>
            <w:tcW w:w="675" w:type="dxa"/>
            <w:vMerge w:val="continue"/>
            <w:tcBorders>
              <w:top w:val="nil"/>
              <w:bottom w:val="nil"/>
            </w:tcBorders>
            <w:noWrap w:val="0"/>
            <w:vAlign w:val="top"/>
          </w:tcPr>
          <w:p w14:paraId="11D8A597">
            <w:pPr>
              <w:rPr>
                <w:rFonts w:ascii="Arial"/>
                <w:color w:val="auto"/>
                <w:sz w:val="21"/>
                <w:highlight w:val="none"/>
              </w:rPr>
            </w:pPr>
          </w:p>
        </w:tc>
        <w:tc>
          <w:tcPr>
            <w:tcW w:w="1081" w:type="dxa"/>
            <w:vMerge w:val="continue"/>
            <w:tcBorders>
              <w:top w:val="nil"/>
              <w:bottom w:val="nil"/>
            </w:tcBorders>
            <w:noWrap w:val="0"/>
            <w:vAlign w:val="top"/>
          </w:tcPr>
          <w:p w14:paraId="5BF01C57">
            <w:pPr>
              <w:rPr>
                <w:rFonts w:ascii="Arial"/>
                <w:color w:val="auto"/>
                <w:sz w:val="21"/>
                <w:highlight w:val="none"/>
              </w:rPr>
            </w:pPr>
          </w:p>
        </w:tc>
        <w:tc>
          <w:tcPr>
            <w:tcW w:w="2972" w:type="dxa"/>
            <w:noWrap w:val="0"/>
            <w:vAlign w:val="top"/>
          </w:tcPr>
          <w:p w14:paraId="168E9D38">
            <w:pPr>
              <w:pStyle w:val="223"/>
              <w:spacing w:before="105" w:line="228" w:lineRule="auto"/>
              <w:ind w:left="975"/>
              <w:rPr>
                <w:color w:val="auto"/>
                <w:highlight w:val="none"/>
              </w:rPr>
            </w:pPr>
            <w:r>
              <w:rPr>
                <w:color w:val="auto"/>
                <w:spacing w:val="6"/>
                <w:highlight w:val="none"/>
              </w:rPr>
              <w:t>负极保险盒</w:t>
            </w:r>
          </w:p>
        </w:tc>
        <w:tc>
          <w:tcPr>
            <w:tcW w:w="2040" w:type="dxa"/>
            <w:noWrap w:val="0"/>
            <w:vAlign w:val="top"/>
          </w:tcPr>
          <w:p w14:paraId="05AB80C2">
            <w:pPr>
              <w:pStyle w:val="223"/>
              <w:spacing w:before="105" w:line="228" w:lineRule="auto"/>
              <w:ind w:left="842"/>
              <w:rPr>
                <w:color w:val="auto"/>
                <w:highlight w:val="none"/>
              </w:rPr>
            </w:pPr>
            <w:r>
              <w:rPr>
                <w:rFonts w:hint="eastAsia"/>
                <w:color w:val="auto"/>
                <w:spacing w:val="-3"/>
                <w:highlight w:val="none"/>
                <w:lang w:val="en-US" w:eastAsia="zh-CN"/>
              </w:rPr>
              <w:t>10</w:t>
            </w:r>
            <w:r>
              <w:rPr>
                <w:color w:val="auto"/>
                <w:spacing w:val="-3"/>
                <w:highlight w:val="none"/>
              </w:rPr>
              <w:t>年</w:t>
            </w:r>
          </w:p>
        </w:tc>
      </w:tr>
      <w:tr w14:paraId="6B621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48" w:type="dxa"/>
            <w:vMerge w:val="continue"/>
            <w:tcBorders>
              <w:top w:val="nil"/>
              <w:bottom w:val="nil"/>
            </w:tcBorders>
            <w:noWrap w:val="0"/>
            <w:vAlign w:val="top"/>
          </w:tcPr>
          <w:p w14:paraId="3C429C98">
            <w:pPr>
              <w:rPr>
                <w:rFonts w:ascii="Arial"/>
                <w:color w:val="auto"/>
                <w:sz w:val="21"/>
                <w:highlight w:val="none"/>
              </w:rPr>
            </w:pPr>
          </w:p>
        </w:tc>
        <w:tc>
          <w:tcPr>
            <w:tcW w:w="810" w:type="dxa"/>
            <w:vMerge w:val="continue"/>
            <w:tcBorders>
              <w:top w:val="nil"/>
              <w:bottom w:val="nil"/>
            </w:tcBorders>
            <w:noWrap w:val="0"/>
            <w:vAlign w:val="top"/>
          </w:tcPr>
          <w:p w14:paraId="58B4F1F2">
            <w:pPr>
              <w:rPr>
                <w:rFonts w:ascii="Arial"/>
                <w:color w:val="auto"/>
                <w:sz w:val="21"/>
                <w:highlight w:val="none"/>
              </w:rPr>
            </w:pPr>
          </w:p>
        </w:tc>
        <w:tc>
          <w:tcPr>
            <w:tcW w:w="675" w:type="dxa"/>
            <w:vMerge w:val="continue"/>
            <w:tcBorders>
              <w:top w:val="nil"/>
              <w:bottom w:val="nil"/>
            </w:tcBorders>
            <w:noWrap w:val="0"/>
            <w:vAlign w:val="top"/>
          </w:tcPr>
          <w:p w14:paraId="6D0CD8DE">
            <w:pPr>
              <w:rPr>
                <w:rFonts w:ascii="Arial"/>
                <w:color w:val="auto"/>
                <w:sz w:val="21"/>
                <w:highlight w:val="none"/>
              </w:rPr>
            </w:pPr>
          </w:p>
        </w:tc>
        <w:tc>
          <w:tcPr>
            <w:tcW w:w="1081" w:type="dxa"/>
            <w:vMerge w:val="continue"/>
            <w:tcBorders>
              <w:top w:val="nil"/>
              <w:bottom w:val="nil"/>
            </w:tcBorders>
            <w:noWrap w:val="0"/>
            <w:vAlign w:val="top"/>
          </w:tcPr>
          <w:p w14:paraId="3F1E6F98">
            <w:pPr>
              <w:rPr>
                <w:rFonts w:ascii="Arial"/>
                <w:color w:val="auto"/>
                <w:sz w:val="21"/>
                <w:highlight w:val="none"/>
              </w:rPr>
            </w:pPr>
          </w:p>
        </w:tc>
        <w:tc>
          <w:tcPr>
            <w:tcW w:w="2972" w:type="dxa"/>
            <w:noWrap w:val="0"/>
            <w:vAlign w:val="top"/>
          </w:tcPr>
          <w:p w14:paraId="3FC44BF8">
            <w:pPr>
              <w:pStyle w:val="223"/>
              <w:spacing w:before="107" w:line="228" w:lineRule="auto"/>
              <w:ind w:left="149"/>
              <w:rPr>
                <w:color w:val="auto"/>
                <w:highlight w:val="none"/>
              </w:rPr>
            </w:pPr>
            <w:r>
              <w:rPr>
                <w:color w:val="auto"/>
                <w:highlight w:val="none"/>
              </w:rPr>
              <w:t>DC</w:t>
            </w:r>
            <w:r>
              <w:rPr>
                <w:color w:val="auto"/>
                <w:spacing w:val="9"/>
                <w:highlight w:val="none"/>
              </w:rPr>
              <w:t>-</w:t>
            </w:r>
            <w:r>
              <w:rPr>
                <w:color w:val="auto"/>
                <w:highlight w:val="none"/>
              </w:rPr>
              <w:t>DC</w:t>
            </w:r>
            <w:r>
              <w:rPr>
                <w:color w:val="auto"/>
                <w:spacing w:val="-40"/>
                <w:highlight w:val="none"/>
              </w:rPr>
              <w:t xml:space="preserve"> </w:t>
            </w:r>
            <w:r>
              <w:rPr>
                <w:color w:val="auto"/>
                <w:spacing w:val="9"/>
                <w:highlight w:val="none"/>
              </w:rPr>
              <w:t>变换器总成</w:t>
            </w:r>
          </w:p>
        </w:tc>
        <w:tc>
          <w:tcPr>
            <w:tcW w:w="2040" w:type="dxa"/>
            <w:noWrap w:val="0"/>
            <w:vAlign w:val="top"/>
          </w:tcPr>
          <w:p w14:paraId="079CDF26">
            <w:pPr>
              <w:pStyle w:val="223"/>
              <w:spacing w:before="108" w:line="228" w:lineRule="auto"/>
              <w:ind w:left="842"/>
              <w:rPr>
                <w:color w:val="auto"/>
                <w:highlight w:val="none"/>
              </w:rPr>
            </w:pPr>
            <w:r>
              <w:rPr>
                <w:rFonts w:hint="eastAsia"/>
                <w:color w:val="auto"/>
                <w:spacing w:val="-3"/>
                <w:highlight w:val="none"/>
                <w:lang w:val="en-US" w:eastAsia="zh-CN"/>
              </w:rPr>
              <w:t>10</w:t>
            </w:r>
            <w:r>
              <w:rPr>
                <w:color w:val="auto"/>
                <w:spacing w:val="-3"/>
                <w:highlight w:val="none"/>
              </w:rPr>
              <w:t>年</w:t>
            </w:r>
          </w:p>
        </w:tc>
      </w:tr>
      <w:tr w14:paraId="5DDB6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48" w:type="dxa"/>
            <w:vMerge w:val="continue"/>
            <w:tcBorders>
              <w:top w:val="nil"/>
              <w:bottom w:val="nil"/>
            </w:tcBorders>
            <w:noWrap w:val="0"/>
            <w:vAlign w:val="top"/>
          </w:tcPr>
          <w:p w14:paraId="2B7360F4">
            <w:pPr>
              <w:rPr>
                <w:rFonts w:ascii="Arial"/>
                <w:color w:val="auto"/>
                <w:sz w:val="21"/>
                <w:highlight w:val="none"/>
              </w:rPr>
            </w:pPr>
          </w:p>
        </w:tc>
        <w:tc>
          <w:tcPr>
            <w:tcW w:w="810" w:type="dxa"/>
            <w:vMerge w:val="continue"/>
            <w:tcBorders>
              <w:top w:val="nil"/>
              <w:bottom w:val="nil"/>
            </w:tcBorders>
            <w:noWrap w:val="0"/>
            <w:vAlign w:val="top"/>
          </w:tcPr>
          <w:p w14:paraId="264145FF">
            <w:pPr>
              <w:rPr>
                <w:rFonts w:ascii="Arial"/>
                <w:color w:val="auto"/>
                <w:sz w:val="21"/>
                <w:highlight w:val="none"/>
              </w:rPr>
            </w:pPr>
          </w:p>
        </w:tc>
        <w:tc>
          <w:tcPr>
            <w:tcW w:w="675" w:type="dxa"/>
            <w:vMerge w:val="continue"/>
            <w:tcBorders>
              <w:top w:val="nil"/>
              <w:bottom w:val="nil"/>
            </w:tcBorders>
            <w:noWrap w:val="0"/>
            <w:vAlign w:val="top"/>
          </w:tcPr>
          <w:p w14:paraId="57901F81">
            <w:pPr>
              <w:rPr>
                <w:rFonts w:ascii="Arial"/>
                <w:color w:val="auto"/>
                <w:sz w:val="21"/>
                <w:highlight w:val="none"/>
              </w:rPr>
            </w:pPr>
          </w:p>
        </w:tc>
        <w:tc>
          <w:tcPr>
            <w:tcW w:w="1081" w:type="dxa"/>
            <w:vMerge w:val="continue"/>
            <w:tcBorders>
              <w:top w:val="nil"/>
              <w:bottom w:val="nil"/>
            </w:tcBorders>
            <w:noWrap w:val="0"/>
            <w:vAlign w:val="top"/>
          </w:tcPr>
          <w:p w14:paraId="20593097">
            <w:pPr>
              <w:rPr>
                <w:rFonts w:ascii="Arial"/>
                <w:color w:val="auto"/>
                <w:sz w:val="21"/>
                <w:highlight w:val="none"/>
              </w:rPr>
            </w:pPr>
          </w:p>
        </w:tc>
        <w:tc>
          <w:tcPr>
            <w:tcW w:w="2972" w:type="dxa"/>
            <w:noWrap w:val="0"/>
            <w:vAlign w:val="top"/>
          </w:tcPr>
          <w:p w14:paraId="0285E061">
            <w:pPr>
              <w:pStyle w:val="223"/>
              <w:spacing w:before="100" w:line="228" w:lineRule="auto"/>
              <w:ind w:left="442"/>
              <w:rPr>
                <w:color w:val="auto"/>
                <w:highlight w:val="none"/>
              </w:rPr>
            </w:pPr>
            <w:r>
              <w:rPr>
                <w:color w:val="auto"/>
                <w:spacing w:val="7"/>
                <w:highlight w:val="none"/>
              </w:rPr>
              <w:t>整车控制器</w:t>
            </w:r>
          </w:p>
        </w:tc>
        <w:tc>
          <w:tcPr>
            <w:tcW w:w="2040" w:type="dxa"/>
            <w:noWrap w:val="0"/>
            <w:vAlign w:val="top"/>
          </w:tcPr>
          <w:p w14:paraId="5138022C">
            <w:pPr>
              <w:pStyle w:val="223"/>
              <w:spacing w:before="100" w:line="228" w:lineRule="auto"/>
              <w:ind w:left="842"/>
              <w:rPr>
                <w:color w:val="auto"/>
                <w:highlight w:val="none"/>
              </w:rPr>
            </w:pPr>
            <w:r>
              <w:rPr>
                <w:rFonts w:hint="eastAsia"/>
                <w:color w:val="auto"/>
                <w:spacing w:val="-3"/>
                <w:highlight w:val="none"/>
                <w:lang w:val="en-US" w:eastAsia="zh-CN"/>
              </w:rPr>
              <w:t>10</w:t>
            </w:r>
            <w:r>
              <w:rPr>
                <w:color w:val="auto"/>
                <w:spacing w:val="-3"/>
                <w:highlight w:val="none"/>
              </w:rPr>
              <w:t>年</w:t>
            </w:r>
          </w:p>
        </w:tc>
      </w:tr>
      <w:tr w14:paraId="5B056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48" w:type="dxa"/>
            <w:vMerge w:val="continue"/>
            <w:tcBorders>
              <w:top w:val="nil"/>
              <w:bottom w:val="nil"/>
            </w:tcBorders>
            <w:noWrap w:val="0"/>
            <w:vAlign w:val="top"/>
          </w:tcPr>
          <w:p w14:paraId="4305E6DE">
            <w:pPr>
              <w:rPr>
                <w:rFonts w:ascii="Arial"/>
                <w:color w:val="auto"/>
                <w:sz w:val="21"/>
                <w:highlight w:val="none"/>
              </w:rPr>
            </w:pPr>
          </w:p>
        </w:tc>
        <w:tc>
          <w:tcPr>
            <w:tcW w:w="810" w:type="dxa"/>
            <w:vMerge w:val="continue"/>
            <w:tcBorders>
              <w:top w:val="nil"/>
              <w:bottom w:val="nil"/>
            </w:tcBorders>
            <w:noWrap w:val="0"/>
            <w:vAlign w:val="top"/>
          </w:tcPr>
          <w:p w14:paraId="203FABEC">
            <w:pPr>
              <w:rPr>
                <w:rFonts w:ascii="Arial"/>
                <w:color w:val="auto"/>
                <w:sz w:val="21"/>
                <w:highlight w:val="none"/>
              </w:rPr>
            </w:pPr>
          </w:p>
        </w:tc>
        <w:tc>
          <w:tcPr>
            <w:tcW w:w="675" w:type="dxa"/>
            <w:vMerge w:val="continue"/>
            <w:tcBorders>
              <w:top w:val="nil"/>
              <w:bottom w:val="nil"/>
            </w:tcBorders>
            <w:noWrap w:val="0"/>
            <w:vAlign w:val="top"/>
          </w:tcPr>
          <w:p w14:paraId="59625651">
            <w:pPr>
              <w:rPr>
                <w:rFonts w:ascii="Arial"/>
                <w:color w:val="auto"/>
                <w:sz w:val="21"/>
                <w:highlight w:val="none"/>
              </w:rPr>
            </w:pPr>
          </w:p>
        </w:tc>
        <w:tc>
          <w:tcPr>
            <w:tcW w:w="1081" w:type="dxa"/>
            <w:vMerge w:val="continue"/>
            <w:tcBorders>
              <w:top w:val="nil"/>
              <w:bottom w:val="nil"/>
            </w:tcBorders>
            <w:noWrap w:val="0"/>
            <w:vAlign w:val="top"/>
          </w:tcPr>
          <w:p w14:paraId="191BD6CF">
            <w:pPr>
              <w:rPr>
                <w:rFonts w:ascii="Arial"/>
                <w:color w:val="auto"/>
                <w:sz w:val="21"/>
                <w:highlight w:val="none"/>
              </w:rPr>
            </w:pPr>
          </w:p>
        </w:tc>
        <w:tc>
          <w:tcPr>
            <w:tcW w:w="2972" w:type="dxa"/>
            <w:noWrap w:val="0"/>
            <w:vAlign w:val="top"/>
          </w:tcPr>
          <w:p w14:paraId="04ED1370">
            <w:pPr>
              <w:pStyle w:val="223"/>
              <w:spacing w:before="110" w:line="228" w:lineRule="auto"/>
              <w:ind w:left="447"/>
              <w:rPr>
                <w:color w:val="auto"/>
                <w:highlight w:val="none"/>
              </w:rPr>
            </w:pPr>
            <w:r>
              <w:rPr>
                <w:color w:val="auto"/>
                <w:spacing w:val="7"/>
                <w:highlight w:val="none"/>
              </w:rPr>
              <w:t>高压配电箱</w:t>
            </w:r>
          </w:p>
        </w:tc>
        <w:tc>
          <w:tcPr>
            <w:tcW w:w="2040" w:type="dxa"/>
            <w:noWrap w:val="0"/>
            <w:vAlign w:val="top"/>
          </w:tcPr>
          <w:p w14:paraId="060BF2E3">
            <w:pPr>
              <w:pStyle w:val="223"/>
              <w:spacing w:before="110" w:line="228" w:lineRule="auto"/>
              <w:ind w:left="842"/>
              <w:rPr>
                <w:color w:val="auto"/>
                <w:highlight w:val="none"/>
              </w:rPr>
            </w:pPr>
            <w:r>
              <w:rPr>
                <w:rFonts w:hint="eastAsia"/>
                <w:color w:val="auto"/>
                <w:spacing w:val="-3"/>
                <w:highlight w:val="none"/>
                <w:lang w:val="en-US" w:eastAsia="zh-CN"/>
              </w:rPr>
              <w:t>10</w:t>
            </w:r>
            <w:r>
              <w:rPr>
                <w:color w:val="auto"/>
                <w:spacing w:val="-3"/>
                <w:highlight w:val="none"/>
              </w:rPr>
              <w:t>年</w:t>
            </w:r>
          </w:p>
        </w:tc>
      </w:tr>
      <w:tr w14:paraId="1700D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948" w:type="dxa"/>
            <w:vMerge w:val="continue"/>
            <w:tcBorders>
              <w:top w:val="nil"/>
              <w:bottom w:val="nil"/>
            </w:tcBorders>
            <w:noWrap w:val="0"/>
            <w:vAlign w:val="top"/>
          </w:tcPr>
          <w:p w14:paraId="418D1A72">
            <w:pPr>
              <w:rPr>
                <w:rFonts w:ascii="Arial"/>
                <w:color w:val="auto"/>
                <w:sz w:val="21"/>
                <w:highlight w:val="none"/>
              </w:rPr>
            </w:pPr>
          </w:p>
        </w:tc>
        <w:tc>
          <w:tcPr>
            <w:tcW w:w="810" w:type="dxa"/>
            <w:vMerge w:val="continue"/>
            <w:tcBorders>
              <w:top w:val="nil"/>
              <w:bottom w:val="nil"/>
            </w:tcBorders>
            <w:noWrap w:val="0"/>
            <w:vAlign w:val="top"/>
          </w:tcPr>
          <w:p w14:paraId="1D23E327">
            <w:pPr>
              <w:rPr>
                <w:rFonts w:ascii="Arial"/>
                <w:color w:val="auto"/>
                <w:sz w:val="21"/>
                <w:highlight w:val="none"/>
              </w:rPr>
            </w:pPr>
          </w:p>
        </w:tc>
        <w:tc>
          <w:tcPr>
            <w:tcW w:w="675" w:type="dxa"/>
            <w:vMerge w:val="continue"/>
            <w:tcBorders>
              <w:top w:val="nil"/>
              <w:bottom w:val="nil"/>
            </w:tcBorders>
            <w:noWrap w:val="0"/>
            <w:vAlign w:val="top"/>
          </w:tcPr>
          <w:p w14:paraId="52249ECE">
            <w:pPr>
              <w:rPr>
                <w:rFonts w:ascii="Arial"/>
                <w:color w:val="auto"/>
                <w:sz w:val="21"/>
                <w:highlight w:val="none"/>
              </w:rPr>
            </w:pPr>
          </w:p>
        </w:tc>
        <w:tc>
          <w:tcPr>
            <w:tcW w:w="1081" w:type="dxa"/>
            <w:vMerge w:val="continue"/>
            <w:tcBorders>
              <w:top w:val="nil"/>
              <w:bottom w:val="nil"/>
            </w:tcBorders>
            <w:noWrap w:val="0"/>
            <w:vAlign w:val="top"/>
          </w:tcPr>
          <w:p w14:paraId="6C40E064">
            <w:pPr>
              <w:rPr>
                <w:rFonts w:ascii="Arial"/>
                <w:color w:val="auto"/>
                <w:sz w:val="21"/>
                <w:highlight w:val="none"/>
              </w:rPr>
            </w:pPr>
          </w:p>
        </w:tc>
        <w:tc>
          <w:tcPr>
            <w:tcW w:w="2972" w:type="dxa"/>
            <w:noWrap w:val="0"/>
            <w:vAlign w:val="top"/>
          </w:tcPr>
          <w:p w14:paraId="6B1D6441">
            <w:pPr>
              <w:pStyle w:val="223"/>
              <w:spacing w:before="104" w:line="228" w:lineRule="auto"/>
              <w:ind w:left="233"/>
              <w:rPr>
                <w:color w:val="auto"/>
                <w:highlight w:val="none"/>
              </w:rPr>
            </w:pPr>
            <w:r>
              <w:rPr>
                <w:color w:val="auto"/>
                <w:spacing w:val="8"/>
                <w:highlight w:val="none"/>
              </w:rPr>
              <w:t>转向电机控制器</w:t>
            </w:r>
          </w:p>
        </w:tc>
        <w:tc>
          <w:tcPr>
            <w:tcW w:w="2040" w:type="dxa"/>
            <w:noWrap w:val="0"/>
            <w:vAlign w:val="top"/>
          </w:tcPr>
          <w:p w14:paraId="39C1EFF8">
            <w:pPr>
              <w:pStyle w:val="223"/>
              <w:spacing w:before="105" w:line="228" w:lineRule="auto"/>
              <w:ind w:left="842"/>
              <w:rPr>
                <w:color w:val="auto"/>
                <w:highlight w:val="none"/>
              </w:rPr>
            </w:pPr>
            <w:r>
              <w:rPr>
                <w:rFonts w:hint="eastAsia"/>
                <w:color w:val="auto"/>
                <w:spacing w:val="-3"/>
                <w:highlight w:val="none"/>
                <w:lang w:val="en-US" w:eastAsia="zh-CN"/>
              </w:rPr>
              <w:t>10</w:t>
            </w:r>
            <w:r>
              <w:rPr>
                <w:color w:val="auto"/>
                <w:spacing w:val="-3"/>
                <w:highlight w:val="none"/>
              </w:rPr>
              <w:t>年</w:t>
            </w:r>
          </w:p>
        </w:tc>
      </w:tr>
      <w:tr w14:paraId="68223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629E3A9B">
            <w:pPr>
              <w:rPr>
                <w:rFonts w:ascii="Arial"/>
                <w:color w:val="auto"/>
                <w:sz w:val="21"/>
                <w:highlight w:val="none"/>
              </w:rPr>
            </w:pPr>
          </w:p>
        </w:tc>
        <w:tc>
          <w:tcPr>
            <w:tcW w:w="810" w:type="dxa"/>
            <w:vMerge w:val="continue"/>
            <w:tcBorders>
              <w:top w:val="nil"/>
              <w:bottom w:val="nil"/>
            </w:tcBorders>
            <w:noWrap w:val="0"/>
            <w:vAlign w:val="top"/>
          </w:tcPr>
          <w:p w14:paraId="273C4424">
            <w:pPr>
              <w:rPr>
                <w:rFonts w:ascii="Arial"/>
                <w:color w:val="auto"/>
                <w:sz w:val="21"/>
                <w:highlight w:val="none"/>
              </w:rPr>
            </w:pPr>
          </w:p>
        </w:tc>
        <w:tc>
          <w:tcPr>
            <w:tcW w:w="675" w:type="dxa"/>
            <w:vMerge w:val="continue"/>
            <w:tcBorders>
              <w:top w:val="nil"/>
              <w:bottom w:val="nil"/>
            </w:tcBorders>
            <w:noWrap w:val="0"/>
            <w:vAlign w:val="top"/>
          </w:tcPr>
          <w:p w14:paraId="01C1FF31">
            <w:pPr>
              <w:rPr>
                <w:rFonts w:ascii="Arial"/>
                <w:color w:val="auto"/>
                <w:sz w:val="21"/>
                <w:highlight w:val="none"/>
              </w:rPr>
            </w:pPr>
          </w:p>
        </w:tc>
        <w:tc>
          <w:tcPr>
            <w:tcW w:w="1081" w:type="dxa"/>
            <w:vMerge w:val="continue"/>
            <w:tcBorders>
              <w:top w:val="nil"/>
              <w:bottom w:val="nil"/>
            </w:tcBorders>
            <w:noWrap w:val="0"/>
            <w:vAlign w:val="top"/>
          </w:tcPr>
          <w:p w14:paraId="3A02BDB6">
            <w:pPr>
              <w:rPr>
                <w:rFonts w:ascii="Arial"/>
                <w:color w:val="auto"/>
                <w:sz w:val="21"/>
                <w:highlight w:val="none"/>
              </w:rPr>
            </w:pPr>
          </w:p>
        </w:tc>
        <w:tc>
          <w:tcPr>
            <w:tcW w:w="2972" w:type="dxa"/>
            <w:noWrap w:val="0"/>
            <w:vAlign w:val="top"/>
          </w:tcPr>
          <w:p w14:paraId="14F00860">
            <w:pPr>
              <w:pStyle w:val="223"/>
              <w:spacing w:before="54" w:line="228" w:lineRule="auto"/>
              <w:ind w:left="345"/>
              <w:rPr>
                <w:color w:val="auto"/>
                <w:highlight w:val="none"/>
              </w:rPr>
            </w:pPr>
            <w:r>
              <w:rPr>
                <w:color w:val="auto"/>
                <w:spacing w:val="7"/>
                <w:highlight w:val="none"/>
              </w:rPr>
              <w:t>空压机控制器</w:t>
            </w:r>
          </w:p>
        </w:tc>
        <w:tc>
          <w:tcPr>
            <w:tcW w:w="2040" w:type="dxa"/>
            <w:noWrap w:val="0"/>
            <w:vAlign w:val="top"/>
          </w:tcPr>
          <w:p w14:paraId="5890AFEA">
            <w:pPr>
              <w:pStyle w:val="223"/>
              <w:spacing w:before="55" w:line="228" w:lineRule="auto"/>
              <w:ind w:firstLine="366" w:firstLineChars="300"/>
              <w:rPr>
                <w:color w:val="auto"/>
                <w:highlight w:val="none"/>
              </w:rPr>
            </w:pPr>
            <w:r>
              <w:rPr>
                <w:rFonts w:hint="eastAsia"/>
                <w:color w:val="auto"/>
                <w:spacing w:val="-39"/>
                <w:highlight w:val="none"/>
                <w:lang w:val="en-US" w:eastAsia="zh-CN"/>
              </w:rPr>
              <w:t xml:space="preserve">                          10</w:t>
            </w:r>
            <w:r>
              <w:rPr>
                <w:color w:val="auto"/>
                <w:spacing w:val="-39"/>
                <w:highlight w:val="none"/>
              </w:rPr>
              <w:t xml:space="preserve"> </w:t>
            </w:r>
            <w:r>
              <w:rPr>
                <w:color w:val="auto"/>
                <w:spacing w:val="-3"/>
                <w:highlight w:val="none"/>
              </w:rPr>
              <w:t>年</w:t>
            </w:r>
          </w:p>
        </w:tc>
      </w:tr>
      <w:tr w14:paraId="0D564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48" w:type="dxa"/>
            <w:vMerge w:val="continue"/>
            <w:tcBorders>
              <w:top w:val="nil"/>
              <w:bottom w:val="nil"/>
            </w:tcBorders>
            <w:noWrap w:val="0"/>
            <w:vAlign w:val="top"/>
          </w:tcPr>
          <w:p w14:paraId="06C0924C">
            <w:pPr>
              <w:rPr>
                <w:rFonts w:ascii="Arial"/>
                <w:color w:val="auto"/>
                <w:sz w:val="21"/>
                <w:highlight w:val="none"/>
              </w:rPr>
            </w:pPr>
          </w:p>
        </w:tc>
        <w:tc>
          <w:tcPr>
            <w:tcW w:w="810" w:type="dxa"/>
            <w:vMerge w:val="continue"/>
            <w:tcBorders>
              <w:top w:val="nil"/>
              <w:bottom w:val="nil"/>
            </w:tcBorders>
            <w:noWrap w:val="0"/>
            <w:vAlign w:val="top"/>
          </w:tcPr>
          <w:p w14:paraId="562BAE37">
            <w:pPr>
              <w:rPr>
                <w:rFonts w:ascii="Arial"/>
                <w:color w:val="auto"/>
                <w:sz w:val="21"/>
                <w:highlight w:val="none"/>
              </w:rPr>
            </w:pPr>
          </w:p>
        </w:tc>
        <w:tc>
          <w:tcPr>
            <w:tcW w:w="675" w:type="dxa"/>
            <w:vMerge w:val="continue"/>
            <w:tcBorders>
              <w:top w:val="nil"/>
              <w:bottom w:val="nil"/>
            </w:tcBorders>
            <w:noWrap w:val="0"/>
            <w:vAlign w:val="top"/>
          </w:tcPr>
          <w:p w14:paraId="3E2B28B2">
            <w:pPr>
              <w:rPr>
                <w:rFonts w:ascii="Arial"/>
                <w:color w:val="auto"/>
                <w:sz w:val="21"/>
                <w:highlight w:val="none"/>
              </w:rPr>
            </w:pPr>
          </w:p>
        </w:tc>
        <w:tc>
          <w:tcPr>
            <w:tcW w:w="1081" w:type="dxa"/>
            <w:vMerge w:val="continue"/>
            <w:tcBorders>
              <w:top w:val="nil"/>
              <w:bottom w:val="nil"/>
            </w:tcBorders>
            <w:noWrap w:val="0"/>
            <w:vAlign w:val="top"/>
          </w:tcPr>
          <w:p w14:paraId="3F7863C6">
            <w:pPr>
              <w:rPr>
                <w:rFonts w:ascii="Arial"/>
                <w:color w:val="auto"/>
                <w:sz w:val="21"/>
                <w:highlight w:val="none"/>
              </w:rPr>
            </w:pPr>
          </w:p>
        </w:tc>
        <w:tc>
          <w:tcPr>
            <w:tcW w:w="2972" w:type="dxa"/>
            <w:noWrap w:val="0"/>
            <w:vAlign w:val="top"/>
          </w:tcPr>
          <w:p w14:paraId="610D4EA9">
            <w:pPr>
              <w:pStyle w:val="223"/>
              <w:spacing w:before="104" w:line="228" w:lineRule="auto"/>
              <w:ind w:left="363"/>
              <w:rPr>
                <w:color w:val="auto"/>
                <w:highlight w:val="none"/>
              </w:rPr>
            </w:pPr>
            <w:r>
              <w:rPr>
                <w:color w:val="auto"/>
                <w:spacing w:val="5"/>
                <w:highlight w:val="none"/>
              </w:rPr>
              <w:t>电动转向电机</w:t>
            </w:r>
          </w:p>
        </w:tc>
        <w:tc>
          <w:tcPr>
            <w:tcW w:w="2040" w:type="dxa"/>
            <w:noWrap w:val="0"/>
            <w:vAlign w:val="top"/>
          </w:tcPr>
          <w:p w14:paraId="7C43301B">
            <w:pPr>
              <w:pStyle w:val="223"/>
              <w:spacing w:before="105" w:line="228" w:lineRule="auto"/>
              <w:ind w:left="842"/>
              <w:rPr>
                <w:color w:val="auto"/>
                <w:highlight w:val="none"/>
              </w:rPr>
            </w:pPr>
            <w:r>
              <w:rPr>
                <w:rFonts w:hint="eastAsia"/>
                <w:color w:val="auto"/>
                <w:spacing w:val="-39"/>
                <w:highlight w:val="none"/>
                <w:lang w:val="en-US" w:eastAsia="zh-CN"/>
              </w:rPr>
              <w:t>10</w:t>
            </w:r>
            <w:r>
              <w:rPr>
                <w:color w:val="auto"/>
                <w:spacing w:val="-39"/>
                <w:highlight w:val="none"/>
              </w:rPr>
              <w:t xml:space="preserve"> </w:t>
            </w:r>
            <w:r>
              <w:rPr>
                <w:color w:val="auto"/>
                <w:spacing w:val="-3"/>
                <w:highlight w:val="none"/>
              </w:rPr>
              <w:t>年</w:t>
            </w:r>
          </w:p>
        </w:tc>
      </w:tr>
      <w:tr w14:paraId="7A563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48" w:type="dxa"/>
            <w:vMerge w:val="continue"/>
            <w:tcBorders>
              <w:top w:val="nil"/>
              <w:bottom w:val="nil"/>
            </w:tcBorders>
            <w:noWrap w:val="0"/>
            <w:vAlign w:val="top"/>
          </w:tcPr>
          <w:p w14:paraId="1C0B895D">
            <w:pPr>
              <w:rPr>
                <w:rFonts w:ascii="Arial"/>
                <w:color w:val="auto"/>
                <w:sz w:val="21"/>
                <w:highlight w:val="none"/>
              </w:rPr>
            </w:pPr>
          </w:p>
        </w:tc>
        <w:tc>
          <w:tcPr>
            <w:tcW w:w="810" w:type="dxa"/>
            <w:vMerge w:val="continue"/>
            <w:tcBorders>
              <w:top w:val="nil"/>
              <w:bottom w:val="nil"/>
            </w:tcBorders>
            <w:noWrap w:val="0"/>
            <w:vAlign w:val="top"/>
          </w:tcPr>
          <w:p w14:paraId="3E44E1BB">
            <w:pPr>
              <w:rPr>
                <w:rFonts w:ascii="Arial"/>
                <w:color w:val="auto"/>
                <w:sz w:val="21"/>
                <w:highlight w:val="none"/>
              </w:rPr>
            </w:pPr>
          </w:p>
        </w:tc>
        <w:tc>
          <w:tcPr>
            <w:tcW w:w="675" w:type="dxa"/>
            <w:vMerge w:val="continue"/>
            <w:tcBorders>
              <w:top w:val="nil"/>
              <w:bottom w:val="nil"/>
            </w:tcBorders>
            <w:noWrap w:val="0"/>
            <w:vAlign w:val="top"/>
          </w:tcPr>
          <w:p w14:paraId="7551CF6A">
            <w:pPr>
              <w:rPr>
                <w:rFonts w:ascii="Arial"/>
                <w:color w:val="auto"/>
                <w:sz w:val="21"/>
                <w:highlight w:val="none"/>
              </w:rPr>
            </w:pPr>
          </w:p>
        </w:tc>
        <w:tc>
          <w:tcPr>
            <w:tcW w:w="1081" w:type="dxa"/>
            <w:vMerge w:val="continue"/>
            <w:tcBorders>
              <w:top w:val="nil"/>
              <w:bottom w:val="nil"/>
            </w:tcBorders>
            <w:noWrap w:val="0"/>
            <w:vAlign w:val="top"/>
          </w:tcPr>
          <w:p w14:paraId="6A043CB9">
            <w:pPr>
              <w:rPr>
                <w:rFonts w:ascii="Arial"/>
                <w:color w:val="auto"/>
                <w:sz w:val="21"/>
                <w:highlight w:val="none"/>
              </w:rPr>
            </w:pPr>
          </w:p>
        </w:tc>
        <w:tc>
          <w:tcPr>
            <w:tcW w:w="2972" w:type="dxa"/>
            <w:noWrap w:val="0"/>
            <w:vAlign w:val="top"/>
          </w:tcPr>
          <w:p w14:paraId="0F5B5E4A">
            <w:pPr>
              <w:pStyle w:val="223"/>
              <w:spacing w:before="107" w:line="229" w:lineRule="auto"/>
              <w:ind w:left="458"/>
              <w:rPr>
                <w:color w:val="auto"/>
                <w:highlight w:val="none"/>
              </w:rPr>
            </w:pPr>
            <w:r>
              <w:rPr>
                <w:color w:val="auto"/>
                <w:spacing w:val="7"/>
                <w:highlight w:val="none"/>
              </w:rPr>
              <w:t>网关控制器及支架总成</w:t>
            </w:r>
          </w:p>
        </w:tc>
        <w:tc>
          <w:tcPr>
            <w:tcW w:w="2040" w:type="dxa"/>
            <w:noWrap w:val="0"/>
            <w:vAlign w:val="top"/>
          </w:tcPr>
          <w:p w14:paraId="55036BA6">
            <w:pPr>
              <w:pStyle w:val="223"/>
              <w:spacing w:before="108" w:line="228" w:lineRule="auto"/>
              <w:ind w:left="842"/>
              <w:rPr>
                <w:color w:val="auto"/>
                <w:highlight w:val="none"/>
              </w:rPr>
            </w:pPr>
            <w:r>
              <w:rPr>
                <w:rFonts w:hint="eastAsia"/>
                <w:color w:val="auto"/>
                <w:spacing w:val="-3"/>
                <w:highlight w:val="none"/>
                <w:lang w:val="en-US" w:eastAsia="zh-CN"/>
              </w:rPr>
              <w:t>10</w:t>
            </w:r>
            <w:r>
              <w:rPr>
                <w:color w:val="auto"/>
                <w:spacing w:val="-3"/>
                <w:highlight w:val="none"/>
              </w:rPr>
              <w:t>年</w:t>
            </w:r>
          </w:p>
        </w:tc>
      </w:tr>
      <w:tr w14:paraId="7B7A7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948" w:type="dxa"/>
            <w:vMerge w:val="continue"/>
            <w:tcBorders>
              <w:top w:val="nil"/>
              <w:bottom w:val="nil"/>
            </w:tcBorders>
            <w:noWrap w:val="0"/>
            <w:vAlign w:val="top"/>
          </w:tcPr>
          <w:p w14:paraId="203BF6D3">
            <w:pPr>
              <w:rPr>
                <w:rFonts w:ascii="Arial"/>
                <w:color w:val="auto"/>
                <w:sz w:val="21"/>
                <w:highlight w:val="none"/>
              </w:rPr>
            </w:pPr>
          </w:p>
        </w:tc>
        <w:tc>
          <w:tcPr>
            <w:tcW w:w="810" w:type="dxa"/>
            <w:vMerge w:val="continue"/>
            <w:tcBorders>
              <w:top w:val="nil"/>
            </w:tcBorders>
            <w:noWrap w:val="0"/>
            <w:vAlign w:val="top"/>
          </w:tcPr>
          <w:p w14:paraId="7E9C54D9">
            <w:pPr>
              <w:rPr>
                <w:rFonts w:ascii="Arial"/>
                <w:color w:val="auto"/>
                <w:sz w:val="21"/>
                <w:highlight w:val="none"/>
              </w:rPr>
            </w:pPr>
          </w:p>
        </w:tc>
        <w:tc>
          <w:tcPr>
            <w:tcW w:w="675" w:type="dxa"/>
            <w:vMerge w:val="continue"/>
            <w:tcBorders>
              <w:top w:val="nil"/>
            </w:tcBorders>
            <w:noWrap w:val="0"/>
            <w:vAlign w:val="top"/>
          </w:tcPr>
          <w:p w14:paraId="086F5DA4">
            <w:pPr>
              <w:rPr>
                <w:rFonts w:ascii="Arial"/>
                <w:color w:val="auto"/>
                <w:sz w:val="21"/>
                <w:highlight w:val="none"/>
              </w:rPr>
            </w:pPr>
          </w:p>
        </w:tc>
        <w:tc>
          <w:tcPr>
            <w:tcW w:w="1081" w:type="dxa"/>
            <w:vMerge w:val="continue"/>
            <w:tcBorders>
              <w:top w:val="nil"/>
            </w:tcBorders>
            <w:noWrap w:val="0"/>
            <w:vAlign w:val="top"/>
          </w:tcPr>
          <w:p w14:paraId="3840A9D4">
            <w:pPr>
              <w:rPr>
                <w:rFonts w:ascii="Arial"/>
                <w:color w:val="auto"/>
                <w:sz w:val="21"/>
                <w:highlight w:val="none"/>
              </w:rPr>
            </w:pPr>
          </w:p>
        </w:tc>
        <w:tc>
          <w:tcPr>
            <w:tcW w:w="2972" w:type="dxa"/>
            <w:noWrap w:val="0"/>
            <w:vAlign w:val="top"/>
          </w:tcPr>
          <w:p w14:paraId="4CAD8817">
            <w:pPr>
              <w:pStyle w:val="223"/>
              <w:spacing w:before="111" w:line="228" w:lineRule="auto"/>
              <w:ind w:left="658"/>
              <w:rPr>
                <w:color w:val="auto"/>
                <w:highlight w:val="none"/>
              </w:rPr>
            </w:pPr>
            <w:r>
              <w:rPr>
                <w:color w:val="auto"/>
                <w:spacing w:val="7"/>
                <w:highlight w:val="none"/>
              </w:rPr>
              <w:t>高压线束及连接器</w:t>
            </w:r>
          </w:p>
        </w:tc>
        <w:tc>
          <w:tcPr>
            <w:tcW w:w="2040" w:type="dxa"/>
            <w:noWrap w:val="0"/>
            <w:vAlign w:val="top"/>
          </w:tcPr>
          <w:p w14:paraId="389C9FB1">
            <w:pPr>
              <w:pStyle w:val="223"/>
              <w:spacing w:before="111" w:line="228" w:lineRule="auto"/>
              <w:ind w:left="842"/>
              <w:rPr>
                <w:color w:val="auto"/>
                <w:highlight w:val="none"/>
              </w:rPr>
            </w:pPr>
            <w:r>
              <w:rPr>
                <w:rFonts w:hint="eastAsia"/>
                <w:color w:val="auto"/>
                <w:spacing w:val="-39"/>
                <w:highlight w:val="none"/>
                <w:lang w:val="en-US" w:eastAsia="zh-CN"/>
              </w:rPr>
              <w:t>10</w:t>
            </w:r>
            <w:r>
              <w:rPr>
                <w:color w:val="auto"/>
                <w:spacing w:val="-39"/>
                <w:highlight w:val="none"/>
              </w:rPr>
              <w:t xml:space="preserve"> </w:t>
            </w:r>
            <w:r>
              <w:rPr>
                <w:color w:val="auto"/>
                <w:spacing w:val="-3"/>
                <w:highlight w:val="none"/>
              </w:rPr>
              <w:t>年</w:t>
            </w:r>
          </w:p>
        </w:tc>
      </w:tr>
      <w:tr w14:paraId="682B7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49A38D4B">
            <w:pPr>
              <w:rPr>
                <w:rFonts w:ascii="Arial"/>
                <w:color w:val="auto"/>
                <w:sz w:val="21"/>
                <w:highlight w:val="none"/>
              </w:rPr>
            </w:pPr>
          </w:p>
        </w:tc>
        <w:tc>
          <w:tcPr>
            <w:tcW w:w="810" w:type="dxa"/>
            <w:vMerge w:val="restart"/>
            <w:tcBorders>
              <w:bottom w:val="nil"/>
            </w:tcBorders>
            <w:noWrap w:val="0"/>
            <w:vAlign w:val="top"/>
          </w:tcPr>
          <w:p w14:paraId="7A246B6E">
            <w:pPr>
              <w:spacing w:line="384" w:lineRule="auto"/>
              <w:rPr>
                <w:rFonts w:ascii="Arial"/>
                <w:color w:val="auto"/>
                <w:sz w:val="21"/>
                <w:highlight w:val="none"/>
              </w:rPr>
            </w:pPr>
          </w:p>
          <w:p w14:paraId="500FD0B0">
            <w:pPr>
              <w:pStyle w:val="223"/>
              <w:spacing w:before="65" w:line="189" w:lineRule="auto"/>
              <w:ind w:left="360"/>
              <w:rPr>
                <w:color w:val="auto"/>
                <w:highlight w:val="none"/>
              </w:rPr>
            </w:pPr>
            <w:r>
              <w:rPr>
                <w:color w:val="auto"/>
                <w:highlight w:val="none"/>
              </w:rPr>
              <w:t>3</w:t>
            </w:r>
          </w:p>
        </w:tc>
        <w:tc>
          <w:tcPr>
            <w:tcW w:w="1756" w:type="dxa"/>
            <w:gridSpan w:val="2"/>
            <w:vMerge w:val="restart"/>
            <w:tcBorders>
              <w:bottom w:val="nil"/>
            </w:tcBorders>
            <w:noWrap w:val="0"/>
            <w:vAlign w:val="top"/>
          </w:tcPr>
          <w:p w14:paraId="0E972C61">
            <w:pPr>
              <w:spacing w:line="352" w:lineRule="auto"/>
              <w:rPr>
                <w:rFonts w:ascii="Arial"/>
                <w:color w:val="auto"/>
                <w:sz w:val="21"/>
                <w:highlight w:val="none"/>
              </w:rPr>
            </w:pPr>
          </w:p>
          <w:p w14:paraId="4C926B18">
            <w:pPr>
              <w:pStyle w:val="223"/>
              <w:spacing w:before="65" w:line="228" w:lineRule="auto"/>
              <w:ind w:left="463"/>
              <w:rPr>
                <w:color w:val="auto"/>
                <w:highlight w:val="none"/>
              </w:rPr>
            </w:pPr>
            <w:r>
              <w:rPr>
                <w:color w:val="auto"/>
                <w:spacing w:val="7"/>
                <w:highlight w:val="none"/>
              </w:rPr>
              <w:t>动力总成</w:t>
            </w:r>
          </w:p>
        </w:tc>
        <w:tc>
          <w:tcPr>
            <w:tcW w:w="2972" w:type="dxa"/>
            <w:noWrap w:val="0"/>
            <w:vAlign w:val="top"/>
          </w:tcPr>
          <w:p w14:paraId="50CC3C8D">
            <w:pPr>
              <w:pStyle w:val="223"/>
              <w:spacing w:before="71" w:line="228" w:lineRule="auto"/>
              <w:ind w:left="338"/>
              <w:rPr>
                <w:color w:val="auto"/>
                <w:highlight w:val="none"/>
              </w:rPr>
            </w:pPr>
            <w:r>
              <w:rPr>
                <w:color w:val="auto"/>
                <w:spacing w:val="8"/>
                <w:highlight w:val="none"/>
              </w:rPr>
              <w:t>减速器总成</w:t>
            </w:r>
          </w:p>
        </w:tc>
        <w:tc>
          <w:tcPr>
            <w:tcW w:w="2040" w:type="dxa"/>
            <w:noWrap w:val="0"/>
            <w:vAlign w:val="top"/>
          </w:tcPr>
          <w:p w14:paraId="613B64DE">
            <w:pPr>
              <w:pStyle w:val="223"/>
              <w:spacing w:before="71" w:line="228" w:lineRule="auto"/>
              <w:ind w:left="264"/>
              <w:rPr>
                <w:color w:val="auto"/>
                <w:highlight w:val="none"/>
              </w:rPr>
            </w:pPr>
            <w:r>
              <w:rPr>
                <w:color w:val="auto"/>
                <w:spacing w:val="2"/>
                <w:highlight w:val="none"/>
              </w:rPr>
              <w:t>8</w:t>
            </w:r>
            <w:r>
              <w:rPr>
                <w:color w:val="auto"/>
                <w:spacing w:val="-37"/>
                <w:highlight w:val="none"/>
              </w:rPr>
              <w:t xml:space="preserve"> </w:t>
            </w:r>
            <w:r>
              <w:rPr>
                <w:color w:val="auto"/>
                <w:spacing w:val="2"/>
                <w:highlight w:val="none"/>
              </w:rPr>
              <w:t>年或</w:t>
            </w:r>
            <w:r>
              <w:rPr>
                <w:color w:val="auto"/>
                <w:spacing w:val="-32"/>
                <w:highlight w:val="none"/>
              </w:rPr>
              <w:t xml:space="preserve"> </w:t>
            </w:r>
            <w:r>
              <w:rPr>
                <w:color w:val="auto"/>
                <w:spacing w:val="2"/>
                <w:highlight w:val="none"/>
              </w:rPr>
              <w:t>50</w:t>
            </w:r>
            <w:r>
              <w:rPr>
                <w:color w:val="auto"/>
                <w:spacing w:val="-36"/>
                <w:highlight w:val="none"/>
              </w:rPr>
              <w:t xml:space="preserve"> </w:t>
            </w:r>
            <w:r>
              <w:rPr>
                <w:color w:val="auto"/>
                <w:spacing w:val="2"/>
                <w:highlight w:val="none"/>
              </w:rPr>
              <w:t>万公里</w:t>
            </w:r>
          </w:p>
        </w:tc>
      </w:tr>
      <w:tr w14:paraId="08DA5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210EE619">
            <w:pPr>
              <w:rPr>
                <w:rFonts w:ascii="Arial"/>
                <w:color w:val="auto"/>
                <w:sz w:val="21"/>
                <w:highlight w:val="none"/>
              </w:rPr>
            </w:pPr>
          </w:p>
        </w:tc>
        <w:tc>
          <w:tcPr>
            <w:tcW w:w="810" w:type="dxa"/>
            <w:vMerge w:val="continue"/>
            <w:tcBorders>
              <w:top w:val="nil"/>
              <w:bottom w:val="nil"/>
            </w:tcBorders>
            <w:noWrap w:val="0"/>
            <w:vAlign w:val="top"/>
          </w:tcPr>
          <w:p w14:paraId="0296BCB3">
            <w:pPr>
              <w:rPr>
                <w:rFonts w:ascii="Arial"/>
                <w:color w:val="auto"/>
                <w:sz w:val="21"/>
                <w:highlight w:val="none"/>
              </w:rPr>
            </w:pPr>
          </w:p>
        </w:tc>
        <w:tc>
          <w:tcPr>
            <w:tcW w:w="1756" w:type="dxa"/>
            <w:gridSpan w:val="2"/>
            <w:vMerge w:val="continue"/>
            <w:tcBorders>
              <w:top w:val="nil"/>
              <w:bottom w:val="nil"/>
            </w:tcBorders>
            <w:noWrap w:val="0"/>
            <w:vAlign w:val="top"/>
          </w:tcPr>
          <w:p w14:paraId="1D01765F">
            <w:pPr>
              <w:rPr>
                <w:rFonts w:ascii="Arial"/>
                <w:color w:val="auto"/>
                <w:sz w:val="21"/>
                <w:highlight w:val="none"/>
              </w:rPr>
            </w:pPr>
          </w:p>
        </w:tc>
        <w:tc>
          <w:tcPr>
            <w:tcW w:w="2972" w:type="dxa"/>
            <w:noWrap w:val="0"/>
            <w:vAlign w:val="top"/>
          </w:tcPr>
          <w:p w14:paraId="0F30B0FE">
            <w:pPr>
              <w:pStyle w:val="223"/>
              <w:spacing w:before="69" w:line="228" w:lineRule="auto"/>
              <w:ind w:left="758"/>
              <w:rPr>
                <w:color w:val="auto"/>
                <w:highlight w:val="none"/>
              </w:rPr>
            </w:pPr>
            <w:r>
              <w:rPr>
                <w:color w:val="auto"/>
                <w:spacing w:val="8"/>
                <w:highlight w:val="none"/>
              </w:rPr>
              <w:t>减速器壳体组件</w:t>
            </w:r>
          </w:p>
        </w:tc>
        <w:tc>
          <w:tcPr>
            <w:tcW w:w="2040" w:type="dxa"/>
            <w:noWrap w:val="0"/>
            <w:vAlign w:val="top"/>
          </w:tcPr>
          <w:p w14:paraId="5A2394B4">
            <w:pPr>
              <w:pStyle w:val="223"/>
              <w:spacing w:before="69" w:line="228" w:lineRule="auto"/>
              <w:ind w:left="264"/>
              <w:rPr>
                <w:color w:val="auto"/>
                <w:highlight w:val="none"/>
              </w:rPr>
            </w:pPr>
            <w:r>
              <w:rPr>
                <w:color w:val="auto"/>
                <w:spacing w:val="2"/>
                <w:highlight w:val="none"/>
              </w:rPr>
              <w:t>8</w:t>
            </w:r>
            <w:r>
              <w:rPr>
                <w:color w:val="auto"/>
                <w:spacing w:val="-37"/>
                <w:highlight w:val="none"/>
              </w:rPr>
              <w:t xml:space="preserve"> </w:t>
            </w:r>
            <w:r>
              <w:rPr>
                <w:color w:val="auto"/>
                <w:spacing w:val="2"/>
                <w:highlight w:val="none"/>
              </w:rPr>
              <w:t>年或</w:t>
            </w:r>
            <w:r>
              <w:rPr>
                <w:color w:val="auto"/>
                <w:spacing w:val="-32"/>
                <w:highlight w:val="none"/>
              </w:rPr>
              <w:t xml:space="preserve"> </w:t>
            </w:r>
            <w:r>
              <w:rPr>
                <w:color w:val="auto"/>
                <w:spacing w:val="2"/>
                <w:highlight w:val="none"/>
              </w:rPr>
              <w:t>50</w:t>
            </w:r>
            <w:r>
              <w:rPr>
                <w:color w:val="auto"/>
                <w:spacing w:val="-36"/>
                <w:highlight w:val="none"/>
              </w:rPr>
              <w:t xml:space="preserve"> </w:t>
            </w:r>
            <w:r>
              <w:rPr>
                <w:color w:val="auto"/>
                <w:spacing w:val="2"/>
                <w:highlight w:val="none"/>
              </w:rPr>
              <w:t>万公里</w:t>
            </w:r>
          </w:p>
        </w:tc>
      </w:tr>
      <w:tr w14:paraId="1CF3A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tcBorders>
            <w:noWrap w:val="0"/>
            <w:vAlign w:val="top"/>
          </w:tcPr>
          <w:p w14:paraId="2D8E5DBA">
            <w:pPr>
              <w:rPr>
                <w:rFonts w:ascii="Arial"/>
                <w:color w:val="auto"/>
                <w:sz w:val="21"/>
                <w:highlight w:val="none"/>
              </w:rPr>
            </w:pPr>
          </w:p>
        </w:tc>
        <w:tc>
          <w:tcPr>
            <w:tcW w:w="810" w:type="dxa"/>
            <w:vMerge w:val="continue"/>
            <w:tcBorders>
              <w:top w:val="nil"/>
            </w:tcBorders>
            <w:noWrap w:val="0"/>
            <w:vAlign w:val="top"/>
          </w:tcPr>
          <w:p w14:paraId="465A45B7">
            <w:pPr>
              <w:rPr>
                <w:rFonts w:ascii="Arial"/>
                <w:color w:val="auto"/>
                <w:sz w:val="21"/>
                <w:highlight w:val="none"/>
              </w:rPr>
            </w:pPr>
          </w:p>
        </w:tc>
        <w:tc>
          <w:tcPr>
            <w:tcW w:w="1756" w:type="dxa"/>
            <w:gridSpan w:val="2"/>
            <w:vMerge w:val="continue"/>
            <w:tcBorders>
              <w:top w:val="nil"/>
            </w:tcBorders>
            <w:noWrap w:val="0"/>
            <w:vAlign w:val="top"/>
          </w:tcPr>
          <w:p w14:paraId="5E9244A6">
            <w:pPr>
              <w:rPr>
                <w:rFonts w:ascii="Arial"/>
                <w:color w:val="auto"/>
                <w:sz w:val="21"/>
                <w:highlight w:val="none"/>
              </w:rPr>
            </w:pPr>
          </w:p>
        </w:tc>
        <w:tc>
          <w:tcPr>
            <w:tcW w:w="2972" w:type="dxa"/>
            <w:noWrap w:val="0"/>
            <w:vAlign w:val="top"/>
          </w:tcPr>
          <w:p w14:paraId="2E69E2A8">
            <w:pPr>
              <w:pStyle w:val="223"/>
              <w:spacing w:before="69" w:line="228" w:lineRule="auto"/>
              <w:ind w:left="1177"/>
              <w:rPr>
                <w:color w:val="auto"/>
                <w:highlight w:val="none"/>
              </w:rPr>
            </w:pPr>
            <w:r>
              <w:rPr>
                <w:color w:val="auto"/>
                <w:spacing w:val="7"/>
                <w:highlight w:val="none"/>
              </w:rPr>
              <w:t>传动轴</w:t>
            </w:r>
          </w:p>
        </w:tc>
        <w:tc>
          <w:tcPr>
            <w:tcW w:w="2040" w:type="dxa"/>
            <w:noWrap w:val="0"/>
            <w:vAlign w:val="top"/>
          </w:tcPr>
          <w:p w14:paraId="29EE6376">
            <w:pPr>
              <w:pStyle w:val="223"/>
              <w:spacing w:before="7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7CB85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restart"/>
            <w:tcBorders>
              <w:bottom w:val="nil"/>
            </w:tcBorders>
            <w:noWrap w:val="0"/>
            <w:vAlign w:val="top"/>
          </w:tcPr>
          <w:p w14:paraId="168C523D">
            <w:pPr>
              <w:pStyle w:val="223"/>
              <w:spacing w:before="89" w:line="273" w:lineRule="auto"/>
              <w:ind w:left="162" w:right="158"/>
              <w:rPr>
                <w:color w:val="auto"/>
                <w:highlight w:val="none"/>
              </w:rPr>
            </w:pPr>
            <w:r>
              <w:rPr>
                <w:color w:val="auto"/>
                <w:spacing w:val="7"/>
                <w:highlight w:val="none"/>
              </w:rPr>
              <w:t>传统车</w:t>
            </w:r>
            <w:r>
              <w:rPr>
                <w:color w:val="auto"/>
                <w:highlight w:val="none"/>
              </w:rPr>
              <w:t xml:space="preserve"> </w:t>
            </w:r>
            <w:r>
              <w:rPr>
                <w:color w:val="auto"/>
                <w:spacing w:val="7"/>
                <w:highlight w:val="none"/>
              </w:rPr>
              <w:t>辆部分</w:t>
            </w:r>
          </w:p>
        </w:tc>
        <w:tc>
          <w:tcPr>
            <w:tcW w:w="810" w:type="dxa"/>
            <w:vMerge w:val="restart"/>
            <w:tcBorders>
              <w:bottom w:val="nil"/>
            </w:tcBorders>
            <w:noWrap w:val="0"/>
            <w:vAlign w:val="top"/>
          </w:tcPr>
          <w:p w14:paraId="6342E467">
            <w:pPr>
              <w:pStyle w:val="223"/>
              <w:spacing w:before="278" w:line="189" w:lineRule="auto"/>
              <w:ind w:left="355"/>
              <w:rPr>
                <w:color w:val="auto"/>
                <w:highlight w:val="none"/>
              </w:rPr>
            </w:pPr>
            <w:r>
              <w:rPr>
                <w:color w:val="auto"/>
                <w:highlight w:val="none"/>
              </w:rPr>
              <w:t>4</w:t>
            </w:r>
          </w:p>
        </w:tc>
        <w:tc>
          <w:tcPr>
            <w:tcW w:w="675" w:type="dxa"/>
            <w:vMerge w:val="restart"/>
            <w:tcBorders>
              <w:bottom w:val="nil"/>
            </w:tcBorders>
            <w:noWrap w:val="0"/>
            <w:vAlign w:val="top"/>
          </w:tcPr>
          <w:p w14:paraId="287A8BA1">
            <w:pPr>
              <w:pStyle w:val="223"/>
              <w:spacing w:before="245" w:line="228" w:lineRule="auto"/>
              <w:ind w:left="133"/>
              <w:rPr>
                <w:color w:val="auto"/>
                <w:highlight w:val="none"/>
              </w:rPr>
            </w:pPr>
            <w:r>
              <w:rPr>
                <w:color w:val="auto"/>
                <w:spacing w:val="3"/>
                <w:highlight w:val="none"/>
              </w:rPr>
              <w:t>车身</w:t>
            </w:r>
          </w:p>
        </w:tc>
        <w:tc>
          <w:tcPr>
            <w:tcW w:w="1081" w:type="dxa"/>
            <w:noWrap w:val="0"/>
            <w:vAlign w:val="top"/>
          </w:tcPr>
          <w:p w14:paraId="2D50E37B">
            <w:pPr>
              <w:pStyle w:val="223"/>
              <w:spacing w:before="70" w:line="228" w:lineRule="auto"/>
              <w:ind w:left="334"/>
              <w:rPr>
                <w:color w:val="auto"/>
                <w:highlight w:val="none"/>
              </w:rPr>
            </w:pPr>
            <w:r>
              <w:rPr>
                <w:color w:val="auto"/>
                <w:spacing w:val="5"/>
                <w:highlight w:val="none"/>
              </w:rPr>
              <w:t>骨架</w:t>
            </w:r>
          </w:p>
        </w:tc>
        <w:tc>
          <w:tcPr>
            <w:tcW w:w="2972" w:type="dxa"/>
            <w:noWrap w:val="0"/>
            <w:vAlign w:val="top"/>
          </w:tcPr>
          <w:p w14:paraId="3CFCA593">
            <w:pPr>
              <w:pStyle w:val="223"/>
              <w:spacing w:before="70" w:line="228" w:lineRule="auto"/>
              <w:ind w:left="1074"/>
              <w:rPr>
                <w:color w:val="auto"/>
                <w:highlight w:val="none"/>
              </w:rPr>
            </w:pPr>
            <w:r>
              <w:rPr>
                <w:color w:val="auto"/>
                <w:spacing w:val="6"/>
                <w:highlight w:val="none"/>
              </w:rPr>
              <w:t>车身骨架</w:t>
            </w:r>
          </w:p>
        </w:tc>
        <w:tc>
          <w:tcPr>
            <w:tcW w:w="2040" w:type="dxa"/>
            <w:noWrap w:val="0"/>
            <w:vAlign w:val="top"/>
          </w:tcPr>
          <w:p w14:paraId="5680C53B">
            <w:pPr>
              <w:pStyle w:val="223"/>
              <w:spacing w:before="7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25473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948" w:type="dxa"/>
            <w:vMerge w:val="continue"/>
            <w:tcBorders>
              <w:top w:val="nil"/>
            </w:tcBorders>
            <w:noWrap w:val="0"/>
            <w:vAlign w:val="top"/>
          </w:tcPr>
          <w:p w14:paraId="3F762F7A">
            <w:pPr>
              <w:rPr>
                <w:rFonts w:ascii="Arial"/>
                <w:color w:val="auto"/>
                <w:sz w:val="21"/>
                <w:highlight w:val="none"/>
              </w:rPr>
            </w:pPr>
          </w:p>
        </w:tc>
        <w:tc>
          <w:tcPr>
            <w:tcW w:w="810" w:type="dxa"/>
            <w:vMerge w:val="continue"/>
            <w:tcBorders>
              <w:top w:val="nil"/>
            </w:tcBorders>
            <w:noWrap w:val="0"/>
            <w:vAlign w:val="top"/>
          </w:tcPr>
          <w:p w14:paraId="05D7F2D9">
            <w:pPr>
              <w:rPr>
                <w:rFonts w:ascii="Arial"/>
                <w:color w:val="auto"/>
                <w:sz w:val="21"/>
                <w:highlight w:val="none"/>
              </w:rPr>
            </w:pPr>
          </w:p>
        </w:tc>
        <w:tc>
          <w:tcPr>
            <w:tcW w:w="675" w:type="dxa"/>
            <w:vMerge w:val="continue"/>
            <w:tcBorders>
              <w:top w:val="nil"/>
            </w:tcBorders>
            <w:noWrap w:val="0"/>
            <w:vAlign w:val="top"/>
          </w:tcPr>
          <w:p w14:paraId="359ECFAA">
            <w:pPr>
              <w:rPr>
                <w:rFonts w:ascii="Arial"/>
                <w:color w:val="auto"/>
                <w:sz w:val="21"/>
                <w:highlight w:val="none"/>
              </w:rPr>
            </w:pPr>
          </w:p>
        </w:tc>
        <w:tc>
          <w:tcPr>
            <w:tcW w:w="1081" w:type="dxa"/>
            <w:noWrap w:val="0"/>
            <w:vAlign w:val="top"/>
          </w:tcPr>
          <w:p w14:paraId="6F1DDEC4">
            <w:pPr>
              <w:rPr>
                <w:rFonts w:ascii="Arial"/>
                <w:color w:val="auto"/>
                <w:sz w:val="21"/>
                <w:highlight w:val="none"/>
              </w:rPr>
            </w:pPr>
          </w:p>
        </w:tc>
        <w:tc>
          <w:tcPr>
            <w:tcW w:w="2972" w:type="dxa"/>
            <w:noWrap w:val="0"/>
            <w:vAlign w:val="top"/>
          </w:tcPr>
          <w:p w14:paraId="57B97654">
            <w:pPr>
              <w:pStyle w:val="223"/>
              <w:spacing w:before="71" w:line="228" w:lineRule="auto"/>
              <w:ind w:left="342"/>
              <w:rPr>
                <w:color w:val="auto"/>
                <w:highlight w:val="none"/>
              </w:rPr>
            </w:pPr>
            <w:r>
              <w:rPr>
                <w:color w:val="auto"/>
                <w:spacing w:val="8"/>
                <w:highlight w:val="none"/>
              </w:rPr>
              <w:t>前后保险杠、车身覆盖件</w:t>
            </w:r>
          </w:p>
        </w:tc>
        <w:tc>
          <w:tcPr>
            <w:tcW w:w="2040" w:type="dxa"/>
            <w:noWrap w:val="0"/>
            <w:vAlign w:val="top"/>
          </w:tcPr>
          <w:p w14:paraId="3A360228">
            <w:pPr>
              <w:pStyle w:val="223"/>
              <w:spacing w:before="71"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bl>
    <w:p w14:paraId="36F3E51A">
      <w:pPr>
        <w:pStyle w:val="17"/>
        <w:tabs>
          <w:tab w:val="left" w:pos="574"/>
        </w:tabs>
        <w:rPr>
          <w:color w:val="auto"/>
          <w:highlight w:val="none"/>
        </w:rPr>
      </w:pPr>
    </w:p>
    <w:p w14:paraId="7547F182">
      <w:pPr>
        <w:rPr>
          <w:color w:val="auto"/>
          <w:highlight w:val="none"/>
        </w:rPr>
        <w:sectPr>
          <w:pgSz w:w="11906" w:h="16839"/>
          <w:pgMar w:top="1431" w:right="1687" w:bottom="1231" w:left="1687" w:header="0" w:footer="984" w:gutter="0"/>
          <w:pgNumType w:fmt="decimal"/>
          <w:cols w:space="720" w:num="1"/>
        </w:sectPr>
      </w:pPr>
    </w:p>
    <w:p w14:paraId="377CBB90">
      <w:pPr>
        <w:spacing w:line="91" w:lineRule="auto"/>
        <w:rPr>
          <w:rFonts w:ascii="Arial"/>
          <w:color w:val="auto"/>
          <w:sz w:val="2"/>
          <w:highlight w:val="none"/>
        </w:rPr>
      </w:pPr>
    </w:p>
    <w:tbl>
      <w:tblPr>
        <w:tblStyle w:val="22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810"/>
        <w:gridCol w:w="675"/>
        <w:gridCol w:w="1081"/>
        <w:gridCol w:w="2972"/>
        <w:gridCol w:w="2040"/>
      </w:tblGrid>
      <w:tr w14:paraId="2ABDE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48" w:type="dxa"/>
            <w:vMerge w:val="restart"/>
            <w:tcBorders>
              <w:bottom w:val="nil"/>
            </w:tcBorders>
            <w:noWrap w:val="0"/>
            <w:vAlign w:val="top"/>
          </w:tcPr>
          <w:p w14:paraId="3FA59FDE">
            <w:pPr>
              <w:pStyle w:val="223"/>
              <w:spacing w:before="56" w:line="273" w:lineRule="auto"/>
              <w:ind w:left="271" w:right="158" w:hanging="106"/>
              <w:rPr>
                <w:color w:val="auto"/>
                <w:highlight w:val="none"/>
              </w:rPr>
            </w:pPr>
            <w:r>
              <w:rPr>
                <w:color w:val="auto"/>
                <w:spacing w:val="6"/>
                <w:highlight w:val="none"/>
              </w:rPr>
              <w:t>主要零</w:t>
            </w:r>
            <w:r>
              <w:rPr>
                <w:color w:val="auto"/>
                <w:highlight w:val="none"/>
              </w:rPr>
              <w:t xml:space="preserve"> </w:t>
            </w:r>
            <w:r>
              <w:rPr>
                <w:color w:val="auto"/>
                <w:spacing w:val="3"/>
                <w:highlight w:val="none"/>
              </w:rPr>
              <w:t>部件</w:t>
            </w:r>
          </w:p>
        </w:tc>
        <w:tc>
          <w:tcPr>
            <w:tcW w:w="810" w:type="dxa"/>
            <w:vMerge w:val="restart"/>
            <w:tcBorders>
              <w:bottom w:val="nil"/>
            </w:tcBorders>
            <w:noWrap w:val="0"/>
            <w:vAlign w:val="top"/>
          </w:tcPr>
          <w:p w14:paraId="1941B3DA">
            <w:pPr>
              <w:rPr>
                <w:rFonts w:ascii="Arial"/>
                <w:color w:val="auto"/>
                <w:sz w:val="21"/>
                <w:highlight w:val="none"/>
              </w:rPr>
            </w:pPr>
          </w:p>
        </w:tc>
        <w:tc>
          <w:tcPr>
            <w:tcW w:w="675" w:type="dxa"/>
            <w:vMerge w:val="restart"/>
            <w:tcBorders>
              <w:bottom w:val="nil"/>
            </w:tcBorders>
            <w:noWrap w:val="0"/>
            <w:vAlign w:val="top"/>
          </w:tcPr>
          <w:p w14:paraId="08096E90">
            <w:pPr>
              <w:rPr>
                <w:rFonts w:ascii="Arial"/>
                <w:color w:val="auto"/>
                <w:sz w:val="21"/>
                <w:highlight w:val="none"/>
              </w:rPr>
            </w:pPr>
          </w:p>
        </w:tc>
        <w:tc>
          <w:tcPr>
            <w:tcW w:w="1081" w:type="dxa"/>
            <w:noWrap w:val="0"/>
            <w:vAlign w:val="top"/>
          </w:tcPr>
          <w:p w14:paraId="0F123BD1">
            <w:pPr>
              <w:rPr>
                <w:rFonts w:ascii="Arial"/>
                <w:color w:val="auto"/>
                <w:sz w:val="21"/>
                <w:highlight w:val="none"/>
              </w:rPr>
            </w:pPr>
          </w:p>
        </w:tc>
        <w:tc>
          <w:tcPr>
            <w:tcW w:w="2972" w:type="dxa"/>
            <w:noWrap w:val="0"/>
            <w:vAlign w:val="top"/>
          </w:tcPr>
          <w:p w14:paraId="66BC54C2">
            <w:pPr>
              <w:pStyle w:val="223"/>
              <w:spacing w:before="71" w:line="228" w:lineRule="auto"/>
              <w:ind w:left="465"/>
              <w:rPr>
                <w:color w:val="auto"/>
                <w:highlight w:val="none"/>
              </w:rPr>
            </w:pPr>
            <w:r>
              <w:rPr>
                <w:color w:val="auto"/>
                <w:spacing w:val="5"/>
                <w:highlight w:val="none"/>
              </w:rPr>
              <w:t>门系统（易损件除外）</w:t>
            </w:r>
          </w:p>
        </w:tc>
        <w:tc>
          <w:tcPr>
            <w:tcW w:w="2040" w:type="dxa"/>
            <w:noWrap w:val="0"/>
            <w:vAlign w:val="top"/>
          </w:tcPr>
          <w:p w14:paraId="1A8A5369">
            <w:pPr>
              <w:pStyle w:val="223"/>
              <w:spacing w:before="71"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6D569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685019E7">
            <w:pPr>
              <w:rPr>
                <w:rFonts w:ascii="Arial"/>
                <w:color w:val="auto"/>
                <w:sz w:val="21"/>
                <w:highlight w:val="none"/>
              </w:rPr>
            </w:pPr>
          </w:p>
        </w:tc>
        <w:tc>
          <w:tcPr>
            <w:tcW w:w="810" w:type="dxa"/>
            <w:vMerge w:val="continue"/>
            <w:tcBorders>
              <w:top w:val="nil"/>
              <w:bottom w:val="nil"/>
            </w:tcBorders>
            <w:noWrap w:val="0"/>
            <w:vAlign w:val="top"/>
          </w:tcPr>
          <w:p w14:paraId="72964499">
            <w:pPr>
              <w:rPr>
                <w:rFonts w:ascii="Arial"/>
                <w:color w:val="auto"/>
                <w:sz w:val="21"/>
                <w:highlight w:val="none"/>
              </w:rPr>
            </w:pPr>
          </w:p>
        </w:tc>
        <w:tc>
          <w:tcPr>
            <w:tcW w:w="675" w:type="dxa"/>
            <w:vMerge w:val="continue"/>
            <w:tcBorders>
              <w:top w:val="nil"/>
              <w:bottom w:val="nil"/>
            </w:tcBorders>
            <w:noWrap w:val="0"/>
            <w:vAlign w:val="top"/>
          </w:tcPr>
          <w:p w14:paraId="40B899E7">
            <w:pPr>
              <w:rPr>
                <w:rFonts w:ascii="Arial"/>
                <w:color w:val="auto"/>
                <w:sz w:val="21"/>
                <w:highlight w:val="none"/>
              </w:rPr>
            </w:pPr>
          </w:p>
        </w:tc>
        <w:tc>
          <w:tcPr>
            <w:tcW w:w="1081" w:type="dxa"/>
            <w:noWrap w:val="0"/>
            <w:vAlign w:val="top"/>
          </w:tcPr>
          <w:p w14:paraId="5EF0CB04">
            <w:pPr>
              <w:rPr>
                <w:rFonts w:ascii="Arial"/>
                <w:color w:val="auto"/>
                <w:sz w:val="21"/>
                <w:highlight w:val="none"/>
              </w:rPr>
            </w:pPr>
          </w:p>
        </w:tc>
        <w:tc>
          <w:tcPr>
            <w:tcW w:w="2972" w:type="dxa"/>
            <w:noWrap w:val="0"/>
            <w:vAlign w:val="top"/>
          </w:tcPr>
          <w:p w14:paraId="0DFBFFE1">
            <w:pPr>
              <w:pStyle w:val="223"/>
              <w:spacing w:before="67" w:line="229" w:lineRule="auto"/>
              <w:ind w:left="971"/>
              <w:rPr>
                <w:color w:val="auto"/>
                <w:highlight w:val="none"/>
              </w:rPr>
            </w:pPr>
            <w:r>
              <w:rPr>
                <w:color w:val="auto"/>
                <w:spacing w:val="7"/>
                <w:highlight w:val="none"/>
              </w:rPr>
              <w:t>安全逃生窗</w:t>
            </w:r>
          </w:p>
        </w:tc>
        <w:tc>
          <w:tcPr>
            <w:tcW w:w="2040" w:type="dxa"/>
            <w:noWrap w:val="0"/>
            <w:vAlign w:val="top"/>
          </w:tcPr>
          <w:p w14:paraId="5AED1435">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76BD5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315BD9AD">
            <w:pPr>
              <w:rPr>
                <w:rFonts w:ascii="Arial"/>
                <w:color w:val="auto"/>
                <w:sz w:val="21"/>
                <w:highlight w:val="none"/>
              </w:rPr>
            </w:pPr>
          </w:p>
        </w:tc>
        <w:tc>
          <w:tcPr>
            <w:tcW w:w="810" w:type="dxa"/>
            <w:vMerge w:val="continue"/>
            <w:tcBorders>
              <w:top w:val="nil"/>
              <w:bottom w:val="nil"/>
            </w:tcBorders>
            <w:noWrap w:val="0"/>
            <w:vAlign w:val="top"/>
          </w:tcPr>
          <w:p w14:paraId="233AF93D">
            <w:pPr>
              <w:rPr>
                <w:rFonts w:ascii="Arial"/>
                <w:color w:val="auto"/>
                <w:sz w:val="21"/>
                <w:highlight w:val="none"/>
              </w:rPr>
            </w:pPr>
          </w:p>
        </w:tc>
        <w:tc>
          <w:tcPr>
            <w:tcW w:w="675" w:type="dxa"/>
            <w:vMerge w:val="continue"/>
            <w:tcBorders>
              <w:top w:val="nil"/>
              <w:bottom w:val="nil"/>
            </w:tcBorders>
            <w:noWrap w:val="0"/>
            <w:vAlign w:val="top"/>
          </w:tcPr>
          <w:p w14:paraId="4D491DCE">
            <w:pPr>
              <w:rPr>
                <w:rFonts w:ascii="Arial"/>
                <w:color w:val="auto"/>
                <w:sz w:val="21"/>
                <w:highlight w:val="none"/>
              </w:rPr>
            </w:pPr>
          </w:p>
        </w:tc>
        <w:tc>
          <w:tcPr>
            <w:tcW w:w="1081" w:type="dxa"/>
            <w:noWrap w:val="0"/>
            <w:vAlign w:val="top"/>
          </w:tcPr>
          <w:p w14:paraId="46D6C038">
            <w:pPr>
              <w:rPr>
                <w:rFonts w:ascii="Arial"/>
                <w:color w:val="auto"/>
                <w:sz w:val="21"/>
                <w:highlight w:val="none"/>
              </w:rPr>
            </w:pPr>
          </w:p>
        </w:tc>
        <w:tc>
          <w:tcPr>
            <w:tcW w:w="2972" w:type="dxa"/>
            <w:noWrap w:val="0"/>
            <w:vAlign w:val="top"/>
          </w:tcPr>
          <w:p w14:paraId="31E37328">
            <w:pPr>
              <w:pStyle w:val="223"/>
              <w:spacing w:before="65" w:line="228" w:lineRule="auto"/>
              <w:ind w:left="1075"/>
              <w:rPr>
                <w:color w:val="auto"/>
                <w:highlight w:val="none"/>
              </w:rPr>
            </w:pPr>
            <w:r>
              <w:rPr>
                <w:color w:val="auto"/>
                <w:spacing w:val="6"/>
                <w:highlight w:val="none"/>
              </w:rPr>
              <w:t>各类舱门</w:t>
            </w:r>
          </w:p>
        </w:tc>
        <w:tc>
          <w:tcPr>
            <w:tcW w:w="2040" w:type="dxa"/>
            <w:noWrap w:val="0"/>
            <w:vAlign w:val="top"/>
          </w:tcPr>
          <w:p w14:paraId="412D20F9">
            <w:pPr>
              <w:pStyle w:val="223"/>
              <w:spacing w:before="65"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76AE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6F288C8F">
            <w:pPr>
              <w:rPr>
                <w:rFonts w:ascii="Arial"/>
                <w:color w:val="auto"/>
                <w:sz w:val="21"/>
                <w:highlight w:val="none"/>
              </w:rPr>
            </w:pPr>
          </w:p>
        </w:tc>
        <w:tc>
          <w:tcPr>
            <w:tcW w:w="810" w:type="dxa"/>
            <w:vMerge w:val="continue"/>
            <w:tcBorders>
              <w:top w:val="nil"/>
              <w:bottom w:val="nil"/>
            </w:tcBorders>
            <w:noWrap w:val="0"/>
            <w:vAlign w:val="top"/>
          </w:tcPr>
          <w:p w14:paraId="4950F72C">
            <w:pPr>
              <w:rPr>
                <w:rFonts w:ascii="Arial"/>
                <w:color w:val="auto"/>
                <w:sz w:val="21"/>
                <w:highlight w:val="none"/>
              </w:rPr>
            </w:pPr>
          </w:p>
        </w:tc>
        <w:tc>
          <w:tcPr>
            <w:tcW w:w="675" w:type="dxa"/>
            <w:vMerge w:val="continue"/>
            <w:tcBorders>
              <w:top w:val="nil"/>
              <w:bottom w:val="nil"/>
            </w:tcBorders>
            <w:noWrap w:val="0"/>
            <w:vAlign w:val="top"/>
          </w:tcPr>
          <w:p w14:paraId="3E6BC14E">
            <w:pPr>
              <w:rPr>
                <w:rFonts w:ascii="Arial"/>
                <w:color w:val="auto"/>
                <w:sz w:val="21"/>
                <w:highlight w:val="none"/>
              </w:rPr>
            </w:pPr>
          </w:p>
        </w:tc>
        <w:tc>
          <w:tcPr>
            <w:tcW w:w="1081" w:type="dxa"/>
            <w:noWrap w:val="0"/>
            <w:vAlign w:val="top"/>
          </w:tcPr>
          <w:p w14:paraId="25A8ACBB">
            <w:pPr>
              <w:rPr>
                <w:rFonts w:ascii="Arial"/>
                <w:color w:val="auto"/>
                <w:sz w:val="21"/>
                <w:highlight w:val="none"/>
              </w:rPr>
            </w:pPr>
          </w:p>
        </w:tc>
        <w:tc>
          <w:tcPr>
            <w:tcW w:w="2972" w:type="dxa"/>
            <w:vMerge w:val="restart"/>
            <w:tcBorders>
              <w:bottom w:val="nil"/>
            </w:tcBorders>
            <w:noWrap w:val="0"/>
            <w:vAlign w:val="top"/>
          </w:tcPr>
          <w:p w14:paraId="37A97E6E">
            <w:pPr>
              <w:pStyle w:val="223"/>
              <w:spacing w:before="226" w:line="228" w:lineRule="auto"/>
              <w:ind w:left="1073"/>
              <w:rPr>
                <w:color w:val="auto"/>
                <w:highlight w:val="none"/>
              </w:rPr>
            </w:pPr>
            <w:r>
              <w:rPr>
                <w:color w:val="auto"/>
                <w:spacing w:val="7"/>
                <w:highlight w:val="none"/>
              </w:rPr>
              <w:t>整车玻璃</w:t>
            </w:r>
          </w:p>
        </w:tc>
        <w:tc>
          <w:tcPr>
            <w:tcW w:w="2040" w:type="dxa"/>
            <w:vMerge w:val="restart"/>
            <w:tcBorders>
              <w:bottom w:val="nil"/>
            </w:tcBorders>
            <w:noWrap w:val="0"/>
            <w:vAlign w:val="top"/>
          </w:tcPr>
          <w:p w14:paraId="38A5456B">
            <w:pPr>
              <w:pStyle w:val="223"/>
              <w:spacing w:before="226"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6BED8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31A733C2">
            <w:pPr>
              <w:rPr>
                <w:rFonts w:ascii="Arial"/>
                <w:color w:val="auto"/>
                <w:sz w:val="21"/>
                <w:highlight w:val="none"/>
              </w:rPr>
            </w:pPr>
          </w:p>
        </w:tc>
        <w:tc>
          <w:tcPr>
            <w:tcW w:w="810" w:type="dxa"/>
            <w:vMerge w:val="continue"/>
            <w:tcBorders>
              <w:top w:val="nil"/>
              <w:bottom w:val="nil"/>
            </w:tcBorders>
            <w:noWrap w:val="0"/>
            <w:vAlign w:val="top"/>
          </w:tcPr>
          <w:p w14:paraId="5A7D904A">
            <w:pPr>
              <w:rPr>
                <w:rFonts w:ascii="Arial"/>
                <w:color w:val="auto"/>
                <w:sz w:val="21"/>
                <w:highlight w:val="none"/>
              </w:rPr>
            </w:pPr>
          </w:p>
        </w:tc>
        <w:tc>
          <w:tcPr>
            <w:tcW w:w="675" w:type="dxa"/>
            <w:vMerge w:val="continue"/>
            <w:tcBorders>
              <w:top w:val="nil"/>
              <w:bottom w:val="nil"/>
            </w:tcBorders>
            <w:noWrap w:val="0"/>
            <w:vAlign w:val="top"/>
          </w:tcPr>
          <w:p w14:paraId="560C423D">
            <w:pPr>
              <w:rPr>
                <w:rFonts w:ascii="Arial"/>
                <w:color w:val="auto"/>
                <w:sz w:val="21"/>
                <w:highlight w:val="none"/>
              </w:rPr>
            </w:pPr>
          </w:p>
        </w:tc>
        <w:tc>
          <w:tcPr>
            <w:tcW w:w="1081" w:type="dxa"/>
            <w:noWrap w:val="0"/>
            <w:vAlign w:val="top"/>
          </w:tcPr>
          <w:p w14:paraId="29F8D3A4">
            <w:pPr>
              <w:rPr>
                <w:rFonts w:ascii="Arial"/>
                <w:color w:val="auto"/>
                <w:sz w:val="21"/>
                <w:highlight w:val="none"/>
              </w:rPr>
            </w:pPr>
          </w:p>
        </w:tc>
        <w:tc>
          <w:tcPr>
            <w:tcW w:w="2972" w:type="dxa"/>
            <w:vMerge w:val="continue"/>
            <w:tcBorders>
              <w:top w:val="nil"/>
            </w:tcBorders>
            <w:noWrap w:val="0"/>
            <w:vAlign w:val="top"/>
          </w:tcPr>
          <w:p w14:paraId="7403DBFF">
            <w:pPr>
              <w:rPr>
                <w:rFonts w:ascii="Arial"/>
                <w:color w:val="auto"/>
                <w:sz w:val="21"/>
                <w:highlight w:val="none"/>
              </w:rPr>
            </w:pPr>
          </w:p>
        </w:tc>
        <w:tc>
          <w:tcPr>
            <w:tcW w:w="2040" w:type="dxa"/>
            <w:vMerge w:val="continue"/>
            <w:tcBorders>
              <w:top w:val="nil"/>
            </w:tcBorders>
            <w:noWrap w:val="0"/>
            <w:vAlign w:val="top"/>
          </w:tcPr>
          <w:p w14:paraId="1B6EE189">
            <w:pPr>
              <w:rPr>
                <w:rFonts w:ascii="Arial"/>
                <w:color w:val="auto"/>
                <w:sz w:val="21"/>
                <w:highlight w:val="none"/>
              </w:rPr>
            </w:pPr>
          </w:p>
        </w:tc>
      </w:tr>
      <w:tr w14:paraId="7D91D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1F5BAB6D">
            <w:pPr>
              <w:rPr>
                <w:rFonts w:ascii="Arial"/>
                <w:color w:val="auto"/>
                <w:sz w:val="21"/>
                <w:highlight w:val="none"/>
              </w:rPr>
            </w:pPr>
          </w:p>
        </w:tc>
        <w:tc>
          <w:tcPr>
            <w:tcW w:w="810" w:type="dxa"/>
            <w:vMerge w:val="continue"/>
            <w:tcBorders>
              <w:top w:val="nil"/>
              <w:bottom w:val="nil"/>
            </w:tcBorders>
            <w:noWrap w:val="0"/>
            <w:vAlign w:val="top"/>
          </w:tcPr>
          <w:p w14:paraId="741AE221">
            <w:pPr>
              <w:rPr>
                <w:rFonts w:ascii="Arial"/>
                <w:color w:val="auto"/>
                <w:sz w:val="21"/>
                <w:highlight w:val="none"/>
              </w:rPr>
            </w:pPr>
          </w:p>
        </w:tc>
        <w:tc>
          <w:tcPr>
            <w:tcW w:w="675" w:type="dxa"/>
            <w:vMerge w:val="continue"/>
            <w:tcBorders>
              <w:top w:val="nil"/>
              <w:bottom w:val="nil"/>
            </w:tcBorders>
            <w:noWrap w:val="0"/>
            <w:vAlign w:val="top"/>
          </w:tcPr>
          <w:p w14:paraId="32CCBA43">
            <w:pPr>
              <w:rPr>
                <w:rFonts w:ascii="Arial"/>
                <w:color w:val="auto"/>
                <w:sz w:val="21"/>
                <w:highlight w:val="none"/>
              </w:rPr>
            </w:pPr>
          </w:p>
        </w:tc>
        <w:tc>
          <w:tcPr>
            <w:tcW w:w="1081" w:type="dxa"/>
            <w:noWrap w:val="0"/>
            <w:vAlign w:val="top"/>
          </w:tcPr>
          <w:p w14:paraId="1B168EE8">
            <w:pPr>
              <w:rPr>
                <w:rFonts w:ascii="Arial"/>
                <w:color w:val="auto"/>
                <w:sz w:val="21"/>
                <w:highlight w:val="none"/>
              </w:rPr>
            </w:pPr>
          </w:p>
        </w:tc>
        <w:tc>
          <w:tcPr>
            <w:tcW w:w="2972" w:type="dxa"/>
            <w:noWrap w:val="0"/>
            <w:vAlign w:val="top"/>
          </w:tcPr>
          <w:p w14:paraId="0B995551">
            <w:pPr>
              <w:pStyle w:val="223"/>
              <w:spacing w:before="50" w:line="262" w:lineRule="auto"/>
              <w:ind w:left="967" w:right="118" w:hanging="840"/>
              <w:rPr>
                <w:color w:val="auto"/>
                <w:highlight w:val="none"/>
              </w:rPr>
            </w:pPr>
            <w:r>
              <w:rPr>
                <w:color w:val="auto"/>
                <w:spacing w:val="9"/>
                <w:highlight w:val="none"/>
              </w:rPr>
              <w:t>地板及地板革（含各类地板检</w:t>
            </w:r>
            <w:r>
              <w:rPr>
                <w:color w:val="auto"/>
                <w:spacing w:val="2"/>
                <w:highlight w:val="none"/>
              </w:rPr>
              <w:t xml:space="preserve"> </w:t>
            </w:r>
            <w:r>
              <w:rPr>
                <w:color w:val="auto"/>
                <w:spacing w:val="5"/>
                <w:highlight w:val="none"/>
              </w:rPr>
              <w:t>修孔盖板）</w:t>
            </w:r>
          </w:p>
        </w:tc>
        <w:tc>
          <w:tcPr>
            <w:tcW w:w="2040" w:type="dxa"/>
            <w:noWrap w:val="0"/>
            <w:vAlign w:val="top"/>
          </w:tcPr>
          <w:p w14:paraId="38B4D1F0">
            <w:pPr>
              <w:pStyle w:val="223"/>
              <w:spacing w:before="20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448B8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7686EF37">
            <w:pPr>
              <w:rPr>
                <w:rFonts w:ascii="Arial"/>
                <w:color w:val="auto"/>
                <w:sz w:val="21"/>
                <w:highlight w:val="none"/>
              </w:rPr>
            </w:pPr>
          </w:p>
        </w:tc>
        <w:tc>
          <w:tcPr>
            <w:tcW w:w="810" w:type="dxa"/>
            <w:vMerge w:val="continue"/>
            <w:tcBorders>
              <w:top w:val="nil"/>
              <w:bottom w:val="nil"/>
            </w:tcBorders>
            <w:noWrap w:val="0"/>
            <w:vAlign w:val="top"/>
          </w:tcPr>
          <w:p w14:paraId="611C485C">
            <w:pPr>
              <w:rPr>
                <w:rFonts w:ascii="Arial"/>
                <w:color w:val="auto"/>
                <w:sz w:val="21"/>
                <w:highlight w:val="none"/>
              </w:rPr>
            </w:pPr>
          </w:p>
        </w:tc>
        <w:tc>
          <w:tcPr>
            <w:tcW w:w="675" w:type="dxa"/>
            <w:vMerge w:val="continue"/>
            <w:tcBorders>
              <w:top w:val="nil"/>
              <w:bottom w:val="nil"/>
            </w:tcBorders>
            <w:noWrap w:val="0"/>
            <w:vAlign w:val="top"/>
          </w:tcPr>
          <w:p w14:paraId="02FAF982">
            <w:pPr>
              <w:rPr>
                <w:rFonts w:ascii="Arial"/>
                <w:color w:val="auto"/>
                <w:sz w:val="21"/>
                <w:highlight w:val="none"/>
              </w:rPr>
            </w:pPr>
          </w:p>
        </w:tc>
        <w:tc>
          <w:tcPr>
            <w:tcW w:w="1081" w:type="dxa"/>
            <w:vMerge w:val="restart"/>
            <w:tcBorders>
              <w:bottom w:val="nil"/>
            </w:tcBorders>
            <w:noWrap w:val="0"/>
            <w:vAlign w:val="top"/>
          </w:tcPr>
          <w:p w14:paraId="0EDEE378">
            <w:pPr>
              <w:spacing w:line="243" w:lineRule="auto"/>
              <w:rPr>
                <w:rFonts w:ascii="Arial"/>
                <w:color w:val="auto"/>
                <w:sz w:val="21"/>
                <w:highlight w:val="none"/>
              </w:rPr>
            </w:pPr>
          </w:p>
          <w:p w14:paraId="6BFDF663">
            <w:pPr>
              <w:spacing w:line="243" w:lineRule="auto"/>
              <w:rPr>
                <w:rFonts w:ascii="Arial"/>
                <w:color w:val="auto"/>
                <w:sz w:val="21"/>
                <w:highlight w:val="none"/>
              </w:rPr>
            </w:pPr>
          </w:p>
          <w:p w14:paraId="604699FC">
            <w:pPr>
              <w:spacing w:line="243" w:lineRule="auto"/>
              <w:rPr>
                <w:rFonts w:ascii="Arial"/>
                <w:color w:val="auto"/>
                <w:sz w:val="21"/>
                <w:highlight w:val="none"/>
              </w:rPr>
            </w:pPr>
          </w:p>
          <w:p w14:paraId="3D66F257">
            <w:pPr>
              <w:spacing w:line="243" w:lineRule="auto"/>
              <w:rPr>
                <w:rFonts w:ascii="Arial"/>
                <w:color w:val="auto"/>
                <w:sz w:val="21"/>
                <w:highlight w:val="none"/>
              </w:rPr>
            </w:pPr>
          </w:p>
          <w:p w14:paraId="203969B6">
            <w:pPr>
              <w:spacing w:line="244" w:lineRule="auto"/>
              <w:rPr>
                <w:rFonts w:ascii="Arial"/>
                <w:color w:val="auto"/>
                <w:sz w:val="21"/>
                <w:highlight w:val="none"/>
              </w:rPr>
            </w:pPr>
          </w:p>
          <w:p w14:paraId="58227E2C">
            <w:pPr>
              <w:spacing w:line="244" w:lineRule="auto"/>
              <w:rPr>
                <w:rFonts w:ascii="Arial"/>
                <w:color w:val="auto"/>
                <w:sz w:val="21"/>
                <w:highlight w:val="none"/>
              </w:rPr>
            </w:pPr>
          </w:p>
          <w:p w14:paraId="7B6BE951">
            <w:pPr>
              <w:spacing w:line="244" w:lineRule="auto"/>
              <w:rPr>
                <w:rFonts w:ascii="Arial"/>
                <w:color w:val="auto"/>
                <w:sz w:val="21"/>
                <w:highlight w:val="none"/>
              </w:rPr>
            </w:pPr>
          </w:p>
          <w:p w14:paraId="7B1BC133">
            <w:pPr>
              <w:spacing w:line="244" w:lineRule="auto"/>
              <w:rPr>
                <w:rFonts w:ascii="Arial"/>
                <w:color w:val="auto"/>
                <w:sz w:val="21"/>
                <w:highlight w:val="none"/>
              </w:rPr>
            </w:pPr>
          </w:p>
          <w:p w14:paraId="55202747">
            <w:pPr>
              <w:spacing w:line="244" w:lineRule="auto"/>
              <w:rPr>
                <w:rFonts w:ascii="Arial"/>
                <w:color w:val="auto"/>
                <w:sz w:val="21"/>
                <w:highlight w:val="none"/>
              </w:rPr>
            </w:pPr>
          </w:p>
          <w:p w14:paraId="31B4C4C9">
            <w:pPr>
              <w:spacing w:line="244" w:lineRule="auto"/>
              <w:rPr>
                <w:rFonts w:ascii="Arial"/>
                <w:color w:val="auto"/>
                <w:sz w:val="21"/>
                <w:highlight w:val="none"/>
              </w:rPr>
            </w:pPr>
          </w:p>
          <w:p w14:paraId="5DC88FE6">
            <w:pPr>
              <w:pStyle w:val="223"/>
              <w:spacing w:before="65" w:line="228" w:lineRule="auto"/>
              <w:ind w:left="113"/>
              <w:rPr>
                <w:color w:val="auto"/>
                <w:highlight w:val="none"/>
              </w:rPr>
            </w:pPr>
            <w:r>
              <w:rPr>
                <w:color w:val="auto"/>
                <w:spacing w:val="6"/>
                <w:highlight w:val="none"/>
              </w:rPr>
              <w:t>车身附件</w:t>
            </w:r>
          </w:p>
        </w:tc>
        <w:tc>
          <w:tcPr>
            <w:tcW w:w="2972" w:type="dxa"/>
            <w:noWrap w:val="0"/>
            <w:vAlign w:val="top"/>
          </w:tcPr>
          <w:p w14:paraId="22951ADB">
            <w:pPr>
              <w:pStyle w:val="223"/>
              <w:spacing w:before="66" w:line="228" w:lineRule="auto"/>
              <w:ind w:left="1286"/>
              <w:rPr>
                <w:color w:val="auto"/>
                <w:highlight w:val="none"/>
              </w:rPr>
            </w:pPr>
            <w:r>
              <w:rPr>
                <w:color w:val="auto"/>
                <w:spacing w:val="2"/>
                <w:highlight w:val="none"/>
              </w:rPr>
              <w:t>蒙皮</w:t>
            </w:r>
          </w:p>
        </w:tc>
        <w:tc>
          <w:tcPr>
            <w:tcW w:w="2040" w:type="dxa"/>
            <w:noWrap w:val="0"/>
            <w:vAlign w:val="top"/>
          </w:tcPr>
          <w:p w14:paraId="780051F4">
            <w:pPr>
              <w:pStyle w:val="223"/>
              <w:spacing w:before="66"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3E8C3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5833C539">
            <w:pPr>
              <w:rPr>
                <w:rFonts w:ascii="Arial"/>
                <w:color w:val="auto"/>
                <w:sz w:val="21"/>
                <w:highlight w:val="none"/>
              </w:rPr>
            </w:pPr>
          </w:p>
        </w:tc>
        <w:tc>
          <w:tcPr>
            <w:tcW w:w="810" w:type="dxa"/>
            <w:vMerge w:val="continue"/>
            <w:tcBorders>
              <w:top w:val="nil"/>
              <w:bottom w:val="nil"/>
            </w:tcBorders>
            <w:noWrap w:val="0"/>
            <w:vAlign w:val="top"/>
          </w:tcPr>
          <w:p w14:paraId="68697765">
            <w:pPr>
              <w:rPr>
                <w:rFonts w:ascii="Arial"/>
                <w:color w:val="auto"/>
                <w:sz w:val="21"/>
                <w:highlight w:val="none"/>
              </w:rPr>
            </w:pPr>
          </w:p>
        </w:tc>
        <w:tc>
          <w:tcPr>
            <w:tcW w:w="675" w:type="dxa"/>
            <w:vMerge w:val="continue"/>
            <w:tcBorders>
              <w:top w:val="nil"/>
              <w:bottom w:val="nil"/>
            </w:tcBorders>
            <w:noWrap w:val="0"/>
            <w:vAlign w:val="top"/>
          </w:tcPr>
          <w:p w14:paraId="326A3219">
            <w:pPr>
              <w:rPr>
                <w:rFonts w:ascii="Arial"/>
                <w:color w:val="auto"/>
                <w:sz w:val="21"/>
                <w:highlight w:val="none"/>
              </w:rPr>
            </w:pPr>
          </w:p>
        </w:tc>
        <w:tc>
          <w:tcPr>
            <w:tcW w:w="1081" w:type="dxa"/>
            <w:vMerge w:val="continue"/>
            <w:tcBorders>
              <w:top w:val="nil"/>
              <w:bottom w:val="nil"/>
            </w:tcBorders>
            <w:noWrap w:val="0"/>
            <w:vAlign w:val="top"/>
          </w:tcPr>
          <w:p w14:paraId="57E5AA8E">
            <w:pPr>
              <w:rPr>
                <w:rFonts w:ascii="Arial"/>
                <w:color w:val="auto"/>
                <w:sz w:val="21"/>
                <w:highlight w:val="none"/>
              </w:rPr>
            </w:pPr>
          </w:p>
        </w:tc>
        <w:tc>
          <w:tcPr>
            <w:tcW w:w="2972" w:type="dxa"/>
            <w:noWrap w:val="0"/>
            <w:vAlign w:val="top"/>
          </w:tcPr>
          <w:p w14:paraId="700CB4E0">
            <w:pPr>
              <w:pStyle w:val="223"/>
              <w:spacing w:before="66" w:line="228" w:lineRule="auto"/>
              <w:ind w:left="968"/>
              <w:rPr>
                <w:color w:val="auto"/>
                <w:highlight w:val="none"/>
              </w:rPr>
            </w:pPr>
            <w:r>
              <w:rPr>
                <w:color w:val="auto"/>
                <w:spacing w:val="7"/>
                <w:highlight w:val="none"/>
              </w:rPr>
              <w:t>风道及附件</w:t>
            </w:r>
          </w:p>
        </w:tc>
        <w:tc>
          <w:tcPr>
            <w:tcW w:w="2040" w:type="dxa"/>
            <w:noWrap w:val="0"/>
            <w:vAlign w:val="top"/>
          </w:tcPr>
          <w:p w14:paraId="4246A43C">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3F193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74436905">
            <w:pPr>
              <w:rPr>
                <w:rFonts w:ascii="Arial"/>
                <w:color w:val="auto"/>
                <w:sz w:val="21"/>
                <w:highlight w:val="none"/>
              </w:rPr>
            </w:pPr>
          </w:p>
        </w:tc>
        <w:tc>
          <w:tcPr>
            <w:tcW w:w="810" w:type="dxa"/>
            <w:vMerge w:val="continue"/>
            <w:tcBorders>
              <w:top w:val="nil"/>
              <w:bottom w:val="nil"/>
            </w:tcBorders>
            <w:noWrap w:val="0"/>
            <w:vAlign w:val="top"/>
          </w:tcPr>
          <w:p w14:paraId="19B110A1">
            <w:pPr>
              <w:rPr>
                <w:rFonts w:ascii="Arial"/>
                <w:color w:val="auto"/>
                <w:sz w:val="21"/>
                <w:highlight w:val="none"/>
              </w:rPr>
            </w:pPr>
          </w:p>
        </w:tc>
        <w:tc>
          <w:tcPr>
            <w:tcW w:w="675" w:type="dxa"/>
            <w:vMerge w:val="continue"/>
            <w:tcBorders>
              <w:top w:val="nil"/>
              <w:bottom w:val="nil"/>
            </w:tcBorders>
            <w:noWrap w:val="0"/>
            <w:vAlign w:val="top"/>
          </w:tcPr>
          <w:p w14:paraId="26958A29">
            <w:pPr>
              <w:rPr>
                <w:rFonts w:ascii="Arial"/>
                <w:color w:val="auto"/>
                <w:sz w:val="21"/>
                <w:highlight w:val="none"/>
              </w:rPr>
            </w:pPr>
          </w:p>
        </w:tc>
        <w:tc>
          <w:tcPr>
            <w:tcW w:w="1081" w:type="dxa"/>
            <w:vMerge w:val="continue"/>
            <w:tcBorders>
              <w:top w:val="nil"/>
              <w:bottom w:val="nil"/>
            </w:tcBorders>
            <w:noWrap w:val="0"/>
            <w:vAlign w:val="top"/>
          </w:tcPr>
          <w:p w14:paraId="7D77D03B">
            <w:pPr>
              <w:rPr>
                <w:rFonts w:ascii="Arial"/>
                <w:color w:val="auto"/>
                <w:sz w:val="21"/>
                <w:highlight w:val="none"/>
              </w:rPr>
            </w:pPr>
          </w:p>
        </w:tc>
        <w:tc>
          <w:tcPr>
            <w:tcW w:w="2972" w:type="dxa"/>
            <w:noWrap w:val="0"/>
            <w:vAlign w:val="top"/>
          </w:tcPr>
          <w:p w14:paraId="24EEC082">
            <w:pPr>
              <w:pStyle w:val="223"/>
              <w:spacing w:before="67" w:line="232" w:lineRule="auto"/>
              <w:ind w:left="1178"/>
              <w:rPr>
                <w:color w:val="auto"/>
                <w:highlight w:val="none"/>
              </w:rPr>
            </w:pPr>
            <w:r>
              <w:rPr>
                <w:color w:val="auto"/>
                <w:spacing w:val="6"/>
                <w:highlight w:val="none"/>
              </w:rPr>
              <w:t>配电盒</w:t>
            </w:r>
          </w:p>
        </w:tc>
        <w:tc>
          <w:tcPr>
            <w:tcW w:w="2040" w:type="dxa"/>
            <w:noWrap w:val="0"/>
            <w:vAlign w:val="top"/>
          </w:tcPr>
          <w:p w14:paraId="60542972">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13E88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948" w:type="dxa"/>
            <w:vMerge w:val="continue"/>
            <w:tcBorders>
              <w:top w:val="nil"/>
              <w:bottom w:val="nil"/>
            </w:tcBorders>
            <w:noWrap w:val="0"/>
            <w:vAlign w:val="top"/>
          </w:tcPr>
          <w:p w14:paraId="4807D7A1">
            <w:pPr>
              <w:rPr>
                <w:rFonts w:ascii="Arial"/>
                <w:color w:val="auto"/>
                <w:sz w:val="21"/>
                <w:highlight w:val="none"/>
              </w:rPr>
            </w:pPr>
          </w:p>
        </w:tc>
        <w:tc>
          <w:tcPr>
            <w:tcW w:w="810" w:type="dxa"/>
            <w:vMerge w:val="continue"/>
            <w:tcBorders>
              <w:top w:val="nil"/>
              <w:bottom w:val="nil"/>
            </w:tcBorders>
            <w:noWrap w:val="0"/>
            <w:vAlign w:val="top"/>
          </w:tcPr>
          <w:p w14:paraId="3965B379">
            <w:pPr>
              <w:rPr>
                <w:rFonts w:ascii="Arial"/>
                <w:color w:val="auto"/>
                <w:sz w:val="21"/>
                <w:highlight w:val="none"/>
              </w:rPr>
            </w:pPr>
          </w:p>
        </w:tc>
        <w:tc>
          <w:tcPr>
            <w:tcW w:w="675" w:type="dxa"/>
            <w:vMerge w:val="continue"/>
            <w:tcBorders>
              <w:top w:val="nil"/>
              <w:bottom w:val="nil"/>
            </w:tcBorders>
            <w:noWrap w:val="0"/>
            <w:vAlign w:val="top"/>
          </w:tcPr>
          <w:p w14:paraId="6EA80137">
            <w:pPr>
              <w:rPr>
                <w:rFonts w:ascii="Arial"/>
                <w:color w:val="auto"/>
                <w:sz w:val="21"/>
                <w:highlight w:val="none"/>
              </w:rPr>
            </w:pPr>
          </w:p>
        </w:tc>
        <w:tc>
          <w:tcPr>
            <w:tcW w:w="1081" w:type="dxa"/>
            <w:vMerge w:val="continue"/>
            <w:tcBorders>
              <w:top w:val="nil"/>
              <w:bottom w:val="nil"/>
            </w:tcBorders>
            <w:noWrap w:val="0"/>
            <w:vAlign w:val="top"/>
          </w:tcPr>
          <w:p w14:paraId="4441F68D">
            <w:pPr>
              <w:rPr>
                <w:rFonts w:ascii="Arial"/>
                <w:color w:val="auto"/>
                <w:sz w:val="21"/>
                <w:highlight w:val="none"/>
              </w:rPr>
            </w:pPr>
          </w:p>
        </w:tc>
        <w:tc>
          <w:tcPr>
            <w:tcW w:w="2972" w:type="dxa"/>
            <w:noWrap w:val="0"/>
            <w:vAlign w:val="top"/>
          </w:tcPr>
          <w:p w14:paraId="2CA918A3">
            <w:pPr>
              <w:pStyle w:val="223"/>
              <w:spacing w:before="67" w:line="228" w:lineRule="auto"/>
              <w:ind w:left="1072"/>
              <w:rPr>
                <w:color w:val="auto"/>
                <w:highlight w:val="none"/>
              </w:rPr>
            </w:pPr>
            <w:r>
              <w:rPr>
                <w:color w:val="auto"/>
                <w:spacing w:val="7"/>
                <w:highlight w:val="none"/>
              </w:rPr>
              <w:t>低压线束</w:t>
            </w:r>
          </w:p>
        </w:tc>
        <w:tc>
          <w:tcPr>
            <w:tcW w:w="2040" w:type="dxa"/>
            <w:noWrap w:val="0"/>
            <w:vAlign w:val="top"/>
          </w:tcPr>
          <w:p w14:paraId="618E7B3D">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603D7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05331639">
            <w:pPr>
              <w:rPr>
                <w:rFonts w:ascii="Arial"/>
                <w:color w:val="auto"/>
                <w:sz w:val="21"/>
                <w:highlight w:val="none"/>
              </w:rPr>
            </w:pPr>
          </w:p>
        </w:tc>
        <w:tc>
          <w:tcPr>
            <w:tcW w:w="810" w:type="dxa"/>
            <w:vMerge w:val="continue"/>
            <w:tcBorders>
              <w:top w:val="nil"/>
              <w:bottom w:val="nil"/>
            </w:tcBorders>
            <w:noWrap w:val="0"/>
            <w:vAlign w:val="top"/>
          </w:tcPr>
          <w:p w14:paraId="4F16EC49">
            <w:pPr>
              <w:rPr>
                <w:rFonts w:ascii="Arial"/>
                <w:color w:val="auto"/>
                <w:sz w:val="21"/>
                <w:highlight w:val="none"/>
              </w:rPr>
            </w:pPr>
          </w:p>
        </w:tc>
        <w:tc>
          <w:tcPr>
            <w:tcW w:w="675" w:type="dxa"/>
            <w:vMerge w:val="continue"/>
            <w:tcBorders>
              <w:top w:val="nil"/>
              <w:bottom w:val="nil"/>
            </w:tcBorders>
            <w:noWrap w:val="0"/>
            <w:vAlign w:val="top"/>
          </w:tcPr>
          <w:p w14:paraId="378262A3">
            <w:pPr>
              <w:rPr>
                <w:rFonts w:ascii="Arial"/>
                <w:color w:val="auto"/>
                <w:sz w:val="21"/>
                <w:highlight w:val="none"/>
              </w:rPr>
            </w:pPr>
          </w:p>
        </w:tc>
        <w:tc>
          <w:tcPr>
            <w:tcW w:w="1081" w:type="dxa"/>
            <w:vMerge w:val="continue"/>
            <w:tcBorders>
              <w:top w:val="nil"/>
              <w:bottom w:val="nil"/>
            </w:tcBorders>
            <w:noWrap w:val="0"/>
            <w:vAlign w:val="top"/>
          </w:tcPr>
          <w:p w14:paraId="650D1834">
            <w:pPr>
              <w:rPr>
                <w:rFonts w:ascii="Arial"/>
                <w:color w:val="auto"/>
                <w:sz w:val="21"/>
                <w:highlight w:val="none"/>
              </w:rPr>
            </w:pPr>
          </w:p>
        </w:tc>
        <w:tc>
          <w:tcPr>
            <w:tcW w:w="2972" w:type="dxa"/>
            <w:noWrap w:val="0"/>
            <w:vAlign w:val="top"/>
          </w:tcPr>
          <w:p w14:paraId="3DA69C89">
            <w:pPr>
              <w:pStyle w:val="223"/>
              <w:spacing w:before="67" w:line="228" w:lineRule="auto"/>
              <w:ind w:left="757"/>
              <w:rPr>
                <w:color w:val="auto"/>
                <w:highlight w:val="none"/>
              </w:rPr>
            </w:pPr>
            <w:r>
              <w:rPr>
                <w:color w:val="auto"/>
                <w:spacing w:val="8"/>
                <w:highlight w:val="none"/>
              </w:rPr>
              <w:t>扶手杆及连接器</w:t>
            </w:r>
          </w:p>
        </w:tc>
        <w:tc>
          <w:tcPr>
            <w:tcW w:w="2040" w:type="dxa"/>
            <w:noWrap w:val="0"/>
            <w:vAlign w:val="top"/>
          </w:tcPr>
          <w:p w14:paraId="46B7F360">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5A6BE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4E342AAC">
            <w:pPr>
              <w:rPr>
                <w:rFonts w:ascii="Arial"/>
                <w:color w:val="auto"/>
                <w:sz w:val="21"/>
                <w:highlight w:val="none"/>
              </w:rPr>
            </w:pPr>
          </w:p>
        </w:tc>
        <w:tc>
          <w:tcPr>
            <w:tcW w:w="810" w:type="dxa"/>
            <w:vMerge w:val="continue"/>
            <w:tcBorders>
              <w:top w:val="nil"/>
              <w:bottom w:val="nil"/>
            </w:tcBorders>
            <w:noWrap w:val="0"/>
            <w:vAlign w:val="top"/>
          </w:tcPr>
          <w:p w14:paraId="256B7EC0">
            <w:pPr>
              <w:rPr>
                <w:rFonts w:ascii="Arial"/>
                <w:color w:val="auto"/>
                <w:sz w:val="21"/>
                <w:highlight w:val="none"/>
              </w:rPr>
            </w:pPr>
          </w:p>
        </w:tc>
        <w:tc>
          <w:tcPr>
            <w:tcW w:w="675" w:type="dxa"/>
            <w:vMerge w:val="continue"/>
            <w:tcBorders>
              <w:top w:val="nil"/>
              <w:bottom w:val="nil"/>
            </w:tcBorders>
            <w:noWrap w:val="0"/>
            <w:vAlign w:val="top"/>
          </w:tcPr>
          <w:p w14:paraId="0C29A2E7">
            <w:pPr>
              <w:rPr>
                <w:rFonts w:ascii="Arial"/>
                <w:color w:val="auto"/>
                <w:sz w:val="21"/>
                <w:highlight w:val="none"/>
              </w:rPr>
            </w:pPr>
          </w:p>
        </w:tc>
        <w:tc>
          <w:tcPr>
            <w:tcW w:w="1081" w:type="dxa"/>
            <w:vMerge w:val="continue"/>
            <w:tcBorders>
              <w:top w:val="nil"/>
              <w:bottom w:val="nil"/>
            </w:tcBorders>
            <w:noWrap w:val="0"/>
            <w:vAlign w:val="top"/>
          </w:tcPr>
          <w:p w14:paraId="4E8E82D4">
            <w:pPr>
              <w:rPr>
                <w:rFonts w:ascii="Arial"/>
                <w:color w:val="auto"/>
                <w:sz w:val="21"/>
                <w:highlight w:val="none"/>
              </w:rPr>
            </w:pPr>
          </w:p>
        </w:tc>
        <w:tc>
          <w:tcPr>
            <w:tcW w:w="2972" w:type="dxa"/>
            <w:noWrap w:val="0"/>
            <w:vAlign w:val="top"/>
          </w:tcPr>
          <w:p w14:paraId="78BBA9A0">
            <w:pPr>
              <w:pStyle w:val="223"/>
              <w:spacing w:before="68" w:line="229" w:lineRule="auto"/>
              <w:ind w:left="969"/>
              <w:rPr>
                <w:color w:val="auto"/>
                <w:highlight w:val="none"/>
              </w:rPr>
            </w:pPr>
            <w:r>
              <w:rPr>
                <w:color w:val="auto"/>
                <w:spacing w:val="7"/>
                <w:highlight w:val="none"/>
              </w:rPr>
              <w:t>座椅及支架</w:t>
            </w:r>
          </w:p>
        </w:tc>
        <w:tc>
          <w:tcPr>
            <w:tcW w:w="2040" w:type="dxa"/>
            <w:noWrap w:val="0"/>
            <w:vAlign w:val="top"/>
          </w:tcPr>
          <w:p w14:paraId="7A650D3D">
            <w:pPr>
              <w:pStyle w:val="223"/>
              <w:spacing w:before="68"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459D3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3A0C1FE4">
            <w:pPr>
              <w:rPr>
                <w:rFonts w:ascii="Arial"/>
                <w:color w:val="auto"/>
                <w:sz w:val="21"/>
                <w:highlight w:val="none"/>
              </w:rPr>
            </w:pPr>
          </w:p>
        </w:tc>
        <w:tc>
          <w:tcPr>
            <w:tcW w:w="810" w:type="dxa"/>
            <w:vMerge w:val="continue"/>
            <w:tcBorders>
              <w:top w:val="nil"/>
              <w:bottom w:val="nil"/>
            </w:tcBorders>
            <w:noWrap w:val="0"/>
            <w:vAlign w:val="top"/>
          </w:tcPr>
          <w:p w14:paraId="3396D369">
            <w:pPr>
              <w:rPr>
                <w:rFonts w:ascii="Arial"/>
                <w:color w:val="auto"/>
                <w:sz w:val="21"/>
                <w:highlight w:val="none"/>
              </w:rPr>
            </w:pPr>
          </w:p>
        </w:tc>
        <w:tc>
          <w:tcPr>
            <w:tcW w:w="675" w:type="dxa"/>
            <w:vMerge w:val="continue"/>
            <w:tcBorders>
              <w:top w:val="nil"/>
              <w:bottom w:val="nil"/>
            </w:tcBorders>
            <w:noWrap w:val="0"/>
            <w:vAlign w:val="top"/>
          </w:tcPr>
          <w:p w14:paraId="6B5ACB96">
            <w:pPr>
              <w:rPr>
                <w:rFonts w:ascii="Arial"/>
                <w:color w:val="auto"/>
                <w:sz w:val="21"/>
                <w:highlight w:val="none"/>
              </w:rPr>
            </w:pPr>
          </w:p>
        </w:tc>
        <w:tc>
          <w:tcPr>
            <w:tcW w:w="1081" w:type="dxa"/>
            <w:vMerge w:val="continue"/>
            <w:tcBorders>
              <w:top w:val="nil"/>
              <w:bottom w:val="nil"/>
            </w:tcBorders>
            <w:noWrap w:val="0"/>
            <w:vAlign w:val="top"/>
          </w:tcPr>
          <w:p w14:paraId="76E4D108">
            <w:pPr>
              <w:rPr>
                <w:rFonts w:ascii="Arial"/>
                <w:color w:val="auto"/>
                <w:sz w:val="21"/>
                <w:highlight w:val="none"/>
              </w:rPr>
            </w:pPr>
          </w:p>
        </w:tc>
        <w:tc>
          <w:tcPr>
            <w:tcW w:w="2972" w:type="dxa"/>
            <w:noWrap w:val="0"/>
            <w:vAlign w:val="top"/>
          </w:tcPr>
          <w:p w14:paraId="15CF3F3A">
            <w:pPr>
              <w:pStyle w:val="223"/>
              <w:spacing w:before="67" w:line="228" w:lineRule="auto"/>
              <w:ind w:left="870"/>
              <w:rPr>
                <w:color w:val="auto"/>
                <w:highlight w:val="none"/>
              </w:rPr>
            </w:pPr>
            <w:r>
              <w:rPr>
                <w:color w:val="auto"/>
                <w:spacing w:val="6"/>
                <w:highlight w:val="none"/>
              </w:rPr>
              <w:t>司机包围总成</w:t>
            </w:r>
          </w:p>
        </w:tc>
        <w:tc>
          <w:tcPr>
            <w:tcW w:w="2040" w:type="dxa"/>
            <w:noWrap w:val="0"/>
            <w:vAlign w:val="top"/>
          </w:tcPr>
          <w:p w14:paraId="5A1AF72F">
            <w:pPr>
              <w:pStyle w:val="223"/>
              <w:spacing w:before="68"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6DA89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28E1211A">
            <w:pPr>
              <w:rPr>
                <w:rFonts w:ascii="Arial"/>
                <w:color w:val="auto"/>
                <w:sz w:val="21"/>
                <w:highlight w:val="none"/>
              </w:rPr>
            </w:pPr>
          </w:p>
        </w:tc>
        <w:tc>
          <w:tcPr>
            <w:tcW w:w="810" w:type="dxa"/>
            <w:vMerge w:val="continue"/>
            <w:tcBorders>
              <w:top w:val="nil"/>
              <w:bottom w:val="nil"/>
            </w:tcBorders>
            <w:noWrap w:val="0"/>
            <w:vAlign w:val="top"/>
          </w:tcPr>
          <w:p w14:paraId="702EECC9">
            <w:pPr>
              <w:rPr>
                <w:rFonts w:ascii="Arial"/>
                <w:color w:val="auto"/>
                <w:sz w:val="21"/>
                <w:highlight w:val="none"/>
              </w:rPr>
            </w:pPr>
          </w:p>
        </w:tc>
        <w:tc>
          <w:tcPr>
            <w:tcW w:w="675" w:type="dxa"/>
            <w:vMerge w:val="continue"/>
            <w:tcBorders>
              <w:top w:val="nil"/>
              <w:bottom w:val="nil"/>
            </w:tcBorders>
            <w:noWrap w:val="0"/>
            <w:vAlign w:val="top"/>
          </w:tcPr>
          <w:p w14:paraId="7A8A04C9">
            <w:pPr>
              <w:rPr>
                <w:rFonts w:ascii="Arial"/>
                <w:color w:val="auto"/>
                <w:sz w:val="21"/>
                <w:highlight w:val="none"/>
              </w:rPr>
            </w:pPr>
          </w:p>
        </w:tc>
        <w:tc>
          <w:tcPr>
            <w:tcW w:w="1081" w:type="dxa"/>
            <w:vMerge w:val="continue"/>
            <w:tcBorders>
              <w:top w:val="nil"/>
              <w:bottom w:val="nil"/>
            </w:tcBorders>
            <w:noWrap w:val="0"/>
            <w:vAlign w:val="top"/>
          </w:tcPr>
          <w:p w14:paraId="6D0C2121">
            <w:pPr>
              <w:rPr>
                <w:rFonts w:ascii="Arial"/>
                <w:color w:val="auto"/>
                <w:sz w:val="21"/>
                <w:highlight w:val="none"/>
              </w:rPr>
            </w:pPr>
          </w:p>
        </w:tc>
        <w:tc>
          <w:tcPr>
            <w:tcW w:w="2972" w:type="dxa"/>
            <w:noWrap w:val="0"/>
            <w:vAlign w:val="top"/>
          </w:tcPr>
          <w:p w14:paraId="0F5A7FB1">
            <w:pPr>
              <w:pStyle w:val="223"/>
              <w:spacing w:before="66" w:line="228" w:lineRule="auto"/>
              <w:ind w:left="759"/>
              <w:rPr>
                <w:color w:val="auto"/>
                <w:highlight w:val="none"/>
              </w:rPr>
            </w:pPr>
            <w:r>
              <w:rPr>
                <w:color w:val="auto"/>
                <w:spacing w:val="8"/>
                <w:highlight w:val="none"/>
              </w:rPr>
              <w:t>仪表台及包围件</w:t>
            </w:r>
          </w:p>
        </w:tc>
        <w:tc>
          <w:tcPr>
            <w:tcW w:w="2040" w:type="dxa"/>
            <w:noWrap w:val="0"/>
            <w:vAlign w:val="top"/>
          </w:tcPr>
          <w:p w14:paraId="55597315">
            <w:pPr>
              <w:pStyle w:val="223"/>
              <w:spacing w:before="66"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2C34E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566A95B5">
            <w:pPr>
              <w:rPr>
                <w:rFonts w:ascii="Arial"/>
                <w:color w:val="auto"/>
                <w:sz w:val="21"/>
                <w:highlight w:val="none"/>
              </w:rPr>
            </w:pPr>
          </w:p>
        </w:tc>
        <w:tc>
          <w:tcPr>
            <w:tcW w:w="810" w:type="dxa"/>
            <w:vMerge w:val="continue"/>
            <w:tcBorders>
              <w:top w:val="nil"/>
              <w:bottom w:val="nil"/>
            </w:tcBorders>
            <w:noWrap w:val="0"/>
            <w:vAlign w:val="top"/>
          </w:tcPr>
          <w:p w14:paraId="1E916175">
            <w:pPr>
              <w:rPr>
                <w:rFonts w:ascii="Arial"/>
                <w:color w:val="auto"/>
                <w:sz w:val="21"/>
                <w:highlight w:val="none"/>
              </w:rPr>
            </w:pPr>
          </w:p>
        </w:tc>
        <w:tc>
          <w:tcPr>
            <w:tcW w:w="675" w:type="dxa"/>
            <w:vMerge w:val="continue"/>
            <w:tcBorders>
              <w:top w:val="nil"/>
              <w:bottom w:val="nil"/>
            </w:tcBorders>
            <w:noWrap w:val="0"/>
            <w:vAlign w:val="top"/>
          </w:tcPr>
          <w:p w14:paraId="6AD0C104">
            <w:pPr>
              <w:rPr>
                <w:rFonts w:ascii="Arial"/>
                <w:color w:val="auto"/>
                <w:sz w:val="21"/>
                <w:highlight w:val="none"/>
              </w:rPr>
            </w:pPr>
          </w:p>
        </w:tc>
        <w:tc>
          <w:tcPr>
            <w:tcW w:w="1081" w:type="dxa"/>
            <w:vMerge w:val="continue"/>
            <w:tcBorders>
              <w:top w:val="nil"/>
              <w:bottom w:val="nil"/>
            </w:tcBorders>
            <w:noWrap w:val="0"/>
            <w:vAlign w:val="top"/>
          </w:tcPr>
          <w:p w14:paraId="5401CB00">
            <w:pPr>
              <w:rPr>
                <w:rFonts w:ascii="Arial"/>
                <w:color w:val="auto"/>
                <w:sz w:val="21"/>
                <w:highlight w:val="none"/>
              </w:rPr>
            </w:pPr>
          </w:p>
        </w:tc>
        <w:tc>
          <w:tcPr>
            <w:tcW w:w="2972" w:type="dxa"/>
            <w:noWrap w:val="0"/>
            <w:vAlign w:val="top"/>
          </w:tcPr>
          <w:p w14:paraId="1D6901B6">
            <w:pPr>
              <w:pStyle w:val="223"/>
              <w:spacing w:before="66" w:line="229" w:lineRule="auto"/>
              <w:ind w:left="1075"/>
              <w:rPr>
                <w:color w:val="auto"/>
                <w:highlight w:val="none"/>
              </w:rPr>
            </w:pPr>
            <w:r>
              <w:rPr>
                <w:color w:val="auto"/>
                <w:spacing w:val="6"/>
                <w:highlight w:val="none"/>
              </w:rPr>
              <w:t>大灯总成</w:t>
            </w:r>
          </w:p>
        </w:tc>
        <w:tc>
          <w:tcPr>
            <w:tcW w:w="2040" w:type="dxa"/>
            <w:noWrap w:val="0"/>
            <w:vAlign w:val="top"/>
          </w:tcPr>
          <w:p w14:paraId="40A90CE0">
            <w:pPr>
              <w:pStyle w:val="223"/>
              <w:spacing w:before="67"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43136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15FAC270">
            <w:pPr>
              <w:rPr>
                <w:rFonts w:ascii="Arial"/>
                <w:color w:val="auto"/>
                <w:sz w:val="21"/>
                <w:highlight w:val="none"/>
              </w:rPr>
            </w:pPr>
          </w:p>
        </w:tc>
        <w:tc>
          <w:tcPr>
            <w:tcW w:w="810" w:type="dxa"/>
            <w:vMerge w:val="continue"/>
            <w:tcBorders>
              <w:top w:val="nil"/>
              <w:bottom w:val="nil"/>
            </w:tcBorders>
            <w:noWrap w:val="0"/>
            <w:vAlign w:val="top"/>
          </w:tcPr>
          <w:p w14:paraId="6606710B">
            <w:pPr>
              <w:rPr>
                <w:rFonts w:ascii="Arial"/>
                <w:color w:val="auto"/>
                <w:sz w:val="21"/>
                <w:highlight w:val="none"/>
              </w:rPr>
            </w:pPr>
          </w:p>
        </w:tc>
        <w:tc>
          <w:tcPr>
            <w:tcW w:w="675" w:type="dxa"/>
            <w:vMerge w:val="continue"/>
            <w:tcBorders>
              <w:top w:val="nil"/>
              <w:bottom w:val="nil"/>
            </w:tcBorders>
            <w:noWrap w:val="0"/>
            <w:vAlign w:val="top"/>
          </w:tcPr>
          <w:p w14:paraId="7A5B7613">
            <w:pPr>
              <w:rPr>
                <w:rFonts w:ascii="Arial"/>
                <w:color w:val="auto"/>
                <w:sz w:val="21"/>
                <w:highlight w:val="none"/>
              </w:rPr>
            </w:pPr>
          </w:p>
        </w:tc>
        <w:tc>
          <w:tcPr>
            <w:tcW w:w="1081" w:type="dxa"/>
            <w:vMerge w:val="continue"/>
            <w:tcBorders>
              <w:top w:val="nil"/>
              <w:bottom w:val="nil"/>
            </w:tcBorders>
            <w:noWrap w:val="0"/>
            <w:vAlign w:val="top"/>
          </w:tcPr>
          <w:p w14:paraId="00ACB3D7">
            <w:pPr>
              <w:rPr>
                <w:rFonts w:ascii="Arial"/>
                <w:color w:val="auto"/>
                <w:sz w:val="21"/>
                <w:highlight w:val="none"/>
              </w:rPr>
            </w:pPr>
          </w:p>
        </w:tc>
        <w:tc>
          <w:tcPr>
            <w:tcW w:w="2972" w:type="dxa"/>
            <w:noWrap w:val="0"/>
            <w:vAlign w:val="top"/>
          </w:tcPr>
          <w:p w14:paraId="2B2E0D0E">
            <w:pPr>
              <w:pStyle w:val="223"/>
              <w:spacing w:before="67" w:line="229" w:lineRule="auto"/>
              <w:ind w:left="1073"/>
              <w:rPr>
                <w:color w:val="auto"/>
                <w:highlight w:val="none"/>
              </w:rPr>
            </w:pPr>
            <w:r>
              <w:rPr>
                <w:color w:val="auto"/>
                <w:spacing w:val="7"/>
                <w:highlight w:val="none"/>
              </w:rPr>
              <w:t>尾灯总成</w:t>
            </w:r>
          </w:p>
        </w:tc>
        <w:tc>
          <w:tcPr>
            <w:tcW w:w="2040" w:type="dxa"/>
            <w:noWrap w:val="0"/>
            <w:vAlign w:val="top"/>
          </w:tcPr>
          <w:p w14:paraId="00B51908">
            <w:pPr>
              <w:pStyle w:val="223"/>
              <w:spacing w:before="67"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4007F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2A4888B6">
            <w:pPr>
              <w:rPr>
                <w:rFonts w:ascii="Arial"/>
                <w:color w:val="auto"/>
                <w:sz w:val="21"/>
                <w:highlight w:val="none"/>
              </w:rPr>
            </w:pPr>
          </w:p>
        </w:tc>
        <w:tc>
          <w:tcPr>
            <w:tcW w:w="810" w:type="dxa"/>
            <w:vMerge w:val="continue"/>
            <w:tcBorders>
              <w:top w:val="nil"/>
              <w:bottom w:val="nil"/>
            </w:tcBorders>
            <w:noWrap w:val="0"/>
            <w:vAlign w:val="top"/>
          </w:tcPr>
          <w:p w14:paraId="009A1334">
            <w:pPr>
              <w:rPr>
                <w:rFonts w:ascii="Arial"/>
                <w:color w:val="auto"/>
                <w:sz w:val="21"/>
                <w:highlight w:val="none"/>
              </w:rPr>
            </w:pPr>
          </w:p>
        </w:tc>
        <w:tc>
          <w:tcPr>
            <w:tcW w:w="675" w:type="dxa"/>
            <w:vMerge w:val="continue"/>
            <w:tcBorders>
              <w:top w:val="nil"/>
              <w:bottom w:val="nil"/>
            </w:tcBorders>
            <w:noWrap w:val="0"/>
            <w:vAlign w:val="top"/>
          </w:tcPr>
          <w:p w14:paraId="62A0796F">
            <w:pPr>
              <w:rPr>
                <w:rFonts w:ascii="Arial"/>
                <w:color w:val="auto"/>
                <w:sz w:val="21"/>
                <w:highlight w:val="none"/>
              </w:rPr>
            </w:pPr>
          </w:p>
        </w:tc>
        <w:tc>
          <w:tcPr>
            <w:tcW w:w="1081" w:type="dxa"/>
            <w:vMerge w:val="continue"/>
            <w:tcBorders>
              <w:top w:val="nil"/>
              <w:bottom w:val="nil"/>
            </w:tcBorders>
            <w:noWrap w:val="0"/>
            <w:vAlign w:val="top"/>
          </w:tcPr>
          <w:p w14:paraId="299F4BB0">
            <w:pPr>
              <w:rPr>
                <w:rFonts w:ascii="Arial"/>
                <w:color w:val="auto"/>
                <w:sz w:val="21"/>
                <w:highlight w:val="none"/>
              </w:rPr>
            </w:pPr>
          </w:p>
        </w:tc>
        <w:tc>
          <w:tcPr>
            <w:tcW w:w="2972" w:type="dxa"/>
            <w:noWrap w:val="0"/>
            <w:vAlign w:val="top"/>
          </w:tcPr>
          <w:p w14:paraId="1AC9509B">
            <w:pPr>
              <w:pStyle w:val="223"/>
              <w:spacing w:before="67" w:line="228" w:lineRule="auto"/>
              <w:ind w:left="968"/>
              <w:rPr>
                <w:color w:val="auto"/>
                <w:highlight w:val="none"/>
              </w:rPr>
            </w:pPr>
            <w:r>
              <w:rPr>
                <w:color w:val="auto"/>
                <w:spacing w:val="7"/>
                <w:highlight w:val="none"/>
              </w:rPr>
              <w:t>铝合金轮辋</w:t>
            </w:r>
          </w:p>
        </w:tc>
        <w:tc>
          <w:tcPr>
            <w:tcW w:w="2040" w:type="dxa"/>
            <w:noWrap w:val="0"/>
            <w:vAlign w:val="top"/>
          </w:tcPr>
          <w:p w14:paraId="52D1BEAE">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7CF5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2ACD6390">
            <w:pPr>
              <w:rPr>
                <w:rFonts w:ascii="Arial"/>
                <w:color w:val="auto"/>
                <w:sz w:val="21"/>
                <w:highlight w:val="none"/>
              </w:rPr>
            </w:pPr>
          </w:p>
        </w:tc>
        <w:tc>
          <w:tcPr>
            <w:tcW w:w="810" w:type="dxa"/>
            <w:vMerge w:val="continue"/>
            <w:tcBorders>
              <w:top w:val="nil"/>
              <w:bottom w:val="nil"/>
            </w:tcBorders>
            <w:noWrap w:val="0"/>
            <w:vAlign w:val="top"/>
          </w:tcPr>
          <w:p w14:paraId="312685FE">
            <w:pPr>
              <w:rPr>
                <w:rFonts w:ascii="Arial"/>
                <w:color w:val="auto"/>
                <w:sz w:val="21"/>
                <w:highlight w:val="none"/>
              </w:rPr>
            </w:pPr>
          </w:p>
        </w:tc>
        <w:tc>
          <w:tcPr>
            <w:tcW w:w="675" w:type="dxa"/>
            <w:vMerge w:val="continue"/>
            <w:tcBorders>
              <w:top w:val="nil"/>
              <w:bottom w:val="nil"/>
            </w:tcBorders>
            <w:noWrap w:val="0"/>
            <w:vAlign w:val="top"/>
          </w:tcPr>
          <w:p w14:paraId="30F58E72">
            <w:pPr>
              <w:rPr>
                <w:rFonts w:ascii="Arial"/>
                <w:color w:val="auto"/>
                <w:sz w:val="21"/>
                <w:highlight w:val="none"/>
              </w:rPr>
            </w:pPr>
          </w:p>
        </w:tc>
        <w:tc>
          <w:tcPr>
            <w:tcW w:w="1081" w:type="dxa"/>
            <w:vMerge w:val="continue"/>
            <w:tcBorders>
              <w:top w:val="nil"/>
              <w:bottom w:val="nil"/>
            </w:tcBorders>
            <w:noWrap w:val="0"/>
            <w:vAlign w:val="top"/>
          </w:tcPr>
          <w:p w14:paraId="22DEE8D1">
            <w:pPr>
              <w:rPr>
                <w:rFonts w:ascii="Arial"/>
                <w:color w:val="auto"/>
                <w:sz w:val="21"/>
                <w:highlight w:val="none"/>
              </w:rPr>
            </w:pPr>
          </w:p>
        </w:tc>
        <w:tc>
          <w:tcPr>
            <w:tcW w:w="2972" w:type="dxa"/>
            <w:noWrap w:val="0"/>
            <w:vAlign w:val="top"/>
          </w:tcPr>
          <w:p w14:paraId="6DC3EE4D">
            <w:pPr>
              <w:pStyle w:val="223"/>
              <w:spacing w:before="68" w:line="228" w:lineRule="auto"/>
              <w:ind w:left="974"/>
              <w:rPr>
                <w:color w:val="auto"/>
                <w:highlight w:val="none"/>
              </w:rPr>
            </w:pPr>
            <w:r>
              <w:rPr>
                <w:color w:val="auto"/>
                <w:spacing w:val="6"/>
                <w:highlight w:val="none"/>
              </w:rPr>
              <w:t>驾驶员座椅</w:t>
            </w:r>
          </w:p>
        </w:tc>
        <w:tc>
          <w:tcPr>
            <w:tcW w:w="2040" w:type="dxa"/>
            <w:noWrap w:val="0"/>
            <w:vAlign w:val="top"/>
          </w:tcPr>
          <w:p w14:paraId="10D50AF6">
            <w:pPr>
              <w:pStyle w:val="223"/>
              <w:spacing w:before="68"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26C45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02525B1F">
            <w:pPr>
              <w:rPr>
                <w:rFonts w:ascii="Arial"/>
                <w:color w:val="auto"/>
                <w:sz w:val="21"/>
                <w:highlight w:val="none"/>
              </w:rPr>
            </w:pPr>
          </w:p>
        </w:tc>
        <w:tc>
          <w:tcPr>
            <w:tcW w:w="810" w:type="dxa"/>
            <w:vMerge w:val="continue"/>
            <w:tcBorders>
              <w:top w:val="nil"/>
              <w:bottom w:val="nil"/>
            </w:tcBorders>
            <w:noWrap w:val="0"/>
            <w:vAlign w:val="top"/>
          </w:tcPr>
          <w:p w14:paraId="3259891B">
            <w:pPr>
              <w:rPr>
                <w:rFonts w:ascii="Arial"/>
                <w:color w:val="auto"/>
                <w:sz w:val="21"/>
                <w:highlight w:val="none"/>
              </w:rPr>
            </w:pPr>
          </w:p>
        </w:tc>
        <w:tc>
          <w:tcPr>
            <w:tcW w:w="675" w:type="dxa"/>
            <w:vMerge w:val="continue"/>
            <w:tcBorders>
              <w:top w:val="nil"/>
              <w:bottom w:val="nil"/>
            </w:tcBorders>
            <w:noWrap w:val="0"/>
            <w:vAlign w:val="top"/>
          </w:tcPr>
          <w:p w14:paraId="23F1B62F">
            <w:pPr>
              <w:rPr>
                <w:rFonts w:ascii="Arial"/>
                <w:color w:val="auto"/>
                <w:sz w:val="21"/>
                <w:highlight w:val="none"/>
              </w:rPr>
            </w:pPr>
          </w:p>
        </w:tc>
        <w:tc>
          <w:tcPr>
            <w:tcW w:w="1081" w:type="dxa"/>
            <w:vMerge w:val="continue"/>
            <w:tcBorders>
              <w:top w:val="nil"/>
              <w:bottom w:val="nil"/>
            </w:tcBorders>
            <w:noWrap w:val="0"/>
            <w:vAlign w:val="top"/>
          </w:tcPr>
          <w:p w14:paraId="72F9EAB7">
            <w:pPr>
              <w:rPr>
                <w:rFonts w:ascii="Arial"/>
                <w:color w:val="auto"/>
                <w:sz w:val="21"/>
                <w:highlight w:val="none"/>
              </w:rPr>
            </w:pPr>
          </w:p>
        </w:tc>
        <w:tc>
          <w:tcPr>
            <w:tcW w:w="2972" w:type="dxa"/>
            <w:noWrap w:val="0"/>
            <w:vAlign w:val="top"/>
          </w:tcPr>
          <w:p w14:paraId="30CC0324">
            <w:pPr>
              <w:pStyle w:val="223"/>
              <w:spacing w:before="68" w:line="228" w:lineRule="auto"/>
              <w:ind w:left="1098"/>
              <w:rPr>
                <w:color w:val="auto"/>
                <w:highlight w:val="none"/>
              </w:rPr>
            </w:pPr>
            <w:r>
              <w:rPr>
                <w:color w:val="auto"/>
                <w:spacing w:val="1"/>
                <w:highlight w:val="none"/>
              </w:rPr>
              <w:t>内后视镜</w:t>
            </w:r>
          </w:p>
        </w:tc>
        <w:tc>
          <w:tcPr>
            <w:tcW w:w="2040" w:type="dxa"/>
            <w:noWrap w:val="0"/>
            <w:vAlign w:val="top"/>
          </w:tcPr>
          <w:p w14:paraId="067D9FF4">
            <w:pPr>
              <w:pStyle w:val="223"/>
              <w:spacing w:before="68"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15E7D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404D9613">
            <w:pPr>
              <w:rPr>
                <w:rFonts w:ascii="Arial"/>
                <w:color w:val="auto"/>
                <w:sz w:val="21"/>
                <w:highlight w:val="none"/>
              </w:rPr>
            </w:pPr>
          </w:p>
        </w:tc>
        <w:tc>
          <w:tcPr>
            <w:tcW w:w="810" w:type="dxa"/>
            <w:vMerge w:val="continue"/>
            <w:tcBorders>
              <w:top w:val="nil"/>
              <w:bottom w:val="nil"/>
            </w:tcBorders>
            <w:noWrap w:val="0"/>
            <w:vAlign w:val="top"/>
          </w:tcPr>
          <w:p w14:paraId="4AFBEAFC">
            <w:pPr>
              <w:rPr>
                <w:rFonts w:ascii="Arial"/>
                <w:color w:val="auto"/>
                <w:sz w:val="21"/>
                <w:highlight w:val="none"/>
              </w:rPr>
            </w:pPr>
          </w:p>
        </w:tc>
        <w:tc>
          <w:tcPr>
            <w:tcW w:w="675" w:type="dxa"/>
            <w:vMerge w:val="continue"/>
            <w:tcBorders>
              <w:top w:val="nil"/>
              <w:bottom w:val="nil"/>
            </w:tcBorders>
            <w:noWrap w:val="0"/>
            <w:vAlign w:val="top"/>
          </w:tcPr>
          <w:p w14:paraId="38F42E27">
            <w:pPr>
              <w:rPr>
                <w:rFonts w:ascii="Arial"/>
                <w:color w:val="auto"/>
                <w:sz w:val="21"/>
                <w:highlight w:val="none"/>
              </w:rPr>
            </w:pPr>
          </w:p>
        </w:tc>
        <w:tc>
          <w:tcPr>
            <w:tcW w:w="1081" w:type="dxa"/>
            <w:vMerge w:val="continue"/>
            <w:tcBorders>
              <w:top w:val="nil"/>
              <w:bottom w:val="nil"/>
            </w:tcBorders>
            <w:noWrap w:val="0"/>
            <w:vAlign w:val="top"/>
          </w:tcPr>
          <w:p w14:paraId="22C56112">
            <w:pPr>
              <w:rPr>
                <w:rFonts w:ascii="Arial"/>
                <w:color w:val="auto"/>
                <w:sz w:val="21"/>
                <w:highlight w:val="none"/>
              </w:rPr>
            </w:pPr>
          </w:p>
        </w:tc>
        <w:tc>
          <w:tcPr>
            <w:tcW w:w="2972" w:type="dxa"/>
            <w:noWrap w:val="0"/>
            <w:vAlign w:val="top"/>
          </w:tcPr>
          <w:p w14:paraId="31C1579C">
            <w:pPr>
              <w:pStyle w:val="223"/>
              <w:spacing w:before="66" w:line="228" w:lineRule="auto"/>
              <w:ind w:left="1073"/>
              <w:rPr>
                <w:color w:val="auto"/>
                <w:highlight w:val="none"/>
              </w:rPr>
            </w:pPr>
            <w:r>
              <w:rPr>
                <w:color w:val="auto"/>
                <w:spacing w:val="7"/>
                <w:highlight w:val="none"/>
              </w:rPr>
              <w:t>全车锁体</w:t>
            </w:r>
          </w:p>
        </w:tc>
        <w:tc>
          <w:tcPr>
            <w:tcW w:w="2040" w:type="dxa"/>
            <w:noWrap w:val="0"/>
            <w:vAlign w:val="top"/>
          </w:tcPr>
          <w:p w14:paraId="6697C8B7">
            <w:pPr>
              <w:pStyle w:val="223"/>
              <w:spacing w:before="66"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13504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7AD716DA">
            <w:pPr>
              <w:rPr>
                <w:rFonts w:ascii="Arial"/>
                <w:color w:val="auto"/>
                <w:sz w:val="21"/>
                <w:highlight w:val="none"/>
              </w:rPr>
            </w:pPr>
          </w:p>
        </w:tc>
        <w:tc>
          <w:tcPr>
            <w:tcW w:w="810" w:type="dxa"/>
            <w:vMerge w:val="continue"/>
            <w:tcBorders>
              <w:top w:val="nil"/>
              <w:bottom w:val="nil"/>
            </w:tcBorders>
            <w:noWrap w:val="0"/>
            <w:vAlign w:val="top"/>
          </w:tcPr>
          <w:p w14:paraId="796025E3">
            <w:pPr>
              <w:rPr>
                <w:rFonts w:ascii="Arial"/>
                <w:color w:val="auto"/>
                <w:sz w:val="21"/>
                <w:highlight w:val="none"/>
              </w:rPr>
            </w:pPr>
          </w:p>
        </w:tc>
        <w:tc>
          <w:tcPr>
            <w:tcW w:w="675" w:type="dxa"/>
            <w:vMerge w:val="continue"/>
            <w:tcBorders>
              <w:top w:val="nil"/>
            </w:tcBorders>
            <w:noWrap w:val="0"/>
            <w:vAlign w:val="top"/>
          </w:tcPr>
          <w:p w14:paraId="298C820C">
            <w:pPr>
              <w:rPr>
                <w:rFonts w:ascii="Arial"/>
                <w:color w:val="auto"/>
                <w:sz w:val="21"/>
                <w:highlight w:val="none"/>
              </w:rPr>
            </w:pPr>
          </w:p>
        </w:tc>
        <w:tc>
          <w:tcPr>
            <w:tcW w:w="1081" w:type="dxa"/>
            <w:vMerge w:val="continue"/>
            <w:tcBorders>
              <w:top w:val="nil"/>
            </w:tcBorders>
            <w:noWrap w:val="0"/>
            <w:vAlign w:val="top"/>
          </w:tcPr>
          <w:p w14:paraId="004FBF81">
            <w:pPr>
              <w:rPr>
                <w:rFonts w:ascii="Arial"/>
                <w:color w:val="auto"/>
                <w:sz w:val="21"/>
                <w:highlight w:val="none"/>
              </w:rPr>
            </w:pPr>
          </w:p>
        </w:tc>
        <w:tc>
          <w:tcPr>
            <w:tcW w:w="2972" w:type="dxa"/>
            <w:noWrap w:val="0"/>
            <w:vAlign w:val="top"/>
          </w:tcPr>
          <w:p w14:paraId="47AC8A83">
            <w:pPr>
              <w:pStyle w:val="223"/>
              <w:spacing w:before="66" w:line="229" w:lineRule="auto"/>
              <w:ind w:left="1077"/>
              <w:rPr>
                <w:color w:val="auto"/>
                <w:highlight w:val="none"/>
              </w:rPr>
            </w:pPr>
            <w:r>
              <w:rPr>
                <w:color w:val="auto"/>
                <w:spacing w:val="6"/>
                <w:highlight w:val="none"/>
              </w:rPr>
              <w:t>外后视镜</w:t>
            </w:r>
          </w:p>
        </w:tc>
        <w:tc>
          <w:tcPr>
            <w:tcW w:w="2040" w:type="dxa"/>
            <w:noWrap w:val="0"/>
            <w:vAlign w:val="top"/>
          </w:tcPr>
          <w:p w14:paraId="2CECB262">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57687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48" w:type="dxa"/>
            <w:vMerge w:val="continue"/>
            <w:tcBorders>
              <w:top w:val="nil"/>
              <w:bottom w:val="nil"/>
            </w:tcBorders>
            <w:noWrap w:val="0"/>
            <w:vAlign w:val="top"/>
          </w:tcPr>
          <w:p w14:paraId="3FBD4C48">
            <w:pPr>
              <w:rPr>
                <w:rFonts w:ascii="Arial"/>
                <w:color w:val="auto"/>
                <w:sz w:val="21"/>
                <w:highlight w:val="none"/>
              </w:rPr>
            </w:pPr>
          </w:p>
        </w:tc>
        <w:tc>
          <w:tcPr>
            <w:tcW w:w="810" w:type="dxa"/>
            <w:vMerge w:val="continue"/>
            <w:tcBorders>
              <w:top w:val="nil"/>
              <w:bottom w:val="nil"/>
            </w:tcBorders>
            <w:noWrap w:val="0"/>
            <w:vAlign w:val="top"/>
          </w:tcPr>
          <w:p w14:paraId="70AD4912">
            <w:pPr>
              <w:rPr>
                <w:rFonts w:ascii="Arial"/>
                <w:color w:val="auto"/>
                <w:sz w:val="21"/>
                <w:highlight w:val="none"/>
              </w:rPr>
            </w:pPr>
          </w:p>
        </w:tc>
        <w:tc>
          <w:tcPr>
            <w:tcW w:w="675" w:type="dxa"/>
            <w:vMerge w:val="restart"/>
            <w:tcBorders>
              <w:bottom w:val="nil"/>
            </w:tcBorders>
            <w:noWrap w:val="0"/>
            <w:vAlign w:val="top"/>
          </w:tcPr>
          <w:p w14:paraId="380C239C">
            <w:pPr>
              <w:rPr>
                <w:rFonts w:ascii="Arial"/>
                <w:color w:val="auto"/>
                <w:sz w:val="21"/>
                <w:highlight w:val="none"/>
              </w:rPr>
            </w:pPr>
          </w:p>
        </w:tc>
        <w:tc>
          <w:tcPr>
            <w:tcW w:w="1081" w:type="dxa"/>
            <w:noWrap w:val="0"/>
            <w:vAlign w:val="top"/>
          </w:tcPr>
          <w:p w14:paraId="0ED309DB">
            <w:pPr>
              <w:rPr>
                <w:rFonts w:ascii="Arial"/>
                <w:color w:val="auto"/>
                <w:sz w:val="21"/>
                <w:highlight w:val="none"/>
              </w:rPr>
            </w:pPr>
          </w:p>
        </w:tc>
        <w:tc>
          <w:tcPr>
            <w:tcW w:w="2972" w:type="dxa"/>
            <w:noWrap w:val="0"/>
            <w:vAlign w:val="top"/>
          </w:tcPr>
          <w:p w14:paraId="53AD322B">
            <w:pPr>
              <w:pStyle w:val="223"/>
              <w:spacing w:before="59" w:line="229" w:lineRule="auto"/>
              <w:ind w:left="1286"/>
              <w:rPr>
                <w:color w:val="auto"/>
                <w:highlight w:val="none"/>
              </w:rPr>
            </w:pPr>
            <w:r>
              <w:rPr>
                <w:color w:val="auto"/>
                <w:spacing w:val="2"/>
                <w:highlight w:val="none"/>
              </w:rPr>
              <w:t>天窗</w:t>
            </w:r>
          </w:p>
        </w:tc>
        <w:tc>
          <w:tcPr>
            <w:tcW w:w="2040" w:type="dxa"/>
            <w:noWrap w:val="0"/>
            <w:vAlign w:val="top"/>
          </w:tcPr>
          <w:p w14:paraId="0A727E16">
            <w:pPr>
              <w:pStyle w:val="223"/>
              <w:spacing w:before="6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47847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75DC26F2">
            <w:pPr>
              <w:rPr>
                <w:rFonts w:ascii="Arial"/>
                <w:color w:val="auto"/>
                <w:sz w:val="21"/>
                <w:highlight w:val="none"/>
              </w:rPr>
            </w:pPr>
          </w:p>
        </w:tc>
        <w:tc>
          <w:tcPr>
            <w:tcW w:w="810" w:type="dxa"/>
            <w:vMerge w:val="continue"/>
            <w:tcBorders>
              <w:top w:val="nil"/>
            </w:tcBorders>
            <w:noWrap w:val="0"/>
            <w:vAlign w:val="top"/>
          </w:tcPr>
          <w:p w14:paraId="614E36FC">
            <w:pPr>
              <w:rPr>
                <w:rFonts w:ascii="Arial"/>
                <w:color w:val="auto"/>
                <w:sz w:val="21"/>
                <w:highlight w:val="none"/>
              </w:rPr>
            </w:pPr>
          </w:p>
        </w:tc>
        <w:tc>
          <w:tcPr>
            <w:tcW w:w="675" w:type="dxa"/>
            <w:vMerge w:val="continue"/>
            <w:tcBorders>
              <w:top w:val="nil"/>
            </w:tcBorders>
            <w:noWrap w:val="0"/>
            <w:vAlign w:val="top"/>
          </w:tcPr>
          <w:p w14:paraId="2D314920">
            <w:pPr>
              <w:rPr>
                <w:rFonts w:ascii="Arial"/>
                <w:color w:val="auto"/>
                <w:sz w:val="21"/>
                <w:highlight w:val="none"/>
              </w:rPr>
            </w:pPr>
          </w:p>
        </w:tc>
        <w:tc>
          <w:tcPr>
            <w:tcW w:w="1081" w:type="dxa"/>
            <w:noWrap w:val="0"/>
            <w:vAlign w:val="top"/>
          </w:tcPr>
          <w:p w14:paraId="4E115331">
            <w:pPr>
              <w:pStyle w:val="223"/>
              <w:spacing w:before="67" w:line="228" w:lineRule="auto"/>
              <w:ind w:left="336"/>
              <w:rPr>
                <w:color w:val="auto"/>
                <w:highlight w:val="none"/>
              </w:rPr>
            </w:pPr>
            <w:r>
              <w:rPr>
                <w:color w:val="auto"/>
                <w:spacing w:val="3"/>
                <w:highlight w:val="none"/>
              </w:rPr>
              <w:t>车架</w:t>
            </w:r>
          </w:p>
        </w:tc>
        <w:tc>
          <w:tcPr>
            <w:tcW w:w="2972" w:type="dxa"/>
            <w:noWrap w:val="0"/>
            <w:vAlign w:val="top"/>
          </w:tcPr>
          <w:p w14:paraId="4A59B56D">
            <w:pPr>
              <w:pStyle w:val="223"/>
              <w:spacing w:before="67" w:line="228" w:lineRule="auto"/>
              <w:ind w:left="863"/>
              <w:rPr>
                <w:color w:val="auto"/>
                <w:highlight w:val="none"/>
              </w:rPr>
            </w:pPr>
            <w:r>
              <w:rPr>
                <w:color w:val="auto"/>
                <w:spacing w:val="6"/>
                <w:highlight w:val="none"/>
              </w:rPr>
              <w:t>车架（底盘）</w:t>
            </w:r>
          </w:p>
        </w:tc>
        <w:tc>
          <w:tcPr>
            <w:tcW w:w="2040" w:type="dxa"/>
            <w:noWrap w:val="0"/>
            <w:vAlign w:val="top"/>
          </w:tcPr>
          <w:p w14:paraId="310F95D2">
            <w:pPr>
              <w:pStyle w:val="223"/>
              <w:spacing w:before="67" w:line="228" w:lineRule="auto"/>
              <w:ind w:left="804"/>
              <w:rPr>
                <w:color w:val="auto"/>
                <w:highlight w:val="none"/>
              </w:rPr>
            </w:pPr>
            <w:r>
              <w:rPr>
                <w:color w:val="auto"/>
                <w:spacing w:val="-5"/>
                <w:highlight w:val="none"/>
              </w:rPr>
              <w:t>10</w:t>
            </w:r>
            <w:r>
              <w:rPr>
                <w:color w:val="auto"/>
                <w:spacing w:val="-39"/>
                <w:highlight w:val="none"/>
              </w:rPr>
              <w:t xml:space="preserve"> </w:t>
            </w:r>
            <w:r>
              <w:rPr>
                <w:color w:val="auto"/>
                <w:spacing w:val="-5"/>
                <w:highlight w:val="none"/>
              </w:rPr>
              <w:t>年</w:t>
            </w:r>
          </w:p>
        </w:tc>
      </w:tr>
      <w:tr w14:paraId="094A8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29FC6D5C">
            <w:pPr>
              <w:rPr>
                <w:rFonts w:ascii="Arial"/>
                <w:color w:val="auto"/>
                <w:sz w:val="21"/>
                <w:highlight w:val="none"/>
              </w:rPr>
            </w:pPr>
          </w:p>
        </w:tc>
        <w:tc>
          <w:tcPr>
            <w:tcW w:w="810" w:type="dxa"/>
            <w:vMerge w:val="restart"/>
            <w:tcBorders>
              <w:bottom w:val="nil"/>
            </w:tcBorders>
            <w:noWrap w:val="0"/>
            <w:vAlign w:val="top"/>
          </w:tcPr>
          <w:p w14:paraId="1C02850B">
            <w:pPr>
              <w:spacing w:line="263" w:lineRule="auto"/>
              <w:rPr>
                <w:rFonts w:ascii="Arial"/>
                <w:color w:val="auto"/>
                <w:sz w:val="21"/>
                <w:highlight w:val="none"/>
              </w:rPr>
            </w:pPr>
          </w:p>
          <w:p w14:paraId="3455931E">
            <w:pPr>
              <w:spacing w:line="263" w:lineRule="auto"/>
              <w:rPr>
                <w:rFonts w:ascii="Arial"/>
                <w:color w:val="auto"/>
                <w:sz w:val="21"/>
                <w:highlight w:val="none"/>
              </w:rPr>
            </w:pPr>
          </w:p>
          <w:p w14:paraId="0376DC2C">
            <w:pPr>
              <w:spacing w:line="263" w:lineRule="auto"/>
              <w:rPr>
                <w:rFonts w:ascii="Arial"/>
                <w:color w:val="auto"/>
                <w:sz w:val="21"/>
                <w:highlight w:val="none"/>
              </w:rPr>
            </w:pPr>
          </w:p>
          <w:p w14:paraId="02E65662">
            <w:pPr>
              <w:spacing w:line="264" w:lineRule="auto"/>
              <w:rPr>
                <w:rFonts w:ascii="Arial"/>
                <w:color w:val="auto"/>
                <w:sz w:val="21"/>
                <w:highlight w:val="none"/>
              </w:rPr>
            </w:pPr>
          </w:p>
          <w:p w14:paraId="297175C7">
            <w:pPr>
              <w:spacing w:line="264" w:lineRule="auto"/>
              <w:rPr>
                <w:rFonts w:ascii="Arial"/>
                <w:color w:val="auto"/>
                <w:sz w:val="21"/>
                <w:highlight w:val="none"/>
              </w:rPr>
            </w:pPr>
          </w:p>
          <w:p w14:paraId="0ECBBD33">
            <w:pPr>
              <w:spacing w:line="264" w:lineRule="auto"/>
              <w:rPr>
                <w:rFonts w:ascii="Arial"/>
                <w:color w:val="auto"/>
                <w:sz w:val="21"/>
                <w:highlight w:val="none"/>
              </w:rPr>
            </w:pPr>
          </w:p>
          <w:p w14:paraId="7F1B2405">
            <w:pPr>
              <w:spacing w:line="264" w:lineRule="auto"/>
              <w:rPr>
                <w:rFonts w:ascii="Arial"/>
                <w:color w:val="auto"/>
                <w:sz w:val="21"/>
                <w:highlight w:val="none"/>
              </w:rPr>
            </w:pPr>
          </w:p>
          <w:p w14:paraId="583928B7">
            <w:pPr>
              <w:pStyle w:val="223"/>
              <w:spacing w:before="65" w:line="187" w:lineRule="auto"/>
              <w:ind w:left="360"/>
              <w:rPr>
                <w:color w:val="auto"/>
                <w:highlight w:val="none"/>
              </w:rPr>
            </w:pPr>
            <w:r>
              <w:rPr>
                <w:color w:val="auto"/>
                <w:highlight w:val="none"/>
              </w:rPr>
              <w:t>5</w:t>
            </w:r>
          </w:p>
        </w:tc>
        <w:tc>
          <w:tcPr>
            <w:tcW w:w="675" w:type="dxa"/>
            <w:vMerge w:val="restart"/>
            <w:tcBorders>
              <w:bottom w:val="nil"/>
            </w:tcBorders>
            <w:noWrap w:val="0"/>
            <w:vAlign w:val="top"/>
          </w:tcPr>
          <w:p w14:paraId="618015D4">
            <w:pPr>
              <w:spacing w:line="245" w:lineRule="auto"/>
              <w:rPr>
                <w:rFonts w:ascii="Arial"/>
                <w:color w:val="auto"/>
                <w:sz w:val="21"/>
                <w:highlight w:val="none"/>
              </w:rPr>
            </w:pPr>
          </w:p>
          <w:p w14:paraId="591E9BAD">
            <w:pPr>
              <w:spacing w:line="245" w:lineRule="auto"/>
              <w:rPr>
                <w:rFonts w:ascii="Arial"/>
                <w:color w:val="auto"/>
                <w:sz w:val="21"/>
                <w:highlight w:val="none"/>
              </w:rPr>
            </w:pPr>
          </w:p>
          <w:p w14:paraId="57190947">
            <w:pPr>
              <w:spacing w:line="245" w:lineRule="auto"/>
              <w:rPr>
                <w:rFonts w:ascii="Arial"/>
                <w:color w:val="auto"/>
                <w:sz w:val="21"/>
                <w:highlight w:val="none"/>
              </w:rPr>
            </w:pPr>
          </w:p>
          <w:p w14:paraId="6F35AF0C">
            <w:pPr>
              <w:spacing w:line="245" w:lineRule="auto"/>
              <w:rPr>
                <w:rFonts w:ascii="Arial"/>
                <w:color w:val="auto"/>
                <w:sz w:val="21"/>
                <w:highlight w:val="none"/>
              </w:rPr>
            </w:pPr>
          </w:p>
          <w:p w14:paraId="243AAA2F">
            <w:pPr>
              <w:spacing w:line="246" w:lineRule="auto"/>
              <w:rPr>
                <w:rFonts w:ascii="Arial"/>
                <w:color w:val="auto"/>
                <w:sz w:val="21"/>
                <w:highlight w:val="none"/>
              </w:rPr>
            </w:pPr>
          </w:p>
          <w:p w14:paraId="66D43947">
            <w:pPr>
              <w:spacing w:line="246" w:lineRule="auto"/>
              <w:rPr>
                <w:rFonts w:ascii="Arial"/>
                <w:color w:val="auto"/>
                <w:sz w:val="21"/>
                <w:highlight w:val="none"/>
              </w:rPr>
            </w:pPr>
          </w:p>
          <w:p w14:paraId="28796D23">
            <w:pPr>
              <w:spacing w:line="246" w:lineRule="auto"/>
              <w:rPr>
                <w:rFonts w:ascii="Arial"/>
                <w:color w:val="auto"/>
                <w:sz w:val="21"/>
                <w:highlight w:val="none"/>
              </w:rPr>
            </w:pPr>
          </w:p>
          <w:p w14:paraId="4FFC028A">
            <w:pPr>
              <w:spacing w:line="246" w:lineRule="auto"/>
              <w:rPr>
                <w:rFonts w:ascii="Arial"/>
                <w:color w:val="auto"/>
                <w:sz w:val="21"/>
                <w:highlight w:val="none"/>
              </w:rPr>
            </w:pPr>
          </w:p>
          <w:p w14:paraId="4BCBFBE7">
            <w:pPr>
              <w:spacing w:line="246" w:lineRule="auto"/>
              <w:rPr>
                <w:rFonts w:ascii="Arial"/>
                <w:color w:val="auto"/>
                <w:sz w:val="21"/>
                <w:highlight w:val="none"/>
              </w:rPr>
            </w:pPr>
          </w:p>
          <w:p w14:paraId="551E2269">
            <w:pPr>
              <w:spacing w:line="246" w:lineRule="auto"/>
              <w:rPr>
                <w:rFonts w:ascii="Arial"/>
                <w:color w:val="auto"/>
                <w:sz w:val="21"/>
                <w:highlight w:val="none"/>
              </w:rPr>
            </w:pPr>
          </w:p>
          <w:p w14:paraId="46FD1656">
            <w:pPr>
              <w:spacing w:line="246" w:lineRule="auto"/>
              <w:rPr>
                <w:rFonts w:ascii="Arial"/>
                <w:color w:val="auto"/>
                <w:sz w:val="21"/>
                <w:highlight w:val="none"/>
              </w:rPr>
            </w:pPr>
          </w:p>
          <w:p w14:paraId="48AB7644">
            <w:pPr>
              <w:pStyle w:val="223"/>
              <w:spacing w:before="65" w:line="230" w:lineRule="auto"/>
              <w:ind w:left="130"/>
              <w:rPr>
                <w:color w:val="auto"/>
                <w:highlight w:val="none"/>
              </w:rPr>
            </w:pPr>
            <w:r>
              <w:rPr>
                <w:color w:val="auto"/>
                <w:spacing w:val="5"/>
                <w:highlight w:val="none"/>
              </w:rPr>
              <w:t>底盘</w:t>
            </w:r>
          </w:p>
        </w:tc>
        <w:tc>
          <w:tcPr>
            <w:tcW w:w="1081" w:type="dxa"/>
            <w:vMerge w:val="restart"/>
            <w:tcBorders>
              <w:bottom w:val="nil"/>
            </w:tcBorders>
            <w:noWrap w:val="0"/>
            <w:vAlign w:val="top"/>
          </w:tcPr>
          <w:p w14:paraId="71014A99">
            <w:pPr>
              <w:spacing w:line="322" w:lineRule="auto"/>
              <w:rPr>
                <w:rFonts w:ascii="Arial"/>
                <w:color w:val="auto"/>
                <w:sz w:val="21"/>
                <w:highlight w:val="none"/>
              </w:rPr>
            </w:pPr>
          </w:p>
          <w:p w14:paraId="53B249FD">
            <w:pPr>
              <w:pStyle w:val="223"/>
              <w:spacing w:before="65" w:line="228" w:lineRule="auto"/>
              <w:ind w:left="336"/>
              <w:rPr>
                <w:color w:val="auto"/>
                <w:highlight w:val="none"/>
              </w:rPr>
            </w:pPr>
            <w:r>
              <w:rPr>
                <w:color w:val="auto"/>
                <w:spacing w:val="3"/>
                <w:highlight w:val="none"/>
              </w:rPr>
              <w:t>车桥</w:t>
            </w:r>
          </w:p>
        </w:tc>
        <w:tc>
          <w:tcPr>
            <w:tcW w:w="2972" w:type="dxa"/>
            <w:noWrap w:val="0"/>
            <w:vAlign w:val="top"/>
          </w:tcPr>
          <w:p w14:paraId="0E706111">
            <w:pPr>
              <w:pStyle w:val="223"/>
              <w:spacing w:before="67" w:line="229" w:lineRule="auto"/>
              <w:ind w:left="1285"/>
              <w:rPr>
                <w:color w:val="auto"/>
                <w:highlight w:val="none"/>
              </w:rPr>
            </w:pPr>
            <w:r>
              <w:rPr>
                <w:color w:val="auto"/>
                <w:spacing w:val="3"/>
                <w:highlight w:val="none"/>
              </w:rPr>
              <w:t>前桥</w:t>
            </w:r>
          </w:p>
        </w:tc>
        <w:tc>
          <w:tcPr>
            <w:tcW w:w="2040" w:type="dxa"/>
            <w:noWrap w:val="0"/>
            <w:vAlign w:val="top"/>
          </w:tcPr>
          <w:p w14:paraId="60B77F83">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18234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60FE4A22">
            <w:pPr>
              <w:rPr>
                <w:rFonts w:ascii="Arial"/>
                <w:color w:val="auto"/>
                <w:sz w:val="21"/>
                <w:highlight w:val="none"/>
              </w:rPr>
            </w:pPr>
          </w:p>
        </w:tc>
        <w:tc>
          <w:tcPr>
            <w:tcW w:w="810" w:type="dxa"/>
            <w:vMerge w:val="continue"/>
            <w:tcBorders>
              <w:top w:val="nil"/>
              <w:bottom w:val="nil"/>
            </w:tcBorders>
            <w:noWrap w:val="0"/>
            <w:vAlign w:val="top"/>
          </w:tcPr>
          <w:p w14:paraId="6619672A">
            <w:pPr>
              <w:rPr>
                <w:rFonts w:ascii="Arial"/>
                <w:color w:val="auto"/>
                <w:sz w:val="21"/>
                <w:highlight w:val="none"/>
              </w:rPr>
            </w:pPr>
          </w:p>
        </w:tc>
        <w:tc>
          <w:tcPr>
            <w:tcW w:w="675" w:type="dxa"/>
            <w:vMerge w:val="continue"/>
            <w:tcBorders>
              <w:top w:val="nil"/>
              <w:bottom w:val="nil"/>
            </w:tcBorders>
            <w:noWrap w:val="0"/>
            <w:vAlign w:val="top"/>
          </w:tcPr>
          <w:p w14:paraId="1287EE24">
            <w:pPr>
              <w:rPr>
                <w:rFonts w:ascii="Arial"/>
                <w:color w:val="auto"/>
                <w:sz w:val="21"/>
                <w:highlight w:val="none"/>
              </w:rPr>
            </w:pPr>
          </w:p>
        </w:tc>
        <w:tc>
          <w:tcPr>
            <w:tcW w:w="1081" w:type="dxa"/>
            <w:vMerge w:val="continue"/>
            <w:tcBorders>
              <w:top w:val="nil"/>
              <w:bottom w:val="nil"/>
            </w:tcBorders>
            <w:noWrap w:val="0"/>
            <w:vAlign w:val="top"/>
          </w:tcPr>
          <w:p w14:paraId="08E80104">
            <w:pPr>
              <w:rPr>
                <w:rFonts w:ascii="Arial"/>
                <w:color w:val="auto"/>
                <w:sz w:val="21"/>
                <w:highlight w:val="none"/>
              </w:rPr>
            </w:pPr>
          </w:p>
        </w:tc>
        <w:tc>
          <w:tcPr>
            <w:tcW w:w="2972" w:type="dxa"/>
            <w:noWrap w:val="0"/>
            <w:vAlign w:val="top"/>
          </w:tcPr>
          <w:p w14:paraId="7200E4BB">
            <w:pPr>
              <w:pStyle w:val="223"/>
              <w:spacing w:before="53" w:line="228" w:lineRule="auto"/>
              <w:ind w:left="549"/>
              <w:rPr>
                <w:color w:val="auto"/>
                <w:highlight w:val="none"/>
              </w:rPr>
            </w:pPr>
            <w:r>
              <w:rPr>
                <w:color w:val="auto"/>
                <w:spacing w:val="7"/>
                <w:highlight w:val="none"/>
              </w:rPr>
              <w:t>后桥（含主减速器）</w:t>
            </w:r>
          </w:p>
        </w:tc>
        <w:tc>
          <w:tcPr>
            <w:tcW w:w="2040" w:type="dxa"/>
            <w:noWrap w:val="0"/>
            <w:vAlign w:val="top"/>
          </w:tcPr>
          <w:p w14:paraId="193435BF">
            <w:pPr>
              <w:pStyle w:val="223"/>
              <w:spacing w:before="53"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46F65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0D01A1AE">
            <w:pPr>
              <w:rPr>
                <w:rFonts w:ascii="Arial"/>
                <w:color w:val="auto"/>
                <w:sz w:val="21"/>
                <w:highlight w:val="none"/>
              </w:rPr>
            </w:pPr>
          </w:p>
        </w:tc>
        <w:tc>
          <w:tcPr>
            <w:tcW w:w="810" w:type="dxa"/>
            <w:vMerge w:val="continue"/>
            <w:tcBorders>
              <w:top w:val="nil"/>
              <w:bottom w:val="nil"/>
            </w:tcBorders>
            <w:noWrap w:val="0"/>
            <w:vAlign w:val="top"/>
          </w:tcPr>
          <w:p w14:paraId="538F2080">
            <w:pPr>
              <w:rPr>
                <w:rFonts w:ascii="Arial"/>
                <w:color w:val="auto"/>
                <w:sz w:val="21"/>
                <w:highlight w:val="none"/>
              </w:rPr>
            </w:pPr>
          </w:p>
        </w:tc>
        <w:tc>
          <w:tcPr>
            <w:tcW w:w="675" w:type="dxa"/>
            <w:vMerge w:val="continue"/>
            <w:tcBorders>
              <w:top w:val="nil"/>
              <w:bottom w:val="nil"/>
            </w:tcBorders>
            <w:noWrap w:val="0"/>
            <w:vAlign w:val="top"/>
          </w:tcPr>
          <w:p w14:paraId="457B7630">
            <w:pPr>
              <w:rPr>
                <w:rFonts w:ascii="Arial"/>
                <w:color w:val="auto"/>
                <w:sz w:val="21"/>
                <w:highlight w:val="none"/>
              </w:rPr>
            </w:pPr>
          </w:p>
        </w:tc>
        <w:tc>
          <w:tcPr>
            <w:tcW w:w="1081" w:type="dxa"/>
            <w:vMerge w:val="continue"/>
            <w:tcBorders>
              <w:top w:val="nil"/>
            </w:tcBorders>
            <w:noWrap w:val="0"/>
            <w:vAlign w:val="top"/>
          </w:tcPr>
          <w:p w14:paraId="11F7404E">
            <w:pPr>
              <w:rPr>
                <w:rFonts w:ascii="Arial"/>
                <w:color w:val="auto"/>
                <w:sz w:val="21"/>
                <w:highlight w:val="none"/>
              </w:rPr>
            </w:pPr>
          </w:p>
        </w:tc>
        <w:tc>
          <w:tcPr>
            <w:tcW w:w="2972" w:type="dxa"/>
            <w:noWrap w:val="0"/>
            <w:vAlign w:val="top"/>
          </w:tcPr>
          <w:p w14:paraId="3095CB2C">
            <w:pPr>
              <w:pStyle w:val="223"/>
              <w:spacing w:before="53" w:line="229" w:lineRule="auto"/>
              <w:ind w:left="972"/>
              <w:rPr>
                <w:color w:val="auto"/>
                <w:highlight w:val="none"/>
              </w:rPr>
            </w:pPr>
            <w:r>
              <w:rPr>
                <w:color w:val="auto"/>
                <w:spacing w:val="7"/>
                <w:highlight w:val="none"/>
              </w:rPr>
              <w:t>免维护轮毂</w:t>
            </w:r>
          </w:p>
        </w:tc>
        <w:tc>
          <w:tcPr>
            <w:tcW w:w="2040" w:type="dxa"/>
            <w:noWrap w:val="0"/>
            <w:vAlign w:val="top"/>
          </w:tcPr>
          <w:p w14:paraId="70406AA8">
            <w:pPr>
              <w:pStyle w:val="223"/>
              <w:spacing w:before="53"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14960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948" w:type="dxa"/>
            <w:vMerge w:val="continue"/>
            <w:tcBorders>
              <w:top w:val="nil"/>
              <w:bottom w:val="nil"/>
            </w:tcBorders>
            <w:noWrap w:val="0"/>
            <w:vAlign w:val="top"/>
          </w:tcPr>
          <w:p w14:paraId="4FC802F3">
            <w:pPr>
              <w:rPr>
                <w:rFonts w:ascii="Arial"/>
                <w:color w:val="auto"/>
                <w:sz w:val="21"/>
                <w:highlight w:val="none"/>
              </w:rPr>
            </w:pPr>
          </w:p>
        </w:tc>
        <w:tc>
          <w:tcPr>
            <w:tcW w:w="810" w:type="dxa"/>
            <w:vMerge w:val="continue"/>
            <w:tcBorders>
              <w:top w:val="nil"/>
              <w:bottom w:val="nil"/>
            </w:tcBorders>
            <w:noWrap w:val="0"/>
            <w:vAlign w:val="top"/>
          </w:tcPr>
          <w:p w14:paraId="200A7255">
            <w:pPr>
              <w:rPr>
                <w:rFonts w:ascii="Arial"/>
                <w:color w:val="auto"/>
                <w:sz w:val="21"/>
                <w:highlight w:val="none"/>
              </w:rPr>
            </w:pPr>
          </w:p>
        </w:tc>
        <w:tc>
          <w:tcPr>
            <w:tcW w:w="675" w:type="dxa"/>
            <w:vMerge w:val="continue"/>
            <w:tcBorders>
              <w:top w:val="nil"/>
              <w:bottom w:val="nil"/>
            </w:tcBorders>
            <w:noWrap w:val="0"/>
            <w:vAlign w:val="top"/>
          </w:tcPr>
          <w:p w14:paraId="48BE9BF3">
            <w:pPr>
              <w:rPr>
                <w:rFonts w:ascii="Arial"/>
                <w:color w:val="auto"/>
                <w:sz w:val="21"/>
                <w:highlight w:val="none"/>
              </w:rPr>
            </w:pPr>
          </w:p>
        </w:tc>
        <w:tc>
          <w:tcPr>
            <w:tcW w:w="1081" w:type="dxa"/>
            <w:vMerge w:val="restart"/>
            <w:tcBorders>
              <w:bottom w:val="nil"/>
            </w:tcBorders>
            <w:noWrap w:val="0"/>
            <w:vAlign w:val="top"/>
          </w:tcPr>
          <w:p w14:paraId="39BCA4A3">
            <w:pPr>
              <w:spacing w:line="258" w:lineRule="auto"/>
              <w:rPr>
                <w:rFonts w:ascii="Arial"/>
                <w:color w:val="auto"/>
                <w:sz w:val="21"/>
                <w:highlight w:val="none"/>
              </w:rPr>
            </w:pPr>
          </w:p>
          <w:p w14:paraId="0B9D1C23">
            <w:pPr>
              <w:spacing w:line="259" w:lineRule="auto"/>
              <w:rPr>
                <w:rFonts w:ascii="Arial"/>
                <w:color w:val="auto"/>
                <w:sz w:val="21"/>
                <w:highlight w:val="none"/>
              </w:rPr>
            </w:pPr>
          </w:p>
          <w:p w14:paraId="08527298">
            <w:pPr>
              <w:pStyle w:val="223"/>
              <w:spacing w:before="65" w:line="274" w:lineRule="auto"/>
              <w:ind w:left="338" w:right="331" w:hanging="1"/>
              <w:rPr>
                <w:color w:val="auto"/>
                <w:highlight w:val="none"/>
              </w:rPr>
            </w:pPr>
            <w:r>
              <w:rPr>
                <w:color w:val="auto"/>
                <w:spacing w:val="3"/>
                <w:highlight w:val="none"/>
              </w:rPr>
              <w:t>悬挂</w:t>
            </w:r>
            <w:r>
              <w:rPr>
                <w:color w:val="auto"/>
                <w:highlight w:val="none"/>
              </w:rPr>
              <w:t xml:space="preserve"> </w:t>
            </w:r>
            <w:r>
              <w:rPr>
                <w:color w:val="auto"/>
                <w:spacing w:val="2"/>
                <w:highlight w:val="none"/>
              </w:rPr>
              <w:t>系统</w:t>
            </w:r>
          </w:p>
        </w:tc>
        <w:tc>
          <w:tcPr>
            <w:tcW w:w="2972" w:type="dxa"/>
            <w:noWrap w:val="0"/>
            <w:vAlign w:val="top"/>
          </w:tcPr>
          <w:p w14:paraId="38C6F476">
            <w:pPr>
              <w:pStyle w:val="223"/>
              <w:spacing w:before="108" w:line="228" w:lineRule="auto"/>
              <w:ind w:left="1179"/>
              <w:rPr>
                <w:color w:val="auto"/>
                <w:highlight w:val="none"/>
              </w:rPr>
            </w:pPr>
            <w:r>
              <w:rPr>
                <w:color w:val="auto"/>
                <w:spacing w:val="6"/>
                <w:highlight w:val="none"/>
              </w:rPr>
              <w:t>稳定杆</w:t>
            </w:r>
          </w:p>
        </w:tc>
        <w:tc>
          <w:tcPr>
            <w:tcW w:w="2040" w:type="dxa"/>
            <w:noWrap w:val="0"/>
            <w:vAlign w:val="top"/>
          </w:tcPr>
          <w:p w14:paraId="74E1916A">
            <w:pPr>
              <w:pStyle w:val="223"/>
              <w:spacing w:before="108"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7B038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48" w:type="dxa"/>
            <w:vMerge w:val="continue"/>
            <w:tcBorders>
              <w:top w:val="nil"/>
              <w:bottom w:val="nil"/>
            </w:tcBorders>
            <w:noWrap w:val="0"/>
            <w:vAlign w:val="top"/>
          </w:tcPr>
          <w:p w14:paraId="796B0AD8">
            <w:pPr>
              <w:rPr>
                <w:rFonts w:ascii="Arial"/>
                <w:color w:val="auto"/>
                <w:sz w:val="21"/>
                <w:highlight w:val="none"/>
              </w:rPr>
            </w:pPr>
          </w:p>
        </w:tc>
        <w:tc>
          <w:tcPr>
            <w:tcW w:w="810" w:type="dxa"/>
            <w:vMerge w:val="continue"/>
            <w:tcBorders>
              <w:top w:val="nil"/>
              <w:bottom w:val="nil"/>
            </w:tcBorders>
            <w:noWrap w:val="0"/>
            <w:vAlign w:val="top"/>
          </w:tcPr>
          <w:p w14:paraId="73C426F4">
            <w:pPr>
              <w:rPr>
                <w:rFonts w:ascii="Arial"/>
                <w:color w:val="auto"/>
                <w:sz w:val="21"/>
                <w:highlight w:val="none"/>
              </w:rPr>
            </w:pPr>
          </w:p>
        </w:tc>
        <w:tc>
          <w:tcPr>
            <w:tcW w:w="675" w:type="dxa"/>
            <w:vMerge w:val="continue"/>
            <w:tcBorders>
              <w:top w:val="nil"/>
              <w:bottom w:val="nil"/>
            </w:tcBorders>
            <w:noWrap w:val="0"/>
            <w:vAlign w:val="top"/>
          </w:tcPr>
          <w:p w14:paraId="54655271">
            <w:pPr>
              <w:rPr>
                <w:rFonts w:ascii="Arial"/>
                <w:color w:val="auto"/>
                <w:sz w:val="21"/>
                <w:highlight w:val="none"/>
              </w:rPr>
            </w:pPr>
          </w:p>
        </w:tc>
        <w:tc>
          <w:tcPr>
            <w:tcW w:w="1081" w:type="dxa"/>
            <w:vMerge w:val="continue"/>
            <w:tcBorders>
              <w:top w:val="nil"/>
              <w:bottom w:val="nil"/>
            </w:tcBorders>
            <w:noWrap w:val="0"/>
            <w:vAlign w:val="top"/>
          </w:tcPr>
          <w:p w14:paraId="0A6063C1">
            <w:pPr>
              <w:rPr>
                <w:rFonts w:ascii="Arial"/>
                <w:color w:val="auto"/>
                <w:sz w:val="21"/>
                <w:highlight w:val="none"/>
              </w:rPr>
            </w:pPr>
          </w:p>
        </w:tc>
        <w:tc>
          <w:tcPr>
            <w:tcW w:w="2972" w:type="dxa"/>
            <w:noWrap w:val="0"/>
            <w:vAlign w:val="top"/>
          </w:tcPr>
          <w:p w14:paraId="2611252D">
            <w:pPr>
              <w:pStyle w:val="223"/>
              <w:spacing w:before="104" w:line="228" w:lineRule="auto"/>
              <w:ind w:left="1178"/>
              <w:rPr>
                <w:color w:val="auto"/>
                <w:highlight w:val="none"/>
              </w:rPr>
            </w:pPr>
            <w:r>
              <w:rPr>
                <w:color w:val="auto"/>
                <w:spacing w:val="6"/>
                <w:highlight w:val="none"/>
              </w:rPr>
              <w:t>推力杆</w:t>
            </w:r>
          </w:p>
        </w:tc>
        <w:tc>
          <w:tcPr>
            <w:tcW w:w="2040" w:type="dxa"/>
            <w:noWrap w:val="0"/>
            <w:vAlign w:val="top"/>
          </w:tcPr>
          <w:p w14:paraId="6753C2ED">
            <w:pPr>
              <w:pStyle w:val="223"/>
              <w:spacing w:before="104"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7B59E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48" w:type="dxa"/>
            <w:vMerge w:val="continue"/>
            <w:tcBorders>
              <w:top w:val="nil"/>
              <w:bottom w:val="nil"/>
            </w:tcBorders>
            <w:noWrap w:val="0"/>
            <w:vAlign w:val="top"/>
          </w:tcPr>
          <w:p w14:paraId="12812085">
            <w:pPr>
              <w:rPr>
                <w:rFonts w:ascii="Arial"/>
                <w:color w:val="auto"/>
                <w:sz w:val="21"/>
                <w:highlight w:val="none"/>
              </w:rPr>
            </w:pPr>
          </w:p>
        </w:tc>
        <w:tc>
          <w:tcPr>
            <w:tcW w:w="810" w:type="dxa"/>
            <w:vMerge w:val="continue"/>
            <w:tcBorders>
              <w:top w:val="nil"/>
              <w:bottom w:val="nil"/>
            </w:tcBorders>
            <w:noWrap w:val="0"/>
            <w:vAlign w:val="top"/>
          </w:tcPr>
          <w:p w14:paraId="12F2C977">
            <w:pPr>
              <w:rPr>
                <w:rFonts w:ascii="Arial"/>
                <w:color w:val="auto"/>
                <w:sz w:val="21"/>
                <w:highlight w:val="none"/>
              </w:rPr>
            </w:pPr>
          </w:p>
        </w:tc>
        <w:tc>
          <w:tcPr>
            <w:tcW w:w="675" w:type="dxa"/>
            <w:vMerge w:val="continue"/>
            <w:tcBorders>
              <w:top w:val="nil"/>
              <w:bottom w:val="nil"/>
            </w:tcBorders>
            <w:noWrap w:val="0"/>
            <w:vAlign w:val="top"/>
          </w:tcPr>
          <w:p w14:paraId="5465A62C">
            <w:pPr>
              <w:rPr>
                <w:rFonts w:ascii="Arial"/>
                <w:color w:val="auto"/>
                <w:sz w:val="21"/>
                <w:highlight w:val="none"/>
              </w:rPr>
            </w:pPr>
          </w:p>
        </w:tc>
        <w:tc>
          <w:tcPr>
            <w:tcW w:w="1081" w:type="dxa"/>
            <w:vMerge w:val="continue"/>
            <w:tcBorders>
              <w:top w:val="nil"/>
              <w:bottom w:val="nil"/>
            </w:tcBorders>
            <w:noWrap w:val="0"/>
            <w:vAlign w:val="top"/>
          </w:tcPr>
          <w:p w14:paraId="0DF7A133">
            <w:pPr>
              <w:rPr>
                <w:rFonts w:ascii="Arial"/>
                <w:color w:val="auto"/>
                <w:sz w:val="21"/>
                <w:highlight w:val="none"/>
              </w:rPr>
            </w:pPr>
          </w:p>
        </w:tc>
        <w:tc>
          <w:tcPr>
            <w:tcW w:w="2972" w:type="dxa"/>
            <w:noWrap w:val="0"/>
            <w:vAlign w:val="top"/>
          </w:tcPr>
          <w:p w14:paraId="00E5FE7F">
            <w:pPr>
              <w:pStyle w:val="223"/>
              <w:spacing w:before="103" w:line="228" w:lineRule="auto"/>
              <w:ind w:left="1079"/>
              <w:rPr>
                <w:color w:val="auto"/>
                <w:highlight w:val="none"/>
              </w:rPr>
            </w:pPr>
            <w:r>
              <w:rPr>
                <w:color w:val="auto"/>
                <w:spacing w:val="5"/>
                <w:highlight w:val="none"/>
              </w:rPr>
              <w:t>空气弹簧</w:t>
            </w:r>
          </w:p>
        </w:tc>
        <w:tc>
          <w:tcPr>
            <w:tcW w:w="2040" w:type="dxa"/>
            <w:noWrap w:val="0"/>
            <w:vAlign w:val="top"/>
          </w:tcPr>
          <w:p w14:paraId="414F82DF">
            <w:pPr>
              <w:pStyle w:val="223"/>
              <w:spacing w:before="103"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5BC8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48" w:type="dxa"/>
            <w:vMerge w:val="continue"/>
            <w:tcBorders>
              <w:top w:val="nil"/>
              <w:bottom w:val="nil"/>
            </w:tcBorders>
            <w:noWrap w:val="0"/>
            <w:vAlign w:val="top"/>
          </w:tcPr>
          <w:p w14:paraId="3E75ACA3">
            <w:pPr>
              <w:rPr>
                <w:rFonts w:ascii="Arial"/>
                <w:color w:val="auto"/>
                <w:sz w:val="21"/>
                <w:highlight w:val="none"/>
              </w:rPr>
            </w:pPr>
          </w:p>
        </w:tc>
        <w:tc>
          <w:tcPr>
            <w:tcW w:w="810" w:type="dxa"/>
            <w:vMerge w:val="continue"/>
            <w:tcBorders>
              <w:top w:val="nil"/>
              <w:bottom w:val="nil"/>
            </w:tcBorders>
            <w:noWrap w:val="0"/>
            <w:vAlign w:val="top"/>
          </w:tcPr>
          <w:p w14:paraId="7E68E412">
            <w:pPr>
              <w:rPr>
                <w:rFonts w:ascii="Arial"/>
                <w:color w:val="auto"/>
                <w:sz w:val="21"/>
                <w:highlight w:val="none"/>
              </w:rPr>
            </w:pPr>
          </w:p>
        </w:tc>
        <w:tc>
          <w:tcPr>
            <w:tcW w:w="675" w:type="dxa"/>
            <w:vMerge w:val="continue"/>
            <w:tcBorders>
              <w:top w:val="nil"/>
              <w:bottom w:val="nil"/>
            </w:tcBorders>
            <w:noWrap w:val="0"/>
            <w:vAlign w:val="top"/>
          </w:tcPr>
          <w:p w14:paraId="4FE59D5E">
            <w:pPr>
              <w:rPr>
                <w:rFonts w:ascii="Arial"/>
                <w:color w:val="auto"/>
                <w:sz w:val="21"/>
                <w:highlight w:val="none"/>
              </w:rPr>
            </w:pPr>
          </w:p>
        </w:tc>
        <w:tc>
          <w:tcPr>
            <w:tcW w:w="1081" w:type="dxa"/>
            <w:vMerge w:val="continue"/>
            <w:tcBorders>
              <w:top w:val="nil"/>
            </w:tcBorders>
            <w:noWrap w:val="0"/>
            <w:vAlign w:val="top"/>
          </w:tcPr>
          <w:p w14:paraId="67D69792">
            <w:pPr>
              <w:rPr>
                <w:rFonts w:ascii="Arial"/>
                <w:color w:val="auto"/>
                <w:sz w:val="21"/>
                <w:highlight w:val="none"/>
              </w:rPr>
            </w:pPr>
          </w:p>
        </w:tc>
        <w:tc>
          <w:tcPr>
            <w:tcW w:w="2972" w:type="dxa"/>
            <w:noWrap w:val="0"/>
            <w:vAlign w:val="top"/>
          </w:tcPr>
          <w:p w14:paraId="64CAE5D3">
            <w:pPr>
              <w:pStyle w:val="223"/>
              <w:spacing w:before="105" w:line="229" w:lineRule="auto"/>
              <w:ind w:left="967"/>
              <w:rPr>
                <w:color w:val="auto"/>
                <w:highlight w:val="none"/>
              </w:rPr>
            </w:pPr>
            <w:r>
              <w:rPr>
                <w:color w:val="auto"/>
                <w:spacing w:val="8"/>
                <w:highlight w:val="none"/>
              </w:rPr>
              <w:t>减振器总成</w:t>
            </w:r>
          </w:p>
        </w:tc>
        <w:tc>
          <w:tcPr>
            <w:tcW w:w="2040" w:type="dxa"/>
            <w:noWrap w:val="0"/>
            <w:vAlign w:val="top"/>
          </w:tcPr>
          <w:p w14:paraId="08D7A85F">
            <w:pPr>
              <w:pStyle w:val="223"/>
              <w:spacing w:before="105"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368C8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948" w:type="dxa"/>
            <w:vMerge w:val="continue"/>
            <w:tcBorders>
              <w:top w:val="nil"/>
              <w:bottom w:val="nil"/>
            </w:tcBorders>
            <w:noWrap w:val="0"/>
            <w:vAlign w:val="top"/>
          </w:tcPr>
          <w:p w14:paraId="1F5A04AF">
            <w:pPr>
              <w:rPr>
                <w:rFonts w:ascii="Arial"/>
                <w:color w:val="auto"/>
                <w:sz w:val="21"/>
                <w:highlight w:val="none"/>
              </w:rPr>
            </w:pPr>
          </w:p>
        </w:tc>
        <w:tc>
          <w:tcPr>
            <w:tcW w:w="810" w:type="dxa"/>
            <w:vMerge w:val="continue"/>
            <w:tcBorders>
              <w:top w:val="nil"/>
              <w:bottom w:val="nil"/>
            </w:tcBorders>
            <w:noWrap w:val="0"/>
            <w:vAlign w:val="top"/>
          </w:tcPr>
          <w:p w14:paraId="3AF72CAE">
            <w:pPr>
              <w:rPr>
                <w:rFonts w:ascii="Arial"/>
                <w:color w:val="auto"/>
                <w:sz w:val="21"/>
                <w:highlight w:val="none"/>
              </w:rPr>
            </w:pPr>
          </w:p>
        </w:tc>
        <w:tc>
          <w:tcPr>
            <w:tcW w:w="675" w:type="dxa"/>
            <w:vMerge w:val="continue"/>
            <w:tcBorders>
              <w:top w:val="nil"/>
              <w:bottom w:val="nil"/>
            </w:tcBorders>
            <w:noWrap w:val="0"/>
            <w:vAlign w:val="top"/>
          </w:tcPr>
          <w:p w14:paraId="2A25B9B4">
            <w:pPr>
              <w:rPr>
                <w:rFonts w:ascii="Arial"/>
                <w:color w:val="auto"/>
                <w:sz w:val="21"/>
                <w:highlight w:val="none"/>
              </w:rPr>
            </w:pPr>
          </w:p>
        </w:tc>
        <w:tc>
          <w:tcPr>
            <w:tcW w:w="1081" w:type="dxa"/>
            <w:vMerge w:val="restart"/>
            <w:tcBorders>
              <w:bottom w:val="nil"/>
            </w:tcBorders>
            <w:noWrap w:val="0"/>
            <w:vAlign w:val="top"/>
          </w:tcPr>
          <w:p w14:paraId="44CC09D1">
            <w:pPr>
              <w:spacing w:line="300" w:lineRule="auto"/>
              <w:rPr>
                <w:rFonts w:ascii="Arial"/>
                <w:color w:val="auto"/>
                <w:sz w:val="21"/>
                <w:highlight w:val="none"/>
              </w:rPr>
            </w:pPr>
          </w:p>
          <w:p w14:paraId="3E72D54D">
            <w:pPr>
              <w:spacing w:line="300" w:lineRule="auto"/>
              <w:rPr>
                <w:rFonts w:ascii="Arial"/>
                <w:color w:val="auto"/>
                <w:sz w:val="21"/>
                <w:highlight w:val="none"/>
              </w:rPr>
            </w:pPr>
          </w:p>
          <w:p w14:paraId="5CA71C0B">
            <w:pPr>
              <w:spacing w:line="300" w:lineRule="auto"/>
              <w:rPr>
                <w:rFonts w:ascii="Arial"/>
                <w:color w:val="auto"/>
                <w:sz w:val="21"/>
                <w:highlight w:val="none"/>
              </w:rPr>
            </w:pPr>
          </w:p>
          <w:p w14:paraId="78257F38">
            <w:pPr>
              <w:pStyle w:val="223"/>
              <w:spacing w:before="65" w:line="229" w:lineRule="auto"/>
              <w:ind w:left="126"/>
              <w:rPr>
                <w:color w:val="auto"/>
                <w:highlight w:val="none"/>
              </w:rPr>
            </w:pPr>
            <w:r>
              <w:rPr>
                <w:color w:val="auto"/>
                <w:spacing w:val="7"/>
                <w:highlight w:val="none"/>
              </w:rPr>
              <w:t>制动系统</w:t>
            </w:r>
          </w:p>
        </w:tc>
        <w:tc>
          <w:tcPr>
            <w:tcW w:w="2972" w:type="dxa"/>
            <w:noWrap w:val="0"/>
            <w:vAlign w:val="top"/>
          </w:tcPr>
          <w:p w14:paraId="29B3E852">
            <w:pPr>
              <w:pStyle w:val="223"/>
              <w:spacing w:before="83" w:line="229" w:lineRule="auto"/>
              <w:ind w:left="968"/>
              <w:rPr>
                <w:color w:val="auto"/>
                <w:highlight w:val="none"/>
              </w:rPr>
            </w:pPr>
            <w:r>
              <w:rPr>
                <w:color w:val="auto"/>
                <w:spacing w:val="7"/>
                <w:highlight w:val="none"/>
              </w:rPr>
              <w:t>制动器总成</w:t>
            </w:r>
          </w:p>
        </w:tc>
        <w:tc>
          <w:tcPr>
            <w:tcW w:w="2040" w:type="dxa"/>
            <w:noWrap w:val="0"/>
            <w:vAlign w:val="top"/>
          </w:tcPr>
          <w:p w14:paraId="4D5C1C0D">
            <w:pPr>
              <w:pStyle w:val="223"/>
              <w:spacing w:before="83"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35579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948" w:type="dxa"/>
            <w:vMerge w:val="continue"/>
            <w:tcBorders>
              <w:top w:val="nil"/>
              <w:bottom w:val="nil"/>
            </w:tcBorders>
            <w:noWrap w:val="0"/>
            <w:vAlign w:val="top"/>
          </w:tcPr>
          <w:p w14:paraId="4B380111">
            <w:pPr>
              <w:rPr>
                <w:rFonts w:ascii="Arial"/>
                <w:color w:val="auto"/>
                <w:sz w:val="21"/>
                <w:highlight w:val="none"/>
              </w:rPr>
            </w:pPr>
          </w:p>
        </w:tc>
        <w:tc>
          <w:tcPr>
            <w:tcW w:w="810" w:type="dxa"/>
            <w:vMerge w:val="continue"/>
            <w:tcBorders>
              <w:top w:val="nil"/>
              <w:bottom w:val="nil"/>
            </w:tcBorders>
            <w:noWrap w:val="0"/>
            <w:vAlign w:val="top"/>
          </w:tcPr>
          <w:p w14:paraId="7EF063D6">
            <w:pPr>
              <w:rPr>
                <w:rFonts w:ascii="Arial"/>
                <w:color w:val="auto"/>
                <w:sz w:val="21"/>
                <w:highlight w:val="none"/>
              </w:rPr>
            </w:pPr>
          </w:p>
        </w:tc>
        <w:tc>
          <w:tcPr>
            <w:tcW w:w="675" w:type="dxa"/>
            <w:vMerge w:val="continue"/>
            <w:tcBorders>
              <w:top w:val="nil"/>
              <w:bottom w:val="nil"/>
            </w:tcBorders>
            <w:noWrap w:val="0"/>
            <w:vAlign w:val="top"/>
          </w:tcPr>
          <w:p w14:paraId="20AE3330">
            <w:pPr>
              <w:rPr>
                <w:rFonts w:ascii="Arial"/>
                <w:color w:val="auto"/>
                <w:sz w:val="21"/>
                <w:highlight w:val="none"/>
              </w:rPr>
            </w:pPr>
          </w:p>
        </w:tc>
        <w:tc>
          <w:tcPr>
            <w:tcW w:w="1081" w:type="dxa"/>
            <w:vMerge w:val="continue"/>
            <w:tcBorders>
              <w:top w:val="nil"/>
              <w:bottom w:val="nil"/>
            </w:tcBorders>
            <w:noWrap w:val="0"/>
            <w:vAlign w:val="top"/>
          </w:tcPr>
          <w:p w14:paraId="44EB2B1A">
            <w:pPr>
              <w:rPr>
                <w:rFonts w:ascii="Arial"/>
                <w:color w:val="auto"/>
                <w:sz w:val="21"/>
                <w:highlight w:val="none"/>
              </w:rPr>
            </w:pPr>
          </w:p>
        </w:tc>
        <w:tc>
          <w:tcPr>
            <w:tcW w:w="2972" w:type="dxa"/>
            <w:noWrap w:val="0"/>
            <w:vAlign w:val="top"/>
          </w:tcPr>
          <w:p w14:paraId="24A7948B">
            <w:pPr>
              <w:pStyle w:val="223"/>
              <w:spacing w:before="111" w:line="228" w:lineRule="auto"/>
              <w:ind w:left="514"/>
              <w:rPr>
                <w:color w:val="auto"/>
                <w:highlight w:val="none"/>
              </w:rPr>
            </w:pPr>
            <w:r>
              <w:rPr>
                <w:color w:val="auto"/>
                <w:highlight w:val="none"/>
              </w:rPr>
              <w:t>ABS</w:t>
            </w:r>
            <w:r>
              <w:rPr>
                <w:color w:val="auto"/>
                <w:spacing w:val="13"/>
                <w:highlight w:val="none"/>
              </w:rPr>
              <w:t>、</w:t>
            </w:r>
            <w:r>
              <w:rPr>
                <w:color w:val="auto"/>
                <w:highlight w:val="none"/>
              </w:rPr>
              <w:t>EBS</w:t>
            </w:r>
            <w:r>
              <w:rPr>
                <w:color w:val="auto"/>
                <w:spacing w:val="-39"/>
                <w:highlight w:val="none"/>
              </w:rPr>
              <w:t xml:space="preserve"> </w:t>
            </w:r>
            <w:r>
              <w:rPr>
                <w:color w:val="auto"/>
                <w:spacing w:val="13"/>
                <w:highlight w:val="none"/>
              </w:rPr>
              <w:t>等电控单元</w:t>
            </w:r>
          </w:p>
        </w:tc>
        <w:tc>
          <w:tcPr>
            <w:tcW w:w="2040" w:type="dxa"/>
            <w:noWrap w:val="0"/>
            <w:vAlign w:val="top"/>
          </w:tcPr>
          <w:p w14:paraId="431F50FC">
            <w:pPr>
              <w:pStyle w:val="223"/>
              <w:spacing w:before="111"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7A732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48" w:type="dxa"/>
            <w:vMerge w:val="continue"/>
            <w:tcBorders>
              <w:top w:val="nil"/>
              <w:bottom w:val="nil"/>
            </w:tcBorders>
            <w:noWrap w:val="0"/>
            <w:vAlign w:val="top"/>
          </w:tcPr>
          <w:p w14:paraId="73BE601A">
            <w:pPr>
              <w:rPr>
                <w:rFonts w:ascii="Arial"/>
                <w:color w:val="auto"/>
                <w:sz w:val="21"/>
                <w:highlight w:val="none"/>
              </w:rPr>
            </w:pPr>
          </w:p>
        </w:tc>
        <w:tc>
          <w:tcPr>
            <w:tcW w:w="810" w:type="dxa"/>
            <w:vMerge w:val="continue"/>
            <w:tcBorders>
              <w:top w:val="nil"/>
              <w:bottom w:val="nil"/>
            </w:tcBorders>
            <w:noWrap w:val="0"/>
            <w:vAlign w:val="top"/>
          </w:tcPr>
          <w:p w14:paraId="3D78DC61">
            <w:pPr>
              <w:rPr>
                <w:rFonts w:ascii="Arial"/>
                <w:color w:val="auto"/>
                <w:sz w:val="21"/>
                <w:highlight w:val="none"/>
              </w:rPr>
            </w:pPr>
          </w:p>
        </w:tc>
        <w:tc>
          <w:tcPr>
            <w:tcW w:w="675" w:type="dxa"/>
            <w:vMerge w:val="continue"/>
            <w:tcBorders>
              <w:top w:val="nil"/>
              <w:bottom w:val="nil"/>
            </w:tcBorders>
            <w:noWrap w:val="0"/>
            <w:vAlign w:val="top"/>
          </w:tcPr>
          <w:p w14:paraId="32C394B6">
            <w:pPr>
              <w:rPr>
                <w:rFonts w:ascii="Arial"/>
                <w:color w:val="auto"/>
                <w:sz w:val="21"/>
                <w:highlight w:val="none"/>
              </w:rPr>
            </w:pPr>
          </w:p>
        </w:tc>
        <w:tc>
          <w:tcPr>
            <w:tcW w:w="1081" w:type="dxa"/>
            <w:vMerge w:val="continue"/>
            <w:tcBorders>
              <w:top w:val="nil"/>
              <w:bottom w:val="nil"/>
            </w:tcBorders>
            <w:noWrap w:val="0"/>
            <w:vAlign w:val="top"/>
          </w:tcPr>
          <w:p w14:paraId="26E7CC8E">
            <w:pPr>
              <w:rPr>
                <w:rFonts w:ascii="Arial"/>
                <w:color w:val="auto"/>
                <w:sz w:val="21"/>
                <w:highlight w:val="none"/>
              </w:rPr>
            </w:pPr>
          </w:p>
        </w:tc>
        <w:tc>
          <w:tcPr>
            <w:tcW w:w="2972" w:type="dxa"/>
            <w:noWrap w:val="0"/>
            <w:vAlign w:val="top"/>
          </w:tcPr>
          <w:p w14:paraId="703FFE43">
            <w:pPr>
              <w:pStyle w:val="223"/>
              <w:spacing w:before="108" w:line="228" w:lineRule="auto"/>
              <w:ind w:left="1073"/>
              <w:rPr>
                <w:color w:val="auto"/>
                <w:highlight w:val="none"/>
              </w:rPr>
            </w:pPr>
            <w:r>
              <w:rPr>
                <w:color w:val="auto"/>
                <w:spacing w:val="7"/>
                <w:highlight w:val="none"/>
              </w:rPr>
              <w:t>制动阀类</w:t>
            </w:r>
          </w:p>
        </w:tc>
        <w:tc>
          <w:tcPr>
            <w:tcW w:w="2040" w:type="dxa"/>
            <w:noWrap w:val="0"/>
            <w:vAlign w:val="top"/>
          </w:tcPr>
          <w:p w14:paraId="6527BD97">
            <w:pPr>
              <w:pStyle w:val="223"/>
              <w:spacing w:before="108"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76D14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48" w:type="dxa"/>
            <w:vMerge w:val="continue"/>
            <w:tcBorders>
              <w:top w:val="nil"/>
              <w:bottom w:val="nil"/>
            </w:tcBorders>
            <w:noWrap w:val="0"/>
            <w:vAlign w:val="top"/>
          </w:tcPr>
          <w:p w14:paraId="23F006C4">
            <w:pPr>
              <w:rPr>
                <w:rFonts w:ascii="Arial"/>
                <w:color w:val="auto"/>
                <w:sz w:val="21"/>
                <w:highlight w:val="none"/>
              </w:rPr>
            </w:pPr>
          </w:p>
        </w:tc>
        <w:tc>
          <w:tcPr>
            <w:tcW w:w="810" w:type="dxa"/>
            <w:vMerge w:val="continue"/>
            <w:tcBorders>
              <w:top w:val="nil"/>
              <w:bottom w:val="nil"/>
            </w:tcBorders>
            <w:noWrap w:val="0"/>
            <w:vAlign w:val="top"/>
          </w:tcPr>
          <w:p w14:paraId="46A9D9D7">
            <w:pPr>
              <w:rPr>
                <w:rFonts w:ascii="Arial"/>
                <w:color w:val="auto"/>
                <w:sz w:val="21"/>
                <w:highlight w:val="none"/>
              </w:rPr>
            </w:pPr>
          </w:p>
        </w:tc>
        <w:tc>
          <w:tcPr>
            <w:tcW w:w="675" w:type="dxa"/>
            <w:vMerge w:val="continue"/>
            <w:tcBorders>
              <w:top w:val="nil"/>
              <w:bottom w:val="nil"/>
            </w:tcBorders>
            <w:noWrap w:val="0"/>
            <w:vAlign w:val="top"/>
          </w:tcPr>
          <w:p w14:paraId="7CF89BDB">
            <w:pPr>
              <w:rPr>
                <w:rFonts w:ascii="Arial"/>
                <w:color w:val="auto"/>
                <w:sz w:val="21"/>
                <w:highlight w:val="none"/>
              </w:rPr>
            </w:pPr>
          </w:p>
        </w:tc>
        <w:tc>
          <w:tcPr>
            <w:tcW w:w="1081" w:type="dxa"/>
            <w:vMerge w:val="continue"/>
            <w:tcBorders>
              <w:top w:val="nil"/>
              <w:bottom w:val="nil"/>
            </w:tcBorders>
            <w:noWrap w:val="0"/>
            <w:vAlign w:val="top"/>
          </w:tcPr>
          <w:p w14:paraId="5BF2524B">
            <w:pPr>
              <w:rPr>
                <w:rFonts w:ascii="Arial"/>
                <w:color w:val="auto"/>
                <w:sz w:val="21"/>
                <w:highlight w:val="none"/>
              </w:rPr>
            </w:pPr>
          </w:p>
        </w:tc>
        <w:tc>
          <w:tcPr>
            <w:tcW w:w="2972" w:type="dxa"/>
            <w:noWrap w:val="0"/>
            <w:vAlign w:val="top"/>
          </w:tcPr>
          <w:p w14:paraId="3968D531">
            <w:pPr>
              <w:pStyle w:val="223"/>
              <w:spacing w:before="106" w:line="229" w:lineRule="auto"/>
              <w:ind w:left="1097"/>
              <w:rPr>
                <w:color w:val="auto"/>
                <w:highlight w:val="none"/>
              </w:rPr>
            </w:pPr>
            <w:r>
              <w:rPr>
                <w:color w:val="auto"/>
                <w:spacing w:val="1"/>
                <w:highlight w:val="none"/>
              </w:rPr>
              <w:t>电子手刹</w:t>
            </w:r>
          </w:p>
        </w:tc>
        <w:tc>
          <w:tcPr>
            <w:tcW w:w="2040" w:type="dxa"/>
            <w:noWrap w:val="0"/>
            <w:vAlign w:val="top"/>
          </w:tcPr>
          <w:p w14:paraId="594A847E">
            <w:pPr>
              <w:pStyle w:val="223"/>
              <w:spacing w:before="106"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7DD93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48" w:type="dxa"/>
            <w:vMerge w:val="continue"/>
            <w:tcBorders>
              <w:top w:val="nil"/>
              <w:bottom w:val="nil"/>
            </w:tcBorders>
            <w:noWrap w:val="0"/>
            <w:vAlign w:val="top"/>
          </w:tcPr>
          <w:p w14:paraId="3C61237F">
            <w:pPr>
              <w:rPr>
                <w:rFonts w:ascii="Arial"/>
                <w:color w:val="auto"/>
                <w:sz w:val="21"/>
                <w:highlight w:val="none"/>
              </w:rPr>
            </w:pPr>
          </w:p>
        </w:tc>
        <w:tc>
          <w:tcPr>
            <w:tcW w:w="810" w:type="dxa"/>
            <w:vMerge w:val="continue"/>
            <w:tcBorders>
              <w:top w:val="nil"/>
              <w:bottom w:val="nil"/>
            </w:tcBorders>
            <w:noWrap w:val="0"/>
            <w:vAlign w:val="top"/>
          </w:tcPr>
          <w:p w14:paraId="7CC9D45C">
            <w:pPr>
              <w:rPr>
                <w:rFonts w:ascii="Arial"/>
                <w:color w:val="auto"/>
                <w:sz w:val="21"/>
                <w:highlight w:val="none"/>
              </w:rPr>
            </w:pPr>
          </w:p>
        </w:tc>
        <w:tc>
          <w:tcPr>
            <w:tcW w:w="675" w:type="dxa"/>
            <w:vMerge w:val="continue"/>
            <w:tcBorders>
              <w:top w:val="nil"/>
            </w:tcBorders>
            <w:noWrap w:val="0"/>
            <w:vAlign w:val="top"/>
          </w:tcPr>
          <w:p w14:paraId="49BD5013">
            <w:pPr>
              <w:rPr>
                <w:rFonts w:ascii="Arial"/>
                <w:color w:val="auto"/>
                <w:sz w:val="21"/>
                <w:highlight w:val="none"/>
              </w:rPr>
            </w:pPr>
          </w:p>
        </w:tc>
        <w:tc>
          <w:tcPr>
            <w:tcW w:w="1081" w:type="dxa"/>
            <w:vMerge w:val="continue"/>
            <w:tcBorders>
              <w:top w:val="nil"/>
            </w:tcBorders>
            <w:noWrap w:val="0"/>
            <w:vAlign w:val="top"/>
          </w:tcPr>
          <w:p w14:paraId="18BF3FD8">
            <w:pPr>
              <w:rPr>
                <w:rFonts w:ascii="Arial"/>
                <w:color w:val="auto"/>
                <w:sz w:val="21"/>
                <w:highlight w:val="none"/>
              </w:rPr>
            </w:pPr>
          </w:p>
        </w:tc>
        <w:tc>
          <w:tcPr>
            <w:tcW w:w="2972" w:type="dxa"/>
            <w:noWrap w:val="0"/>
            <w:vAlign w:val="top"/>
          </w:tcPr>
          <w:p w14:paraId="0AE14DEE">
            <w:pPr>
              <w:pStyle w:val="223"/>
              <w:spacing w:before="139" w:line="228" w:lineRule="auto"/>
              <w:ind w:left="1177"/>
              <w:rPr>
                <w:color w:val="auto"/>
                <w:highlight w:val="none"/>
              </w:rPr>
            </w:pPr>
            <w:r>
              <w:rPr>
                <w:color w:val="auto"/>
                <w:spacing w:val="7"/>
                <w:highlight w:val="none"/>
              </w:rPr>
              <w:t>储气筒</w:t>
            </w:r>
          </w:p>
        </w:tc>
        <w:tc>
          <w:tcPr>
            <w:tcW w:w="2040" w:type="dxa"/>
            <w:noWrap w:val="0"/>
            <w:vAlign w:val="top"/>
          </w:tcPr>
          <w:p w14:paraId="2F58AC67">
            <w:pPr>
              <w:pStyle w:val="223"/>
              <w:spacing w:before="139"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63860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4DB1EE2E">
            <w:pPr>
              <w:rPr>
                <w:rFonts w:ascii="Arial"/>
                <w:color w:val="auto"/>
                <w:sz w:val="21"/>
                <w:highlight w:val="none"/>
              </w:rPr>
            </w:pPr>
          </w:p>
        </w:tc>
        <w:tc>
          <w:tcPr>
            <w:tcW w:w="810" w:type="dxa"/>
            <w:vMerge w:val="continue"/>
            <w:tcBorders>
              <w:top w:val="nil"/>
              <w:bottom w:val="nil"/>
            </w:tcBorders>
            <w:noWrap w:val="0"/>
            <w:vAlign w:val="top"/>
          </w:tcPr>
          <w:p w14:paraId="1CEF0BE8">
            <w:pPr>
              <w:rPr>
                <w:rFonts w:ascii="Arial"/>
                <w:color w:val="auto"/>
                <w:sz w:val="21"/>
                <w:highlight w:val="none"/>
              </w:rPr>
            </w:pPr>
          </w:p>
        </w:tc>
        <w:tc>
          <w:tcPr>
            <w:tcW w:w="675" w:type="dxa"/>
            <w:vMerge w:val="restart"/>
            <w:tcBorders>
              <w:bottom w:val="nil"/>
            </w:tcBorders>
            <w:noWrap w:val="0"/>
            <w:vAlign w:val="top"/>
          </w:tcPr>
          <w:p w14:paraId="0F36ADD9">
            <w:pPr>
              <w:rPr>
                <w:rFonts w:ascii="Arial"/>
                <w:color w:val="auto"/>
                <w:sz w:val="21"/>
                <w:highlight w:val="none"/>
              </w:rPr>
            </w:pPr>
          </w:p>
        </w:tc>
        <w:tc>
          <w:tcPr>
            <w:tcW w:w="1081" w:type="dxa"/>
            <w:vMerge w:val="restart"/>
            <w:tcBorders>
              <w:bottom w:val="nil"/>
            </w:tcBorders>
            <w:noWrap w:val="0"/>
            <w:vAlign w:val="top"/>
          </w:tcPr>
          <w:p w14:paraId="23D4C8D0">
            <w:pPr>
              <w:pStyle w:val="223"/>
              <w:spacing w:before="244" w:line="229" w:lineRule="auto"/>
              <w:ind w:left="126"/>
              <w:rPr>
                <w:color w:val="auto"/>
                <w:highlight w:val="none"/>
              </w:rPr>
            </w:pPr>
            <w:r>
              <w:rPr>
                <w:color w:val="auto"/>
                <w:spacing w:val="7"/>
                <w:highlight w:val="none"/>
              </w:rPr>
              <w:t>转向系统</w:t>
            </w:r>
          </w:p>
        </w:tc>
        <w:tc>
          <w:tcPr>
            <w:tcW w:w="2972" w:type="dxa"/>
            <w:noWrap w:val="0"/>
            <w:vAlign w:val="top"/>
          </w:tcPr>
          <w:p w14:paraId="0FB62290">
            <w:pPr>
              <w:pStyle w:val="223"/>
              <w:spacing w:before="69" w:line="229" w:lineRule="auto"/>
              <w:ind w:left="1179"/>
              <w:rPr>
                <w:color w:val="auto"/>
                <w:highlight w:val="none"/>
              </w:rPr>
            </w:pPr>
            <w:r>
              <w:rPr>
                <w:color w:val="auto"/>
                <w:spacing w:val="6"/>
                <w:highlight w:val="none"/>
              </w:rPr>
              <w:t>转向盘</w:t>
            </w:r>
          </w:p>
        </w:tc>
        <w:tc>
          <w:tcPr>
            <w:tcW w:w="2040" w:type="dxa"/>
            <w:noWrap w:val="0"/>
            <w:vAlign w:val="top"/>
          </w:tcPr>
          <w:p w14:paraId="605DDCDA">
            <w:pPr>
              <w:pStyle w:val="223"/>
              <w:spacing w:before="69"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33D89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948" w:type="dxa"/>
            <w:vMerge w:val="continue"/>
            <w:tcBorders>
              <w:top w:val="nil"/>
            </w:tcBorders>
            <w:noWrap w:val="0"/>
            <w:vAlign w:val="top"/>
          </w:tcPr>
          <w:p w14:paraId="7E21BC24">
            <w:pPr>
              <w:rPr>
                <w:rFonts w:ascii="Arial"/>
                <w:color w:val="auto"/>
                <w:sz w:val="21"/>
                <w:highlight w:val="none"/>
              </w:rPr>
            </w:pPr>
          </w:p>
        </w:tc>
        <w:tc>
          <w:tcPr>
            <w:tcW w:w="810" w:type="dxa"/>
            <w:vMerge w:val="continue"/>
            <w:tcBorders>
              <w:top w:val="nil"/>
            </w:tcBorders>
            <w:noWrap w:val="0"/>
            <w:vAlign w:val="top"/>
          </w:tcPr>
          <w:p w14:paraId="0FB5F006">
            <w:pPr>
              <w:rPr>
                <w:rFonts w:ascii="Arial"/>
                <w:color w:val="auto"/>
                <w:sz w:val="21"/>
                <w:highlight w:val="none"/>
              </w:rPr>
            </w:pPr>
          </w:p>
        </w:tc>
        <w:tc>
          <w:tcPr>
            <w:tcW w:w="675" w:type="dxa"/>
            <w:vMerge w:val="continue"/>
            <w:tcBorders>
              <w:top w:val="nil"/>
            </w:tcBorders>
            <w:noWrap w:val="0"/>
            <w:vAlign w:val="top"/>
          </w:tcPr>
          <w:p w14:paraId="6F2CD5E6">
            <w:pPr>
              <w:rPr>
                <w:rFonts w:ascii="Arial"/>
                <w:color w:val="auto"/>
                <w:sz w:val="21"/>
                <w:highlight w:val="none"/>
              </w:rPr>
            </w:pPr>
          </w:p>
        </w:tc>
        <w:tc>
          <w:tcPr>
            <w:tcW w:w="1081" w:type="dxa"/>
            <w:vMerge w:val="continue"/>
            <w:tcBorders>
              <w:top w:val="nil"/>
            </w:tcBorders>
            <w:noWrap w:val="0"/>
            <w:vAlign w:val="top"/>
          </w:tcPr>
          <w:p w14:paraId="43201107">
            <w:pPr>
              <w:rPr>
                <w:rFonts w:ascii="Arial"/>
                <w:color w:val="auto"/>
                <w:sz w:val="21"/>
                <w:highlight w:val="none"/>
              </w:rPr>
            </w:pPr>
          </w:p>
        </w:tc>
        <w:tc>
          <w:tcPr>
            <w:tcW w:w="2972" w:type="dxa"/>
            <w:noWrap w:val="0"/>
            <w:vAlign w:val="top"/>
          </w:tcPr>
          <w:p w14:paraId="790313DE">
            <w:pPr>
              <w:pStyle w:val="223"/>
              <w:spacing w:before="69" w:line="228" w:lineRule="auto"/>
              <w:ind w:left="363"/>
              <w:rPr>
                <w:color w:val="auto"/>
                <w:highlight w:val="none"/>
              </w:rPr>
            </w:pPr>
            <w:r>
              <w:rPr>
                <w:color w:val="auto"/>
                <w:spacing w:val="5"/>
                <w:highlight w:val="none"/>
              </w:rPr>
              <w:t>电动转向油泵（含电机）</w:t>
            </w:r>
          </w:p>
        </w:tc>
        <w:tc>
          <w:tcPr>
            <w:tcW w:w="2040" w:type="dxa"/>
            <w:noWrap w:val="0"/>
            <w:vAlign w:val="top"/>
          </w:tcPr>
          <w:p w14:paraId="68C5F7A1">
            <w:pPr>
              <w:pStyle w:val="223"/>
              <w:spacing w:before="7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bl>
    <w:p w14:paraId="25F2AD3A">
      <w:pPr>
        <w:pStyle w:val="17"/>
        <w:tabs>
          <w:tab w:val="left" w:pos="574"/>
        </w:tabs>
        <w:rPr>
          <w:color w:val="auto"/>
          <w:highlight w:val="none"/>
        </w:rPr>
      </w:pPr>
    </w:p>
    <w:p w14:paraId="75126719">
      <w:pPr>
        <w:rPr>
          <w:color w:val="auto"/>
          <w:highlight w:val="none"/>
        </w:rPr>
        <w:sectPr>
          <w:footerReference r:id="rId14" w:type="default"/>
          <w:pgSz w:w="11906" w:h="16839"/>
          <w:pgMar w:top="1431" w:right="1687" w:bottom="1231" w:left="1687" w:header="0" w:footer="984" w:gutter="0"/>
          <w:pgNumType w:fmt="decimal"/>
          <w:cols w:space="720" w:num="1"/>
        </w:sectPr>
      </w:pPr>
    </w:p>
    <w:p w14:paraId="2857B61F">
      <w:pPr>
        <w:spacing w:line="91" w:lineRule="auto"/>
        <w:rPr>
          <w:rFonts w:ascii="Arial"/>
          <w:color w:val="auto"/>
          <w:sz w:val="2"/>
          <w:highlight w:val="none"/>
        </w:rPr>
      </w:pPr>
    </w:p>
    <w:tbl>
      <w:tblPr>
        <w:tblStyle w:val="22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810"/>
        <w:gridCol w:w="675"/>
        <w:gridCol w:w="1081"/>
        <w:gridCol w:w="2972"/>
        <w:gridCol w:w="2040"/>
      </w:tblGrid>
      <w:tr w14:paraId="1196E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48" w:type="dxa"/>
            <w:vMerge w:val="restart"/>
            <w:tcBorders>
              <w:bottom w:val="nil"/>
            </w:tcBorders>
            <w:noWrap w:val="0"/>
            <w:vAlign w:val="top"/>
          </w:tcPr>
          <w:p w14:paraId="0B1FF794">
            <w:pPr>
              <w:rPr>
                <w:rFonts w:ascii="Arial"/>
                <w:color w:val="auto"/>
                <w:sz w:val="21"/>
                <w:highlight w:val="none"/>
              </w:rPr>
            </w:pPr>
          </w:p>
        </w:tc>
        <w:tc>
          <w:tcPr>
            <w:tcW w:w="810" w:type="dxa"/>
            <w:vMerge w:val="restart"/>
            <w:tcBorders>
              <w:bottom w:val="nil"/>
            </w:tcBorders>
            <w:noWrap w:val="0"/>
            <w:vAlign w:val="top"/>
          </w:tcPr>
          <w:p w14:paraId="0F182711">
            <w:pPr>
              <w:rPr>
                <w:rFonts w:ascii="Arial"/>
                <w:color w:val="auto"/>
                <w:sz w:val="21"/>
                <w:highlight w:val="none"/>
              </w:rPr>
            </w:pPr>
          </w:p>
        </w:tc>
        <w:tc>
          <w:tcPr>
            <w:tcW w:w="675" w:type="dxa"/>
            <w:noWrap w:val="0"/>
            <w:vAlign w:val="top"/>
          </w:tcPr>
          <w:p w14:paraId="5E0D64B0">
            <w:pPr>
              <w:rPr>
                <w:rFonts w:ascii="Arial"/>
                <w:color w:val="auto"/>
                <w:sz w:val="21"/>
                <w:highlight w:val="none"/>
              </w:rPr>
            </w:pPr>
          </w:p>
        </w:tc>
        <w:tc>
          <w:tcPr>
            <w:tcW w:w="1081" w:type="dxa"/>
            <w:noWrap w:val="0"/>
            <w:vAlign w:val="top"/>
          </w:tcPr>
          <w:p w14:paraId="4EF90E95">
            <w:pPr>
              <w:rPr>
                <w:rFonts w:ascii="Arial"/>
                <w:color w:val="auto"/>
                <w:sz w:val="21"/>
                <w:highlight w:val="none"/>
              </w:rPr>
            </w:pPr>
          </w:p>
        </w:tc>
        <w:tc>
          <w:tcPr>
            <w:tcW w:w="2972" w:type="dxa"/>
            <w:noWrap w:val="0"/>
            <w:vAlign w:val="top"/>
          </w:tcPr>
          <w:p w14:paraId="20631355">
            <w:pPr>
              <w:pStyle w:val="223"/>
              <w:spacing w:before="71" w:line="229" w:lineRule="auto"/>
              <w:ind w:left="1179"/>
              <w:rPr>
                <w:color w:val="auto"/>
                <w:highlight w:val="none"/>
              </w:rPr>
            </w:pPr>
            <w:r>
              <w:rPr>
                <w:color w:val="auto"/>
                <w:spacing w:val="6"/>
                <w:highlight w:val="none"/>
              </w:rPr>
              <w:t>转向器</w:t>
            </w:r>
          </w:p>
        </w:tc>
        <w:tc>
          <w:tcPr>
            <w:tcW w:w="2040" w:type="dxa"/>
            <w:noWrap w:val="0"/>
            <w:vAlign w:val="top"/>
          </w:tcPr>
          <w:p w14:paraId="4CC493FA">
            <w:pPr>
              <w:pStyle w:val="223"/>
              <w:spacing w:before="71"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C341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6877D5C5">
            <w:pPr>
              <w:rPr>
                <w:rFonts w:ascii="Arial"/>
                <w:color w:val="auto"/>
                <w:sz w:val="21"/>
                <w:highlight w:val="none"/>
              </w:rPr>
            </w:pPr>
          </w:p>
        </w:tc>
        <w:tc>
          <w:tcPr>
            <w:tcW w:w="810" w:type="dxa"/>
            <w:vMerge w:val="continue"/>
            <w:tcBorders>
              <w:top w:val="nil"/>
              <w:bottom w:val="nil"/>
            </w:tcBorders>
            <w:noWrap w:val="0"/>
            <w:vAlign w:val="top"/>
          </w:tcPr>
          <w:p w14:paraId="29DBE68C">
            <w:pPr>
              <w:rPr>
                <w:rFonts w:ascii="Arial"/>
                <w:color w:val="auto"/>
                <w:sz w:val="21"/>
                <w:highlight w:val="none"/>
              </w:rPr>
            </w:pPr>
          </w:p>
        </w:tc>
        <w:tc>
          <w:tcPr>
            <w:tcW w:w="675" w:type="dxa"/>
            <w:vMerge w:val="restart"/>
            <w:tcBorders>
              <w:bottom w:val="nil"/>
            </w:tcBorders>
            <w:noWrap w:val="0"/>
            <w:vAlign w:val="top"/>
          </w:tcPr>
          <w:p w14:paraId="280B6B5C">
            <w:pPr>
              <w:rPr>
                <w:rFonts w:ascii="Arial"/>
                <w:color w:val="auto"/>
                <w:sz w:val="21"/>
                <w:highlight w:val="none"/>
              </w:rPr>
            </w:pPr>
          </w:p>
        </w:tc>
        <w:tc>
          <w:tcPr>
            <w:tcW w:w="1081" w:type="dxa"/>
            <w:vMerge w:val="restart"/>
            <w:tcBorders>
              <w:bottom w:val="nil"/>
            </w:tcBorders>
            <w:noWrap w:val="0"/>
            <w:vAlign w:val="top"/>
          </w:tcPr>
          <w:p w14:paraId="26D01D17">
            <w:pPr>
              <w:spacing w:line="261" w:lineRule="auto"/>
              <w:rPr>
                <w:rFonts w:ascii="Arial"/>
                <w:color w:val="auto"/>
                <w:sz w:val="21"/>
                <w:highlight w:val="none"/>
              </w:rPr>
            </w:pPr>
          </w:p>
          <w:p w14:paraId="3D140BAF">
            <w:pPr>
              <w:spacing w:line="261" w:lineRule="auto"/>
              <w:rPr>
                <w:rFonts w:ascii="Arial"/>
                <w:color w:val="auto"/>
                <w:sz w:val="21"/>
                <w:highlight w:val="none"/>
              </w:rPr>
            </w:pPr>
          </w:p>
          <w:p w14:paraId="203F07DB">
            <w:pPr>
              <w:pStyle w:val="223"/>
              <w:spacing w:before="65" w:line="230" w:lineRule="auto"/>
              <w:ind w:left="127"/>
              <w:rPr>
                <w:color w:val="auto"/>
                <w:highlight w:val="none"/>
              </w:rPr>
            </w:pPr>
            <w:r>
              <w:rPr>
                <w:color w:val="auto"/>
                <w:spacing w:val="6"/>
                <w:highlight w:val="none"/>
              </w:rPr>
              <w:t>冷却系统</w:t>
            </w:r>
          </w:p>
        </w:tc>
        <w:tc>
          <w:tcPr>
            <w:tcW w:w="2972" w:type="dxa"/>
            <w:noWrap w:val="0"/>
            <w:vAlign w:val="top"/>
          </w:tcPr>
          <w:p w14:paraId="4A9DC039">
            <w:pPr>
              <w:pStyle w:val="223"/>
              <w:spacing w:before="67" w:line="228" w:lineRule="auto"/>
              <w:ind w:left="1177"/>
              <w:rPr>
                <w:color w:val="auto"/>
                <w:highlight w:val="none"/>
              </w:rPr>
            </w:pPr>
            <w:r>
              <w:rPr>
                <w:color w:val="auto"/>
                <w:spacing w:val="7"/>
                <w:highlight w:val="none"/>
              </w:rPr>
              <w:t>散热器</w:t>
            </w:r>
          </w:p>
        </w:tc>
        <w:tc>
          <w:tcPr>
            <w:tcW w:w="2040" w:type="dxa"/>
            <w:noWrap w:val="0"/>
            <w:vAlign w:val="top"/>
          </w:tcPr>
          <w:p w14:paraId="2C24CF7E">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55A9C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6FBC61B9">
            <w:pPr>
              <w:rPr>
                <w:rFonts w:ascii="Arial"/>
                <w:color w:val="auto"/>
                <w:sz w:val="21"/>
                <w:highlight w:val="none"/>
              </w:rPr>
            </w:pPr>
          </w:p>
        </w:tc>
        <w:tc>
          <w:tcPr>
            <w:tcW w:w="810" w:type="dxa"/>
            <w:vMerge w:val="continue"/>
            <w:tcBorders>
              <w:top w:val="nil"/>
              <w:bottom w:val="nil"/>
            </w:tcBorders>
            <w:noWrap w:val="0"/>
            <w:vAlign w:val="top"/>
          </w:tcPr>
          <w:p w14:paraId="3B76C35C">
            <w:pPr>
              <w:rPr>
                <w:rFonts w:ascii="Arial"/>
                <w:color w:val="auto"/>
                <w:sz w:val="21"/>
                <w:highlight w:val="none"/>
              </w:rPr>
            </w:pPr>
          </w:p>
        </w:tc>
        <w:tc>
          <w:tcPr>
            <w:tcW w:w="675" w:type="dxa"/>
            <w:vMerge w:val="continue"/>
            <w:tcBorders>
              <w:top w:val="nil"/>
              <w:bottom w:val="nil"/>
            </w:tcBorders>
            <w:noWrap w:val="0"/>
            <w:vAlign w:val="top"/>
          </w:tcPr>
          <w:p w14:paraId="4450ABCF">
            <w:pPr>
              <w:rPr>
                <w:rFonts w:ascii="Arial"/>
                <w:color w:val="auto"/>
                <w:sz w:val="21"/>
                <w:highlight w:val="none"/>
              </w:rPr>
            </w:pPr>
          </w:p>
        </w:tc>
        <w:tc>
          <w:tcPr>
            <w:tcW w:w="1081" w:type="dxa"/>
            <w:vMerge w:val="continue"/>
            <w:tcBorders>
              <w:top w:val="nil"/>
              <w:bottom w:val="nil"/>
            </w:tcBorders>
            <w:noWrap w:val="0"/>
            <w:vAlign w:val="top"/>
          </w:tcPr>
          <w:p w14:paraId="7B2347E6">
            <w:pPr>
              <w:rPr>
                <w:rFonts w:ascii="Arial"/>
                <w:color w:val="auto"/>
                <w:sz w:val="21"/>
                <w:highlight w:val="none"/>
              </w:rPr>
            </w:pPr>
          </w:p>
        </w:tc>
        <w:tc>
          <w:tcPr>
            <w:tcW w:w="2972" w:type="dxa"/>
            <w:noWrap w:val="0"/>
            <w:vAlign w:val="top"/>
          </w:tcPr>
          <w:p w14:paraId="22C93E2C">
            <w:pPr>
              <w:pStyle w:val="223"/>
              <w:spacing w:before="65" w:line="228" w:lineRule="auto"/>
              <w:ind w:left="886"/>
              <w:rPr>
                <w:color w:val="auto"/>
                <w:highlight w:val="none"/>
              </w:rPr>
            </w:pPr>
            <w:r>
              <w:rPr>
                <w:color w:val="auto"/>
                <w:spacing w:val="4"/>
                <w:highlight w:val="none"/>
              </w:rPr>
              <w:t>电动水泵总成</w:t>
            </w:r>
          </w:p>
        </w:tc>
        <w:tc>
          <w:tcPr>
            <w:tcW w:w="2040" w:type="dxa"/>
            <w:noWrap w:val="0"/>
            <w:vAlign w:val="top"/>
          </w:tcPr>
          <w:p w14:paraId="7352F9D2">
            <w:pPr>
              <w:pStyle w:val="223"/>
              <w:spacing w:before="65"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55881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64FC7C88">
            <w:pPr>
              <w:rPr>
                <w:rFonts w:ascii="Arial"/>
                <w:color w:val="auto"/>
                <w:sz w:val="21"/>
                <w:highlight w:val="none"/>
              </w:rPr>
            </w:pPr>
          </w:p>
        </w:tc>
        <w:tc>
          <w:tcPr>
            <w:tcW w:w="810" w:type="dxa"/>
            <w:vMerge w:val="continue"/>
            <w:tcBorders>
              <w:top w:val="nil"/>
              <w:bottom w:val="nil"/>
            </w:tcBorders>
            <w:noWrap w:val="0"/>
            <w:vAlign w:val="top"/>
          </w:tcPr>
          <w:p w14:paraId="7923A1CE">
            <w:pPr>
              <w:rPr>
                <w:rFonts w:ascii="Arial"/>
                <w:color w:val="auto"/>
                <w:sz w:val="21"/>
                <w:highlight w:val="none"/>
              </w:rPr>
            </w:pPr>
          </w:p>
        </w:tc>
        <w:tc>
          <w:tcPr>
            <w:tcW w:w="675" w:type="dxa"/>
            <w:vMerge w:val="continue"/>
            <w:tcBorders>
              <w:top w:val="nil"/>
              <w:bottom w:val="nil"/>
            </w:tcBorders>
            <w:noWrap w:val="0"/>
            <w:vAlign w:val="top"/>
          </w:tcPr>
          <w:p w14:paraId="77B9B8FB">
            <w:pPr>
              <w:rPr>
                <w:rFonts w:ascii="Arial"/>
                <w:color w:val="auto"/>
                <w:sz w:val="21"/>
                <w:highlight w:val="none"/>
              </w:rPr>
            </w:pPr>
          </w:p>
        </w:tc>
        <w:tc>
          <w:tcPr>
            <w:tcW w:w="1081" w:type="dxa"/>
            <w:vMerge w:val="continue"/>
            <w:tcBorders>
              <w:top w:val="nil"/>
              <w:bottom w:val="nil"/>
            </w:tcBorders>
            <w:noWrap w:val="0"/>
            <w:vAlign w:val="top"/>
          </w:tcPr>
          <w:p w14:paraId="4308951A">
            <w:pPr>
              <w:rPr>
                <w:rFonts w:ascii="Arial"/>
                <w:color w:val="auto"/>
                <w:sz w:val="21"/>
                <w:highlight w:val="none"/>
              </w:rPr>
            </w:pPr>
          </w:p>
        </w:tc>
        <w:tc>
          <w:tcPr>
            <w:tcW w:w="2972" w:type="dxa"/>
            <w:noWrap w:val="0"/>
            <w:vAlign w:val="top"/>
          </w:tcPr>
          <w:p w14:paraId="6D5E4BD9">
            <w:pPr>
              <w:pStyle w:val="223"/>
              <w:spacing w:before="65" w:line="229" w:lineRule="auto"/>
              <w:ind w:left="1097"/>
              <w:rPr>
                <w:color w:val="auto"/>
                <w:highlight w:val="none"/>
              </w:rPr>
            </w:pPr>
            <w:r>
              <w:rPr>
                <w:color w:val="auto"/>
                <w:spacing w:val="1"/>
                <w:highlight w:val="none"/>
              </w:rPr>
              <w:t>电子风扇</w:t>
            </w:r>
          </w:p>
        </w:tc>
        <w:tc>
          <w:tcPr>
            <w:tcW w:w="2040" w:type="dxa"/>
            <w:noWrap w:val="0"/>
            <w:vAlign w:val="top"/>
          </w:tcPr>
          <w:p w14:paraId="74DD14A7">
            <w:pPr>
              <w:pStyle w:val="223"/>
              <w:spacing w:before="66"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4DEF0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11C74EFD">
            <w:pPr>
              <w:rPr>
                <w:rFonts w:ascii="Arial"/>
                <w:color w:val="auto"/>
                <w:sz w:val="21"/>
                <w:highlight w:val="none"/>
              </w:rPr>
            </w:pPr>
          </w:p>
        </w:tc>
        <w:tc>
          <w:tcPr>
            <w:tcW w:w="810" w:type="dxa"/>
            <w:vMerge w:val="continue"/>
            <w:tcBorders>
              <w:top w:val="nil"/>
            </w:tcBorders>
            <w:noWrap w:val="0"/>
            <w:vAlign w:val="top"/>
          </w:tcPr>
          <w:p w14:paraId="0D4BE5E3">
            <w:pPr>
              <w:rPr>
                <w:rFonts w:ascii="Arial"/>
                <w:color w:val="auto"/>
                <w:sz w:val="21"/>
                <w:highlight w:val="none"/>
              </w:rPr>
            </w:pPr>
          </w:p>
        </w:tc>
        <w:tc>
          <w:tcPr>
            <w:tcW w:w="675" w:type="dxa"/>
            <w:vMerge w:val="continue"/>
            <w:tcBorders>
              <w:top w:val="nil"/>
            </w:tcBorders>
            <w:noWrap w:val="0"/>
            <w:vAlign w:val="top"/>
          </w:tcPr>
          <w:p w14:paraId="4AAF764B">
            <w:pPr>
              <w:rPr>
                <w:rFonts w:ascii="Arial"/>
                <w:color w:val="auto"/>
                <w:sz w:val="21"/>
                <w:highlight w:val="none"/>
              </w:rPr>
            </w:pPr>
          </w:p>
        </w:tc>
        <w:tc>
          <w:tcPr>
            <w:tcW w:w="1081" w:type="dxa"/>
            <w:vMerge w:val="continue"/>
            <w:tcBorders>
              <w:top w:val="nil"/>
            </w:tcBorders>
            <w:noWrap w:val="0"/>
            <w:vAlign w:val="top"/>
          </w:tcPr>
          <w:p w14:paraId="3CC22CB6">
            <w:pPr>
              <w:rPr>
                <w:rFonts w:ascii="Arial"/>
                <w:color w:val="auto"/>
                <w:sz w:val="21"/>
                <w:highlight w:val="none"/>
              </w:rPr>
            </w:pPr>
          </w:p>
        </w:tc>
        <w:tc>
          <w:tcPr>
            <w:tcW w:w="2972" w:type="dxa"/>
            <w:noWrap w:val="0"/>
            <w:vAlign w:val="top"/>
          </w:tcPr>
          <w:p w14:paraId="5BFA0984">
            <w:pPr>
              <w:pStyle w:val="223"/>
              <w:spacing w:before="66" w:line="228" w:lineRule="auto"/>
              <w:ind w:left="1073"/>
              <w:rPr>
                <w:color w:val="auto"/>
                <w:highlight w:val="none"/>
              </w:rPr>
            </w:pPr>
            <w:r>
              <w:rPr>
                <w:color w:val="auto"/>
                <w:spacing w:val="7"/>
                <w:highlight w:val="none"/>
              </w:rPr>
              <w:t>膨胀水箱</w:t>
            </w:r>
          </w:p>
        </w:tc>
        <w:tc>
          <w:tcPr>
            <w:tcW w:w="2040" w:type="dxa"/>
            <w:noWrap w:val="0"/>
            <w:vAlign w:val="top"/>
          </w:tcPr>
          <w:p w14:paraId="5DDD6536">
            <w:pPr>
              <w:pStyle w:val="223"/>
              <w:spacing w:before="66"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4571B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48" w:type="dxa"/>
            <w:vMerge w:val="continue"/>
            <w:tcBorders>
              <w:top w:val="nil"/>
              <w:bottom w:val="nil"/>
            </w:tcBorders>
            <w:noWrap w:val="0"/>
            <w:vAlign w:val="top"/>
          </w:tcPr>
          <w:p w14:paraId="64D1A008">
            <w:pPr>
              <w:rPr>
                <w:rFonts w:ascii="Arial"/>
                <w:color w:val="auto"/>
                <w:sz w:val="21"/>
                <w:highlight w:val="none"/>
              </w:rPr>
            </w:pPr>
          </w:p>
        </w:tc>
        <w:tc>
          <w:tcPr>
            <w:tcW w:w="810" w:type="dxa"/>
            <w:vMerge w:val="restart"/>
            <w:tcBorders>
              <w:bottom w:val="nil"/>
            </w:tcBorders>
            <w:noWrap w:val="0"/>
            <w:vAlign w:val="top"/>
          </w:tcPr>
          <w:p w14:paraId="59179D1D">
            <w:pPr>
              <w:spacing w:line="252" w:lineRule="auto"/>
              <w:rPr>
                <w:rFonts w:ascii="Arial"/>
                <w:color w:val="auto"/>
                <w:sz w:val="21"/>
                <w:highlight w:val="none"/>
              </w:rPr>
            </w:pPr>
          </w:p>
          <w:p w14:paraId="0B7AD663">
            <w:pPr>
              <w:spacing w:line="252" w:lineRule="auto"/>
              <w:rPr>
                <w:rFonts w:ascii="Arial"/>
                <w:color w:val="auto"/>
                <w:sz w:val="21"/>
                <w:highlight w:val="none"/>
              </w:rPr>
            </w:pPr>
          </w:p>
          <w:p w14:paraId="3F1E7726">
            <w:pPr>
              <w:spacing w:line="252" w:lineRule="auto"/>
              <w:rPr>
                <w:rFonts w:ascii="Arial"/>
                <w:color w:val="auto"/>
                <w:sz w:val="21"/>
                <w:highlight w:val="none"/>
              </w:rPr>
            </w:pPr>
          </w:p>
          <w:p w14:paraId="074BAF97">
            <w:pPr>
              <w:spacing w:line="252" w:lineRule="auto"/>
              <w:rPr>
                <w:rFonts w:ascii="Arial"/>
                <w:color w:val="auto"/>
                <w:sz w:val="21"/>
                <w:highlight w:val="none"/>
              </w:rPr>
            </w:pPr>
          </w:p>
          <w:p w14:paraId="62DEDD3B">
            <w:pPr>
              <w:spacing w:line="252" w:lineRule="auto"/>
              <w:rPr>
                <w:rFonts w:ascii="Arial"/>
                <w:color w:val="auto"/>
                <w:sz w:val="21"/>
                <w:highlight w:val="none"/>
              </w:rPr>
            </w:pPr>
          </w:p>
          <w:p w14:paraId="6528AA44">
            <w:pPr>
              <w:spacing w:line="252" w:lineRule="auto"/>
              <w:rPr>
                <w:rFonts w:ascii="Arial"/>
                <w:color w:val="auto"/>
                <w:sz w:val="21"/>
                <w:highlight w:val="none"/>
              </w:rPr>
            </w:pPr>
          </w:p>
          <w:p w14:paraId="2B91107E">
            <w:pPr>
              <w:spacing w:line="252" w:lineRule="auto"/>
              <w:rPr>
                <w:rFonts w:ascii="Arial"/>
                <w:color w:val="auto"/>
                <w:sz w:val="21"/>
                <w:highlight w:val="none"/>
              </w:rPr>
            </w:pPr>
          </w:p>
          <w:p w14:paraId="048649C8">
            <w:pPr>
              <w:spacing w:line="253" w:lineRule="auto"/>
              <w:rPr>
                <w:rFonts w:ascii="Arial"/>
                <w:color w:val="auto"/>
                <w:sz w:val="21"/>
                <w:highlight w:val="none"/>
              </w:rPr>
            </w:pPr>
          </w:p>
          <w:p w14:paraId="134F957E">
            <w:pPr>
              <w:spacing w:line="253" w:lineRule="auto"/>
              <w:rPr>
                <w:rFonts w:ascii="Arial"/>
                <w:color w:val="auto"/>
                <w:sz w:val="21"/>
                <w:highlight w:val="none"/>
              </w:rPr>
            </w:pPr>
          </w:p>
          <w:p w14:paraId="321EAF4D">
            <w:pPr>
              <w:spacing w:line="253" w:lineRule="auto"/>
              <w:rPr>
                <w:rFonts w:ascii="Arial"/>
                <w:color w:val="auto"/>
                <w:sz w:val="21"/>
                <w:highlight w:val="none"/>
              </w:rPr>
            </w:pPr>
          </w:p>
          <w:p w14:paraId="225893C9">
            <w:pPr>
              <w:spacing w:line="253" w:lineRule="auto"/>
              <w:rPr>
                <w:rFonts w:ascii="Arial"/>
                <w:color w:val="auto"/>
                <w:sz w:val="21"/>
                <w:highlight w:val="none"/>
              </w:rPr>
            </w:pPr>
          </w:p>
          <w:p w14:paraId="3C81D903">
            <w:pPr>
              <w:spacing w:line="253" w:lineRule="auto"/>
              <w:rPr>
                <w:rFonts w:ascii="Arial"/>
                <w:color w:val="auto"/>
                <w:sz w:val="21"/>
                <w:highlight w:val="none"/>
              </w:rPr>
            </w:pPr>
          </w:p>
          <w:p w14:paraId="4FD2B766">
            <w:pPr>
              <w:spacing w:line="253" w:lineRule="auto"/>
              <w:rPr>
                <w:rFonts w:ascii="Arial"/>
                <w:color w:val="auto"/>
                <w:sz w:val="21"/>
                <w:highlight w:val="none"/>
              </w:rPr>
            </w:pPr>
          </w:p>
          <w:p w14:paraId="6C4E28A8">
            <w:pPr>
              <w:pStyle w:val="223"/>
              <w:spacing w:before="65" w:line="189" w:lineRule="auto"/>
              <w:ind w:left="357"/>
              <w:rPr>
                <w:color w:val="auto"/>
                <w:highlight w:val="none"/>
              </w:rPr>
            </w:pPr>
            <w:r>
              <w:rPr>
                <w:color w:val="auto"/>
                <w:highlight w:val="none"/>
              </w:rPr>
              <w:t>6</w:t>
            </w:r>
          </w:p>
        </w:tc>
        <w:tc>
          <w:tcPr>
            <w:tcW w:w="1756" w:type="dxa"/>
            <w:gridSpan w:val="2"/>
            <w:vMerge w:val="restart"/>
            <w:tcBorders>
              <w:bottom w:val="nil"/>
            </w:tcBorders>
            <w:noWrap w:val="0"/>
            <w:vAlign w:val="top"/>
          </w:tcPr>
          <w:p w14:paraId="2221F84B">
            <w:pPr>
              <w:spacing w:line="250" w:lineRule="auto"/>
              <w:rPr>
                <w:rFonts w:ascii="Arial"/>
                <w:color w:val="auto"/>
                <w:sz w:val="21"/>
                <w:highlight w:val="none"/>
              </w:rPr>
            </w:pPr>
          </w:p>
          <w:p w14:paraId="457DAB58">
            <w:pPr>
              <w:spacing w:line="250" w:lineRule="auto"/>
              <w:rPr>
                <w:rFonts w:ascii="Arial"/>
                <w:color w:val="auto"/>
                <w:sz w:val="21"/>
                <w:highlight w:val="none"/>
              </w:rPr>
            </w:pPr>
          </w:p>
          <w:p w14:paraId="406E350F">
            <w:pPr>
              <w:spacing w:line="250" w:lineRule="auto"/>
              <w:rPr>
                <w:rFonts w:ascii="Arial"/>
                <w:color w:val="auto"/>
                <w:sz w:val="21"/>
                <w:highlight w:val="none"/>
              </w:rPr>
            </w:pPr>
          </w:p>
          <w:p w14:paraId="4ADEFBD0">
            <w:pPr>
              <w:spacing w:line="250" w:lineRule="auto"/>
              <w:rPr>
                <w:rFonts w:ascii="Arial"/>
                <w:color w:val="auto"/>
                <w:sz w:val="21"/>
                <w:highlight w:val="none"/>
              </w:rPr>
            </w:pPr>
          </w:p>
          <w:p w14:paraId="3CE83B08">
            <w:pPr>
              <w:spacing w:line="250" w:lineRule="auto"/>
              <w:rPr>
                <w:rFonts w:ascii="Arial"/>
                <w:color w:val="auto"/>
                <w:sz w:val="21"/>
                <w:highlight w:val="none"/>
              </w:rPr>
            </w:pPr>
          </w:p>
          <w:p w14:paraId="30EBE930">
            <w:pPr>
              <w:spacing w:line="250" w:lineRule="auto"/>
              <w:rPr>
                <w:rFonts w:ascii="Arial"/>
                <w:color w:val="auto"/>
                <w:sz w:val="21"/>
                <w:highlight w:val="none"/>
              </w:rPr>
            </w:pPr>
          </w:p>
          <w:p w14:paraId="7997823F">
            <w:pPr>
              <w:spacing w:line="250" w:lineRule="auto"/>
              <w:rPr>
                <w:rFonts w:ascii="Arial"/>
                <w:color w:val="auto"/>
                <w:sz w:val="21"/>
                <w:highlight w:val="none"/>
              </w:rPr>
            </w:pPr>
          </w:p>
          <w:p w14:paraId="75E5CE90">
            <w:pPr>
              <w:spacing w:line="250" w:lineRule="auto"/>
              <w:rPr>
                <w:rFonts w:ascii="Arial"/>
                <w:color w:val="auto"/>
                <w:sz w:val="21"/>
                <w:highlight w:val="none"/>
              </w:rPr>
            </w:pPr>
          </w:p>
          <w:p w14:paraId="012C8507">
            <w:pPr>
              <w:spacing w:line="250" w:lineRule="auto"/>
              <w:rPr>
                <w:rFonts w:ascii="Arial"/>
                <w:color w:val="auto"/>
                <w:sz w:val="21"/>
                <w:highlight w:val="none"/>
              </w:rPr>
            </w:pPr>
          </w:p>
          <w:p w14:paraId="3F3F6B6C">
            <w:pPr>
              <w:spacing w:line="250" w:lineRule="auto"/>
              <w:rPr>
                <w:rFonts w:ascii="Arial"/>
                <w:color w:val="auto"/>
                <w:sz w:val="21"/>
                <w:highlight w:val="none"/>
              </w:rPr>
            </w:pPr>
          </w:p>
          <w:p w14:paraId="4C6DE137">
            <w:pPr>
              <w:spacing w:line="250" w:lineRule="auto"/>
              <w:rPr>
                <w:rFonts w:ascii="Arial"/>
                <w:color w:val="auto"/>
                <w:sz w:val="21"/>
                <w:highlight w:val="none"/>
              </w:rPr>
            </w:pPr>
          </w:p>
          <w:p w14:paraId="54D937F3">
            <w:pPr>
              <w:spacing w:line="250" w:lineRule="auto"/>
              <w:rPr>
                <w:rFonts w:ascii="Arial"/>
                <w:color w:val="auto"/>
                <w:sz w:val="21"/>
                <w:highlight w:val="none"/>
              </w:rPr>
            </w:pPr>
          </w:p>
          <w:p w14:paraId="2FBAEE0F">
            <w:pPr>
              <w:spacing w:line="250" w:lineRule="auto"/>
              <w:rPr>
                <w:rFonts w:ascii="Arial"/>
                <w:color w:val="auto"/>
                <w:sz w:val="21"/>
                <w:highlight w:val="none"/>
              </w:rPr>
            </w:pPr>
          </w:p>
          <w:p w14:paraId="3169D34A">
            <w:pPr>
              <w:pStyle w:val="223"/>
              <w:spacing w:before="65" w:line="228" w:lineRule="auto"/>
              <w:ind w:left="114"/>
              <w:rPr>
                <w:color w:val="auto"/>
                <w:highlight w:val="none"/>
              </w:rPr>
            </w:pPr>
            <w:r>
              <w:rPr>
                <w:color w:val="auto"/>
                <w:spacing w:val="7"/>
                <w:highlight w:val="none"/>
              </w:rPr>
              <w:t>车辆电子设备</w:t>
            </w:r>
          </w:p>
        </w:tc>
        <w:tc>
          <w:tcPr>
            <w:tcW w:w="2972" w:type="dxa"/>
            <w:noWrap w:val="0"/>
            <w:vAlign w:val="top"/>
          </w:tcPr>
          <w:p w14:paraId="4B15F919">
            <w:pPr>
              <w:pStyle w:val="223"/>
              <w:spacing w:before="97" w:line="228" w:lineRule="auto"/>
              <w:ind w:left="549"/>
              <w:rPr>
                <w:color w:val="auto"/>
                <w:highlight w:val="none"/>
              </w:rPr>
            </w:pPr>
            <w:r>
              <w:rPr>
                <w:color w:val="auto"/>
                <w:spacing w:val="8"/>
                <w:highlight w:val="none"/>
              </w:rPr>
              <w:t>车载智能调度一体机</w:t>
            </w:r>
          </w:p>
        </w:tc>
        <w:tc>
          <w:tcPr>
            <w:tcW w:w="2040" w:type="dxa"/>
            <w:noWrap w:val="0"/>
            <w:vAlign w:val="top"/>
          </w:tcPr>
          <w:p w14:paraId="44D63D0A">
            <w:pPr>
              <w:pStyle w:val="223"/>
              <w:spacing w:before="98"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2C560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48" w:type="dxa"/>
            <w:vMerge w:val="continue"/>
            <w:tcBorders>
              <w:top w:val="nil"/>
              <w:bottom w:val="nil"/>
            </w:tcBorders>
            <w:noWrap w:val="0"/>
            <w:vAlign w:val="top"/>
          </w:tcPr>
          <w:p w14:paraId="15D51142">
            <w:pPr>
              <w:rPr>
                <w:rFonts w:ascii="Arial"/>
                <w:color w:val="auto"/>
                <w:sz w:val="21"/>
                <w:highlight w:val="none"/>
              </w:rPr>
            </w:pPr>
          </w:p>
        </w:tc>
        <w:tc>
          <w:tcPr>
            <w:tcW w:w="810" w:type="dxa"/>
            <w:vMerge w:val="continue"/>
            <w:tcBorders>
              <w:top w:val="nil"/>
              <w:bottom w:val="nil"/>
            </w:tcBorders>
            <w:noWrap w:val="0"/>
            <w:vAlign w:val="top"/>
          </w:tcPr>
          <w:p w14:paraId="733695C4">
            <w:pPr>
              <w:rPr>
                <w:rFonts w:ascii="Arial"/>
                <w:color w:val="auto"/>
                <w:sz w:val="21"/>
                <w:highlight w:val="none"/>
              </w:rPr>
            </w:pPr>
          </w:p>
        </w:tc>
        <w:tc>
          <w:tcPr>
            <w:tcW w:w="1756" w:type="dxa"/>
            <w:gridSpan w:val="2"/>
            <w:vMerge w:val="continue"/>
            <w:tcBorders>
              <w:top w:val="nil"/>
              <w:bottom w:val="nil"/>
            </w:tcBorders>
            <w:noWrap w:val="0"/>
            <w:vAlign w:val="top"/>
          </w:tcPr>
          <w:p w14:paraId="022A6E4B">
            <w:pPr>
              <w:rPr>
                <w:rFonts w:ascii="Arial"/>
                <w:color w:val="auto"/>
                <w:sz w:val="21"/>
                <w:highlight w:val="none"/>
              </w:rPr>
            </w:pPr>
          </w:p>
        </w:tc>
        <w:tc>
          <w:tcPr>
            <w:tcW w:w="2972" w:type="dxa"/>
            <w:noWrap w:val="0"/>
            <w:vAlign w:val="top"/>
          </w:tcPr>
          <w:p w14:paraId="01ECFF1F">
            <w:pPr>
              <w:pStyle w:val="223"/>
              <w:spacing w:before="99" w:line="228" w:lineRule="auto"/>
              <w:ind w:left="659"/>
              <w:rPr>
                <w:color w:val="auto"/>
                <w:highlight w:val="none"/>
              </w:rPr>
            </w:pPr>
            <w:r>
              <w:rPr>
                <w:color w:val="auto"/>
                <w:spacing w:val="7"/>
                <w:highlight w:val="none"/>
              </w:rPr>
              <w:t>驾驶行为分析终端</w:t>
            </w:r>
          </w:p>
        </w:tc>
        <w:tc>
          <w:tcPr>
            <w:tcW w:w="2040" w:type="dxa"/>
            <w:noWrap w:val="0"/>
            <w:vAlign w:val="top"/>
          </w:tcPr>
          <w:p w14:paraId="2108F0D4">
            <w:pPr>
              <w:pStyle w:val="223"/>
              <w:spacing w:before="99"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769B6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948" w:type="dxa"/>
            <w:vMerge w:val="continue"/>
            <w:tcBorders>
              <w:top w:val="nil"/>
              <w:bottom w:val="nil"/>
            </w:tcBorders>
            <w:noWrap w:val="0"/>
            <w:vAlign w:val="top"/>
          </w:tcPr>
          <w:p w14:paraId="0D3A6FD5">
            <w:pPr>
              <w:rPr>
                <w:rFonts w:ascii="Arial"/>
                <w:color w:val="auto"/>
                <w:sz w:val="21"/>
                <w:highlight w:val="none"/>
              </w:rPr>
            </w:pPr>
          </w:p>
        </w:tc>
        <w:tc>
          <w:tcPr>
            <w:tcW w:w="810" w:type="dxa"/>
            <w:vMerge w:val="continue"/>
            <w:tcBorders>
              <w:top w:val="nil"/>
              <w:bottom w:val="nil"/>
            </w:tcBorders>
            <w:noWrap w:val="0"/>
            <w:vAlign w:val="top"/>
          </w:tcPr>
          <w:p w14:paraId="1FE8884F">
            <w:pPr>
              <w:rPr>
                <w:rFonts w:ascii="Arial"/>
                <w:color w:val="auto"/>
                <w:sz w:val="21"/>
                <w:highlight w:val="none"/>
              </w:rPr>
            </w:pPr>
          </w:p>
        </w:tc>
        <w:tc>
          <w:tcPr>
            <w:tcW w:w="1756" w:type="dxa"/>
            <w:gridSpan w:val="2"/>
            <w:vMerge w:val="continue"/>
            <w:tcBorders>
              <w:top w:val="nil"/>
              <w:bottom w:val="nil"/>
            </w:tcBorders>
            <w:noWrap w:val="0"/>
            <w:vAlign w:val="top"/>
          </w:tcPr>
          <w:p w14:paraId="09DE63EF">
            <w:pPr>
              <w:rPr>
                <w:rFonts w:ascii="Arial"/>
                <w:color w:val="auto"/>
                <w:sz w:val="21"/>
                <w:highlight w:val="none"/>
              </w:rPr>
            </w:pPr>
          </w:p>
        </w:tc>
        <w:tc>
          <w:tcPr>
            <w:tcW w:w="2972" w:type="dxa"/>
            <w:noWrap w:val="0"/>
            <w:vAlign w:val="top"/>
          </w:tcPr>
          <w:p w14:paraId="0B9F5286">
            <w:pPr>
              <w:pStyle w:val="223"/>
              <w:spacing w:before="118" w:line="228" w:lineRule="auto"/>
              <w:ind w:left="654"/>
              <w:rPr>
                <w:color w:val="auto"/>
                <w:highlight w:val="none"/>
              </w:rPr>
            </w:pPr>
            <w:r>
              <w:rPr>
                <w:color w:val="auto"/>
                <w:spacing w:val="8"/>
                <w:highlight w:val="none"/>
              </w:rPr>
              <w:t>车载视频监控系统</w:t>
            </w:r>
          </w:p>
        </w:tc>
        <w:tc>
          <w:tcPr>
            <w:tcW w:w="2040" w:type="dxa"/>
            <w:noWrap w:val="0"/>
            <w:vAlign w:val="top"/>
          </w:tcPr>
          <w:p w14:paraId="295DB1B5">
            <w:pPr>
              <w:pStyle w:val="223"/>
              <w:spacing w:before="118"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17644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48" w:type="dxa"/>
            <w:vMerge w:val="continue"/>
            <w:tcBorders>
              <w:top w:val="nil"/>
              <w:bottom w:val="nil"/>
            </w:tcBorders>
            <w:noWrap w:val="0"/>
            <w:vAlign w:val="top"/>
          </w:tcPr>
          <w:p w14:paraId="43F30AEF">
            <w:pPr>
              <w:rPr>
                <w:rFonts w:ascii="Arial"/>
                <w:color w:val="auto"/>
                <w:sz w:val="21"/>
                <w:highlight w:val="none"/>
              </w:rPr>
            </w:pPr>
          </w:p>
        </w:tc>
        <w:tc>
          <w:tcPr>
            <w:tcW w:w="810" w:type="dxa"/>
            <w:vMerge w:val="continue"/>
            <w:tcBorders>
              <w:top w:val="nil"/>
              <w:bottom w:val="nil"/>
            </w:tcBorders>
            <w:noWrap w:val="0"/>
            <w:vAlign w:val="top"/>
          </w:tcPr>
          <w:p w14:paraId="63876AB6">
            <w:pPr>
              <w:rPr>
                <w:rFonts w:ascii="Arial"/>
                <w:color w:val="auto"/>
                <w:sz w:val="21"/>
                <w:highlight w:val="none"/>
              </w:rPr>
            </w:pPr>
          </w:p>
        </w:tc>
        <w:tc>
          <w:tcPr>
            <w:tcW w:w="1756" w:type="dxa"/>
            <w:gridSpan w:val="2"/>
            <w:vMerge w:val="continue"/>
            <w:tcBorders>
              <w:top w:val="nil"/>
              <w:bottom w:val="nil"/>
            </w:tcBorders>
            <w:noWrap w:val="0"/>
            <w:vAlign w:val="top"/>
          </w:tcPr>
          <w:p w14:paraId="2B0DBB3F">
            <w:pPr>
              <w:rPr>
                <w:rFonts w:ascii="Arial"/>
                <w:color w:val="auto"/>
                <w:sz w:val="21"/>
                <w:highlight w:val="none"/>
              </w:rPr>
            </w:pPr>
          </w:p>
        </w:tc>
        <w:tc>
          <w:tcPr>
            <w:tcW w:w="2972" w:type="dxa"/>
            <w:noWrap w:val="0"/>
            <w:vAlign w:val="top"/>
          </w:tcPr>
          <w:p w14:paraId="07098CF2">
            <w:pPr>
              <w:pStyle w:val="223"/>
              <w:spacing w:before="174" w:line="228" w:lineRule="auto"/>
              <w:ind w:left="443"/>
              <w:rPr>
                <w:color w:val="auto"/>
                <w:highlight w:val="none"/>
              </w:rPr>
            </w:pPr>
            <w:r>
              <w:rPr>
                <w:color w:val="auto"/>
                <w:spacing w:val="8"/>
                <w:highlight w:val="none"/>
              </w:rPr>
              <w:t>车辆辅助安全预警设备</w:t>
            </w:r>
          </w:p>
        </w:tc>
        <w:tc>
          <w:tcPr>
            <w:tcW w:w="2040" w:type="dxa"/>
            <w:noWrap w:val="0"/>
            <w:vAlign w:val="top"/>
          </w:tcPr>
          <w:p w14:paraId="12CF2F3A">
            <w:pPr>
              <w:pStyle w:val="223"/>
              <w:spacing w:before="174"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23116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6F5116D9">
            <w:pPr>
              <w:rPr>
                <w:rFonts w:ascii="Arial"/>
                <w:color w:val="auto"/>
                <w:sz w:val="21"/>
                <w:highlight w:val="none"/>
              </w:rPr>
            </w:pPr>
          </w:p>
        </w:tc>
        <w:tc>
          <w:tcPr>
            <w:tcW w:w="810" w:type="dxa"/>
            <w:vMerge w:val="continue"/>
            <w:tcBorders>
              <w:top w:val="nil"/>
              <w:bottom w:val="nil"/>
            </w:tcBorders>
            <w:noWrap w:val="0"/>
            <w:vAlign w:val="top"/>
          </w:tcPr>
          <w:p w14:paraId="668DF2AB">
            <w:pPr>
              <w:rPr>
                <w:rFonts w:ascii="Arial"/>
                <w:color w:val="auto"/>
                <w:sz w:val="21"/>
                <w:highlight w:val="none"/>
              </w:rPr>
            </w:pPr>
          </w:p>
        </w:tc>
        <w:tc>
          <w:tcPr>
            <w:tcW w:w="1756" w:type="dxa"/>
            <w:gridSpan w:val="2"/>
            <w:vMerge w:val="continue"/>
            <w:tcBorders>
              <w:top w:val="nil"/>
              <w:bottom w:val="nil"/>
            </w:tcBorders>
            <w:noWrap w:val="0"/>
            <w:vAlign w:val="top"/>
          </w:tcPr>
          <w:p w14:paraId="261852CB">
            <w:pPr>
              <w:rPr>
                <w:rFonts w:ascii="Arial"/>
                <w:color w:val="auto"/>
                <w:sz w:val="21"/>
                <w:highlight w:val="none"/>
              </w:rPr>
            </w:pPr>
          </w:p>
        </w:tc>
        <w:tc>
          <w:tcPr>
            <w:tcW w:w="2972" w:type="dxa"/>
            <w:noWrap w:val="0"/>
            <w:vAlign w:val="top"/>
          </w:tcPr>
          <w:p w14:paraId="157BCE2A">
            <w:pPr>
              <w:pStyle w:val="223"/>
              <w:spacing w:before="53" w:line="228" w:lineRule="auto"/>
              <w:ind w:left="863"/>
              <w:rPr>
                <w:color w:val="auto"/>
                <w:highlight w:val="none"/>
              </w:rPr>
            </w:pPr>
            <w:r>
              <w:rPr>
                <w:color w:val="auto"/>
                <w:spacing w:val="7"/>
                <w:highlight w:val="none"/>
              </w:rPr>
              <w:t>车外监视系统</w:t>
            </w:r>
          </w:p>
        </w:tc>
        <w:tc>
          <w:tcPr>
            <w:tcW w:w="2040" w:type="dxa"/>
            <w:noWrap w:val="0"/>
            <w:vAlign w:val="top"/>
          </w:tcPr>
          <w:p w14:paraId="6877143B">
            <w:pPr>
              <w:pStyle w:val="223"/>
              <w:spacing w:before="53"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63EA7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6AE1CCFE">
            <w:pPr>
              <w:rPr>
                <w:rFonts w:ascii="Arial"/>
                <w:color w:val="auto"/>
                <w:sz w:val="21"/>
                <w:highlight w:val="none"/>
              </w:rPr>
            </w:pPr>
          </w:p>
        </w:tc>
        <w:tc>
          <w:tcPr>
            <w:tcW w:w="810" w:type="dxa"/>
            <w:vMerge w:val="continue"/>
            <w:tcBorders>
              <w:top w:val="nil"/>
              <w:bottom w:val="nil"/>
            </w:tcBorders>
            <w:noWrap w:val="0"/>
            <w:vAlign w:val="top"/>
          </w:tcPr>
          <w:p w14:paraId="4DEBB5B1">
            <w:pPr>
              <w:rPr>
                <w:rFonts w:ascii="Arial"/>
                <w:color w:val="auto"/>
                <w:sz w:val="21"/>
                <w:highlight w:val="none"/>
              </w:rPr>
            </w:pPr>
          </w:p>
        </w:tc>
        <w:tc>
          <w:tcPr>
            <w:tcW w:w="1756" w:type="dxa"/>
            <w:gridSpan w:val="2"/>
            <w:vMerge w:val="continue"/>
            <w:tcBorders>
              <w:top w:val="nil"/>
              <w:bottom w:val="nil"/>
            </w:tcBorders>
            <w:noWrap w:val="0"/>
            <w:vAlign w:val="top"/>
          </w:tcPr>
          <w:p w14:paraId="19EF4805">
            <w:pPr>
              <w:rPr>
                <w:rFonts w:ascii="Arial"/>
                <w:color w:val="auto"/>
                <w:sz w:val="21"/>
                <w:highlight w:val="none"/>
              </w:rPr>
            </w:pPr>
          </w:p>
        </w:tc>
        <w:tc>
          <w:tcPr>
            <w:tcW w:w="2972" w:type="dxa"/>
            <w:noWrap w:val="0"/>
            <w:vAlign w:val="top"/>
          </w:tcPr>
          <w:p w14:paraId="197AC566">
            <w:pPr>
              <w:pStyle w:val="223"/>
              <w:spacing w:before="52" w:line="228" w:lineRule="auto"/>
              <w:ind w:left="969"/>
              <w:rPr>
                <w:color w:val="auto"/>
                <w:highlight w:val="none"/>
              </w:rPr>
            </w:pPr>
            <w:r>
              <w:rPr>
                <w:color w:val="auto"/>
                <w:spacing w:val="7"/>
                <w:highlight w:val="none"/>
              </w:rPr>
              <w:t>客流统计仪</w:t>
            </w:r>
          </w:p>
        </w:tc>
        <w:tc>
          <w:tcPr>
            <w:tcW w:w="2040" w:type="dxa"/>
            <w:noWrap w:val="0"/>
            <w:vAlign w:val="top"/>
          </w:tcPr>
          <w:p w14:paraId="7698C461">
            <w:pPr>
              <w:pStyle w:val="223"/>
              <w:spacing w:before="52"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4065F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21FBAB62">
            <w:pPr>
              <w:rPr>
                <w:rFonts w:ascii="Arial"/>
                <w:color w:val="auto"/>
                <w:sz w:val="21"/>
                <w:highlight w:val="none"/>
              </w:rPr>
            </w:pPr>
          </w:p>
        </w:tc>
        <w:tc>
          <w:tcPr>
            <w:tcW w:w="810" w:type="dxa"/>
            <w:vMerge w:val="continue"/>
            <w:tcBorders>
              <w:top w:val="nil"/>
              <w:bottom w:val="nil"/>
            </w:tcBorders>
            <w:noWrap w:val="0"/>
            <w:vAlign w:val="top"/>
          </w:tcPr>
          <w:p w14:paraId="20D8A541">
            <w:pPr>
              <w:rPr>
                <w:rFonts w:ascii="Arial"/>
                <w:color w:val="auto"/>
                <w:sz w:val="21"/>
                <w:highlight w:val="none"/>
              </w:rPr>
            </w:pPr>
          </w:p>
        </w:tc>
        <w:tc>
          <w:tcPr>
            <w:tcW w:w="1756" w:type="dxa"/>
            <w:gridSpan w:val="2"/>
            <w:vMerge w:val="continue"/>
            <w:tcBorders>
              <w:top w:val="nil"/>
              <w:bottom w:val="nil"/>
            </w:tcBorders>
            <w:noWrap w:val="0"/>
            <w:vAlign w:val="top"/>
          </w:tcPr>
          <w:p w14:paraId="2A070909">
            <w:pPr>
              <w:rPr>
                <w:rFonts w:ascii="Arial"/>
                <w:color w:val="auto"/>
                <w:sz w:val="21"/>
                <w:highlight w:val="none"/>
              </w:rPr>
            </w:pPr>
          </w:p>
        </w:tc>
        <w:tc>
          <w:tcPr>
            <w:tcW w:w="2972" w:type="dxa"/>
            <w:noWrap w:val="0"/>
            <w:vAlign w:val="top"/>
          </w:tcPr>
          <w:p w14:paraId="1D2403C1">
            <w:pPr>
              <w:pStyle w:val="223"/>
              <w:spacing w:before="52" w:line="228" w:lineRule="auto"/>
              <w:ind w:left="704"/>
              <w:rPr>
                <w:color w:val="auto"/>
                <w:highlight w:val="none"/>
              </w:rPr>
            </w:pPr>
            <w:r>
              <w:rPr>
                <w:color w:val="auto"/>
                <w:spacing w:val="5"/>
                <w:highlight w:val="none"/>
              </w:rPr>
              <w:t>电子路牌、</w:t>
            </w:r>
            <w:r>
              <w:rPr>
                <w:color w:val="auto"/>
                <w:highlight w:val="none"/>
              </w:rPr>
              <w:t>LED</w:t>
            </w:r>
            <w:r>
              <w:rPr>
                <w:color w:val="auto"/>
                <w:spacing w:val="-38"/>
                <w:highlight w:val="none"/>
              </w:rPr>
              <w:t xml:space="preserve"> </w:t>
            </w:r>
            <w:r>
              <w:rPr>
                <w:color w:val="auto"/>
                <w:spacing w:val="5"/>
                <w:highlight w:val="none"/>
              </w:rPr>
              <w:t>屏</w:t>
            </w:r>
          </w:p>
        </w:tc>
        <w:tc>
          <w:tcPr>
            <w:tcW w:w="2040" w:type="dxa"/>
            <w:noWrap w:val="0"/>
            <w:vAlign w:val="top"/>
          </w:tcPr>
          <w:p w14:paraId="097E7E76">
            <w:pPr>
              <w:pStyle w:val="223"/>
              <w:spacing w:before="52" w:line="228" w:lineRule="auto"/>
              <w:ind w:left="842"/>
              <w:rPr>
                <w:color w:val="auto"/>
                <w:highlight w:val="none"/>
              </w:rPr>
            </w:pPr>
            <w:r>
              <w:rPr>
                <w:rFonts w:hint="eastAsia"/>
                <w:color w:val="auto"/>
                <w:spacing w:val="-3"/>
                <w:highlight w:val="none"/>
                <w:lang w:val="en-US" w:eastAsia="zh-CN"/>
              </w:rPr>
              <w:t>3</w:t>
            </w:r>
            <w:r>
              <w:rPr>
                <w:color w:val="auto"/>
                <w:spacing w:val="-3"/>
                <w:highlight w:val="none"/>
              </w:rPr>
              <w:t>年</w:t>
            </w:r>
          </w:p>
        </w:tc>
      </w:tr>
      <w:tr w14:paraId="169A8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152B6518">
            <w:pPr>
              <w:rPr>
                <w:rFonts w:ascii="Arial"/>
                <w:color w:val="auto"/>
                <w:sz w:val="21"/>
                <w:highlight w:val="none"/>
              </w:rPr>
            </w:pPr>
          </w:p>
        </w:tc>
        <w:tc>
          <w:tcPr>
            <w:tcW w:w="810" w:type="dxa"/>
            <w:vMerge w:val="continue"/>
            <w:tcBorders>
              <w:top w:val="nil"/>
              <w:bottom w:val="nil"/>
            </w:tcBorders>
            <w:noWrap w:val="0"/>
            <w:vAlign w:val="top"/>
          </w:tcPr>
          <w:p w14:paraId="02BF278C">
            <w:pPr>
              <w:rPr>
                <w:rFonts w:ascii="Arial"/>
                <w:color w:val="auto"/>
                <w:sz w:val="21"/>
                <w:highlight w:val="none"/>
              </w:rPr>
            </w:pPr>
          </w:p>
        </w:tc>
        <w:tc>
          <w:tcPr>
            <w:tcW w:w="1756" w:type="dxa"/>
            <w:gridSpan w:val="2"/>
            <w:vMerge w:val="continue"/>
            <w:tcBorders>
              <w:top w:val="nil"/>
              <w:bottom w:val="nil"/>
            </w:tcBorders>
            <w:noWrap w:val="0"/>
            <w:vAlign w:val="top"/>
          </w:tcPr>
          <w:p w14:paraId="04F2DCBD">
            <w:pPr>
              <w:rPr>
                <w:rFonts w:ascii="Arial"/>
                <w:color w:val="auto"/>
                <w:sz w:val="21"/>
                <w:highlight w:val="none"/>
              </w:rPr>
            </w:pPr>
          </w:p>
        </w:tc>
        <w:tc>
          <w:tcPr>
            <w:tcW w:w="2972" w:type="dxa"/>
            <w:noWrap w:val="0"/>
            <w:vAlign w:val="top"/>
          </w:tcPr>
          <w:p w14:paraId="3B6E3137">
            <w:pPr>
              <w:pStyle w:val="223"/>
              <w:spacing w:before="51" w:line="229" w:lineRule="auto"/>
              <w:ind w:left="992"/>
              <w:rPr>
                <w:color w:val="auto"/>
                <w:highlight w:val="none"/>
              </w:rPr>
            </w:pPr>
            <w:r>
              <w:rPr>
                <w:color w:val="auto"/>
                <w:highlight w:val="none"/>
              </w:rPr>
              <w:t>LCD</w:t>
            </w:r>
            <w:r>
              <w:rPr>
                <w:color w:val="auto"/>
                <w:spacing w:val="-35"/>
                <w:highlight w:val="none"/>
              </w:rPr>
              <w:t xml:space="preserve"> </w:t>
            </w:r>
            <w:r>
              <w:rPr>
                <w:color w:val="auto"/>
                <w:spacing w:val="8"/>
                <w:highlight w:val="none"/>
              </w:rPr>
              <w:t>导乘屏</w:t>
            </w:r>
          </w:p>
        </w:tc>
        <w:tc>
          <w:tcPr>
            <w:tcW w:w="2040" w:type="dxa"/>
            <w:noWrap w:val="0"/>
            <w:vAlign w:val="top"/>
          </w:tcPr>
          <w:p w14:paraId="4CB22B8B">
            <w:pPr>
              <w:pStyle w:val="223"/>
              <w:spacing w:before="52" w:line="228" w:lineRule="auto"/>
              <w:ind w:left="842"/>
              <w:rPr>
                <w:color w:val="auto"/>
                <w:highlight w:val="none"/>
              </w:rPr>
            </w:pPr>
            <w:r>
              <w:rPr>
                <w:rFonts w:hint="eastAsia"/>
                <w:color w:val="auto"/>
                <w:spacing w:val="-3"/>
                <w:highlight w:val="none"/>
                <w:lang w:val="en-US" w:eastAsia="zh-CN"/>
              </w:rPr>
              <w:t>3</w:t>
            </w:r>
            <w:r>
              <w:rPr>
                <w:color w:val="auto"/>
                <w:spacing w:val="-39"/>
                <w:highlight w:val="none"/>
              </w:rPr>
              <w:t xml:space="preserve"> </w:t>
            </w:r>
            <w:r>
              <w:rPr>
                <w:color w:val="auto"/>
                <w:spacing w:val="-3"/>
                <w:highlight w:val="none"/>
              </w:rPr>
              <w:t>年</w:t>
            </w:r>
          </w:p>
        </w:tc>
      </w:tr>
      <w:tr w14:paraId="0EA85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10EEEE4F">
            <w:pPr>
              <w:rPr>
                <w:rFonts w:ascii="Arial"/>
                <w:color w:val="auto"/>
                <w:sz w:val="21"/>
                <w:highlight w:val="none"/>
              </w:rPr>
            </w:pPr>
          </w:p>
        </w:tc>
        <w:tc>
          <w:tcPr>
            <w:tcW w:w="810" w:type="dxa"/>
            <w:vMerge w:val="continue"/>
            <w:tcBorders>
              <w:top w:val="nil"/>
              <w:bottom w:val="nil"/>
            </w:tcBorders>
            <w:noWrap w:val="0"/>
            <w:vAlign w:val="top"/>
          </w:tcPr>
          <w:p w14:paraId="5EC27523">
            <w:pPr>
              <w:rPr>
                <w:rFonts w:ascii="Arial"/>
                <w:color w:val="auto"/>
                <w:sz w:val="21"/>
                <w:highlight w:val="none"/>
              </w:rPr>
            </w:pPr>
          </w:p>
        </w:tc>
        <w:tc>
          <w:tcPr>
            <w:tcW w:w="1756" w:type="dxa"/>
            <w:gridSpan w:val="2"/>
            <w:vMerge w:val="continue"/>
            <w:tcBorders>
              <w:top w:val="nil"/>
              <w:bottom w:val="nil"/>
            </w:tcBorders>
            <w:noWrap w:val="0"/>
            <w:vAlign w:val="top"/>
          </w:tcPr>
          <w:p w14:paraId="4977A5D3">
            <w:pPr>
              <w:rPr>
                <w:rFonts w:ascii="Arial"/>
                <w:color w:val="auto"/>
                <w:sz w:val="21"/>
                <w:highlight w:val="none"/>
              </w:rPr>
            </w:pPr>
          </w:p>
        </w:tc>
        <w:tc>
          <w:tcPr>
            <w:tcW w:w="2972" w:type="dxa"/>
            <w:noWrap w:val="0"/>
            <w:vAlign w:val="top"/>
          </w:tcPr>
          <w:p w14:paraId="73B4AEA8">
            <w:pPr>
              <w:pStyle w:val="223"/>
              <w:spacing w:before="51" w:line="228" w:lineRule="auto"/>
              <w:ind w:left="863"/>
              <w:rPr>
                <w:color w:val="auto"/>
                <w:highlight w:val="none"/>
              </w:rPr>
            </w:pPr>
            <w:r>
              <w:rPr>
                <w:color w:val="auto"/>
                <w:spacing w:val="7"/>
                <w:highlight w:val="none"/>
              </w:rPr>
              <w:t>车辆数据模块</w:t>
            </w:r>
          </w:p>
        </w:tc>
        <w:tc>
          <w:tcPr>
            <w:tcW w:w="2040" w:type="dxa"/>
            <w:noWrap w:val="0"/>
            <w:vAlign w:val="top"/>
          </w:tcPr>
          <w:p w14:paraId="3088F3A6">
            <w:pPr>
              <w:pStyle w:val="223"/>
              <w:spacing w:before="51"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6CB19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3CBB028B">
            <w:pPr>
              <w:rPr>
                <w:rFonts w:ascii="Arial"/>
                <w:color w:val="auto"/>
                <w:sz w:val="21"/>
                <w:highlight w:val="none"/>
              </w:rPr>
            </w:pPr>
          </w:p>
        </w:tc>
        <w:tc>
          <w:tcPr>
            <w:tcW w:w="810" w:type="dxa"/>
            <w:vMerge w:val="continue"/>
            <w:tcBorders>
              <w:top w:val="nil"/>
              <w:bottom w:val="nil"/>
            </w:tcBorders>
            <w:noWrap w:val="0"/>
            <w:vAlign w:val="top"/>
          </w:tcPr>
          <w:p w14:paraId="6C610E16">
            <w:pPr>
              <w:rPr>
                <w:rFonts w:ascii="Arial"/>
                <w:color w:val="auto"/>
                <w:sz w:val="21"/>
                <w:highlight w:val="none"/>
              </w:rPr>
            </w:pPr>
          </w:p>
        </w:tc>
        <w:tc>
          <w:tcPr>
            <w:tcW w:w="1756" w:type="dxa"/>
            <w:gridSpan w:val="2"/>
            <w:vMerge w:val="continue"/>
            <w:tcBorders>
              <w:top w:val="nil"/>
              <w:bottom w:val="nil"/>
            </w:tcBorders>
            <w:noWrap w:val="0"/>
            <w:vAlign w:val="top"/>
          </w:tcPr>
          <w:p w14:paraId="6520D550">
            <w:pPr>
              <w:rPr>
                <w:rFonts w:ascii="Arial"/>
                <w:color w:val="auto"/>
                <w:sz w:val="21"/>
                <w:highlight w:val="none"/>
              </w:rPr>
            </w:pPr>
          </w:p>
        </w:tc>
        <w:tc>
          <w:tcPr>
            <w:tcW w:w="2972" w:type="dxa"/>
            <w:noWrap w:val="0"/>
            <w:vAlign w:val="top"/>
          </w:tcPr>
          <w:p w14:paraId="534EF444">
            <w:pPr>
              <w:pStyle w:val="223"/>
              <w:spacing w:before="53" w:line="228" w:lineRule="auto"/>
              <w:ind w:left="863"/>
              <w:rPr>
                <w:color w:val="auto"/>
                <w:highlight w:val="none"/>
              </w:rPr>
            </w:pPr>
            <w:r>
              <w:rPr>
                <w:color w:val="auto"/>
                <w:spacing w:val="7"/>
                <w:highlight w:val="none"/>
              </w:rPr>
              <w:t>车身控制模块</w:t>
            </w:r>
          </w:p>
        </w:tc>
        <w:tc>
          <w:tcPr>
            <w:tcW w:w="2040" w:type="dxa"/>
            <w:noWrap w:val="0"/>
            <w:vAlign w:val="top"/>
          </w:tcPr>
          <w:p w14:paraId="57167B9E">
            <w:pPr>
              <w:pStyle w:val="223"/>
              <w:spacing w:before="53"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79889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948" w:type="dxa"/>
            <w:vMerge w:val="continue"/>
            <w:tcBorders>
              <w:top w:val="nil"/>
              <w:bottom w:val="nil"/>
            </w:tcBorders>
            <w:noWrap w:val="0"/>
            <w:vAlign w:val="top"/>
          </w:tcPr>
          <w:p w14:paraId="6CFAC289">
            <w:pPr>
              <w:rPr>
                <w:rFonts w:ascii="Arial"/>
                <w:color w:val="auto"/>
                <w:sz w:val="21"/>
                <w:highlight w:val="none"/>
              </w:rPr>
            </w:pPr>
          </w:p>
        </w:tc>
        <w:tc>
          <w:tcPr>
            <w:tcW w:w="810" w:type="dxa"/>
            <w:vMerge w:val="continue"/>
            <w:tcBorders>
              <w:top w:val="nil"/>
              <w:bottom w:val="nil"/>
            </w:tcBorders>
            <w:noWrap w:val="0"/>
            <w:vAlign w:val="top"/>
          </w:tcPr>
          <w:p w14:paraId="1E12EA08">
            <w:pPr>
              <w:rPr>
                <w:rFonts w:ascii="Arial"/>
                <w:color w:val="auto"/>
                <w:sz w:val="21"/>
                <w:highlight w:val="none"/>
              </w:rPr>
            </w:pPr>
          </w:p>
        </w:tc>
        <w:tc>
          <w:tcPr>
            <w:tcW w:w="1756" w:type="dxa"/>
            <w:gridSpan w:val="2"/>
            <w:vMerge w:val="continue"/>
            <w:tcBorders>
              <w:top w:val="nil"/>
              <w:bottom w:val="nil"/>
            </w:tcBorders>
            <w:noWrap w:val="0"/>
            <w:vAlign w:val="top"/>
          </w:tcPr>
          <w:p w14:paraId="3BF0B2E2">
            <w:pPr>
              <w:rPr>
                <w:rFonts w:ascii="Arial"/>
                <w:color w:val="auto"/>
                <w:sz w:val="21"/>
                <w:highlight w:val="none"/>
              </w:rPr>
            </w:pPr>
          </w:p>
        </w:tc>
        <w:tc>
          <w:tcPr>
            <w:tcW w:w="2972" w:type="dxa"/>
            <w:noWrap w:val="0"/>
            <w:vAlign w:val="top"/>
          </w:tcPr>
          <w:p w14:paraId="20FF6230">
            <w:pPr>
              <w:pStyle w:val="223"/>
              <w:spacing w:before="72" w:line="228" w:lineRule="auto"/>
              <w:ind w:left="970"/>
              <w:rPr>
                <w:color w:val="auto"/>
                <w:highlight w:val="none"/>
              </w:rPr>
            </w:pPr>
            <w:r>
              <w:rPr>
                <w:color w:val="auto"/>
                <w:spacing w:val="7"/>
                <w:highlight w:val="none"/>
              </w:rPr>
              <w:t>行车记录仪</w:t>
            </w:r>
          </w:p>
        </w:tc>
        <w:tc>
          <w:tcPr>
            <w:tcW w:w="2040" w:type="dxa"/>
            <w:noWrap w:val="0"/>
            <w:vAlign w:val="top"/>
          </w:tcPr>
          <w:p w14:paraId="011876F3">
            <w:pPr>
              <w:pStyle w:val="223"/>
              <w:spacing w:before="72"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2C189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4FA3592B">
            <w:pPr>
              <w:rPr>
                <w:rFonts w:ascii="Arial"/>
                <w:color w:val="auto"/>
                <w:sz w:val="21"/>
                <w:highlight w:val="none"/>
              </w:rPr>
            </w:pPr>
          </w:p>
        </w:tc>
        <w:tc>
          <w:tcPr>
            <w:tcW w:w="810" w:type="dxa"/>
            <w:vMerge w:val="continue"/>
            <w:tcBorders>
              <w:top w:val="nil"/>
            </w:tcBorders>
            <w:noWrap w:val="0"/>
            <w:vAlign w:val="top"/>
          </w:tcPr>
          <w:p w14:paraId="2B4A9334">
            <w:pPr>
              <w:rPr>
                <w:rFonts w:ascii="Arial"/>
                <w:color w:val="auto"/>
                <w:sz w:val="21"/>
                <w:highlight w:val="none"/>
              </w:rPr>
            </w:pPr>
          </w:p>
        </w:tc>
        <w:tc>
          <w:tcPr>
            <w:tcW w:w="1756" w:type="dxa"/>
            <w:gridSpan w:val="2"/>
            <w:vMerge w:val="continue"/>
            <w:tcBorders>
              <w:top w:val="nil"/>
            </w:tcBorders>
            <w:noWrap w:val="0"/>
            <w:vAlign w:val="top"/>
          </w:tcPr>
          <w:p w14:paraId="00DE971F">
            <w:pPr>
              <w:rPr>
                <w:rFonts w:ascii="Arial"/>
                <w:color w:val="auto"/>
                <w:sz w:val="21"/>
                <w:highlight w:val="none"/>
              </w:rPr>
            </w:pPr>
          </w:p>
        </w:tc>
        <w:tc>
          <w:tcPr>
            <w:tcW w:w="2972" w:type="dxa"/>
            <w:noWrap w:val="0"/>
            <w:vAlign w:val="top"/>
          </w:tcPr>
          <w:p w14:paraId="4202F7BD">
            <w:pPr>
              <w:pStyle w:val="223"/>
              <w:spacing w:before="52" w:line="228" w:lineRule="auto"/>
              <w:ind w:left="549"/>
              <w:rPr>
                <w:color w:val="auto"/>
                <w:highlight w:val="none"/>
              </w:rPr>
            </w:pPr>
            <w:r>
              <w:rPr>
                <w:color w:val="auto"/>
                <w:spacing w:val="16"/>
                <w:highlight w:val="none"/>
              </w:rPr>
              <w:t>车辆仪表和</w:t>
            </w:r>
            <w:r>
              <w:rPr>
                <w:color w:val="auto"/>
                <w:highlight w:val="none"/>
              </w:rPr>
              <w:t>CAN</w:t>
            </w:r>
            <w:r>
              <w:rPr>
                <w:color w:val="auto"/>
                <w:spacing w:val="-34"/>
                <w:highlight w:val="none"/>
              </w:rPr>
              <w:t xml:space="preserve"> </w:t>
            </w:r>
            <w:r>
              <w:rPr>
                <w:color w:val="auto"/>
                <w:spacing w:val="16"/>
                <w:highlight w:val="none"/>
              </w:rPr>
              <w:t>总线</w:t>
            </w:r>
          </w:p>
        </w:tc>
        <w:tc>
          <w:tcPr>
            <w:tcW w:w="2040" w:type="dxa"/>
            <w:noWrap w:val="0"/>
            <w:vAlign w:val="top"/>
          </w:tcPr>
          <w:p w14:paraId="1F0346D8">
            <w:pPr>
              <w:pStyle w:val="223"/>
              <w:spacing w:before="52"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569A1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48" w:type="dxa"/>
            <w:vMerge w:val="continue"/>
            <w:tcBorders>
              <w:top w:val="nil"/>
              <w:bottom w:val="nil"/>
            </w:tcBorders>
            <w:noWrap w:val="0"/>
            <w:vAlign w:val="top"/>
          </w:tcPr>
          <w:p w14:paraId="46849531">
            <w:pPr>
              <w:rPr>
                <w:rFonts w:ascii="Arial"/>
                <w:color w:val="auto"/>
                <w:sz w:val="21"/>
                <w:highlight w:val="none"/>
              </w:rPr>
            </w:pPr>
          </w:p>
        </w:tc>
        <w:tc>
          <w:tcPr>
            <w:tcW w:w="810" w:type="dxa"/>
            <w:vMerge w:val="restart"/>
            <w:tcBorders>
              <w:bottom w:val="nil"/>
            </w:tcBorders>
            <w:noWrap w:val="0"/>
            <w:vAlign w:val="top"/>
          </w:tcPr>
          <w:p w14:paraId="5D960F6C">
            <w:pPr>
              <w:spacing w:line="257" w:lineRule="auto"/>
              <w:rPr>
                <w:rFonts w:ascii="Arial"/>
                <w:color w:val="auto"/>
                <w:sz w:val="21"/>
                <w:highlight w:val="none"/>
              </w:rPr>
            </w:pPr>
          </w:p>
          <w:p w14:paraId="59B5408A">
            <w:pPr>
              <w:pStyle w:val="223"/>
              <w:spacing w:before="65" w:line="187" w:lineRule="auto"/>
              <w:ind w:left="360"/>
              <w:rPr>
                <w:color w:val="auto"/>
                <w:highlight w:val="none"/>
              </w:rPr>
            </w:pPr>
            <w:r>
              <w:rPr>
                <w:color w:val="auto"/>
                <w:highlight w:val="none"/>
              </w:rPr>
              <w:t>7</w:t>
            </w:r>
          </w:p>
        </w:tc>
        <w:tc>
          <w:tcPr>
            <w:tcW w:w="1756" w:type="dxa"/>
            <w:gridSpan w:val="2"/>
            <w:vMerge w:val="restart"/>
            <w:tcBorders>
              <w:bottom w:val="nil"/>
            </w:tcBorders>
            <w:noWrap w:val="0"/>
            <w:vAlign w:val="top"/>
          </w:tcPr>
          <w:p w14:paraId="4EC3FC25">
            <w:pPr>
              <w:pStyle w:val="223"/>
              <w:spacing w:before="289" w:line="228" w:lineRule="auto"/>
              <w:ind w:left="288"/>
              <w:rPr>
                <w:color w:val="auto"/>
                <w:highlight w:val="none"/>
              </w:rPr>
            </w:pPr>
            <w:r>
              <w:rPr>
                <w:color w:val="auto"/>
                <w:spacing w:val="2"/>
                <w:highlight w:val="none"/>
              </w:rPr>
              <w:t>自动灭火系统</w:t>
            </w:r>
          </w:p>
        </w:tc>
        <w:tc>
          <w:tcPr>
            <w:tcW w:w="2972" w:type="dxa"/>
            <w:noWrap w:val="0"/>
            <w:vAlign w:val="top"/>
          </w:tcPr>
          <w:p w14:paraId="29421987">
            <w:pPr>
              <w:pStyle w:val="223"/>
              <w:spacing w:before="90" w:line="228" w:lineRule="auto"/>
              <w:ind w:left="572"/>
              <w:rPr>
                <w:color w:val="auto"/>
                <w:highlight w:val="none"/>
              </w:rPr>
            </w:pPr>
            <w:r>
              <w:rPr>
                <w:color w:val="auto"/>
                <w:spacing w:val="6"/>
                <w:highlight w:val="none"/>
              </w:rPr>
              <w:t>电池箱专用灭火装置</w:t>
            </w:r>
          </w:p>
        </w:tc>
        <w:tc>
          <w:tcPr>
            <w:tcW w:w="2040" w:type="dxa"/>
            <w:noWrap w:val="0"/>
            <w:vAlign w:val="top"/>
          </w:tcPr>
          <w:p w14:paraId="7AA7751E">
            <w:pPr>
              <w:pStyle w:val="223"/>
              <w:spacing w:before="9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73ADD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48" w:type="dxa"/>
            <w:vMerge w:val="continue"/>
            <w:tcBorders>
              <w:top w:val="nil"/>
              <w:bottom w:val="nil"/>
            </w:tcBorders>
            <w:noWrap w:val="0"/>
            <w:vAlign w:val="top"/>
          </w:tcPr>
          <w:p w14:paraId="4152033D">
            <w:pPr>
              <w:rPr>
                <w:rFonts w:ascii="Arial"/>
                <w:color w:val="auto"/>
                <w:sz w:val="21"/>
                <w:highlight w:val="none"/>
              </w:rPr>
            </w:pPr>
          </w:p>
        </w:tc>
        <w:tc>
          <w:tcPr>
            <w:tcW w:w="810" w:type="dxa"/>
            <w:vMerge w:val="continue"/>
            <w:tcBorders>
              <w:top w:val="nil"/>
            </w:tcBorders>
            <w:noWrap w:val="0"/>
            <w:vAlign w:val="top"/>
          </w:tcPr>
          <w:p w14:paraId="32D2AF7B">
            <w:pPr>
              <w:rPr>
                <w:rFonts w:ascii="Arial"/>
                <w:color w:val="auto"/>
                <w:sz w:val="21"/>
                <w:highlight w:val="none"/>
              </w:rPr>
            </w:pPr>
          </w:p>
        </w:tc>
        <w:tc>
          <w:tcPr>
            <w:tcW w:w="1756" w:type="dxa"/>
            <w:gridSpan w:val="2"/>
            <w:vMerge w:val="continue"/>
            <w:tcBorders>
              <w:top w:val="nil"/>
            </w:tcBorders>
            <w:noWrap w:val="0"/>
            <w:vAlign w:val="top"/>
          </w:tcPr>
          <w:p w14:paraId="21D859DA">
            <w:pPr>
              <w:rPr>
                <w:rFonts w:ascii="Arial"/>
                <w:color w:val="auto"/>
                <w:sz w:val="21"/>
                <w:highlight w:val="none"/>
              </w:rPr>
            </w:pPr>
          </w:p>
        </w:tc>
        <w:tc>
          <w:tcPr>
            <w:tcW w:w="2972" w:type="dxa"/>
            <w:noWrap w:val="0"/>
            <w:vAlign w:val="top"/>
          </w:tcPr>
          <w:p w14:paraId="31840612">
            <w:pPr>
              <w:pStyle w:val="223"/>
              <w:spacing w:before="90" w:line="228" w:lineRule="auto"/>
              <w:ind w:left="553"/>
              <w:rPr>
                <w:color w:val="auto"/>
                <w:highlight w:val="none"/>
              </w:rPr>
            </w:pPr>
            <w:r>
              <w:rPr>
                <w:color w:val="auto"/>
                <w:spacing w:val="8"/>
                <w:highlight w:val="none"/>
              </w:rPr>
              <w:t>高压仓自动灭火装置</w:t>
            </w:r>
          </w:p>
        </w:tc>
        <w:tc>
          <w:tcPr>
            <w:tcW w:w="2040" w:type="dxa"/>
            <w:noWrap w:val="0"/>
            <w:vAlign w:val="top"/>
          </w:tcPr>
          <w:p w14:paraId="1DBB2868">
            <w:pPr>
              <w:pStyle w:val="223"/>
              <w:spacing w:before="9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1770C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48" w:type="dxa"/>
            <w:vMerge w:val="continue"/>
            <w:tcBorders>
              <w:top w:val="nil"/>
              <w:bottom w:val="nil"/>
            </w:tcBorders>
            <w:noWrap w:val="0"/>
            <w:vAlign w:val="top"/>
          </w:tcPr>
          <w:p w14:paraId="76271931">
            <w:pPr>
              <w:rPr>
                <w:rFonts w:ascii="Arial"/>
                <w:color w:val="auto"/>
                <w:sz w:val="21"/>
                <w:highlight w:val="none"/>
              </w:rPr>
            </w:pPr>
          </w:p>
        </w:tc>
        <w:tc>
          <w:tcPr>
            <w:tcW w:w="810" w:type="dxa"/>
            <w:vMerge w:val="restart"/>
            <w:tcBorders>
              <w:bottom w:val="nil"/>
            </w:tcBorders>
            <w:noWrap w:val="0"/>
            <w:vAlign w:val="top"/>
          </w:tcPr>
          <w:p w14:paraId="5E59BB99">
            <w:pPr>
              <w:spacing w:line="256" w:lineRule="auto"/>
              <w:rPr>
                <w:rFonts w:ascii="Arial"/>
                <w:color w:val="auto"/>
                <w:sz w:val="21"/>
                <w:highlight w:val="none"/>
              </w:rPr>
            </w:pPr>
          </w:p>
          <w:p w14:paraId="362F1369">
            <w:pPr>
              <w:pStyle w:val="223"/>
              <w:spacing w:before="65" w:line="189" w:lineRule="auto"/>
              <w:ind w:left="356"/>
              <w:rPr>
                <w:color w:val="auto"/>
                <w:highlight w:val="none"/>
              </w:rPr>
            </w:pPr>
            <w:r>
              <w:rPr>
                <w:color w:val="auto"/>
                <w:highlight w:val="none"/>
              </w:rPr>
              <w:t>8</w:t>
            </w:r>
          </w:p>
        </w:tc>
        <w:tc>
          <w:tcPr>
            <w:tcW w:w="1756" w:type="dxa"/>
            <w:gridSpan w:val="2"/>
            <w:vMerge w:val="restart"/>
            <w:tcBorders>
              <w:bottom w:val="nil"/>
            </w:tcBorders>
            <w:noWrap w:val="0"/>
            <w:vAlign w:val="top"/>
          </w:tcPr>
          <w:p w14:paraId="617E941A">
            <w:pPr>
              <w:pStyle w:val="223"/>
              <w:spacing w:before="289" w:line="230" w:lineRule="auto"/>
              <w:ind w:left="469"/>
              <w:rPr>
                <w:color w:val="auto"/>
                <w:highlight w:val="none"/>
              </w:rPr>
            </w:pPr>
            <w:r>
              <w:rPr>
                <w:color w:val="auto"/>
                <w:spacing w:val="5"/>
                <w:highlight w:val="none"/>
              </w:rPr>
              <w:t>空调系统</w:t>
            </w:r>
          </w:p>
        </w:tc>
        <w:tc>
          <w:tcPr>
            <w:tcW w:w="2972" w:type="dxa"/>
            <w:noWrap w:val="0"/>
            <w:vAlign w:val="top"/>
          </w:tcPr>
          <w:p w14:paraId="1BAB7398">
            <w:pPr>
              <w:pStyle w:val="223"/>
              <w:spacing w:before="90" w:line="229" w:lineRule="auto"/>
              <w:ind w:left="549"/>
              <w:rPr>
                <w:color w:val="auto"/>
                <w:highlight w:val="none"/>
              </w:rPr>
            </w:pPr>
            <w:r>
              <w:rPr>
                <w:color w:val="auto"/>
                <w:spacing w:val="8"/>
                <w:highlight w:val="none"/>
              </w:rPr>
              <w:t>冷暖一体电空调总成</w:t>
            </w:r>
          </w:p>
        </w:tc>
        <w:tc>
          <w:tcPr>
            <w:tcW w:w="2040" w:type="dxa"/>
            <w:noWrap w:val="0"/>
            <w:vAlign w:val="top"/>
          </w:tcPr>
          <w:p w14:paraId="723D90C8">
            <w:pPr>
              <w:pStyle w:val="223"/>
              <w:spacing w:before="91"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6194E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48" w:type="dxa"/>
            <w:vMerge w:val="continue"/>
            <w:tcBorders>
              <w:top w:val="nil"/>
              <w:bottom w:val="nil"/>
            </w:tcBorders>
            <w:noWrap w:val="0"/>
            <w:vAlign w:val="top"/>
          </w:tcPr>
          <w:p w14:paraId="5985B303">
            <w:pPr>
              <w:rPr>
                <w:rFonts w:ascii="Arial"/>
                <w:color w:val="auto"/>
                <w:sz w:val="21"/>
                <w:highlight w:val="none"/>
              </w:rPr>
            </w:pPr>
          </w:p>
        </w:tc>
        <w:tc>
          <w:tcPr>
            <w:tcW w:w="810" w:type="dxa"/>
            <w:vMerge w:val="continue"/>
            <w:tcBorders>
              <w:top w:val="nil"/>
            </w:tcBorders>
            <w:noWrap w:val="0"/>
            <w:vAlign w:val="top"/>
          </w:tcPr>
          <w:p w14:paraId="77ABC2AD">
            <w:pPr>
              <w:rPr>
                <w:rFonts w:ascii="Arial"/>
                <w:color w:val="auto"/>
                <w:sz w:val="21"/>
                <w:highlight w:val="none"/>
              </w:rPr>
            </w:pPr>
          </w:p>
        </w:tc>
        <w:tc>
          <w:tcPr>
            <w:tcW w:w="1756" w:type="dxa"/>
            <w:gridSpan w:val="2"/>
            <w:vMerge w:val="continue"/>
            <w:tcBorders>
              <w:top w:val="nil"/>
            </w:tcBorders>
            <w:noWrap w:val="0"/>
            <w:vAlign w:val="top"/>
          </w:tcPr>
          <w:p w14:paraId="063E301E">
            <w:pPr>
              <w:rPr>
                <w:rFonts w:ascii="Arial"/>
                <w:color w:val="auto"/>
                <w:sz w:val="21"/>
                <w:highlight w:val="none"/>
              </w:rPr>
            </w:pPr>
          </w:p>
        </w:tc>
        <w:tc>
          <w:tcPr>
            <w:tcW w:w="2972" w:type="dxa"/>
            <w:noWrap w:val="0"/>
            <w:vAlign w:val="top"/>
          </w:tcPr>
          <w:p w14:paraId="2374F209">
            <w:pPr>
              <w:pStyle w:val="223"/>
              <w:spacing w:before="90" w:line="228" w:lineRule="auto"/>
              <w:ind w:left="1097"/>
              <w:rPr>
                <w:color w:val="auto"/>
                <w:highlight w:val="none"/>
              </w:rPr>
            </w:pPr>
            <w:r>
              <w:rPr>
                <w:color w:val="auto"/>
                <w:spacing w:val="1"/>
                <w:highlight w:val="none"/>
              </w:rPr>
              <w:t>电除霜机</w:t>
            </w:r>
          </w:p>
        </w:tc>
        <w:tc>
          <w:tcPr>
            <w:tcW w:w="2040" w:type="dxa"/>
            <w:noWrap w:val="0"/>
            <w:vAlign w:val="top"/>
          </w:tcPr>
          <w:p w14:paraId="736C22C5">
            <w:pPr>
              <w:pStyle w:val="223"/>
              <w:spacing w:before="91"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58564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45308676">
            <w:pPr>
              <w:rPr>
                <w:rFonts w:ascii="Arial"/>
                <w:color w:val="auto"/>
                <w:sz w:val="21"/>
                <w:highlight w:val="none"/>
              </w:rPr>
            </w:pPr>
          </w:p>
        </w:tc>
        <w:tc>
          <w:tcPr>
            <w:tcW w:w="810" w:type="dxa"/>
            <w:vMerge w:val="restart"/>
            <w:noWrap w:val="0"/>
            <w:vAlign w:val="center"/>
          </w:tcPr>
          <w:p w14:paraId="0E6D56F5">
            <w:pPr>
              <w:pStyle w:val="223"/>
              <w:spacing w:before="143" w:line="190" w:lineRule="auto"/>
              <w:ind w:left="318" w:leftChars="0"/>
              <w:jc w:val="both"/>
              <w:rPr>
                <w:rFonts w:ascii="Arial"/>
                <w:color w:val="auto"/>
                <w:sz w:val="21"/>
                <w:highlight w:val="none"/>
              </w:rPr>
            </w:pPr>
            <w:r>
              <w:rPr>
                <w:rFonts w:hint="eastAsia"/>
                <w:color w:val="auto"/>
                <w:spacing w:val="-7"/>
                <w:highlight w:val="none"/>
                <w:lang w:val="en-US" w:eastAsia="zh-CN"/>
              </w:rPr>
              <w:t>9</w:t>
            </w:r>
          </w:p>
        </w:tc>
        <w:tc>
          <w:tcPr>
            <w:tcW w:w="1756" w:type="dxa"/>
            <w:gridSpan w:val="2"/>
            <w:vMerge w:val="restart"/>
            <w:noWrap w:val="0"/>
            <w:vAlign w:val="center"/>
          </w:tcPr>
          <w:p w14:paraId="536638EF">
            <w:pPr>
              <w:pStyle w:val="223"/>
              <w:spacing w:before="112" w:line="228" w:lineRule="auto"/>
              <w:ind w:left="267" w:leftChars="0"/>
              <w:jc w:val="both"/>
              <w:rPr>
                <w:rFonts w:ascii="Arial"/>
                <w:color w:val="auto"/>
                <w:sz w:val="21"/>
                <w:highlight w:val="none"/>
              </w:rPr>
            </w:pPr>
            <w:r>
              <w:rPr>
                <w:color w:val="auto"/>
                <w:spacing w:val="5"/>
                <w:highlight w:val="none"/>
              </w:rPr>
              <w:t>易损、易耗件</w:t>
            </w:r>
          </w:p>
        </w:tc>
        <w:tc>
          <w:tcPr>
            <w:tcW w:w="2972" w:type="dxa"/>
            <w:noWrap w:val="0"/>
            <w:vAlign w:val="top"/>
          </w:tcPr>
          <w:p w14:paraId="29899C93">
            <w:pPr>
              <w:pStyle w:val="223"/>
              <w:spacing w:before="209" w:line="229" w:lineRule="auto"/>
              <w:ind w:left="1179"/>
              <w:rPr>
                <w:color w:val="auto"/>
                <w:highlight w:val="none"/>
              </w:rPr>
            </w:pPr>
            <w:r>
              <w:rPr>
                <w:color w:val="auto"/>
                <w:spacing w:val="6"/>
                <w:highlight w:val="none"/>
              </w:rPr>
              <w:t>制动片</w:t>
            </w:r>
          </w:p>
        </w:tc>
        <w:tc>
          <w:tcPr>
            <w:tcW w:w="2040" w:type="dxa"/>
            <w:noWrap w:val="0"/>
            <w:vAlign w:val="top"/>
          </w:tcPr>
          <w:p w14:paraId="670F660E">
            <w:pPr>
              <w:pStyle w:val="223"/>
              <w:spacing w:before="52" w:line="261" w:lineRule="auto"/>
              <w:ind w:left="290" w:right="109" w:hanging="171"/>
              <w:rPr>
                <w:color w:val="auto"/>
                <w:highlight w:val="none"/>
              </w:rPr>
            </w:pPr>
            <w:r>
              <w:rPr>
                <w:color w:val="auto"/>
                <w:highlight w:val="none"/>
              </w:rPr>
              <w:t>常规磨损不保修，保</w:t>
            </w:r>
            <w:r>
              <w:rPr>
                <w:color w:val="auto"/>
                <w:spacing w:val="5"/>
                <w:highlight w:val="none"/>
              </w:rPr>
              <w:t xml:space="preserve"> </w:t>
            </w:r>
            <w:r>
              <w:rPr>
                <w:color w:val="auto"/>
                <w:spacing w:val="8"/>
                <w:highlight w:val="none"/>
              </w:rPr>
              <w:t>养周期自行更换</w:t>
            </w:r>
          </w:p>
        </w:tc>
      </w:tr>
      <w:tr w14:paraId="7BD58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3A0ACA05">
            <w:pPr>
              <w:rPr>
                <w:rFonts w:ascii="Arial"/>
                <w:color w:val="auto"/>
                <w:sz w:val="21"/>
                <w:highlight w:val="none"/>
              </w:rPr>
            </w:pPr>
          </w:p>
        </w:tc>
        <w:tc>
          <w:tcPr>
            <w:tcW w:w="810" w:type="dxa"/>
            <w:vMerge w:val="continue"/>
            <w:noWrap w:val="0"/>
            <w:vAlign w:val="top"/>
          </w:tcPr>
          <w:p w14:paraId="74457554">
            <w:pPr>
              <w:rPr>
                <w:rFonts w:ascii="Arial"/>
                <w:color w:val="auto"/>
                <w:sz w:val="21"/>
                <w:highlight w:val="none"/>
              </w:rPr>
            </w:pPr>
          </w:p>
        </w:tc>
        <w:tc>
          <w:tcPr>
            <w:tcW w:w="1756" w:type="dxa"/>
            <w:gridSpan w:val="2"/>
            <w:vMerge w:val="continue"/>
            <w:noWrap w:val="0"/>
            <w:vAlign w:val="top"/>
          </w:tcPr>
          <w:p w14:paraId="6EEC483A">
            <w:pPr>
              <w:rPr>
                <w:rFonts w:ascii="Arial"/>
                <w:color w:val="auto"/>
                <w:sz w:val="21"/>
                <w:highlight w:val="none"/>
              </w:rPr>
            </w:pPr>
          </w:p>
        </w:tc>
        <w:tc>
          <w:tcPr>
            <w:tcW w:w="2972" w:type="dxa"/>
            <w:noWrap w:val="0"/>
            <w:vAlign w:val="top"/>
          </w:tcPr>
          <w:p w14:paraId="3F2F961A">
            <w:pPr>
              <w:pStyle w:val="223"/>
              <w:spacing w:before="210" w:line="229" w:lineRule="auto"/>
              <w:ind w:left="1179"/>
              <w:rPr>
                <w:color w:val="auto"/>
                <w:highlight w:val="none"/>
              </w:rPr>
            </w:pPr>
            <w:r>
              <w:rPr>
                <w:color w:val="auto"/>
                <w:spacing w:val="6"/>
                <w:highlight w:val="none"/>
              </w:rPr>
              <w:t>制动盘</w:t>
            </w:r>
          </w:p>
        </w:tc>
        <w:tc>
          <w:tcPr>
            <w:tcW w:w="2040" w:type="dxa"/>
            <w:noWrap w:val="0"/>
            <w:vAlign w:val="top"/>
          </w:tcPr>
          <w:p w14:paraId="19BAC5CC">
            <w:pPr>
              <w:pStyle w:val="223"/>
              <w:spacing w:before="54" w:line="260" w:lineRule="auto"/>
              <w:ind w:left="290" w:right="109" w:hanging="171"/>
              <w:rPr>
                <w:color w:val="auto"/>
                <w:highlight w:val="none"/>
              </w:rPr>
            </w:pPr>
            <w:r>
              <w:rPr>
                <w:color w:val="auto"/>
                <w:highlight w:val="none"/>
              </w:rPr>
              <w:t>常规磨损不保修，保</w:t>
            </w:r>
            <w:r>
              <w:rPr>
                <w:color w:val="auto"/>
                <w:spacing w:val="5"/>
                <w:highlight w:val="none"/>
              </w:rPr>
              <w:t xml:space="preserve"> </w:t>
            </w:r>
            <w:r>
              <w:rPr>
                <w:color w:val="auto"/>
                <w:spacing w:val="8"/>
                <w:highlight w:val="none"/>
              </w:rPr>
              <w:t>养周期自行更换</w:t>
            </w:r>
          </w:p>
        </w:tc>
      </w:tr>
      <w:tr w14:paraId="20B7D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40199540">
            <w:pPr>
              <w:rPr>
                <w:rFonts w:ascii="Arial"/>
                <w:color w:val="auto"/>
                <w:sz w:val="21"/>
                <w:highlight w:val="none"/>
              </w:rPr>
            </w:pPr>
          </w:p>
        </w:tc>
        <w:tc>
          <w:tcPr>
            <w:tcW w:w="810" w:type="dxa"/>
            <w:vMerge w:val="continue"/>
            <w:noWrap w:val="0"/>
            <w:vAlign w:val="top"/>
          </w:tcPr>
          <w:p w14:paraId="289E80D4">
            <w:pPr>
              <w:rPr>
                <w:rFonts w:ascii="Arial"/>
                <w:color w:val="auto"/>
                <w:sz w:val="21"/>
                <w:highlight w:val="none"/>
              </w:rPr>
            </w:pPr>
          </w:p>
        </w:tc>
        <w:tc>
          <w:tcPr>
            <w:tcW w:w="1756" w:type="dxa"/>
            <w:gridSpan w:val="2"/>
            <w:vMerge w:val="continue"/>
            <w:noWrap w:val="0"/>
            <w:vAlign w:val="top"/>
          </w:tcPr>
          <w:p w14:paraId="0F13F901">
            <w:pPr>
              <w:rPr>
                <w:rFonts w:ascii="Arial"/>
                <w:color w:val="auto"/>
                <w:sz w:val="21"/>
                <w:highlight w:val="none"/>
              </w:rPr>
            </w:pPr>
          </w:p>
        </w:tc>
        <w:tc>
          <w:tcPr>
            <w:tcW w:w="2972" w:type="dxa"/>
            <w:noWrap w:val="0"/>
            <w:vAlign w:val="top"/>
          </w:tcPr>
          <w:p w14:paraId="5E387710">
            <w:pPr>
              <w:pStyle w:val="223"/>
              <w:spacing w:before="210" w:line="229" w:lineRule="auto"/>
              <w:ind w:left="1186"/>
              <w:rPr>
                <w:color w:val="auto"/>
                <w:highlight w:val="none"/>
              </w:rPr>
            </w:pPr>
            <w:r>
              <w:rPr>
                <w:color w:val="auto"/>
                <w:spacing w:val="4"/>
                <w:highlight w:val="none"/>
              </w:rPr>
              <w:t>雨刮片</w:t>
            </w:r>
          </w:p>
        </w:tc>
        <w:tc>
          <w:tcPr>
            <w:tcW w:w="2040" w:type="dxa"/>
            <w:noWrap w:val="0"/>
            <w:vAlign w:val="top"/>
          </w:tcPr>
          <w:p w14:paraId="464C6EEC">
            <w:pPr>
              <w:pStyle w:val="223"/>
              <w:spacing w:before="54" w:line="260" w:lineRule="auto"/>
              <w:ind w:left="290" w:right="109" w:hanging="171"/>
              <w:rPr>
                <w:color w:val="auto"/>
                <w:highlight w:val="none"/>
              </w:rPr>
            </w:pPr>
            <w:r>
              <w:rPr>
                <w:color w:val="auto"/>
                <w:highlight w:val="none"/>
              </w:rPr>
              <w:t>常规磨损不保修，保</w:t>
            </w:r>
            <w:r>
              <w:rPr>
                <w:color w:val="auto"/>
                <w:spacing w:val="5"/>
                <w:highlight w:val="none"/>
              </w:rPr>
              <w:t xml:space="preserve"> </w:t>
            </w:r>
            <w:r>
              <w:rPr>
                <w:color w:val="auto"/>
                <w:spacing w:val="8"/>
                <w:highlight w:val="none"/>
              </w:rPr>
              <w:t>养周期自行更换</w:t>
            </w:r>
          </w:p>
        </w:tc>
      </w:tr>
      <w:tr w14:paraId="11EF0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8" w:type="dxa"/>
            <w:vMerge w:val="continue"/>
            <w:tcBorders>
              <w:top w:val="nil"/>
              <w:bottom w:val="nil"/>
            </w:tcBorders>
            <w:noWrap w:val="0"/>
            <w:vAlign w:val="top"/>
          </w:tcPr>
          <w:p w14:paraId="53B23CEB">
            <w:pPr>
              <w:rPr>
                <w:rFonts w:ascii="Arial"/>
                <w:color w:val="auto"/>
                <w:sz w:val="21"/>
                <w:highlight w:val="none"/>
              </w:rPr>
            </w:pPr>
          </w:p>
        </w:tc>
        <w:tc>
          <w:tcPr>
            <w:tcW w:w="810" w:type="dxa"/>
            <w:vMerge w:val="continue"/>
            <w:noWrap w:val="0"/>
            <w:vAlign w:val="top"/>
          </w:tcPr>
          <w:p w14:paraId="1F9AA5CE">
            <w:pPr>
              <w:rPr>
                <w:rFonts w:ascii="Arial"/>
                <w:color w:val="auto"/>
                <w:sz w:val="21"/>
                <w:highlight w:val="none"/>
              </w:rPr>
            </w:pPr>
          </w:p>
        </w:tc>
        <w:tc>
          <w:tcPr>
            <w:tcW w:w="1756" w:type="dxa"/>
            <w:gridSpan w:val="2"/>
            <w:vMerge w:val="continue"/>
            <w:noWrap w:val="0"/>
            <w:vAlign w:val="top"/>
          </w:tcPr>
          <w:p w14:paraId="070DE4C7">
            <w:pPr>
              <w:rPr>
                <w:rFonts w:ascii="Arial"/>
                <w:color w:val="auto"/>
                <w:sz w:val="21"/>
                <w:highlight w:val="none"/>
              </w:rPr>
            </w:pPr>
          </w:p>
        </w:tc>
        <w:tc>
          <w:tcPr>
            <w:tcW w:w="2972" w:type="dxa"/>
            <w:noWrap w:val="0"/>
            <w:vAlign w:val="top"/>
          </w:tcPr>
          <w:p w14:paraId="5455D3E4">
            <w:pPr>
              <w:pStyle w:val="223"/>
              <w:spacing w:before="210" w:line="228" w:lineRule="auto"/>
              <w:ind w:left="759"/>
              <w:rPr>
                <w:color w:val="auto"/>
                <w:highlight w:val="none"/>
              </w:rPr>
            </w:pPr>
            <w:r>
              <w:rPr>
                <w:color w:val="auto"/>
                <w:spacing w:val="8"/>
                <w:highlight w:val="none"/>
              </w:rPr>
              <w:t>压缩空气干燥器</w:t>
            </w:r>
          </w:p>
        </w:tc>
        <w:tc>
          <w:tcPr>
            <w:tcW w:w="2040" w:type="dxa"/>
            <w:noWrap w:val="0"/>
            <w:vAlign w:val="top"/>
          </w:tcPr>
          <w:p w14:paraId="6611D8ED">
            <w:pPr>
              <w:pStyle w:val="223"/>
              <w:spacing w:before="55" w:line="260" w:lineRule="auto"/>
              <w:ind w:left="290" w:right="109" w:hanging="141"/>
              <w:rPr>
                <w:color w:val="auto"/>
                <w:highlight w:val="none"/>
              </w:rPr>
            </w:pPr>
            <w:r>
              <w:rPr>
                <w:color w:val="auto"/>
                <w:spacing w:val="-3"/>
                <w:highlight w:val="none"/>
              </w:rPr>
              <w:t>自然损耗不保修，保</w:t>
            </w:r>
            <w:r>
              <w:rPr>
                <w:color w:val="auto"/>
                <w:spacing w:val="2"/>
                <w:highlight w:val="none"/>
              </w:rPr>
              <w:t xml:space="preserve"> </w:t>
            </w:r>
            <w:r>
              <w:rPr>
                <w:color w:val="auto"/>
                <w:spacing w:val="8"/>
                <w:highlight w:val="none"/>
              </w:rPr>
              <w:t>养周期自行更换</w:t>
            </w:r>
          </w:p>
        </w:tc>
      </w:tr>
      <w:tr w14:paraId="67AAF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8" w:type="dxa"/>
            <w:vMerge w:val="continue"/>
            <w:tcBorders>
              <w:top w:val="nil"/>
              <w:bottom w:val="nil"/>
            </w:tcBorders>
            <w:noWrap w:val="0"/>
            <w:vAlign w:val="top"/>
          </w:tcPr>
          <w:p w14:paraId="19131A7E">
            <w:pPr>
              <w:rPr>
                <w:rFonts w:ascii="Arial"/>
                <w:color w:val="auto"/>
                <w:sz w:val="21"/>
                <w:highlight w:val="none"/>
              </w:rPr>
            </w:pPr>
          </w:p>
        </w:tc>
        <w:tc>
          <w:tcPr>
            <w:tcW w:w="810" w:type="dxa"/>
            <w:vMerge w:val="continue"/>
            <w:noWrap w:val="0"/>
            <w:vAlign w:val="top"/>
          </w:tcPr>
          <w:p w14:paraId="77133134">
            <w:pPr>
              <w:rPr>
                <w:rFonts w:ascii="Arial"/>
                <w:color w:val="auto"/>
                <w:sz w:val="21"/>
                <w:highlight w:val="none"/>
              </w:rPr>
            </w:pPr>
          </w:p>
        </w:tc>
        <w:tc>
          <w:tcPr>
            <w:tcW w:w="1756" w:type="dxa"/>
            <w:gridSpan w:val="2"/>
            <w:vMerge w:val="continue"/>
            <w:noWrap w:val="0"/>
            <w:vAlign w:val="top"/>
          </w:tcPr>
          <w:p w14:paraId="28B717B1">
            <w:pPr>
              <w:rPr>
                <w:rFonts w:ascii="Arial"/>
                <w:color w:val="auto"/>
                <w:sz w:val="21"/>
                <w:highlight w:val="none"/>
              </w:rPr>
            </w:pPr>
          </w:p>
        </w:tc>
        <w:tc>
          <w:tcPr>
            <w:tcW w:w="2972" w:type="dxa"/>
            <w:noWrap w:val="0"/>
            <w:vAlign w:val="top"/>
          </w:tcPr>
          <w:p w14:paraId="570EDD26">
            <w:pPr>
              <w:pStyle w:val="223"/>
              <w:spacing w:before="210" w:line="229" w:lineRule="auto"/>
              <w:ind w:left="655"/>
              <w:rPr>
                <w:color w:val="auto"/>
                <w:highlight w:val="none"/>
              </w:rPr>
            </w:pPr>
            <w:r>
              <w:rPr>
                <w:color w:val="auto"/>
                <w:spacing w:val="8"/>
                <w:highlight w:val="none"/>
              </w:rPr>
              <w:t>各种油液、润滑脂</w:t>
            </w:r>
          </w:p>
        </w:tc>
        <w:tc>
          <w:tcPr>
            <w:tcW w:w="2040" w:type="dxa"/>
            <w:noWrap w:val="0"/>
            <w:vAlign w:val="top"/>
          </w:tcPr>
          <w:p w14:paraId="2D63D790">
            <w:pPr>
              <w:pStyle w:val="223"/>
              <w:spacing w:before="55" w:line="260" w:lineRule="auto"/>
              <w:ind w:left="290" w:right="125" w:hanging="122"/>
              <w:rPr>
                <w:color w:val="auto"/>
                <w:highlight w:val="none"/>
              </w:rPr>
            </w:pPr>
            <w:r>
              <w:rPr>
                <w:color w:val="auto"/>
                <w:spacing w:val="4"/>
                <w:highlight w:val="none"/>
              </w:rPr>
              <w:t>自然损耗不保修,保</w:t>
            </w:r>
            <w:r>
              <w:rPr>
                <w:color w:val="auto"/>
                <w:spacing w:val="3"/>
                <w:highlight w:val="none"/>
              </w:rPr>
              <w:t xml:space="preserve"> </w:t>
            </w:r>
            <w:r>
              <w:rPr>
                <w:color w:val="auto"/>
                <w:spacing w:val="8"/>
                <w:highlight w:val="none"/>
              </w:rPr>
              <w:t>养周期自行更换</w:t>
            </w:r>
          </w:p>
        </w:tc>
      </w:tr>
      <w:tr w14:paraId="3AC5B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8" w:type="dxa"/>
            <w:vMerge w:val="continue"/>
            <w:tcBorders>
              <w:top w:val="nil"/>
              <w:bottom w:val="nil"/>
            </w:tcBorders>
            <w:noWrap w:val="0"/>
            <w:vAlign w:val="top"/>
          </w:tcPr>
          <w:p w14:paraId="23A6EF14">
            <w:pPr>
              <w:rPr>
                <w:rFonts w:ascii="Arial"/>
                <w:color w:val="auto"/>
                <w:sz w:val="21"/>
                <w:highlight w:val="none"/>
              </w:rPr>
            </w:pPr>
          </w:p>
        </w:tc>
        <w:tc>
          <w:tcPr>
            <w:tcW w:w="810" w:type="dxa"/>
            <w:vMerge w:val="continue"/>
            <w:noWrap w:val="0"/>
            <w:vAlign w:val="top"/>
          </w:tcPr>
          <w:p w14:paraId="2471BE21">
            <w:pPr>
              <w:rPr>
                <w:rFonts w:ascii="Arial"/>
                <w:color w:val="auto"/>
                <w:sz w:val="21"/>
                <w:highlight w:val="none"/>
              </w:rPr>
            </w:pPr>
          </w:p>
        </w:tc>
        <w:tc>
          <w:tcPr>
            <w:tcW w:w="1756" w:type="dxa"/>
            <w:gridSpan w:val="2"/>
            <w:vMerge w:val="continue"/>
            <w:noWrap w:val="0"/>
            <w:vAlign w:val="top"/>
          </w:tcPr>
          <w:p w14:paraId="179F5985">
            <w:pPr>
              <w:rPr>
                <w:rFonts w:ascii="Arial"/>
                <w:color w:val="auto"/>
                <w:sz w:val="21"/>
                <w:highlight w:val="none"/>
              </w:rPr>
            </w:pPr>
          </w:p>
        </w:tc>
        <w:tc>
          <w:tcPr>
            <w:tcW w:w="2972" w:type="dxa"/>
            <w:noWrap w:val="0"/>
            <w:vAlign w:val="top"/>
          </w:tcPr>
          <w:p w14:paraId="41B15C0F">
            <w:pPr>
              <w:pStyle w:val="223"/>
              <w:spacing w:before="210" w:line="228" w:lineRule="auto"/>
              <w:ind w:left="1075"/>
              <w:rPr>
                <w:color w:val="auto"/>
                <w:highlight w:val="none"/>
              </w:rPr>
            </w:pPr>
            <w:r>
              <w:rPr>
                <w:color w:val="auto"/>
                <w:spacing w:val="6"/>
                <w:highlight w:val="none"/>
              </w:rPr>
              <w:t>各类油封</w:t>
            </w:r>
          </w:p>
        </w:tc>
        <w:tc>
          <w:tcPr>
            <w:tcW w:w="2040" w:type="dxa"/>
            <w:noWrap w:val="0"/>
            <w:vAlign w:val="top"/>
          </w:tcPr>
          <w:p w14:paraId="30FCC43E">
            <w:pPr>
              <w:pStyle w:val="223"/>
              <w:spacing w:before="53" w:line="261" w:lineRule="auto"/>
              <w:ind w:left="289" w:right="125" w:hanging="151"/>
              <w:rPr>
                <w:color w:val="auto"/>
                <w:highlight w:val="none"/>
              </w:rPr>
            </w:pPr>
            <w:r>
              <w:rPr>
                <w:color w:val="auto"/>
                <w:spacing w:val="7"/>
                <w:highlight w:val="none"/>
              </w:rPr>
              <w:t>常规磨损不保修,保</w:t>
            </w:r>
            <w:r>
              <w:rPr>
                <w:color w:val="auto"/>
                <w:spacing w:val="6"/>
                <w:highlight w:val="none"/>
              </w:rPr>
              <w:t xml:space="preserve"> </w:t>
            </w:r>
            <w:r>
              <w:rPr>
                <w:color w:val="auto"/>
                <w:spacing w:val="8"/>
                <w:highlight w:val="none"/>
              </w:rPr>
              <w:t>养周期自行更换</w:t>
            </w:r>
          </w:p>
        </w:tc>
      </w:tr>
      <w:tr w14:paraId="5DC10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1169300E">
            <w:pPr>
              <w:rPr>
                <w:rFonts w:ascii="Arial"/>
                <w:color w:val="auto"/>
                <w:sz w:val="21"/>
                <w:highlight w:val="none"/>
              </w:rPr>
            </w:pPr>
          </w:p>
        </w:tc>
        <w:tc>
          <w:tcPr>
            <w:tcW w:w="810" w:type="dxa"/>
            <w:vMerge w:val="continue"/>
            <w:noWrap w:val="0"/>
            <w:vAlign w:val="top"/>
          </w:tcPr>
          <w:p w14:paraId="6ABAD462">
            <w:pPr>
              <w:rPr>
                <w:rFonts w:ascii="Arial"/>
                <w:color w:val="auto"/>
                <w:sz w:val="21"/>
                <w:highlight w:val="none"/>
              </w:rPr>
            </w:pPr>
          </w:p>
        </w:tc>
        <w:tc>
          <w:tcPr>
            <w:tcW w:w="1756" w:type="dxa"/>
            <w:gridSpan w:val="2"/>
            <w:vMerge w:val="continue"/>
            <w:noWrap w:val="0"/>
            <w:vAlign w:val="top"/>
          </w:tcPr>
          <w:p w14:paraId="5B16E84A">
            <w:pPr>
              <w:rPr>
                <w:rFonts w:ascii="Arial"/>
                <w:color w:val="auto"/>
                <w:sz w:val="21"/>
                <w:highlight w:val="none"/>
              </w:rPr>
            </w:pPr>
          </w:p>
        </w:tc>
        <w:tc>
          <w:tcPr>
            <w:tcW w:w="2972" w:type="dxa"/>
            <w:noWrap w:val="0"/>
            <w:vAlign w:val="top"/>
          </w:tcPr>
          <w:p w14:paraId="60B1D85D">
            <w:pPr>
              <w:pStyle w:val="223"/>
              <w:spacing w:before="212" w:line="228" w:lineRule="auto"/>
              <w:ind w:right="9"/>
              <w:jc w:val="right"/>
              <w:rPr>
                <w:color w:val="auto"/>
                <w:highlight w:val="none"/>
              </w:rPr>
            </w:pPr>
            <w:r>
              <w:rPr>
                <w:color w:val="auto"/>
                <w:spacing w:val="2"/>
                <w:highlight w:val="none"/>
              </w:rPr>
              <w:t>各类滤芯（含一次性更换总成）</w:t>
            </w:r>
          </w:p>
        </w:tc>
        <w:tc>
          <w:tcPr>
            <w:tcW w:w="2040" w:type="dxa"/>
            <w:noWrap w:val="0"/>
            <w:vAlign w:val="top"/>
          </w:tcPr>
          <w:p w14:paraId="4BE2C38B">
            <w:pPr>
              <w:pStyle w:val="223"/>
              <w:spacing w:before="56" w:line="259" w:lineRule="auto"/>
              <w:ind w:left="290" w:right="125" w:hanging="122"/>
              <w:rPr>
                <w:color w:val="auto"/>
                <w:highlight w:val="none"/>
              </w:rPr>
            </w:pPr>
            <w:r>
              <w:rPr>
                <w:color w:val="auto"/>
                <w:spacing w:val="4"/>
                <w:highlight w:val="none"/>
              </w:rPr>
              <w:t>自然损耗不保修,保</w:t>
            </w:r>
            <w:r>
              <w:rPr>
                <w:color w:val="auto"/>
                <w:spacing w:val="3"/>
                <w:highlight w:val="none"/>
              </w:rPr>
              <w:t xml:space="preserve"> </w:t>
            </w:r>
            <w:r>
              <w:rPr>
                <w:color w:val="auto"/>
                <w:spacing w:val="8"/>
                <w:highlight w:val="none"/>
              </w:rPr>
              <w:t>养周期自行更换</w:t>
            </w:r>
          </w:p>
        </w:tc>
      </w:tr>
      <w:tr w14:paraId="14324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48" w:type="dxa"/>
            <w:vMerge w:val="continue"/>
            <w:tcBorders>
              <w:top w:val="nil"/>
            </w:tcBorders>
            <w:noWrap w:val="0"/>
            <w:vAlign w:val="top"/>
          </w:tcPr>
          <w:p w14:paraId="0F5F10EB">
            <w:pPr>
              <w:rPr>
                <w:rFonts w:ascii="Arial"/>
                <w:color w:val="auto"/>
                <w:sz w:val="21"/>
                <w:highlight w:val="none"/>
              </w:rPr>
            </w:pPr>
          </w:p>
        </w:tc>
        <w:tc>
          <w:tcPr>
            <w:tcW w:w="810" w:type="dxa"/>
            <w:vMerge w:val="continue"/>
            <w:noWrap w:val="0"/>
            <w:vAlign w:val="top"/>
          </w:tcPr>
          <w:p w14:paraId="242B689B">
            <w:pPr>
              <w:rPr>
                <w:rFonts w:ascii="Arial"/>
                <w:color w:val="auto"/>
                <w:sz w:val="21"/>
                <w:highlight w:val="none"/>
              </w:rPr>
            </w:pPr>
          </w:p>
        </w:tc>
        <w:tc>
          <w:tcPr>
            <w:tcW w:w="1756" w:type="dxa"/>
            <w:gridSpan w:val="2"/>
            <w:vMerge w:val="continue"/>
            <w:noWrap w:val="0"/>
            <w:vAlign w:val="top"/>
          </w:tcPr>
          <w:p w14:paraId="7DA59275">
            <w:pPr>
              <w:rPr>
                <w:rFonts w:ascii="Arial"/>
                <w:color w:val="auto"/>
                <w:sz w:val="21"/>
                <w:highlight w:val="none"/>
              </w:rPr>
            </w:pPr>
          </w:p>
        </w:tc>
        <w:tc>
          <w:tcPr>
            <w:tcW w:w="2972" w:type="dxa"/>
            <w:noWrap w:val="0"/>
            <w:vAlign w:val="top"/>
          </w:tcPr>
          <w:p w14:paraId="5CC68F35">
            <w:pPr>
              <w:pStyle w:val="223"/>
              <w:spacing w:before="111" w:line="228" w:lineRule="auto"/>
              <w:ind w:left="1179"/>
              <w:rPr>
                <w:color w:val="auto"/>
                <w:highlight w:val="none"/>
              </w:rPr>
            </w:pPr>
            <w:r>
              <w:rPr>
                <w:color w:val="auto"/>
                <w:spacing w:val="6"/>
                <w:highlight w:val="none"/>
              </w:rPr>
              <w:t>制冷剂</w:t>
            </w:r>
          </w:p>
        </w:tc>
        <w:tc>
          <w:tcPr>
            <w:tcW w:w="2040" w:type="dxa"/>
            <w:noWrap w:val="0"/>
            <w:vAlign w:val="top"/>
          </w:tcPr>
          <w:p w14:paraId="663C9448">
            <w:pPr>
              <w:pStyle w:val="223"/>
              <w:spacing w:before="112" w:line="228" w:lineRule="auto"/>
              <w:ind w:left="324"/>
              <w:rPr>
                <w:color w:val="auto"/>
                <w:highlight w:val="none"/>
              </w:rPr>
            </w:pPr>
            <w:r>
              <w:rPr>
                <w:color w:val="auto"/>
                <w:spacing w:val="3"/>
                <w:highlight w:val="none"/>
              </w:rPr>
              <w:t>自然损耗不保修</w:t>
            </w:r>
          </w:p>
        </w:tc>
      </w:tr>
    </w:tbl>
    <w:p w14:paraId="0698823A">
      <w:pPr>
        <w:pStyle w:val="17"/>
        <w:tabs>
          <w:tab w:val="left" w:pos="574"/>
        </w:tabs>
        <w:spacing w:line="207" w:lineRule="exact"/>
        <w:rPr>
          <w:color w:val="auto"/>
          <w:sz w:val="18"/>
          <w:highlight w:val="none"/>
        </w:rPr>
      </w:pPr>
    </w:p>
    <w:p w14:paraId="7FDF327E">
      <w:pPr>
        <w:spacing w:line="207" w:lineRule="exact"/>
        <w:rPr>
          <w:color w:val="auto"/>
          <w:sz w:val="18"/>
          <w:szCs w:val="18"/>
          <w:highlight w:val="none"/>
        </w:rPr>
        <w:sectPr>
          <w:footerReference r:id="rId15" w:type="default"/>
          <w:pgSz w:w="11906" w:h="16839"/>
          <w:pgMar w:top="1431" w:right="1687" w:bottom="1231" w:left="1687" w:header="0" w:footer="984" w:gutter="0"/>
          <w:pgNumType w:fmt="decimal"/>
          <w:cols w:space="720" w:num="1"/>
        </w:sectPr>
      </w:pPr>
    </w:p>
    <w:p w14:paraId="39F6FD92">
      <w:pPr>
        <w:spacing w:line="91" w:lineRule="auto"/>
        <w:rPr>
          <w:rFonts w:ascii="Arial"/>
          <w:color w:val="auto"/>
          <w:sz w:val="2"/>
          <w:highlight w:val="none"/>
        </w:rPr>
      </w:pPr>
    </w:p>
    <w:tbl>
      <w:tblPr>
        <w:tblStyle w:val="22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810"/>
        <w:gridCol w:w="1756"/>
        <w:gridCol w:w="2972"/>
        <w:gridCol w:w="2040"/>
      </w:tblGrid>
      <w:tr w14:paraId="33FD3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48" w:type="dxa"/>
            <w:vMerge w:val="restart"/>
            <w:tcBorders>
              <w:bottom w:val="nil"/>
            </w:tcBorders>
            <w:noWrap w:val="0"/>
            <w:vAlign w:val="top"/>
          </w:tcPr>
          <w:p w14:paraId="461B12B1">
            <w:pPr>
              <w:rPr>
                <w:rFonts w:ascii="Arial"/>
                <w:color w:val="auto"/>
                <w:sz w:val="21"/>
                <w:highlight w:val="none"/>
              </w:rPr>
            </w:pPr>
          </w:p>
        </w:tc>
        <w:tc>
          <w:tcPr>
            <w:tcW w:w="810" w:type="dxa"/>
            <w:vMerge w:val="restart"/>
            <w:noWrap w:val="0"/>
            <w:vAlign w:val="top"/>
          </w:tcPr>
          <w:p w14:paraId="51D2B85B">
            <w:pPr>
              <w:pStyle w:val="223"/>
              <w:spacing w:before="143" w:line="190" w:lineRule="auto"/>
              <w:ind w:left="318"/>
              <w:rPr>
                <w:rFonts w:hint="eastAsia" w:eastAsia="宋体"/>
                <w:color w:val="auto"/>
                <w:highlight w:val="none"/>
                <w:lang w:eastAsia="zh-CN"/>
              </w:rPr>
            </w:pPr>
            <w:r>
              <w:rPr>
                <w:rFonts w:hint="eastAsia"/>
                <w:color w:val="auto"/>
                <w:spacing w:val="-7"/>
                <w:highlight w:val="none"/>
                <w:lang w:val="en-US" w:eastAsia="zh-CN"/>
              </w:rPr>
              <w:t>9</w:t>
            </w:r>
          </w:p>
        </w:tc>
        <w:tc>
          <w:tcPr>
            <w:tcW w:w="1756" w:type="dxa"/>
            <w:vMerge w:val="restart"/>
            <w:noWrap w:val="0"/>
            <w:vAlign w:val="top"/>
          </w:tcPr>
          <w:p w14:paraId="21B93F88">
            <w:pPr>
              <w:pStyle w:val="223"/>
              <w:spacing w:before="112" w:line="228" w:lineRule="auto"/>
              <w:ind w:left="267"/>
              <w:rPr>
                <w:color w:val="auto"/>
                <w:highlight w:val="none"/>
              </w:rPr>
            </w:pPr>
            <w:r>
              <w:rPr>
                <w:color w:val="auto"/>
                <w:spacing w:val="5"/>
                <w:highlight w:val="none"/>
              </w:rPr>
              <w:t>易损、易耗件</w:t>
            </w:r>
          </w:p>
        </w:tc>
        <w:tc>
          <w:tcPr>
            <w:tcW w:w="2972" w:type="dxa"/>
            <w:noWrap w:val="0"/>
            <w:vAlign w:val="top"/>
          </w:tcPr>
          <w:p w14:paraId="2A56DB26">
            <w:pPr>
              <w:pStyle w:val="223"/>
              <w:spacing w:before="111" w:line="229" w:lineRule="auto"/>
              <w:ind w:left="1180"/>
              <w:rPr>
                <w:color w:val="auto"/>
                <w:highlight w:val="none"/>
              </w:rPr>
            </w:pPr>
            <w:r>
              <w:rPr>
                <w:color w:val="auto"/>
                <w:spacing w:val="6"/>
                <w:highlight w:val="none"/>
              </w:rPr>
              <w:t>冷却液</w:t>
            </w:r>
          </w:p>
        </w:tc>
        <w:tc>
          <w:tcPr>
            <w:tcW w:w="2040" w:type="dxa"/>
            <w:noWrap w:val="0"/>
            <w:vAlign w:val="top"/>
          </w:tcPr>
          <w:p w14:paraId="6185DC69">
            <w:pPr>
              <w:pStyle w:val="223"/>
              <w:spacing w:before="112" w:line="228" w:lineRule="auto"/>
              <w:ind w:left="324"/>
              <w:rPr>
                <w:color w:val="auto"/>
                <w:highlight w:val="none"/>
              </w:rPr>
            </w:pPr>
            <w:r>
              <w:rPr>
                <w:color w:val="auto"/>
                <w:spacing w:val="3"/>
                <w:highlight w:val="none"/>
              </w:rPr>
              <w:t>自然损耗不保修</w:t>
            </w:r>
          </w:p>
        </w:tc>
      </w:tr>
      <w:tr w14:paraId="1D743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48" w:type="dxa"/>
            <w:vMerge w:val="continue"/>
            <w:tcBorders>
              <w:top w:val="nil"/>
              <w:bottom w:val="nil"/>
            </w:tcBorders>
            <w:noWrap w:val="0"/>
            <w:vAlign w:val="top"/>
          </w:tcPr>
          <w:p w14:paraId="53B649ED">
            <w:pPr>
              <w:rPr>
                <w:rFonts w:ascii="Arial"/>
                <w:color w:val="auto"/>
                <w:sz w:val="21"/>
                <w:highlight w:val="none"/>
              </w:rPr>
            </w:pPr>
          </w:p>
        </w:tc>
        <w:tc>
          <w:tcPr>
            <w:tcW w:w="810" w:type="dxa"/>
            <w:vMerge w:val="continue"/>
            <w:noWrap w:val="0"/>
            <w:vAlign w:val="top"/>
          </w:tcPr>
          <w:p w14:paraId="78B5CAD7">
            <w:pPr>
              <w:rPr>
                <w:rFonts w:ascii="Arial"/>
                <w:color w:val="auto"/>
                <w:sz w:val="21"/>
                <w:highlight w:val="none"/>
              </w:rPr>
            </w:pPr>
          </w:p>
        </w:tc>
        <w:tc>
          <w:tcPr>
            <w:tcW w:w="1756" w:type="dxa"/>
            <w:vMerge w:val="continue"/>
            <w:noWrap w:val="0"/>
            <w:vAlign w:val="top"/>
          </w:tcPr>
          <w:p w14:paraId="5DF84230">
            <w:pPr>
              <w:rPr>
                <w:rFonts w:ascii="Arial"/>
                <w:color w:val="auto"/>
                <w:sz w:val="21"/>
                <w:highlight w:val="none"/>
              </w:rPr>
            </w:pPr>
          </w:p>
        </w:tc>
        <w:tc>
          <w:tcPr>
            <w:tcW w:w="2972" w:type="dxa"/>
            <w:noWrap w:val="0"/>
            <w:vAlign w:val="top"/>
          </w:tcPr>
          <w:p w14:paraId="63D695E6">
            <w:pPr>
              <w:spacing w:line="297" w:lineRule="auto"/>
              <w:rPr>
                <w:rFonts w:ascii="Arial"/>
                <w:color w:val="auto"/>
                <w:sz w:val="21"/>
                <w:highlight w:val="none"/>
              </w:rPr>
            </w:pPr>
          </w:p>
          <w:p w14:paraId="39EB4CD5">
            <w:pPr>
              <w:pStyle w:val="223"/>
              <w:spacing w:before="65" w:line="230" w:lineRule="auto"/>
              <w:ind w:left="1285"/>
              <w:rPr>
                <w:color w:val="auto"/>
                <w:highlight w:val="none"/>
              </w:rPr>
            </w:pPr>
            <w:r>
              <w:rPr>
                <w:color w:val="auto"/>
                <w:spacing w:val="3"/>
                <w:highlight w:val="none"/>
              </w:rPr>
              <w:t>油漆</w:t>
            </w:r>
          </w:p>
        </w:tc>
        <w:tc>
          <w:tcPr>
            <w:tcW w:w="2040" w:type="dxa"/>
            <w:noWrap w:val="0"/>
            <w:vAlign w:val="top"/>
          </w:tcPr>
          <w:p w14:paraId="7234BE89">
            <w:pPr>
              <w:pStyle w:val="223"/>
              <w:spacing w:before="52" w:line="229" w:lineRule="auto"/>
              <w:ind w:left="118"/>
              <w:rPr>
                <w:color w:val="auto"/>
                <w:highlight w:val="none"/>
              </w:rPr>
            </w:pPr>
            <w:r>
              <w:rPr>
                <w:color w:val="auto"/>
                <w:highlight w:val="none"/>
              </w:rPr>
              <w:t>正常褪色、老化不保</w:t>
            </w:r>
          </w:p>
          <w:p w14:paraId="6C6FFE1D">
            <w:pPr>
              <w:pStyle w:val="223"/>
              <w:spacing w:before="64" w:line="228" w:lineRule="auto"/>
              <w:ind w:left="133"/>
              <w:rPr>
                <w:color w:val="auto"/>
                <w:highlight w:val="none"/>
              </w:rPr>
            </w:pPr>
            <w:r>
              <w:rPr>
                <w:color w:val="auto"/>
                <w:spacing w:val="3"/>
                <w:highlight w:val="none"/>
              </w:rPr>
              <w:t>修</w:t>
            </w:r>
            <w:r>
              <w:rPr>
                <w:color w:val="auto"/>
                <w:spacing w:val="-53"/>
                <w:highlight w:val="none"/>
              </w:rPr>
              <w:t xml:space="preserve"> </w:t>
            </w:r>
            <w:r>
              <w:rPr>
                <w:color w:val="auto"/>
                <w:spacing w:val="3"/>
                <w:highlight w:val="none"/>
              </w:rPr>
              <w:t>;大面积掉漆等异</w:t>
            </w:r>
          </w:p>
          <w:p w14:paraId="7C5C83C8">
            <w:pPr>
              <w:pStyle w:val="223"/>
              <w:spacing w:before="64" w:line="228" w:lineRule="auto"/>
              <w:ind w:left="714"/>
              <w:rPr>
                <w:color w:val="auto"/>
                <w:highlight w:val="none"/>
              </w:rPr>
            </w:pPr>
            <w:r>
              <w:rPr>
                <w:color w:val="auto"/>
                <w:spacing w:val="5"/>
                <w:highlight w:val="none"/>
              </w:rPr>
              <w:t>常索赔</w:t>
            </w:r>
          </w:p>
        </w:tc>
      </w:tr>
      <w:tr w14:paraId="57E0A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948" w:type="dxa"/>
            <w:vMerge w:val="continue"/>
            <w:tcBorders>
              <w:top w:val="nil"/>
              <w:bottom w:val="nil"/>
            </w:tcBorders>
            <w:noWrap w:val="0"/>
            <w:vAlign w:val="top"/>
          </w:tcPr>
          <w:p w14:paraId="072D1DCE">
            <w:pPr>
              <w:rPr>
                <w:rFonts w:ascii="Arial"/>
                <w:color w:val="auto"/>
                <w:sz w:val="21"/>
                <w:highlight w:val="none"/>
              </w:rPr>
            </w:pPr>
          </w:p>
        </w:tc>
        <w:tc>
          <w:tcPr>
            <w:tcW w:w="810" w:type="dxa"/>
            <w:vMerge w:val="continue"/>
            <w:noWrap w:val="0"/>
            <w:vAlign w:val="top"/>
          </w:tcPr>
          <w:p w14:paraId="19443E81">
            <w:pPr>
              <w:rPr>
                <w:rFonts w:ascii="Arial"/>
                <w:color w:val="auto"/>
                <w:sz w:val="21"/>
                <w:highlight w:val="none"/>
              </w:rPr>
            </w:pPr>
          </w:p>
        </w:tc>
        <w:tc>
          <w:tcPr>
            <w:tcW w:w="1756" w:type="dxa"/>
            <w:vMerge w:val="continue"/>
            <w:noWrap w:val="0"/>
            <w:vAlign w:val="top"/>
          </w:tcPr>
          <w:p w14:paraId="7C30A456">
            <w:pPr>
              <w:rPr>
                <w:rFonts w:ascii="Arial"/>
                <w:color w:val="auto"/>
                <w:sz w:val="21"/>
                <w:highlight w:val="none"/>
              </w:rPr>
            </w:pPr>
          </w:p>
        </w:tc>
        <w:tc>
          <w:tcPr>
            <w:tcW w:w="2972" w:type="dxa"/>
            <w:noWrap w:val="0"/>
            <w:vAlign w:val="top"/>
          </w:tcPr>
          <w:p w14:paraId="76887C41">
            <w:pPr>
              <w:pStyle w:val="223"/>
              <w:spacing w:before="108" w:line="229" w:lineRule="auto"/>
              <w:ind w:left="1281"/>
              <w:rPr>
                <w:color w:val="auto"/>
                <w:highlight w:val="none"/>
              </w:rPr>
            </w:pPr>
            <w:r>
              <w:rPr>
                <w:color w:val="auto"/>
                <w:spacing w:val="5"/>
                <w:highlight w:val="none"/>
              </w:rPr>
              <w:t>灯泡</w:t>
            </w:r>
          </w:p>
        </w:tc>
        <w:tc>
          <w:tcPr>
            <w:tcW w:w="2040" w:type="dxa"/>
            <w:noWrap w:val="0"/>
            <w:vAlign w:val="top"/>
          </w:tcPr>
          <w:p w14:paraId="1BF5DA8E">
            <w:pPr>
              <w:pStyle w:val="223"/>
              <w:spacing w:before="107" w:line="226" w:lineRule="auto"/>
              <w:ind w:left="240"/>
              <w:rPr>
                <w:color w:val="auto"/>
                <w:highlight w:val="none"/>
              </w:rPr>
            </w:pPr>
            <w:r>
              <w:rPr>
                <w:color w:val="auto"/>
                <w:spacing w:val="2"/>
                <w:highlight w:val="none"/>
              </w:rPr>
              <w:t>不保修,</w:t>
            </w:r>
            <w:r>
              <w:rPr>
                <w:color w:val="auto"/>
                <w:spacing w:val="-54"/>
                <w:highlight w:val="none"/>
              </w:rPr>
              <w:t xml:space="preserve"> </w:t>
            </w:r>
            <w:r>
              <w:rPr>
                <w:color w:val="auto"/>
                <w:spacing w:val="2"/>
                <w:highlight w:val="none"/>
              </w:rPr>
              <w:t>自行更换</w:t>
            </w:r>
          </w:p>
        </w:tc>
      </w:tr>
      <w:tr w14:paraId="68C07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48" w:type="dxa"/>
            <w:vMerge w:val="continue"/>
            <w:tcBorders>
              <w:top w:val="nil"/>
              <w:bottom w:val="nil"/>
            </w:tcBorders>
            <w:noWrap w:val="0"/>
            <w:vAlign w:val="top"/>
          </w:tcPr>
          <w:p w14:paraId="681A2C82">
            <w:pPr>
              <w:rPr>
                <w:rFonts w:ascii="Arial"/>
                <w:color w:val="auto"/>
                <w:sz w:val="21"/>
                <w:highlight w:val="none"/>
              </w:rPr>
            </w:pPr>
          </w:p>
        </w:tc>
        <w:tc>
          <w:tcPr>
            <w:tcW w:w="810" w:type="dxa"/>
            <w:vMerge w:val="continue"/>
            <w:noWrap w:val="0"/>
            <w:vAlign w:val="top"/>
          </w:tcPr>
          <w:p w14:paraId="48DD09FA">
            <w:pPr>
              <w:rPr>
                <w:rFonts w:ascii="Arial"/>
                <w:color w:val="auto"/>
                <w:sz w:val="21"/>
                <w:highlight w:val="none"/>
              </w:rPr>
            </w:pPr>
          </w:p>
        </w:tc>
        <w:tc>
          <w:tcPr>
            <w:tcW w:w="1756" w:type="dxa"/>
            <w:vMerge w:val="continue"/>
            <w:noWrap w:val="0"/>
            <w:vAlign w:val="top"/>
          </w:tcPr>
          <w:p w14:paraId="28214367">
            <w:pPr>
              <w:rPr>
                <w:rFonts w:ascii="Arial"/>
                <w:color w:val="auto"/>
                <w:sz w:val="21"/>
                <w:highlight w:val="none"/>
              </w:rPr>
            </w:pPr>
          </w:p>
        </w:tc>
        <w:tc>
          <w:tcPr>
            <w:tcW w:w="2972" w:type="dxa"/>
            <w:noWrap w:val="0"/>
            <w:vAlign w:val="top"/>
          </w:tcPr>
          <w:p w14:paraId="1B1BAE2F">
            <w:pPr>
              <w:pStyle w:val="223"/>
              <w:spacing w:before="109" w:line="229" w:lineRule="auto"/>
              <w:ind w:left="966"/>
              <w:rPr>
                <w:color w:val="auto"/>
                <w:highlight w:val="none"/>
              </w:rPr>
            </w:pPr>
            <w:r>
              <w:rPr>
                <w:color w:val="auto"/>
                <w:spacing w:val="8"/>
                <w:highlight w:val="none"/>
              </w:rPr>
              <w:t>低压保险丝</w:t>
            </w:r>
          </w:p>
        </w:tc>
        <w:tc>
          <w:tcPr>
            <w:tcW w:w="2040" w:type="dxa"/>
            <w:noWrap w:val="0"/>
            <w:vAlign w:val="top"/>
          </w:tcPr>
          <w:p w14:paraId="5559A8B1">
            <w:pPr>
              <w:pStyle w:val="223"/>
              <w:spacing w:before="108" w:line="226" w:lineRule="auto"/>
              <w:ind w:left="240"/>
              <w:rPr>
                <w:color w:val="auto"/>
                <w:highlight w:val="none"/>
              </w:rPr>
            </w:pPr>
            <w:r>
              <w:rPr>
                <w:color w:val="auto"/>
                <w:spacing w:val="2"/>
                <w:highlight w:val="none"/>
              </w:rPr>
              <w:t>不保修,</w:t>
            </w:r>
            <w:r>
              <w:rPr>
                <w:color w:val="auto"/>
                <w:spacing w:val="-54"/>
                <w:highlight w:val="none"/>
              </w:rPr>
              <w:t xml:space="preserve"> </w:t>
            </w:r>
            <w:r>
              <w:rPr>
                <w:color w:val="auto"/>
                <w:spacing w:val="2"/>
                <w:highlight w:val="none"/>
              </w:rPr>
              <w:t>自行更换</w:t>
            </w:r>
          </w:p>
        </w:tc>
      </w:tr>
      <w:tr w14:paraId="47455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58E60D25">
            <w:pPr>
              <w:rPr>
                <w:rFonts w:ascii="Arial"/>
                <w:color w:val="auto"/>
                <w:sz w:val="21"/>
                <w:highlight w:val="none"/>
              </w:rPr>
            </w:pPr>
          </w:p>
        </w:tc>
        <w:tc>
          <w:tcPr>
            <w:tcW w:w="810" w:type="dxa"/>
            <w:vMerge w:val="continue"/>
            <w:noWrap w:val="0"/>
            <w:vAlign w:val="top"/>
          </w:tcPr>
          <w:p w14:paraId="3A10CBDE">
            <w:pPr>
              <w:rPr>
                <w:rFonts w:ascii="Arial"/>
                <w:color w:val="auto"/>
                <w:sz w:val="21"/>
                <w:highlight w:val="none"/>
              </w:rPr>
            </w:pPr>
          </w:p>
        </w:tc>
        <w:tc>
          <w:tcPr>
            <w:tcW w:w="1756" w:type="dxa"/>
            <w:vMerge w:val="continue"/>
            <w:noWrap w:val="0"/>
            <w:vAlign w:val="top"/>
          </w:tcPr>
          <w:p w14:paraId="6F1972E0">
            <w:pPr>
              <w:rPr>
                <w:rFonts w:ascii="Arial"/>
                <w:color w:val="auto"/>
                <w:sz w:val="21"/>
                <w:highlight w:val="none"/>
              </w:rPr>
            </w:pPr>
          </w:p>
        </w:tc>
        <w:tc>
          <w:tcPr>
            <w:tcW w:w="2972" w:type="dxa"/>
            <w:noWrap w:val="0"/>
            <w:vAlign w:val="top"/>
          </w:tcPr>
          <w:p w14:paraId="6F7FCC57">
            <w:pPr>
              <w:pStyle w:val="223"/>
              <w:spacing w:before="210" w:line="228" w:lineRule="auto"/>
              <w:ind w:left="966"/>
              <w:rPr>
                <w:color w:val="auto"/>
                <w:highlight w:val="none"/>
              </w:rPr>
            </w:pPr>
            <w:r>
              <w:rPr>
                <w:color w:val="auto"/>
                <w:spacing w:val="8"/>
                <w:highlight w:val="none"/>
              </w:rPr>
              <w:t>低压蓄电池</w:t>
            </w:r>
          </w:p>
        </w:tc>
        <w:tc>
          <w:tcPr>
            <w:tcW w:w="2040" w:type="dxa"/>
            <w:noWrap w:val="0"/>
            <w:vAlign w:val="top"/>
          </w:tcPr>
          <w:p w14:paraId="34AA1DC4">
            <w:pPr>
              <w:pStyle w:val="223"/>
              <w:spacing w:before="54" w:line="260" w:lineRule="auto"/>
              <w:ind w:left="817" w:right="154" w:hanging="644"/>
              <w:rPr>
                <w:color w:val="auto"/>
                <w:highlight w:val="none"/>
              </w:rPr>
            </w:pPr>
            <w:r>
              <w:rPr>
                <w:rFonts w:hint="eastAsia"/>
                <w:color w:val="auto"/>
                <w:spacing w:val="4"/>
                <w:highlight w:val="none"/>
                <w:lang w:val="en-US" w:eastAsia="zh-CN"/>
              </w:rPr>
              <w:t>2</w:t>
            </w:r>
            <w:r>
              <w:rPr>
                <w:color w:val="auto"/>
                <w:spacing w:val="-31"/>
                <w:highlight w:val="none"/>
              </w:rPr>
              <w:t xml:space="preserve"> </w:t>
            </w:r>
            <w:r>
              <w:rPr>
                <w:color w:val="auto"/>
                <w:spacing w:val="4"/>
                <w:highlight w:val="none"/>
              </w:rPr>
              <w:t>年,质保期满自行</w:t>
            </w:r>
            <w:r>
              <w:rPr>
                <w:color w:val="auto"/>
                <w:highlight w:val="none"/>
              </w:rPr>
              <w:t xml:space="preserve"> </w:t>
            </w:r>
            <w:r>
              <w:rPr>
                <w:color w:val="auto"/>
                <w:spacing w:val="3"/>
                <w:highlight w:val="none"/>
              </w:rPr>
              <w:t>更新</w:t>
            </w:r>
          </w:p>
        </w:tc>
      </w:tr>
      <w:tr w14:paraId="39F1E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48" w:type="dxa"/>
            <w:vMerge w:val="continue"/>
            <w:tcBorders>
              <w:top w:val="nil"/>
              <w:bottom w:val="nil"/>
            </w:tcBorders>
            <w:noWrap w:val="0"/>
            <w:vAlign w:val="top"/>
          </w:tcPr>
          <w:p w14:paraId="606CF4FC">
            <w:pPr>
              <w:rPr>
                <w:rFonts w:ascii="Arial"/>
                <w:color w:val="auto"/>
                <w:sz w:val="21"/>
                <w:highlight w:val="none"/>
              </w:rPr>
            </w:pPr>
          </w:p>
        </w:tc>
        <w:tc>
          <w:tcPr>
            <w:tcW w:w="810" w:type="dxa"/>
            <w:vMerge w:val="continue"/>
            <w:noWrap w:val="0"/>
            <w:vAlign w:val="top"/>
          </w:tcPr>
          <w:p w14:paraId="2598AC35">
            <w:pPr>
              <w:rPr>
                <w:rFonts w:ascii="Arial"/>
                <w:color w:val="auto"/>
                <w:sz w:val="21"/>
                <w:highlight w:val="none"/>
              </w:rPr>
            </w:pPr>
          </w:p>
        </w:tc>
        <w:tc>
          <w:tcPr>
            <w:tcW w:w="1756" w:type="dxa"/>
            <w:vMerge w:val="continue"/>
            <w:noWrap w:val="0"/>
            <w:vAlign w:val="top"/>
          </w:tcPr>
          <w:p w14:paraId="7A6141BF">
            <w:pPr>
              <w:rPr>
                <w:rFonts w:ascii="Arial"/>
                <w:color w:val="auto"/>
                <w:sz w:val="21"/>
                <w:highlight w:val="none"/>
              </w:rPr>
            </w:pPr>
          </w:p>
        </w:tc>
        <w:tc>
          <w:tcPr>
            <w:tcW w:w="2972" w:type="dxa"/>
            <w:noWrap w:val="0"/>
            <w:vAlign w:val="top"/>
          </w:tcPr>
          <w:p w14:paraId="56464B47">
            <w:pPr>
              <w:pStyle w:val="223"/>
              <w:spacing w:before="110" w:line="228" w:lineRule="auto"/>
              <w:ind w:left="861"/>
              <w:rPr>
                <w:color w:val="auto"/>
                <w:highlight w:val="none"/>
              </w:rPr>
            </w:pPr>
            <w:r>
              <w:rPr>
                <w:color w:val="auto"/>
                <w:spacing w:val="8"/>
                <w:highlight w:val="none"/>
              </w:rPr>
              <w:t>手提式灭火器</w:t>
            </w:r>
          </w:p>
        </w:tc>
        <w:tc>
          <w:tcPr>
            <w:tcW w:w="2040" w:type="dxa"/>
            <w:noWrap w:val="0"/>
            <w:vAlign w:val="top"/>
          </w:tcPr>
          <w:p w14:paraId="57477C6C">
            <w:pPr>
              <w:pStyle w:val="223"/>
              <w:spacing w:before="110" w:line="228" w:lineRule="auto"/>
              <w:ind w:left="187"/>
              <w:rPr>
                <w:color w:val="auto"/>
                <w:highlight w:val="none"/>
              </w:rPr>
            </w:pPr>
            <w:r>
              <w:rPr>
                <w:color w:val="auto"/>
                <w:spacing w:val="8"/>
                <w:highlight w:val="none"/>
              </w:rPr>
              <w:t>质保期满自行更新</w:t>
            </w:r>
          </w:p>
        </w:tc>
      </w:tr>
      <w:tr w14:paraId="667B0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6F102763">
            <w:pPr>
              <w:rPr>
                <w:rFonts w:ascii="Arial"/>
                <w:color w:val="auto"/>
                <w:sz w:val="21"/>
                <w:highlight w:val="none"/>
              </w:rPr>
            </w:pPr>
          </w:p>
        </w:tc>
        <w:tc>
          <w:tcPr>
            <w:tcW w:w="810" w:type="dxa"/>
            <w:vMerge w:val="continue"/>
            <w:noWrap w:val="0"/>
            <w:vAlign w:val="top"/>
          </w:tcPr>
          <w:p w14:paraId="06F17BEE">
            <w:pPr>
              <w:rPr>
                <w:rFonts w:ascii="Arial"/>
                <w:color w:val="auto"/>
                <w:sz w:val="21"/>
                <w:highlight w:val="none"/>
              </w:rPr>
            </w:pPr>
          </w:p>
        </w:tc>
        <w:tc>
          <w:tcPr>
            <w:tcW w:w="1756" w:type="dxa"/>
            <w:vMerge w:val="continue"/>
            <w:noWrap w:val="0"/>
            <w:vAlign w:val="top"/>
          </w:tcPr>
          <w:p w14:paraId="2E68660B">
            <w:pPr>
              <w:rPr>
                <w:rFonts w:ascii="Arial"/>
                <w:color w:val="auto"/>
                <w:sz w:val="21"/>
                <w:highlight w:val="none"/>
              </w:rPr>
            </w:pPr>
          </w:p>
        </w:tc>
        <w:tc>
          <w:tcPr>
            <w:tcW w:w="2972" w:type="dxa"/>
            <w:noWrap w:val="0"/>
            <w:vAlign w:val="top"/>
          </w:tcPr>
          <w:p w14:paraId="54FF7281">
            <w:pPr>
              <w:pStyle w:val="223"/>
              <w:spacing w:before="211" w:line="228" w:lineRule="auto"/>
              <w:ind w:left="1281"/>
              <w:rPr>
                <w:color w:val="auto"/>
                <w:highlight w:val="none"/>
              </w:rPr>
            </w:pPr>
            <w:r>
              <w:rPr>
                <w:color w:val="auto"/>
                <w:spacing w:val="4"/>
                <w:highlight w:val="none"/>
              </w:rPr>
              <w:t>轮胎</w:t>
            </w:r>
          </w:p>
        </w:tc>
        <w:tc>
          <w:tcPr>
            <w:tcW w:w="2040" w:type="dxa"/>
            <w:noWrap w:val="0"/>
            <w:vAlign w:val="top"/>
          </w:tcPr>
          <w:p w14:paraId="5B02479E">
            <w:pPr>
              <w:pStyle w:val="223"/>
              <w:spacing w:before="54" w:line="260" w:lineRule="auto"/>
              <w:ind w:left="293" w:right="125" w:hanging="155"/>
              <w:rPr>
                <w:color w:val="auto"/>
                <w:highlight w:val="none"/>
              </w:rPr>
            </w:pPr>
            <w:r>
              <w:rPr>
                <w:color w:val="auto"/>
                <w:spacing w:val="3"/>
                <w:highlight w:val="none"/>
              </w:rPr>
              <w:t>常规磨损不保修</w:t>
            </w:r>
            <w:r>
              <w:rPr>
                <w:color w:val="auto"/>
                <w:spacing w:val="-58"/>
                <w:highlight w:val="none"/>
              </w:rPr>
              <w:t xml:space="preserve"> </w:t>
            </w:r>
            <w:r>
              <w:rPr>
                <w:color w:val="auto"/>
                <w:spacing w:val="3"/>
                <w:highlight w:val="none"/>
              </w:rPr>
              <w:t>;异</w:t>
            </w:r>
            <w:r>
              <w:rPr>
                <w:color w:val="auto"/>
                <w:highlight w:val="none"/>
              </w:rPr>
              <w:t xml:space="preserve"> </w:t>
            </w:r>
            <w:r>
              <w:rPr>
                <w:color w:val="auto"/>
                <w:spacing w:val="7"/>
                <w:highlight w:val="none"/>
              </w:rPr>
              <w:t>常损坏质量索赔</w:t>
            </w:r>
          </w:p>
        </w:tc>
      </w:tr>
      <w:tr w14:paraId="42E0A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948" w:type="dxa"/>
            <w:vMerge w:val="continue"/>
            <w:tcBorders>
              <w:top w:val="nil"/>
            </w:tcBorders>
            <w:noWrap w:val="0"/>
            <w:vAlign w:val="top"/>
          </w:tcPr>
          <w:p w14:paraId="3322BDD1">
            <w:pPr>
              <w:rPr>
                <w:rFonts w:ascii="Arial"/>
                <w:color w:val="auto"/>
                <w:sz w:val="21"/>
                <w:highlight w:val="none"/>
              </w:rPr>
            </w:pPr>
          </w:p>
        </w:tc>
        <w:tc>
          <w:tcPr>
            <w:tcW w:w="810" w:type="dxa"/>
            <w:vMerge w:val="continue"/>
            <w:noWrap w:val="0"/>
            <w:vAlign w:val="top"/>
          </w:tcPr>
          <w:p w14:paraId="382572D2">
            <w:pPr>
              <w:rPr>
                <w:rFonts w:ascii="Arial"/>
                <w:color w:val="auto"/>
                <w:sz w:val="21"/>
                <w:highlight w:val="none"/>
              </w:rPr>
            </w:pPr>
          </w:p>
        </w:tc>
        <w:tc>
          <w:tcPr>
            <w:tcW w:w="1756" w:type="dxa"/>
            <w:vMerge w:val="continue"/>
            <w:noWrap w:val="0"/>
            <w:vAlign w:val="top"/>
          </w:tcPr>
          <w:p w14:paraId="67DCBB77">
            <w:pPr>
              <w:rPr>
                <w:rFonts w:ascii="Arial"/>
                <w:color w:val="auto"/>
                <w:sz w:val="21"/>
                <w:highlight w:val="none"/>
              </w:rPr>
            </w:pPr>
          </w:p>
        </w:tc>
        <w:tc>
          <w:tcPr>
            <w:tcW w:w="2972" w:type="dxa"/>
            <w:noWrap w:val="0"/>
            <w:vAlign w:val="top"/>
          </w:tcPr>
          <w:p w14:paraId="5BAC3805">
            <w:pPr>
              <w:pStyle w:val="223"/>
              <w:spacing w:before="91" w:line="228" w:lineRule="auto"/>
              <w:ind w:left="1177"/>
              <w:rPr>
                <w:color w:val="auto"/>
                <w:highlight w:val="none"/>
              </w:rPr>
            </w:pPr>
            <w:r>
              <w:rPr>
                <w:color w:val="auto"/>
                <w:spacing w:val="7"/>
                <w:highlight w:val="none"/>
              </w:rPr>
              <w:t>橡胶件</w:t>
            </w:r>
          </w:p>
        </w:tc>
        <w:tc>
          <w:tcPr>
            <w:tcW w:w="2040" w:type="dxa"/>
            <w:noWrap w:val="0"/>
            <w:vAlign w:val="top"/>
          </w:tcPr>
          <w:p w14:paraId="4D227A55">
            <w:pPr>
              <w:pStyle w:val="223"/>
              <w:spacing w:before="91" w:line="228" w:lineRule="auto"/>
              <w:ind w:left="294"/>
              <w:rPr>
                <w:color w:val="auto"/>
                <w:highlight w:val="none"/>
              </w:rPr>
            </w:pPr>
            <w:r>
              <w:rPr>
                <w:color w:val="auto"/>
                <w:spacing w:val="7"/>
                <w:highlight w:val="none"/>
              </w:rPr>
              <w:t>常规磨损不保修</w:t>
            </w:r>
          </w:p>
        </w:tc>
      </w:tr>
    </w:tbl>
    <w:p w14:paraId="6CEB82EA">
      <w:pPr>
        <w:spacing w:before="172" w:line="230" w:lineRule="auto"/>
        <w:ind w:left="123"/>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备注</w:t>
      </w:r>
      <w:r>
        <w:rPr>
          <w:rFonts w:ascii="宋体" w:hAnsi="宋体" w:eastAsia="宋体" w:cs="宋体"/>
          <w:color w:val="auto"/>
          <w:spacing w:val="-59"/>
          <w:sz w:val="20"/>
          <w:szCs w:val="20"/>
          <w:highlight w:val="none"/>
        </w:rPr>
        <w:t xml:space="preserve"> </w:t>
      </w:r>
      <w:r>
        <w:rPr>
          <w:rFonts w:ascii="宋体" w:hAnsi="宋体" w:eastAsia="宋体" w:cs="宋体"/>
          <w:color w:val="auto"/>
          <w:spacing w:val="2"/>
          <w:sz w:val="20"/>
          <w:szCs w:val="20"/>
          <w:highlight w:val="none"/>
        </w:rPr>
        <w:t>:</w:t>
      </w:r>
    </w:p>
    <w:p w14:paraId="6555F2CD">
      <w:pPr>
        <w:spacing w:before="192" w:line="228" w:lineRule="auto"/>
        <w:ind w:left="120"/>
        <w:rPr>
          <w:rFonts w:hint="eastAsia" w:ascii="宋体" w:hAnsi="宋体" w:eastAsia="宋体" w:cs="宋体"/>
          <w:color w:val="auto"/>
          <w:spacing w:val="8"/>
          <w:sz w:val="20"/>
          <w:szCs w:val="20"/>
          <w:highlight w:val="none"/>
          <w:lang w:val="en-US" w:eastAsia="zh-CN"/>
        </w:rPr>
      </w:pPr>
      <w:r>
        <w:rPr>
          <w:rFonts w:ascii="宋体" w:hAnsi="宋体" w:eastAsia="宋体" w:cs="宋体"/>
          <w:color w:val="auto"/>
          <w:spacing w:val="7"/>
          <w:sz w:val="20"/>
          <w:szCs w:val="20"/>
          <w:highlight w:val="none"/>
        </w:rPr>
        <w:t>1、</w:t>
      </w:r>
      <w:r>
        <w:rPr>
          <w:rFonts w:hint="eastAsia" w:ascii="宋体" w:hAnsi="宋体" w:eastAsia="宋体" w:cs="宋体"/>
          <w:color w:val="auto"/>
          <w:spacing w:val="8"/>
          <w:sz w:val="20"/>
          <w:szCs w:val="20"/>
          <w:highlight w:val="none"/>
        </w:rPr>
        <w:t>质保内容包括总成件</w:t>
      </w:r>
      <w:r>
        <w:rPr>
          <w:rFonts w:hint="eastAsia" w:ascii="宋体" w:hAnsi="宋体" w:cs="宋体"/>
          <w:color w:val="auto"/>
          <w:spacing w:val="8"/>
          <w:sz w:val="20"/>
          <w:szCs w:val="20"/>
          <w:highlight w:val="none"/>
          <w:lang w:eastAsia="zh-CN"/>
        </w:rPr>
        <w:t>（</w:t>
      </w:r>
      <w:r>
        <w:rPr>
          <w:rFonts w:hint="eastAsia" w:ascii="宋体" w:hAnsi="宋体" w:cs="宋体"/>
          <w:color w:val="auto"/>
          <w:spacing w:val="8"/>
          <w:sz w:val="20"/>
          <w:szCs w:val="20"/>
          <w:highlight w:val="none"/>
          <w:lang w:val="en-US" w:eastAsia="zh-CN"/>
        </w:rPr>
        <w:t>含所有配件</w:t>
      </w:r>
      <w:r>
        <w:rPr>
          <w:rFonts w:hint="eastAsia" w:ascii="宋体" w:hAnsi="宋体" w:cs="宋体"/>
          <w:color w:val="auto"/>
          <w:spacing w:val="8"/>
          <w:sz w:val="20"/>
          <w:szCs w:val="20"/>
          <w:highlight w:val="none"/>
          <w:lang w:eastAsia="zh-CN"/>
        </w:rPr>
        <w:t>）</w:t>
      </w:r>
      <w:r>
        <w:rPr>
          <w:rFonts w:hint="eastAsia" w:ascii="宋体" w:hAnsi="宋体" w:eastAsia="宋体" w:cs="宋体"/>
          <w:color w:val="auto"/>
          <w:spacing w:val="8"/>
          <w:sz w:val="20"/>
          <w:szCs w:val="20"/>
          <w:highlight w:val="none"/>
        </w:rPr>
        <w:t>、所属配件、易损件及工时</w:t>
      </w:r>
      <w:r>
        <w:rPr>
          <w:rFonts w:hint="eastAsia" w:ascii="宋体" w:hAnsi="宋体" w:cs="宋体"/>
          <w:color w:val="auto"/>
          <w:spacing w:val="8"/>
          <w:sz w:val="20"/>
          <w:szCs w:val="20"/>
          <w:highlight w:val="none"/>
          <w:lang w:eastAsia="zh-CN"/>
        </w:rPr>
        <w:t>。</w:t>
      </w:r>
    </w:p>
    <w:p w14:paraId="5A99A958">
      <w:pPr>
        <w:spacing w:before="193" w:line="228" w:lineRule="auto"/>
        <w:ind w:left="136"/>
        <w:rPr>
          <w:rFonts w:ascii="宋体" w:hAnsi="宋体" w:eastAsia="宋体" w:cs="宋体"/>
          <w:color w:val="auto"/>
          <w:sz w:val="20"/>
          <w:szCs w:val="20"/>
          <w:highlight w:val="none"/>
        </w:rPr>
      </w:pPr>
      <w:r>
        <w:rPr>
          <w:rFonts w:hint="eastAsia" w:ascii="宋体" w:hAnsi="宋体" w:cs="宋体"/>
          <w:color w:val="auto"/>
          <w:spacing w:val="7"/>
          <w:sz w:val="20"/>
          <w:szCs w:val="20"/>
          <w:highlight w:val="none"/>
          <w:lang w:val="en-US" w:eastAsia="zh-CN"/>
        </w:rPr>
        <w:t>2、</w:t>
      </w:r>
      <w:r>
        <w:rPr>
          <w:rFonts w:ascii="宋体" w:hAnsi="宋体" w:eastAsia="宋体" w:cs="宋体"/>
          <w:color w:val="auto"/>
          <w:spacing w:val="7"/>
          <w:sz w:val="20"/>
          <w:szCs w:val="20"/>
          <w:highlight w:val="none"/>
        </w:rPr>
        <w:t>表中未列出的车辆其它总成及零件的</w:t>
      </w:r>
      <w:r>
        <w:rPr>
          <w:rFonts w:ascii="宋体" w:hAnsi="宋体" w:eastAsia="宋体" w:cs="宋体"/>
          <w:color w:val="auto"/>
          <w:spacing w:val="6"/>
          <w:sz w:val="20"/>
          <w:szCs w:val="20"/>
          <w:highlight w:val="none"/>
        </w:rPr>
        <w:t>保修期，</w:t>
      </w:r>
      <w:r>
        <w:rPr>
          <w:rFonts w:ascii="宋体" w:hAnsi="宋体" w:eastAsia="宋体" w:cs="宋体"/>
          <w:color w:val="auto"/>
          <w:spacing w:val="-50"/>
          <w:sz w:val="20"/>
          <w:szCs w:val="20"/>
          <w:highlight w:val="none"/>
        </w:rPr>
        <w:t xml:space="preserve"> </w:t>
      </w:r>
      <w:r>
        <w:rPr>
          <w:rFonts w:ascii="宋体" w:hAnsi="宋体" w:eastAsia="宋体" w:cs="宋体"/>
          <w:color w:val="auto"/>
          <w:spacing w:val="6"/>
          <w:sz w:val="20"/>
          <w:szCs w:val="20"/>
          <w:highlight w:val="none"/>
        </w:rPr>
        <w:t>自车辆验收合格之日起</w:t>
      </w:r>
      <w:r>
        <w:rPr>
          <w:rFonts w:ascii="宋体" w:hAnsi="宋体" w:eastAsia="宋体" w:cs="宋体"/>
          <w:color w:val="auto"/>
          <w:spacing w:val="-33"/>
          <w:sz w:val="20"/>
          <w:szCs w:val="20"/>
          <w:highlight w:val="none"/>
        </w:rPr>
        <w:t xml:space="preserve"> </w:t>
      </w:r>
      <w:r>
        <w:rPr>
          <w:rFonts w:ascii="宋体" w:hAnsi="宋体" w:eastAsia="宋体" w:cs="宋体"/>
          <w:color w:val="auto"/>
          <w:spacing w:val="6"/>
          <w:sz w:val="20"/>
          <w:szCs w:val="20"/>
          <w:highlight w:val="none"/>
        </w:rPr>
        <w:t>3</w:t>
      </w:r>
      <w:r>
        <w:rPr>
          <w:rFonts w:ascii="宋体" w:hAnsi="宋体" w:eastAsia="宋体" w:cs="宋体"/>
          <w:color w:val="auto"/>
          <w:spacing w:val="-39"/>
          <w:sz w:val="20"/>
          <w:szCs w:val="20"/>
          <w:highlight w:val="none"/>
        </w:rPr>
        <w:t xml:space="preserve"> </w:t>
      </w:r>
      <w:r>
        <w:rPr>
          <w:rFonts w:ascii="宋体" w:hAnsi="宋体" w:eastAsia="宋体" w:cs="宋体"/>
          <w:color w:val="auto"/>
          <w:spacing w:val="6"/>
          <w:sz w:val="20"/>
          <w:szCs w:val="20"/>
          <w:highlight w:val="none"/>
        </w:rPr>
        <w:t>年。</w:t>
      </w:r>
    </w:p>
    <w:p w14:paraId="78213828">
      <w:pPr>
        <w:spacing w:before="191" w:line="317" w:lineRule="auto"/>
        <w:ind w:left="121" w:right="114" w:firstLine="1"/>
        <w:rPr>
          <w:rFonts w:ascii="宋体" w:hAnsi="宋体" w:eastAsia="宋体" w:cs="宋体"/>
          <w:color w:val="auto"/>
          <w:spacing w:val="5"/>
          <w:sz w:val="20"/>
          <w:szCs w:val="20"/>
          <w:highlight w:val="none"/>
        </w:rPr>
      </w:pPr>
      <w:r>
        <w:rPr>
          <w:rFonts w:hint="eastAsia" w:ascii="宋体" w:hAnsi="宋体" w:cs="宋体"/>
          <w:color w:val="auto"/>
          <w:spacing w:val="7"/>
          <w:sz w:val="20"/>
          <w:szCs w:val="20"/>
          <w:highlight w:val="none"/>
          <w:lang w:val="en-US" w:eastAsia="zh-CN"/>
        </w:rPr>
        <w:t>3</w:t>
      </w:r>
      <w:r>
        <w:rPr>
          <w:rFonts w:ascii="宋体" w:hAnsi="宋体" w:eastAsia="宋体" w:cs="宋体"/>
          <w:color w:val="auto"/>
          <w:spacing w:val="7"/>
          <w:sz w:val="20"/>
          <w:szCs w:val="20"/>
          <w:highlight w:val="none"/>
        </w:rPr>
        <w:t>、投标单位响应延长整车</w:t>
      </w:r>
      <w:r>
        <w:rPr>
          <w:rFonts w:hint="eastAsia" w:ascii="宋体" w:hAnsi="宋体" w:cs="宋体"/>
          <w:color w:val="auto"/>
          <w:spacing w:val="7"/>
          <w:sz w:val="20"/>
          <w:szCs w:val="20"/>
          <w:highlight w:val="none"/>
          <w:lang w:val="en-US" w:eastAsia="zh-CN"/>
        </w:rPr>
        <w:t>或部分总成</w:t>
      </w:r>
      <w:r>
        <w:rPr>
          <w:rFonts w:ascii="宋体" w:hAnsi="宋体" w:eastAsia="宋体" w:cs="宋体"/>
          <w:color w:val="auto"/>
          <w:spacing w:val="7"/>
          <w:sz w:val="20"/>
          <w:szCs w:val="20"/>
          <w:highlight w:val="none"/>
        </w:rPr>
        <w:t>质保期的，按响应</w:t>
      </w:r>
      <w:r>
        <w:rPr>
          <w:rFonts w:ascii="宋体" w:hAnsi="宋体" w:eastAsia="宋体" w:cs="宋体"/>
          <w:color w:val="auto"/>
          <w:spacing w:val="5"/>
          <w:sz w:val="20"/>
          <w:szCs w:val="20"/>
          <w:highlight w:val="none"/>
        </w:rPr>
        <w:t>年限执行。</w:t>
      </w:r>
    </w:p>
    <w:p w14:paraId="3CDCE749">
      <w:pPr>
        <w:spacing w:before="192" w:line="228" w:lineRule="auto"/>
        <w:ind w:left="120"/>
        <w:rPr>
          <w:rFonts w:ascii="宋体" w:hAnsi="宋体" w:eastAsia="宋体" w:cs="宋体"/>
          <w:color w:val="auto"/>
          <w:spacing w:val="8"/>
          <w:sz w:val="20"/>
          <w:szCs w:val="20"/>
          <w:highlight w:val="none"/>
        </w:rPr>
      </w:pPr>
      <w:r>
        <w:rPr>
          <w:rFonts w:hint="eastAsia" w:ascii="宋体" w:hAnsi="宋体" w:cs="宋体"/>
          <w:color w:val="auto"/>
          <w:spacing w:val="8"/>
          <w:sz w:val="20"/>
          <w:szCs w:val="20"/>
          <w:highlight w:val="none"/>
          <w:lang w:val="en-US" w:eastAsia="zh-CN"/>
        </w:rPr>
        <w:t>4</w:t>
      </w:r>
      <w:r>
        <w:rPr>
          <w:rFonts w:ascii="宋体" w:hAnsi="宋体" w:eastAsia="宋体" w:cs="宋体"/>
          <w:color w:val="auto"/>
          <w:spacing w:val="8"/>
          <w:sz w:val="20"/>
          <w:szCs w:val="20"/>
          <w:highlight w:val="none"/>
        </w:rPr>
        <w:t>、</w:t>
      </w:r>
      <w:r>
        <w:rPr>
          <w:rFonts w:ascii="宋体" w:hAnsi="宋体" w:eastAsia="宋体" w:cs="宋体"/>
          <w:color w:val="auto"/>
          <w:spacing w:val="-39"/>
          <w:sz w:val="20"/>
          <w:szCs w:val="20"/>
          <w:highlight w:val="none"/>
        </w:rPr>
        <w:t xml:space="preserve"> </w:t>
      </w:r>
      <w:r>
        <w:rPr>
          <w:rFonts w:ascii="宋体" w:hAnsi="宋体" w:eastAsia="宋体" w:cs="宋体"/>
          <w:color w:val="auto"/>
          <w:spacing w:val="8"/>
          <w:sz w:val="20"/>
          <w:szCs w:val="20"/>
          <w:highlight w:val="none"/>
        </w:rPr>
        <w:t>保修期限自车辆验收合格之日起开始执行。</w:t>
      </w:r>
    </w:p>
    <w:p w14:paraId="0034A566">
      <w:pPr>
        <w:pStyle w:val="137"/>
        <w:spacing w:line="360" w:lineRule="auto"/>
        <w:ind w:left="450" w:firstLine="0" w:firstLineChars="0"/>
        <w:rPr>
          <w:b/>
          <w:color w:val="auto"/>
          <w:szCs w:val="21"/>
          <w:highlight w:val="none"/>
        </w:rPr>
      </w:pPr>
    </w:p>
    <w:p w14:paraId="1B619923">
      <w:pPr>
        <w:spacing w:line="360" w:lineRule="auto"/>
        <w:rPr>
          <w:rFonts w:hint="eastAsia" w:ascii="宋体" w:hAnsi="宋体" w:cs="宋体"/>
          <w:b/>
          <w:color w:val="auto"/>
          <w:sz w:val="24"/>
          <w:szCs w:val="24"/>
          <w:highlight w:val="none"/>
          <w:lang w:val="en-US" w:eastAsia="zh-CN"/>
        </w:rPr>
        <w:sectPr>
          <w:footerReference r:id="rId16" w:type="default"/>
          <w:pgSz w:w="11906" w:h="16839"/>
          <w:pgMar w:top="1431" w:right="1687" w:bottom="1231" w:left="1687" w:header="0" w:footer="984" w:gutter="0"/>
          <w:pgNumType w:fmt="decimal"/>
          <w:cols w:space="720" w:num="1"/>
        </w:sectPr>
      </w:pPr>
    </w:p>
    <w:p w14:paraId="491A6033">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二、</w:t>
      </w:r>
      <w:r>
        <w:rPr>
          <w:rFonts w:hint="eastAsia" w:ascii="宋体" w:hAnsi="宋体" w:cs="宋体"/>
          <w:b/>
          <w:color w:val="auto"/>
          <w:sz w:val="24"/>
          <w:szCs w:val="24"/>
          <w:highlight w:val="none"/>
          <w:lang w:eastAsia="zh-CN"/>
        </w:rPr>
        <w:t>标项（子包）</w:t>
      </w:r>
      <w:r>
        <w:rPr>
          <w:rFonts w:hint="eastAsia" w:ascii="宋体" w:hAnsi="宋体" w:cs="宋体"/>
          <w:b/>
          <w:color w:val="auto"/>
          <w:sz w:val="24"/>
          <w:szCs w:val="24"/>
          <w:highlight w:val="none"/>
        </w:rPr>
        <w:t>二：</w:t>
      </w:r>
      <w:r>
        <w:rPr>
          <w:rFonts w:hint="eastAsia" w:ascii="宋体" w:hAnsi="宋体" w:cs="宋体"/>
          <w:b/>
          <w:color w:val="auto"/>
          <w:sz w:val="24"/>
          <w:szCs w:val="24"/>
          <w:highlight w:val="none"/>
          <w:lang w:val="en-US" w:eastAsia="zh-CN"/>
        </w:rPr>
        <w:t>6.6</w:t>
      </w:r>
      <w:r>
        <w:rPr>
          <w:rFonts w:hint="eastAsia" w:ascii="宋体" w:hAnsi="宋体" w:cs="宋体"/>
          <w:b/>
          <w:color w:val="auto"/>
          <w:sz w:val="24"/>
          <w:szCs w:val="24"/>
          <w:highlight w:val="none"/>
        </w:rPr>
        <w:t>米</w:t>
      </w:r>
      <w:r>
        <w:rPr>
          <w:rFonts w:hint="eastAsia" w:ascii="宋体" w:hAnsi="宋体" w:cs="宋体"/>
          <w:b/>
          <w:color w:val="auto"/>
          <w:sz w:val="24"/>
          <w:szCs w:val="24"/>
          <w:highlight w:val="none"/>
          <w:lang w:val="en-US" w:eastAsia="zh-CN"/>
        </w:rPr>
        <w:t>二</w:t>
      </w:r>
      <w:r>
        <w:rPr>
          <w:rFonts w:hint="eastAsia" w:ascii="宋体" w:hAnsi="宋体" w:cs="宋体"/>
          <w:b/>
          <w:color w:val="auto"/>
          <w:sz w:val="24"/>
          <w:szCs w:val="24"/>
          <w:highlight w:val="none"/>
        </w:rPr>
        <w:t>级踏步纯电动公交客车技术参数要求：</w:t>
      </w:r>
    </w:p>
    <w:p w14:paraId="4C408123">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color w:val="auto"/>
          <w:highlight w:val="none"/>
          <w:lang w:val="en-US" w:eastAsia="zh-CN"/>
        </w:rPr>
      </w:pPr>
      <w:r>
        <w:rPr>
          <w:rFonts w:hint="eastAsia" w:ascii="宋体" w:hAnsi="宋体" w:cs="黑体"/>
          <w:bCs/>
          <w:color w:val="auto"/>
          <w:szCs w:val="21"/>
          <w:highlight w:val="none"/>
        </w:rPr>
        <w:t>客车整车在功能、结构、强度等方面的技术要求均应符合</w:t>
      </w:r>
      <w:r>
        <w:rPr>
          <w:rFonts w:ascii="宋体" w:hAnsi="宋体" w:cs="黑体"/>
          <w:bCs/>
          <w:color w:val="auto"/>
          <w:szCs w:val="21"/>
          <w:highlight w:val="none"/>
        </w:rPr>
        <w:t>GB13094</w:t>
      </w:r>
      <w:r>
        <w:rPr>
          <w:rFonts w:hint="eastAsia" w:ascii="宋体" w:hAnsi="宋体" w:cs="黑体"/>
          <w:bCs/>
          <w:color w:val="auto"/>
          <w:szCs w:val="21"/>
          <w:highlight w:val="none"/>
        </w:rPr>
        <w:t>－</w:t>
      </w:r>
      <w:r>
        <w:rPr>
          <w:rFonts w:ascii="宋体" w:hAnsi="宋体" w:cs="黑体"/>
          <w:bCs/>
          <w:color w:val="auto"/>
          <w:szCs w:val="21"/>
          <w:highlight w:val="none"/>
        </w:rPr>
        <w:t>201</w:t>
      </w:r>
      <w:r>
        <w:rPr>
          <w:rFonts w:hint="eastAsia" w:ascii="宋体" w:hAnsi="宋体" w:cs="黑体"/>
          <w:bCs/>
          <w:color w:val="auto"/>
          <w:szCs w:val="21"/>
          <w:highlight w:val="none"/>
        </w:rPr>
        <w:t>7《客车结构安全要求》、</w:t>
      </w:r>
      <w:r>
        <w:rPr>
          <w:rFonts w:ascii="宋体" w:hAnsi="宋体" w:cs="黑体"/>
          <w:bCs/>
          <w:color w:val="auto"/>
          <w:szCs w:val="21"/>
          <w:highlight w:val="none"/>
        </w:rPr>
        <w:t>GB7258—2017</w:t>
      </w:r>
      <w:r>
        <w:rPr>
          <w:rFonts w:hint="eastAsia" w:ascii="宋体" w:hAnsi="宋体" w:cs="黑体"/>
          <w:bCs/>
          <w:color w:val="auto"/>
          <w:szCs w:val="21"/>
          <w:highlight w:val="none"/>
        </w:rPr>
        <w:t>《机动车运行安全技术条件》、</w:t>
      </w:r>
      <w:r>
        <w:rPr>
          <w:rFonts w:ascii="宋体" w:hAnsi="宋体" w:cs="黑体"/>
          <w:bCs/>
          <w:color w:val="auto"/>
          <w:szCs w:val="21"/>
          <w:highlight w:val="none"/>
        </w:rPr>
        <w:t>GB18384-20</w:t>
      </w:r>
      <w:r>
        <w:rPr>
          <w:rFonts w:hint="eastAsia" w:ascii="宋体" w:hAnsi="宋体" w:cs="黑体"/>
          <w:bCs/>
          <w:color w:val="auto"/>
          <w:szCs w:val="21"/>
          <w:highlight w:val="none"/>
        </w:rPr>
        <w:t>20《电动汽车安全要求》、</w:t>
      </w:r>
      <w:r>
        <w:rPr>
          <w:rFonts w:ascii="宋体" w:hAnsi="宋体" w:cs="黑体"/>
          <w:bCs/>
          <w:color w:val="auto"/>
          <w:szCs w:val="21"/>
          <w:highlight w:val="none"/>
        </w:rPr>
        <w:t>GB 38032-2020</w:t>
      </w:r>
      <w:r>
        <w:rPr>
          <w:rFonts w:hint="eastAsia" w:ascii="宋体" w:hAnsi="宋体" w:cs="黑体"/>
          <w:bCs/>
          <w:color w:val="auto"/>
          <w:szCs w:val="21"/>
          <w:highlight w:val="none"/>
        </w:rPr>
        <w:t>《</w:t>
      </w:r>
      <w:r>
        <w:rPr>
          <w:rFonts w:ascii="宋体" w:hAnsi="宋体" w:cs="黑体"/>
          <w:bCs/>
          <w:color w:val="auto"/>
          <w:szCs w:val="21"/>
          <w:highlight w:val="none"/>
        </w:rPr>
        <w:t>电动客车安全要求</w:t>
      </w:r>
      <w:r>
        <w:rPr>
          <w:rFonts w:hint="eastAsia" w:ascii="宋体" w:hAnsi="宋体" w:cs="黑体"/>
          <w:bCs/>
          <w:color w:val="auto"/>
          <w:szCs w:val="21"/>
          <w:highlight w:val="none"/>
        </w:rPr>
        <w:t>》、</w:t>
      </w:r>
      <w:r>
        <w:rPr>
          <w:rFonts w:ascii="宋体" w:hAnsi="宋体" w:eastAsia="宋体" w:cs="黑体"/>
          <w:bCs/>
          <w:color w:val="auto"/>
          <w:szCs w:val="21"/>
          <w:highlight w:val="none"/>
        </w:rPr>
        <w:t>GB38031-2020</w:t>
      </w:r>
      <w:r>
        <w:rPr>
          <w:rFonts w:hint="eastAsia" w:ascii="宋体" w:hAnsi="宋体" w:eastAsia="宋体" w:cs="黑体"/>
          <w:bCs/>
          <w:color w:val="auto"/>
          <w:szCs w:val="21"/>
          <w:highlight w:val="none"/>
        </w:rPr>
        <w:t>《电动汽车用动力蓄电池安全要求》、</w:t>
      </w:r>
      <w:r>
        <w:rPr>
          <w:rFonts w:ascii="宋体" w:hAnsi="宋体" w:eastAsia="宋体" w:cs="黑体"/>
          <w:bCs/>
          <w:color w:val="auto"/>
          <w:szCs w:val="21"/>
          <w:highlight w:val="none"/>
        </w:rPr>
        <w:t>GB/T32</w:t>
      </w:r>
      <w:r>
        <w:rPr>
          <w:rFonts w:hint="eastAsia" w:ascii="宋体" w:hAnsi="宋体" w:cs="黑体"/>
          <w:bCs/>
          <w:color w:val="auto"/>
          <w:szCs w:val="21"/>
          <w:highlight w:val="none"/>
          <w:lang w:eastAsia="zh-CN"/>
        </w:rPr>
        <w:t>976</w:t>
      </w:r>
      <w:r>
        <w:rPr>
          <w:rFonts w:ascii="宋体" w:hAnsi="宋体" w:eastAsia="宋体" w:cs="黑体"/>
          <w:bCs/>
          <w:color w:val="auto"/>
          <w:szCs w:val="21"/>
          <w:highlight w:val="none"/>
        </w:rPr>
        <w:t>—2016</w:t>
      </w:r>
      <w:r>
        <w:rPr>
          <w:rFonts w:hint="eastAsia" w:ascii="宋体" w:hAnsi="宋体" w:eastAsia="宋体" w:cs="黑体"/>
          <w:bCs/>
          <w:color w:val="auto"/>
          <w:szCs w:val="21"/>
          <w:highlight w:val="none"/>
        </w:rPr>
        <w:t>《电动汽车远程服务与管理系统技术规范》、JT/T:1240-2019《城市公共汽电车车辆专用安全设施技术要求》及国家现行最新有关标准</w:t>
      </w:r>
      <w:r>
        <w:rPr>
          <w:rFonts w:ascii="宋体" w:hAnsi="宋体" w:eastAsia="宋体" w:cs="黑体"/>
          <w:bCs/>
          <w:color w:val="auto"/>
          <w:szCs w:val="21"/>
          <w:highlight w:val="none"/>
        </w:rPr>
        <w:t>,</w:t>
      </w:r>
      <w:r>
        <w:rPr>
          <w:rFonts w:hint="eastAsia" w:ascii="宋体" w:hAnsi="宋体" w:eastAsia="宋体" w:cs="黑体"/>
          <w:bCs/>
          <w:color w:val="auto"/>
          <w:szCs w:val="21"/>
          <w:highlight w:val="none"/>
        </w:rPr>
        <w:t>以及投标人明确达到的各项技术指标要求。车型和各大总成通过“</w:t>
      </w:r>
      <w:r>
        <w:rPr>
          <w:rFonts w:ascii="宋体" w:hAnsi="宋体" w:eastAsia="宋体" w:cs="黑体"/>
          <w:bCs/>
          <w:color w:val="auto"/>
          <w:szCs w:val="21"/>
          <w:highlight w:val="none"/>
        </w:rPr>
        <w:t>3C</w:t>
      </w:r>
      <w:r>
        <w:rPr>
          <w:rFonts w:hint="eastAsia" w:ascii="宋体" w:hAnsi="宋体" w:eastAsia="宋体" w:cs="黑体"/>
          <w:bCs/>
          <w:color w:val="auto"/>
          <w:szCs w:val="21"/>
          <w:highlight w:val="none"/>
        </w:rPr>
        <w:t>”认证等相关机构认证资格证明。客车必须具有国家批准的纯电动客车生产资质，车辆上牌前须具备国家工信部颁发的《道路机动车辆生产企业及产品公告》和《享受车船税减免优惠的节约能源使用新能源汽车车型目录》《</w:t>
      </w:r>
      <w:r>
        <w:rPr>
          <w:rFonts w:ascii="宋体" w:hAnsi="宋体" w:eastAsia="宋体" w:cs="黑体"/>
          <w:bCs/>
          <w:color w:val="auto"/>
          <w:szCs w:val="21"/>
          <w:highlight w:val="none"/>
        </w:rPr>
        <w:fldChar w:fldCharType="begin"/>
      </w:r>
      <w:r>
        <w:rPr>
          <w:rFonts w:ascii="宋体" w:hAnsi="宋体" w:eastAsia="宋体" w:cs="黑体"/>
          <w:bCs/>
          <w:color w:val="auto"/>
          <w:szCs w:val="21"/>
          <w:highlight w:val="none"/>
        </w:rPr>
        <w:instrText xml:space="preserve"> HYPERLINK "https://www.miit.gov.cn/cms_files/filemanager/1226211233/attach/20244/4aabd4e028a74981be7faf6d7200bae5.doc" </w:instrText>
      </w:r>
      <w:r>
        <w:rPr>
          <w:rFonts w:ascii="宋体" w:hAnsi="宋体" w:eastAsia="宋体" w:cs="黑体"/>
          <w:bCs/>
          <w:color w:val="auto"/>
          <w:szCs w:val="21"/>
          <w:highlight w:val="none"/>
        </w:rPr>
        <w:fldChar w:fldCharType="separate"/>
      </w:r>
      <w:r>
        <w:rPr>
          <w:rFonts w:ascii="宋体" w:hAnsi="宋体" w:eastAsia="宋体" w:cs="黑体"/>
          <w:bCs/>
          <w:color w:val="auto"/>
          <w:szCs w:val="21"/>
          <w:highlight w:val="none"/>
        </w:rPr>
        <w:t>减免车辆购置税的新能源汽车车型目录</w:t>
      </w:r>
      <w:r>
        <w:rPr>
          <w:rFonts w:hint="eastAsia" w:ascii="宋体" w:hAnsi="宋体" w:eastAsia="宋体" w:cs="黑体"/>
          <w:bCs/>
          <w:color w:val="auto"/>
          <w:szCs w:val="21"/>
          <w:highlight w:val="none"/>
        </w:rPr>
        <w:t>》（投标文件中提供公示公告参数页面截图）。</w:t>
      </w:r>
      <w:r>
        <w:rPr>
          <w:rFonts w:hint="eastAsia" w:ascii="宋体" w:hAnsi="宋体" w:eastAsia="宋体" w:cs="黑体"/>
          <w:bCs/>
          <w:color w:val="auto"/>
          <w:szCs w:val="21"/>
          <w:highlight w:val="none"/>
        </w:rPr>
        <w:fldChar w:fldCharType="end"/>
      </w:r>
    </w:p>
    <w:tbl>
      <w:tblPr>
        <w:tblStyle w:val="45"/>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886"/>
      </w:tblGrid>
      <w:tr w14:paraId="3F0D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214A2B92">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项目</w:t>
            </w:r>
          </w:p>
        </w:tc>
        <w:tc>
          <w:tcPr>
            <w:tcW w:w="8886" w:type="dxa"/>
            <w:tcBorders>
              <w:top w:val="single" w:color="auto" w:sz="4" w:space="0"/>
              <w:left w:val="single" w:color="auto" w:sz="4" w:space="0"/>
              <w:bottom w:val="single" w:color="auto" w:sz="4" w:space="0"/>
              <w:right w:val="single" w:color="auto" w:sz="4" w:space="0"/>
            </w:tcBorders>
            <w:noWrap w:val="0"/>
            <w:vAlign w:val="center"/>
          </w:tcPr>
          <w:p w14:paraId="3A860325">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宋体" w:hAnsi="宋体" w:cs="宋体"/>
                <w:bCs/>
                <w:color w:val="auto"/>
                <w:szCs w:val="21"/>
                <w:highlight w:val="none"/>
              </w:rPr>
            </w:pPr>
            <w:r>
              <w:rPr>
                <w:rFonts w:hint="eastAsia" w:ascii="宋体" w:hAnsi="宋体" w:cs="宋体"/>
                <w:bCs/>
                <w:color w:val="auto"/>
                <w:szCs w:val="21"/>
                <w:highlight w:val="none"/>
              </w:rPr>
              <w:t>技术要求</w:t>
            </w:r>
          </w:p>
        </w:tc>
      </w:tr>
      <w:tr w14:paraId="0D15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01CE85D7">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外型尺寸(mm)：</w:t>
            </w:r>
          </w:p>
        </w:tc>
        <w:tc>
          <w:tcPr>
            <w:tcW w:w="8886" w:type="dxa"/>
            <w:tcBorders>
              <w:top w:val="single" w:color="auto" w:sz="4" w:space="0"/>
              <w:left w:val="single" w:color="auto" w:sz="4" w:space="0"/>
              <w:bottom w:val="single" w:color="auto" w:sz="4" w:space="0"/>
              <w:right w:val="single" w:color="auto" w:sz="4" w:space="0"/>
            </w:tcBorders>
            <w:noWrap w:val="0"/>
            <w:vAlign w:val="center"/>
          </w:tcPr>
          <w:p w14:paraId="49733DEA">
            <w:pPr>
              <w:keepNext w:val="0"/>
              <w:keepLines w:val="0"/>
              <w:pageBreakBefore w:val="0"/>
              <w:widowControl w:val="0"/>
              <w:kinsoku/>
              <w:wordWrap/>
              <w:overflowPunct/>
              <w:topLinePunct w:val="0"/>
              <w:autoSpaceDE/>
              <w:autoSpaceDN/>
              <w:bidi w:val="0"/>
              <w:adjustRightInd/>
              <w:spacing w:line="540" w:lineRule="exact"/>
              <w:textAlignment w:val="auto"/>
              <w:rPr>
                <w:rFonts w:hint="default" w:ascii="宋体" w:hAnsi="宋体" w:eastAsia="宋体" w:cs="宋体"/>
                <w:bCs/>
                <w:color w:val="auto"/>
                <w:szCs w:val="21"/>
                <w:highlight w:val="none"/>
                <w:lang w:val="en-US" w:eastAsia="zh-CN"/>
              </w:rPr>
            </w:pPr>
            <w:r>
              <w:rPr>
                <w:rFonts w:hint="eastAsia" w:ascii="宋体" w:hAnsi="宋体" w:cs="宋体"/>
                <w:color w:val="auto"/>
                <w:sz w:val="21"/>
                <w:szCs w:val="21"/>
                <w:highlight w:val="none"/>
                <w:lang w:val="en-US" w:eastAsia="zh-CN"/>
              </w:rPr>
              <w:t>6545＜长＜6995     2100＜宽＜2270        2830＜高＜2990</w:t>
            </w:r>
          </w:p>
        </w:tc>
      </w:tr>
      <w:tr w14:paraId="40AE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34155AD">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动力电池组及BMS</w:t>
            </w:r>
          </w:p>
        </w:tc>
        <w:tc>
          <w:tcPr>
            <w:tcW w:w="8886" w:type="dxa"/>
            <w:tcBorders>
              <w:top w:val="single" w:color="auto" w:sz="4" w:space="0"/>
              <w:left w:val="single" w:color="auto" w:sz="4" w:space="0"/>
              <w:bottom w:val="single" w:color="auto" w:sz="4" w:space="0"/>
              <w:right w:val="single" w:color="auto" w:sz="4" w:space="0"/>
            </w:tcBorders>
            <w:noWrap w:val="0"/>
            <w:vAlign w:val="center"/>
          </w:tcPr>
          <w:p w14:paraId="01EE21D4">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黑体"/>
                <w:bCs/>
                <w:color w:val="auto"/>
                <w:szCs w:val="21"/>
                <w:highlight w:val="none"/>
              </w:rPr>
            </w:pPr>
            <w:r>
              <w:rPr>
                <w:rFonts w:ascii="宋体" w:hAnsi="宋体" w:cs="黑体"/>
                <w:bCs/>
                <w:color w:val="auto"/>
                <w:szCs w:val="21"/>
                <w:highlight w:val="none"/>
              </w:rPr>
              <w:t>1</w:t>
            </w:r>
            <w:r>
              <w:rPr>
                <w:rFonts w:hint="eastAsia" w:ascii="宋体" w:hAnsi="宋体" w:cs="黑体"/>
                <w:bCs/>
                <w:color w:val="auto"/>
                <w:szCs w:val="21"/>
                <w:highlight w:val="none"/>
              </w:rPr>
              <w:t>、动力电池：电池电量高于≥1</w:t>
            </w:r>
            <w:r>
              <w:rPr>
                <w:rFonts w:hint="eastAsia" w:ascii="宋体" w:hAnsi="宋体" w:cs="黑体"/>
                <w:bCs/>
                <w:color w:val="auto"/>
                <w:szCs w:val="21"/>
                <w:highlight w:val="none"/>
                <w:lang w:val="en-US" w:eastAsia="zh-CN"/>
              </w:rPr>
              <w:t>2</w:t>
            </w:r>
            <w:r>
              <w:rPr>
                <w:rFonts w:hint="eastAsia" w:ascii="宋体" w:hAnsi="宋体" w:cs="黑体"/>
                <w:bCs/>
                <w:color w:val="auto"/>
                <w:szCs w:val="21"/>
                <w:highlight w:val="none"/>
              </w:rPr>
              <w:t>7</w:t>
            </w:r>
            <w:r>
              <w:rPr>
                <w:rFonts w:ascii="宋体" w:hAnsi="宋体" w:cs="黑体"/>
                <w:bCs/>
                <w:color w:val="auto"/>
                <w:szCs w:val="21"/>
                <w:highlight w:val="none"/>
              </w:rPr>
              <w:t>KWH</w:t>
            </w:r>
            <w:r>
              <w:rPr>
                <w:rFonts w:hint="eastAsia" w:ascii="宋体" w:hAnsi="宋体" w:cs="黑体"/>
                <w:bCs/>
                <w:color w:val="auto"/>
                <w:szCs w:val="21"/>
                <w:highlight w:val="none"/>
              </w:rPr>
              <w:t>。选用磷酸铁锂电池，采用国内主要品牌宁德时代且</w:t>
            </w:r>
            <w:r>
              <w:rPr>
                <w:rFonts w:hint="eastAsia"/>
                <w:color w:val="auto"/>
                <w:highlight w:val="none"/>
              </w:rPr>
              <w:t>电芯和电池</w:t>
            </w:r>
            <w:r>
              <w:rPr>
                <w:color w:val="auto"/>
                <w:highlight w:val="none"/>
              </w:rPr>
              <w:t>pack</w:t>
            </w:r>
            <w:r>
              <w:rPr>
                <w:rFonts w:hint="eastAsia"/>
                <w:color w:val="auto"/>
                <w:highlight w:val="none"/>
              </w:rPr>
              <w:t>为同一品牌</w:t>
            </w:r>
            <w:r>
              <w:rPr>
                <w:rFonts w:hint="eastAsia"/>
                <w:color w:val="auto"/>
                <w:highlight w:val="none"/>
                <w:lang w:eastAsia="zh-CN"/>
              </w:rPr>
              <w:t>，</w:t>
            </w:r>
            <w:r>
              <w:rPr>
                <w:rFonts w:hint="eastAsia" w:ascii="宋体" w:hAnsi="宋体" w:cs="黑体"/>
                <w:bCs/>
                <w:color w:val="auto"/>
                <w:szCs w:val="21"/>
                <w:highlight w:val="none"/>
              </w:rPr>
              <w:t>能量密度≥</w:t>
            </w:r>
            <w:r>
              <w:rPr>
                <w:rFonts w:hint="eastAsia" w:ascii="宋体" w:hAnsi="宋体" w:cs="黑体"/>
                <w:bCs/>
                <w:color w:val="auto"/>
                <w:szCs w:val="21"/>
                <w:highlight w:val="none"/>
                <w:lang w:val="en-US" w:eastAsia="zh-CN"/>
              </w:rPr>
              <w:t>159</w:t>
            </w:r>
            <w:r>
              <w:rPr>
                <w:rFonts w:ascii="宋体" w:hAnsi="宋体" w:cs="黑体"/>
                <w:bCs/>
                <w:color w:val="auto"/>
                <w:szCs w:val="21"/>
                <w:highlight w:val="none"/>
              </w:rPr>
              <w:t>Wh/kg</w:t>
            </w:r>
          </w:p>
          <w:p w14:paraId="0C048A62">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黑体"/>
                <w:bCs/>
                <w:color w:val="auto"/>
                <w:szCs w:val="21"/>
                <w:highlight w:val="none"/>
              </w:rPr>
            </w:pPr>
            <w:r>
              <w:rPr>
                <w:rFonts w:hint="eastAsia" w:ascii="宋体" w:hAnsi="宋体" w:cs="黑体"/>
                <w:bCs/>
                <w:color w:val="auto"/>
                <w:szCs w:val="21"/>
                <w:highlight w:val="none"/>
                <w:lang w:val="en-US" w:eastAsia="zh-CN"/>
              </w:rPr>
              <w:t>2、</w:t>
            </w:r>
            <w:r>
              <w:rPr>
                <w:rFonts w:hint="eastAsia" w:ascii="宋体" w:hAnsi="宋体" w:cs="黑体"/>
                <w:bCs/>
                <w:color w:val="auto"/>
                <w:szCs w:val="21"/>
                <w:highlight w:val="none"/>
              </w:rPr>
              <w:t>高压部件安装在独立舱体内，具有通风，散热，防水，报警设计，确保高压部件的工作温度。</w:t>
            </w:r>
          </w:p>
          <w:p w14:paraId="21A12ABC">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控制系统仓内，动力电池组、控制系统等布置合理，通风良好；做好安全措施，安装自动灭火装置，安装烟雾报警器，</w:t>
            </w:r>
            <w:r>
              <w:rPr>
                <w:rFonts w:hint="eastAsia" w:ascii="宋体" w:hAnsi="宋体" w:cs="宋体"/>
                <w:color w:val="auto"/>
                <w:szCs w:val="21"/>
                <w:highlight w:val="none"/>
              </w:rPr>
              <w:t>安装电池仓及后仓（高压仓）专用灭火器。</w:t>
            </w:r>
          </w:p>
          <w:p w14:paraId="5684B04D">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黑体"/>
                <w:bCs/>
                <w:color w:val="auto"/>
                <w:szCs w:val="21"/>
                <w:highlight w:val="none"/>
                <w:lang w:val="en-US" w:eastAsia="zh-CN"/>
              </w:rPr>
            </w:pPr>
            <w:r>
              <w:rPr>
                <w:color w:val="auto"/>
                <w:spacing w:val="11"/>
              </w:rPr>
              <w:t>动力电池箱内安装专用灭火装置，要求采用全氟己酮或七氟丙烷灭火剂，</w:t>
            </w:r>
            <w:r>
              <w:rPr>
                <w:color w:val="auto"/>
                <w:spacing w:val="7"/>
              </w:rPr>
              <w:t xml:space="preserve"> </w:t>
            </w:r>
            <w:r>
              <w:rPr>
                <w:rFonts w:hint="eastAsia"/>
                <w:color w:val="auto"/>
                <w:spacing w:val="8"/>
                <w:lang w:eastAsia="zh-CN"/>
              </w:rPr>
              <w:t>不小于</w:t>
            </w:r>
            <w:r>
              <w:rPr>
                <w:rFonts w:hint="eastAsia"/>
                <w:color w:val="auto"/>
                <w:spacing w:val="8"/>
                <w:lang w:val="en-US" w:eastAsia="zh-CN"/>
              </w:rPr>
              <w:t>3</w:t>
            </w:r>
            <w:r>
              <w:rPr>
                <w:color w:val="auto"/>
              </w:rPr>
              <w:t>KG</w:t>
            </w:r>
            <w:r>
              <w:rPr>
                <w:color w:val="auto"/>
                <w:spacing w:val="8"/>
              </w:rPr>
              <w:t>，具有温度传感器、气体分解传感器、烟雾传感</w:t>
            </w:r>
            <w:r>
              <w:rPr>
                <w:color w:val="auto"/>
                <w:spacing w:val="7"/>
              </w:rPr>
              <w:t>器、电解液漏液自动</w:t>
            </w:r>
            <w:r>
              <w:rPr>
                <w:color w:val="auto"/>
              </w:rPr>
              <w:t xml:space="preserve"> </w:t>
            </w:r>
            <w:r>
              <w:rPr>
                <w:color w:val="auto"/>
                <w:spacing w:val="6"/>
              </w:rPr>
              <w:t>检测和火灾自动探测等检测和报警功能，能实现自动启动和手动启动功能，</w:t>
            </w:r>
            <w:r>
              <w:rPr>
                <w:color w:val="auto"/>
                <w:spacing w:val="2"/>
              </w:rPr>
              <w:t xml:space="preserve"> </w:t>
            </w:r>
            <w:r>
              <w:rPr>
                <w:color w:val="auto"/>
                <w:spacing w:val="10"/>
              </w:rPr>
              <w:t>需满足全天侯待机工作状态，探测装置、灭火装置等质保</w:t>
            </w:r>
            <w:r>
              <w:rPr>
                <w:color w:val="auto"/>
                <w:spacing w:val="-39"/>
              </w:rPr>
              <w:t xml:space="preserve"> </w:t>
            </w:r>
            <w:r>
              <w:rPr>
                <w:color w:val="auto"/>
                <w:spacing w:val="10"/>
              </w:rPr>
              <w:t>8</w:t>
            </w:r>
            <w:r>
              <w:rPr>
                <w:color w:val="auto"/>
                <w:spacing w:val="-34"/>
              </w:rPr>
              <w:t xml:space="preserve"> </w:t>
            </w:r>
            <w:r>
              <w:rPr>
                <w:color w:val="auto"/>
                <w:spacing w:val="10"/>
              </w:rPr>
              <w:t>年，质保期内系统的检修及更换全部由投标方免费负责</w:t>
            </w:r>
            <w:r>
              <w:rPr>
                <w:b/>
                <w:bCs/>
                <w:color w:val="auto"/>
                <w:spacing w:val="10"/>
              </w:rPr>
              <w:t>（</w:t>
            </w:r>
            <w:r>
              <w:rPr>
                <w:color w:val="auto"/>
                <w:spacing w:val="10"/>
              </w:rPr>
              <w:t>包含总成件、所属配件、易损</w:t>
            </w:r>
            <w:r>
              <w:rPr>
                <w:color w:val="auto"/>
                <w:spacing w:val="18"/>
              </w:rPr>
              <w:t xml:space="preserve"> </w:t>
            </w:r>
            <w:r>
              <w:rPr>
                <w:color w:val="auto"/>
                <w:spacing w:val="9"/>
              </w:rPr>
              <w:t>件及工时，合同签订前由配套产品厂家和投标方提供共同书面承诺函</w:t>
            </w:r>
            <w:r>
              <w:rPr>
                <w:b/>
                <w:bCs/>
                <w:color w:val="auto"/>
                <w:spacing w:val="9"/>
              </w:rPr>
              <w:t>）</w:t>
            </w:r>
            <w:r>
              <w:rPr>
                <w:rFonts w:hint="eastAsia" w:ascii="宋体" w:hAnsi="宋体" w:cs="宋体"/>
                <w:bCs/>
                <w:color w:val="auto"/>
                <w:szCs w:val="21"/>
                <w:highlight w:val="none"/>
              </w:rPr>
              <w:t>。</w:t>
            </w:r>
            <w:r>
              <w:rPr>
                <w:color w:val="auto"/>
                <w:spacing w:val="11"/>
              </w:rPr>
              <w:t>灭火装置及部件有国家公安部消防鉴定证书，电池箱</w:t>
            </w:r>
            <w:r>
              <w:rPr>
                <w:color w:val="auto"/>
                <w:spacing w:val="10"/>
              </w:rPr>
              <w:t>及电池舱自动灭火装</w:t>
            </w:r>
            <w:r>
              <w:rPr>
                <w:color w:val="auto"/>
              </w:rPr>
              <w:t xml:space="preserve"> </w:t>
            </w:r>
            <w:r>
              <w:rPr>
                <w:color w:val="auto"/>
                <w:spacing w:val="9"/>
              </w:rPr>
              <w:t>置需有</w:t>
            </w:r>
            <w:r>
              <w:rPr>
                <w:color w:val="auto"/>
                <w:spacing w:val="-36"/>
              </w:rPr>
              <w:t xml:space="preserve"> </w:t>
            </w:r>
            <w:r>
              <w:rPr>
                <w:color w:val="auto"/>
                <w:spacing w:val="9"/>
              </w:rPr>
              <w:t>8</w:t>
            </w:r>
            <w:r>
              <w:rPr>
                <w:color w:val="auto"/>
                <w:spacing w:val="-37"/>
              </w:rPr>
              <w:t xml:space="preserve"> </w:t>
            </w:r>
            <w:r>
              <w:rPr>
                <w:color w:val="auto"/>
                <w:spacing w:val="9"/>
              </w:rPr>
              <w:t>年商业保险，电池箱单次事故保额不小于</w:t>
            </w:r>
            <w:r>
              <w:rPr>
                <w:color w:val="auto"/>
                <w:spacing w:val="-34"/>
              </w:rPr>
              <w:t xml:space="preserve"> </w:t>
            </w:r>
            <w:r>
              <w:rPr>
                <w:color w:val="auto"/>
                <w:spacing w:val="9"/>
              </w:rPr>
              <w:t>20</w:t>
            </w:r>
            <w:r>
              <w:rPr>
                <w:color w:val="auto"/>
                <w:spacing w:val="8"/>
              </w:rPr>
              <w:t>0</w:t>
            </w:r>
            <w:r>
              <w:rPr>
                <w:color w:val="auto"/>
                <w:spacing w:val="-35"/>
              </w:rPr>
              <w:t xml:space="preserve"> </w:t>
            </w:r>
            <w:r>
              <w:rPr>
                <w:color w:val="auto"/>
                <w:spacing w:val="8"/>
              </w:rPr>
              <w:t>万，电池舱单次事</w:t>
            </w:r>
            <w:r>
              <w:rPr>
                <w:color w:val="auto"/>
              </w:rPr>
              <w:t xml:space="preserve"> </w:t>
            </w:r>
            <w:r>
              <w:rPr>
                <w:color w:val="auto"/>
                <w:spacing w:val="9"/>
              </w:rPr>
              <w:t>故保额不小于</w:t>
            </w:r>
            <w:r>
              <w:rPr>
                <w:color w:val="auto"/>
                <w:spacing w:val="-16"/>
              </w:rPr>
              <w:t xml:space="preserve"> </w:t>
            </w:r>
            <w:r>
              <w:rPr>
                <w:color w:val="auto"/>
                <w:spacing w:val="9"/>
              </w:rPr>
              <w:t>100</w:t>
            </w:r>
            <w:r>
              <w:rPr>
                <w:color w:val="auto"/>
                <w:spacing w:val="-33"/>
              </w:rPr>
              <w:t xml:space="preserve"> </w:t>
            </w:r>
            <w:r>
              <w:rPr>
                <w:color w:val="auto"/>
                <w:spacing w:val="9"/>
              </w:rPr>
              <w:t>万，承诺非人为损坏和失效的免费更换。如因装用不合</w:t>
            </w:r>
            <w:r>
              <w:rPr>
                <w:color w:val="auto"/>
              </w:rPr>
              <w:t xml:space="preserve"> </w:t>
            </w:r>
            <w:r>
              <w:rPr>
                <w:color w:val="auto"/>
                <w:spacing w:val="8"/>
              </w:rPr>
              <w:t>格的电池箱或电池仓灭火装置引起的各种损失及责任，</w:t>
            </w:r>
            <w:r>
              <w:rPr>
                <w:color w:val="auto"/>
                <w:spacing w:val="-58"/>
              </w:rPr>
              <w:t xml:space="preserve"> </w:t>
            </w:r>
            <w:r>
              <w:rPr>
                <w:color w:val="auto"/>
                <w:spacing w:val="8"/>
              </w:rPr>
              <w:t>由投标方承担</w:t>
            </w:r>
            <w:r>
              <w:rPr>
                <w:rFonts w:hint="eastAsia"/>
                <w:color w:val="auto"/>
                <w:spacing w:val="8"/>
                <w:lang w:eastAsia="zh-CN"/>
              </w:rPr>
              <w:t>。</w:t>
            </w:r>
          </w:p>
          <w:p w14:paraId="6666E707">
            <w:pPr>
              <w:spacing w:line="360" w:lineRule="auto"/>
              <w:rPr>
                <w:rFonts w:hint="eastAsia" w:ascii="宋体" w:hAnsi="宋体" w:cs="黑体"/>
                <w:bCs/>
                <w:color w:val="auto"/>
                <w:szCs w:val="21"/>
                <w:highlight w:val="none"/>
              </w:rPr>
            </w:pPr>
            <w:r>
              <w:rPr>
                <w:rFonts w:hint="eastAsia" w:ascii="宋体" w:hAnsi="宋体" w:cs="黑体"/>
                <w:bCs/>
                <w:color w:val="auto"/>
                <w:szCs w:val="21"/>
                <w:highlight w:val="none"/>
                <w:lang w:val="en-US" w:eastAsia="zh-CN"/>
              </w:rPr>
              <w:t>4、</w:t>
            </w:r>
            <w:r>
              <w:rPr>
                <w:rFonts w:ascii="宋体" w:hAnsi="宋体" w:cs="黑体"/>
                <w:bCs/>
                <w:color w:val="auto"/>
                <w:szCs w:val="21"/>
                <w:highlight w:val="none"/>
              </w:rPr>
              <w:t>动力电池必须有专门的冷却设施（液冷），确保电池正常工作</w:t>
            </w:r>
            <w:r>
              <w:rPr>
                <w:rFonts w:hint="eastAsia" w:ascii="宋体" w:hAnsi="宋体" w:cs="黑体"/>
                <w:bCs/>
                <w:color w:val="auto"/>
                <w:szCs w:val="21"/>
                <w:highlight w:val="none"/>
              </w:rPr>
              <w:t>，</w:t>
            </w:r>
            <w:r>
              <w:rPr>
                <w:rFonts w:hint="eastAsia" w:ascii="宋体" w:hAnsi="宋体" w:cs="宋体"/>
                <w:bCs/>
                <w:color w:val="auto"/>
                <w:szCs w:val="21"/>
                <w:highlight w:val="none"/>
              </w:rPr>
              <w:t>，将电池的工作温度控制在最佳工作温度，延缓电池的容量衰减。</w:t>
            </w:r>
          </w:p>
          <w:p w14:paraId="06372D70">
            <w:pPr>
              <w:keepNext w:val="0"/>
              <w:keepLines w:val="0"/>
              <w:pageBreakBefore w:val="0"/>
              <w:widowControl w:val="0"/>
              <w:numPr>
                <w:ilvl w:val="0"/>
                <w:numId w:val="0"/>
              </w:numPr>
              <w:kinsoku/>
              <w:wordWrap/>
              <w:overflowPunct/>
              <w:topLinePunct w:val="0"/>
              <w:autoSpaceDE/>
              <w:autoSpaceDN/>
              <w:bidi w:val="0"/>
              <w:adjustRightInd/>
              <w:spacing w:line="540" w:lineRule="exact"/>
              <w:textAlignment w:val="auto"/>
              <w:rPr>
                <w:rFonts w:hint="eastAsia" w:ascii="宋体" w:hAnsi="宋体" w:cs="黑体"/>
                <w:bCs/>
                <w:color w:val="auto"/>
                <w:szCs w:val="21"/>
                <w:highlight w:val="none"/>
              </w:rPr>
            </w:pPr>
            <w:r>
              <w:rPr>
                <w:rFonts w:hint="eastAsia" w:ascii="宋体" w:hAnsi="宋体" w:cs="黑体"/>
                <w:bCs/>
                <w:color w:val="auto"/>
                <w:szCs w:val="21"/>
                <w:highlight w:val="none"/>
                <w:lang w:val="en-US" w:eastAsia="zh-CN"/>
              </w:rPr>
              <w:t>5、</w:t>
            </w:r>
            <w:r>
              <w:rPr>
                <w:rFonts w:hint="eastAsia" w:ascii="宋体" w:hAnsi="宋体" w:cs="黑体"/>
                <w:bCs/>
                <w:color w:val="auto"/>
                <w:szCs w:val="21"/>
                <w:highlight w:val="none"/>
              </w:rPr>
              <w:t>动力电池质保≥</w:t>
            </w:r>
            <w:r>
              <w:rPr>
                <w:rFonts w:hint="eastAsia" w:ascii="宋体" w:hAnsi="宋体" w:cs="黑体"/>
                <w:bCs/>
                <w:color w:val="auto"/>
                <w:szCs w:val="21"/>
                <w:highlight w:val="none"/>
                <w:lang w:val="en-US" w:eastAsia="zh-CN"/>
              </w:rPr>
              <w:t>8</w:t>
            </w:r>
            <w:r>
              <w:rPr>
                <w:rFonts w:hint="eastAsia" w:ascii="宋体" w:hAnsi="宋体" w:cs="黑体"/>
                <w:bCs/>
                <w:color w:val="auto"/>
                <w:szCs w:val="21"/>
                <w:highlight w:val="none"/>
              </w:rPr>
              <w:t>年</w:t>
            </w:r>
            <w:r>
              <w:rPr>
                <w:rFonts w:hint="eastAsia" w:ascii="宋体" w:hAnsi="宋体" w:cs="黑体"/>
                <w:bCs/>
                <w:color w:val="auto"/>
                <w:szCs w:val="21"/>
                <w:highlight w:val="none"/>
                <w:lang w:eastAsia="zh-CN"/>
              </w:rPr>
              <w:t>，</w:t>
            </w:r>
            <w:r>
              <w:rPr>
                <w:rFonts w:hint="eastAsia" w:ascii="宋体" w:hAnsi="宋体" w:cs="黑体"/>
                <w:bCs/>
                <w:color w:val="auto"/>
                <w:szCs w:val="21"/>
                <w:highlight w:val="none"/>
                <w:lang w:val="en-US" w:eastAsia="zh-CN"/>
              </w:rPr>
              <w:t>8</w:t>
            </w:r>
            <w:r>
              <w:rPr>
                <w:rFonts w:hint="eastAsia" w:ascii="宋体" w:hAnsi="宋体" w:cs="黑体"/>
                <w:bCs/>
                <w:color w:val="auto"/>
                <w:szCs w:val="21"/>
                <w:highlight w:val="none"/>
              </w:rPr>
              <w:t>年内衰减不超过</w:t>
            </w:r>
            <w:r>
              <w:rPr>
                <w:rFonts w:hint="eastAsia" w:ascii="宋体" w:hAnsi="宋体" w:cs="黑体"/>
                <w:bCs/>
                <w:color w:val="auto"/>
                <w:szCs w:val="21"/>
                <w:highlight w:val="none"/>
                <w:lang w:val="en-US" w:eastAsia="zh-CN"/>
              </w:rPr>
              <w:t>2</w:t>
            </w:r>
            <w:r>
              <w:rPr>
                <w:rFonts w:hint="eastAsia" w:ascii="宋体" w:hAnsi="宋体" w:cs="黑体"/>
                <w:bCs/>
                <w:color w:val="auto"/>
                <w:szCs w:val="21"/>
                <w:highlight w:val="none"/>
              </w:rPr>
              <w:t>0%（以具有合格资质的第三方检测报告为准，</w:t>
            </w:r>
            <w:r>
              <w:rPr>
                <w:rFonts w:hint="eastAsia" w:ascii="宋体" w:hAnsi="宋体" w:cs="宋体"/>
                <w:bCs/>
                <w:color w:val="auto"/>
                <w:szCs w:val="21"/>
                <w:highlight w:val="none"/>
              </w:rPr>
              <w:t>在质保期内无偿每年定期进行一次质量检测</w:t>
            </w:r>
            <w:r>
              <w:rPr>
                <w:rFonts w:hint="eastAsia" w:ascii="宋体" w:hAnsi="宋体" w:cs="宋体"/>
                <w:bCs/>
                <w:color w:val="auto"/>
                <w:szCs w:val="21"/>
                <w:highlight w:val="none"/>
                <w:lang w:eastAsia="zh-CN"/>
              </w:rPr>
              <w:t>）</w:t>
            </w:r>
          </w:p>
          <w:p w14:paraId="43D08820">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黑体"/>
                <w:bCs/>
                <w:color w:val="auto"/>
                <w:szCs w:val="21"/>
                <w:highlight w:val="none"/>
                <w:lang w:val="en-US" w:eastAsia="zh-CN"/>
              </w:rPr>
              <w:t>6、</w:t>
            </w:r>
            <w:r>
              <w:rPr>
                <w:rFonts w:hint="eastAsia" w:ascii="宋体" w:hAnsi="宋体" w:cs="宋体"/>
                <w:bCs/>
                <w:color w:val="auto"/>
                <w:szCs w:val="21"/>
                <w:highlight w:val="none"/>
              </w:rPr>
              <w:t>具有故障诊断功能(包括电压、电流、温度、高压、均衡、CAN通讯故障) ；有过压、欠压、过流、过温、充电超出限制、放电超出限制等保护及报警功能。</w:t>
            </w:r>
          </w:p>
          <w:p w14:paraId="7AC1FE17">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采用标准模组、标准电池箱体，进行一体化设计，箱体采用压铸制造工艺。动力电池安装位置必须保证车厢空间不受影响。</w:t>
            </w:r>
          </w:p>
          <w:p w14:paraId="47BAAF6A">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、车辆设置为乘客门未关闭车辆不能起步功能。</w:t>
            </w:r>
          </w:p>
          <w:p w14:paraId="449A318A">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、车辆设置充电口，符合国标GBT 20234.3要求；充电方式：采用直流充电、慢充快补。充电接口应有明显标志标示，防止人员误操作。具有充电枪未拔出不能启动车辆功能</w:t>
            </w:r>
          </w:p>
          <w:p w14:paraId="0E934DA2">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、动力系统模块接入CAN总线，储能装置BMS管理系统具有远程监控功能，用户可通过互联网登陆平台实时查询和监控储能装置使用情况。</w:t>
            </w:r>
          </w:p>
        </w:tc>
      </w:tr>
      <w:tr w14:paraId="7657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01012B43">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驱动电机及控制器</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43CE4889">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color w:val="auto"/>
                <w:szCs w:val="21"/>
                <w:highlight w:val="none"/>
              </w:rPr>
            </w:pPr>
            <w:r>
              <w:rPr>
                <w:rFonts w:hint="eastAsia" w:ascii="宋体" w:hAnsi="宋体" w:cs="黑体"/>
                <w:bCs/>
                <w:color w:val="auto"/>
                <w:szCs w:val="21"/>
                <w:highlight w:val="none"/>
                <w:lang w:val="en-US" w:eastAsia="zh-CN"/>
              </w:rPr>
              <w:t>1</w:t>
            </w:r>
            <w:r>
              <w:rPr>
                <w:rFonts w:hint="eastAsia" w:ascii="宋体" w:hAnsi="宋体" w:cs="黑体"/>
                <w:bCs/>
                <w:color w:val="auto"/>
                <w:szCs w:val="21"/>
                <w:highlight w:val="none"/>
              </w:rPr>
              <w:t>、</w:t>
            </w:r>
            <w:r>
              <w:rPr>
                <w:rFonts w:hint="eastAsia" w:ascii="宋体" w:hAnsi="宋体" w:cs="宋体"/>
                <w:color w:val="auto"/>
                <w:szCs w:val="21"/>
                <w:highlight w:val="none"/>
              </w:rPr>
              <w:t>采用水冷永磁同步驱动电机，电机采用驱动桥；选用优质品牌电机，质保</w:t>
            </w:r>
            <w:r>
              <w:rPr>
                <w:rFonts w:hint="eastAsia" w:ascii="宋体" w:hAnsi="宋体" w:cs="黑体"/>
                <w:bCs/>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年。</w:t>
            </w:r>
            <w:r>
              <w:rPr>
                <w:rFonts w:hint="eastAsia"/>
                <w:color w:val="auto"/>
                <w:highlight w:val="none"/>
              </w:rPr>
              <w:t>电机峰值功率≥</w:t>
            </w:r>
            <w:r>
              <w:rPr>
                <w:color w:val="auto"/>
                <w:highlight w:val="none"/>
              </w:rPr>
              <w:t>1</w:t>
            </w:r>
            <w:r>
              <w:rPr>
                <w:rFonts w:hint="eastAsia"/>
                <w:color w:val="auto"/>
                <w:highlight w:val="none"/>
                <w:lang w:val="en-US" w:eastAsia="zh-CN"/>
              </w:rPr>
              <w:t>6</w:t>
            </w:r>
            <w:r>
              <w:rPr>
                <w:color w:val="auto"/>
                <w:highlight w:val="none"/>
              </w:rPr>
              <w:t>0KW</w:t>
            </w:r>
            <w:r>
              <w:rPr>
                <w:rFonts w:hint="eastAsia"/>
                <w:color w:val="auto"/>
                <w:highlight w:val="none"/>
              </w:rPr>
              <w:t>额定功率≥</w:t>
            </w:r>
            <w:r>
              <w:rPr>
                <w:rFonts w:hint="eastAsia"/>
                <w:color w:val="auto"/>
                <w:highlight w:val="none"/>
                <w:lang w:val="en-US" w:eastAsia="zh-CN"/>
              </w:rPr>
              <w:t>8</w:t>
            </w:r>
            <w:r>
              <w:rPr>
                <w:rFonts w:hint="eastAsia"/>
                <w:color w:val="auto"/>
                <w:highlight w:val="none"/>
              </w:rPr>
              <w:t>0</w:t>
            </w:r>
            <w:r>
              <w:rPr>
                <w:color w:val="auto"/>
                <w:highlight w:val="none"/>
              </w:rPr>
              <w:t>KW；</w:t>
            </w:r>
            <w:r>
              <w:rPr>
                <w:rFonts w:hint="eastAsia"/>
                <w:color w:val="auto"/>
                <w:highlight w:val="none"/>
              </w:rPr>
              <w:t>峰值扭矩≥</w:t>
            </w:r>
            <w:r>
              <w:rPr>
                <w:rFonts w:hint="eastAsia"/>
                <w:color w:val="auto"/>
                <w:highlight w:val="none"/>
                <w:lang w:val="en-US" w:eastAsia="zh-CN"/>
              </w:rPr>
              <w:t>100</w:t>
            </w:r>
            <w:r>
              <w:rPr>
                <w:rFonts w:hint="eastAsia"/>
                <w:color w:val="auto"/>
                <w:highlight w:val="none"/>
              </w:rPr>
              <w:t>0</w:t>
            </w:r>
            <w:r>
              <w:rPr>
                <w:color w:val="auto"/>
                <w:highlight w:val="none"/>
              </w:rPr>
              <w:t>N</w:t>
            </w:r>
            <w:r>
              <w:rPr>
                <w:rFonts w:hint="eastAsia"/>
                <w:color w:val="auto"/>
                <w:highlight w:val="none"/>
              </w:rPr>
              <w:t>m</w:t>
            </w:r>
            <w:r>
              <w:rPr>
                <w:color w:val="auto"/>
                <w:highlight w:val="none"/>
              </w:rPr>
              <w:t>；</w:t>
            </w:r>
            <w:r>
              <w:rPr>
                <w:rFonts w:hint="eastAsia"/>
                <w:color w:val="auto"/>
                <w:highlight w:val="none"/>
              </w:rPr>
              <w:t>外壳防护等级不低于</w:t>
            </w:r>
            <w:r>
              <w:rPr>
                <w:color w:val="auto"/>
                <w:highlight w:val="none"/>
              </w:rPr>
              <w:t>IP6</w:t>
            </w:r>
            <w:r>
              <w:rPr>
                <w:rFonts w:hint="eastAsia"/>
                <w:color w:val="auto"/>
                <w:highlight w:val="none"/>
              </w:rPr>
              <w:t>8，在投标文件中提供厂家车辆公告页</w:t>
            </w:r>
            <w:r>
              <w:rPr>
                <w:rFonts w:hint="eastAsia" w:ascii="宋体" w:hAnsi="宋体" w:cs="宋体"/>
                <w:color w:val="auto"/>
                <w:szCs w:val="21"/>
                <w:highlight w:val="none"/>
              </w:rPr>
              <w:t>。驱动电机具备缓速和能量回收功能。选用轻量化和体积小的铝壳驱动电机，并兼顾电机维保的方便性。驱动电机功率须满足公交服务要求，并具有低速大转矩特性及较宽范围内的恒功率特性，能够在车辆满载、爬坡等工况下提供充足动力。</w:t>
            </w:r>
          </w:p>
          <w:p w14:paraId="0B6FC57C">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p>
        </w:tc>
      </w:tr>
      <w:tr w14:paraId="2BCB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3999BD6">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整车控制器</w:t>
            </w:r>
          </w:p>
        </w:tc>
        <w:tc>
          <w:tcPr>
            <w:tcW w:w="8886" w:type="dxa"/>
            <w:tcBorders>
              <w:top w:val="single" w:color="auto" w:sz="4" w:space="0"/>
              <w:left w:val="single" w:color="auto" w:sz="4" w:space="0"/>
              <w:bottom w:val="single" w:color="auto" w:sz="4" w:space="0"/>
              <w:right w:val="single" w:color="auto" w:sz="4" w:space="0"/>
            </w:tcBorders>
            <w:noWrap w:val="0"/>
            <w:vAlign w:val="center"/>
          </w:tcPr>
          <w:p w14:paraId="477F5661">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1、具备故障诊断、过压保护、过流保护、过热保护、充电保护、漏电保护及信息自动传输。</w:t>
            </w:r>
          </w:p>
          <w:p w14:paraId="46175B8E">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2、满足传导抗扰度ISO 7637-2-2004；辐射抗扰度ISO 11452-2-2004（A级）；大电流注入ISO 11452-4-2005（A级）；静电放电ISO 10605-2008（A级）要求。</w:t>
            </w:r>
          </w:p>
          <w:p w14:paraId="108DF998">
            <w:pPr>
              <w:keepNext w:val="0"/>
              <w:keepLines w:val="0"/>
              <w:pageBreakBefore w:val="0"/>
              <w:widowControl w:val="0"/>
              <w:kinsoku/>
              <w:wordWrap/>
              <w:overflowPunct/>
              <w:topLinePunct w:val="0"/>
              <w:autoSpaceDE/>
              <w:autoSpaceDN/>
              <w:bidi w:val="0"/>
              <w:adjustRightInd/>
              <w:spacing w:line="540" w:lineRule="exact"/>
              <w:textAlignment w:val="auto"/>
              <w:rPr>
                <w:color w:val="auto"/>
                <w:highlight w:val="none"/>
              </w:rPr>
            </w:pPr>
            <w:r>
              <w:rPr>
                <w:rFonts w:hint="eastAsia"/>
                <w:color w:val="auto"/>
                <w:highlight w:val="none"/>
              </w:rPr>
              <w:t>3、</w:t>
            </w:r>
            <w:r>
              <w:rPr>
                <w:color w:val="auto"/>
                <w:highlight w:val="none"/>
              </w:rPr>
              <w:t>具有油门误踩系统（EAPM）：能智能分辨正常踩油门和油门误踩，当油门瞬间异常开度时，车辆不会前进或倒退。不具有车辆蠕动功能。（车辆档位在 D 或 R，在没有踩油门信号前提下，车辆不会前进或后退）。切换档位要求前进档与倒车档切换时必须先按空档再按前进挡或倒挡。</w:t>
            </w:r>
          </w:p>
          <w:p w14:paraId="29BADD7C">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bCs/>
                <w:color w:val="auto"/>
                <w:szCs w:val="21"/>
                <w:highlight w:val="none"/>
                <w:lang w:val="en-US" w:eastAsia="zh-CN"/>
              </w:rPr>
              <w:t>整车控制器</w:t>
            </w:r>
            <w:r>
              <w:rPr>
                <w:rFonts w:hint="eastAsia" w:ascii="宋体" w:hAnsi="宋体" w:cs="宋体"/>
                <w:bCs/>
                <w:color w:val="auto"/>
                <w:szCs w:val="21"/>
                <w:highlight w:val="none"/>
              </w:rPr>
              <w:t>防护等级达到IP68 ，质保</w:t>
            </w:r>
            <w:r>
              <w:rPr>
                <w:rFonts w:hint="eastAsia" w:ascii="宋体" w:hAnsi="宋体" w:cs="黑体"/>
                <w:bCs/>
                <w:color w:val="auto"/>
                <w:szCs w:val="21"/>
                <w:highlight w:val="none"/>
              </w:rPr>
              <w:t>≥</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年。</w:t>
            </w:r>
          </w:p>
        </w:tc>
      </w:tr>
      <w:tr w14:paraId="64DF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9934713">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底盘</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090452DD">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1、采用</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rPr>
              <w:t>级踏步，</w:t>
            </w:r>
            <w:r>
              <w:rPr>
                <w:rFonts w:hint="eastAsia" w:ascii="宋体" w:hAnsi="宋体" w:cs="宋体"/>
                <w:bCs/>
                <w:color w:val="auto"/>
                <w:szCs w:val="21"/>
                <w:highlight w:val="none"/>
                <w:lang w:val="en-US" w:eastAsia="zh-CN"/>
              </w:rPr>
              <w:t>一级踏步≤380mm,</w:t>
            </w:r>
            <w:r>
              <w:rPr>
                <w:rFonts w:hint="eastAsia" w:ascii="宋体" w:hAnsi="宋体" w:cs="宋体"/>
                <w:bCs/>
                <w:color w:val="auto"/>
                <w:szCs w:val="21"/>
                <w:highlight w:val="none"/>
              </w:rPr>
              <w:t>盘式制动，带制动器磨损极限报警，</w:t>
            </w:r>
            <w:r>
              <w:rPr>
                <w:rFonts w:hint="eastAsia" w:ascii="宋体" w:hAnsi="宋体" w:cs="宋体"/>
                <w:bCs/>
                <w:color w:val="auto"/>
                <w:szCs w:val="21"/>
                <w:highlight w:val="none"/>
                <w:lang w:val="en-US" w:eastAsia="zh-CN"/>
              </w:rPr>
              <w:t>前后制动器具有制动高温预警系统，通过CAN总线可实时检测制动器卡钳温度，</w:t>
            </w:r>
            <w:r>
              <w:rPr>
                <w:rFonts w:hint="eastAsia" w:ascii="宋体" w:hAnsi="宋体" w:cs="宋体"/>
                <w:bCs/>
                <w:color w:val="auto"/>
                <w:szCs w:val="21"/>
                <w:highlight w:val="none"/>
              </w:rPr>
              <w:t>额定载荷≥</w:t>
            </w:r>
            <w:r>
              <w:rPr>
                <w:rFonts w:hint="eastAsia" w:ascii="宋体" w:hAnsi="宋体" w:cs="宋体"/>
                <w:bCs/>
                <w:color w:val="auto"/>
                <w:szCs w:val="21"/>
                <w:highlight w:val="none"/>
                <w:lang w:val="en-US" w:eastAsia="zh-CN"/>
              </w:rPr>
              <w:t>3.5</w:t>
            </w:r>
            <w:r>
              <w:rPr>
                <w:rFonts w:hint="eastAsia" w:ascii="宋体" w:hAnsi="宋体" w:cs="宋体"/>
                <w:bCs/>
                <w:color w:val="auto"/>
                <w:szCs w:val="21"/>
                <w:highlight w:val="none"/>
              </w:rPr>
              <w:t>T；后桥盘式制动，额定载荷≥</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T，前后桥使用脂润滑免维护轮毂（质保8年，质保期内故障必须更换总成），冲压焊接整体式桥壳，新能源公交车专用主减，主减速器速比的设定应根据运行的特点，确保能量消耗的经济性，主减速器质保期为8年。配ABS系统（考虑在仪表上增加或可直接显示故障轮的功能）。</w:t>
            </w:r>
          </w:p>
          <w:p w14:paraId="52FE8388">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2、动力系统最大承载扭矩必须满足城市公交运行线路实际超载运行的特殊要求。</w:t>
            </w:r>
          </w:p>
          <w:p w14:paraId="3847E217">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3、双回路气制动系统，驻车制动采用手控操纵储能弹簧制动。整车主要制动管路采用铜管，气管路安装空气干燥装置；安装低气压报警装置（制动系统符合GB7258制动系的要求），安装自动排水系统。</w:t>
            </w:r>
          </w:p>
          <w:p w14:paraId="2604F56C">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4、采用电子驻车系统。</w:t>
            </w:r>
          </w:p>
          <w:p w14:paraId="67DE37E6">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5、采用集中润滑系统，质保8年。</w:t>
            </w:r>
          </w:p>
          <w:p w14:paraId="64B0C070">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6、采用</w:t>
            </w:r>
            <w:r>
              <w:rPr>
                <w:rFonts w:hint="eastAsia" w:ascii="宋体" w:hAnsi="宋体" w:cs="宋体"/>
                <w:bCs/>
                <w:color w:val="auto"/>
                <w:szCs w:val="21"/>
                <w:highlight w:val="none"/>
                <w:lang w:val="en-US" w:eastAsia="zh-CN"/>
              </w:rPr>
              <w:t>公交专用</w:t>
            </w:r>
            <w:r>
              <w:rPr>
                <w:rFonts w:hint="eastAsia" w:ascii="宋体" w:hAnsi="宋体" w:cs="宋体"/>
                <w:bCs/>
                <w:color w:val="auto"/>
                <w:szCs w:val="21"/>
                <w:highlight w:val="none"/>
              </w:rPr>
              <w:t>无内胎子午线轮胎，</w:t>
            </w:r>
            <w:r>
              <w:rPr>
                <w:rFonts w:hint="eastAsia" w:ascii="宋体" w:hAnsi="宋体" w:cs="宋体"/>
                <w:bCs/>
                <w:color w:val="auto"/>
                <w:szCs w:val="21"/>
                <w:highlight w:val="none"/>
                <w:lang w:val="en-US" w:eastAsia="zh-CN"/>
              </w:rPr>
              <w:t>轮胎规格</w:t>
            </w:r>
            <w:r>
              <w:rPr>
                <w:rFonts w:hint="eastAsia" w:ascii="宋体" w:hAnsi="宋体" w:cs="黑体"/>
                <w:bCs/>
                <w:color w:val="auto"/>
                <w:szCs w:val="21"/>
                <w:highlight w:val="none"/>
                <w:lang w:val="en-US" w:eastAsia="zh-CN"/>
              </w:rPr>
              <w:t>215/75R17.5，全车配</w:t>
            </w:r>
            <w:r>
              <w:rPr>
                <w:rFonts w:hint="eastAsia" w:ascii="宋体" w:hAnsi="宋体" w:cs="宋体"/>
                <w:bCs/>
                <w:color w:val="auto"/>
                <w:szCs w:val="21"/>
                <w:highlight w:val="none"/>
              </w:rPr>
              <w:t>铝合金轮毂（带平衡器</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，含备胎7只</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备胎铝合金轮毂也带平衡器</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p>
          <w:p w14:paraId="2F18935F">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7、采用</w:t>
            </w:r>
            <w:r>
              <w:rPr>
                <w:rFonts w:hint="eastAsia" w:ascii="宋体" w:hAnsi="宋体"/>
                <w:color w:val="auto"/>
                <w:szCs w:val="21"/>
                <w:highlight w:val="none"/>
              </w:rPr>
              <w:t>前</w:t>
            </w:r>
            <w:r>
              <w:rPr>
                <w:rFonts w:hint="eastAsia" w:ascii="宋体" w:hAnsi="宋体"/>
                <w:color w:val="auto"/>
                <w:szCs w:val="21"/>
                <w:highlight w:val="none"/>
                <w:lang w:val="en-US" w:eastAsia="zh-CN"/>
              </w:rPr>
              <w:t>3</w:t>
            </w:r>
            <w:r>
              <w:rPr>
                <w:rFonts w:hint="eastAsia" w:ascii="宋体" w:hAnsi="宋体"/>
                <w:color w:val="auto"/>
                <w:szCs w:val="21"/>
                <w:highlight w:val="none"/>
              </w:rPr>
              <w:t>后</w:t>
            </w:r>
            <w:r>
              <w:rPr>
                <w:rFonts w:hint="eastAsia" w:ascii="宋体" w:hAnsi="宋体"/>
                <w:color w:val="auto"/>
                <w:szCs w:val="21"/>
                <w:highlight w:val="none"/>
                <w:lang w:val="en-US" w:eastAsia="zh-CN"/>
              </w:rPr>
              <w:t>4</w:t>
            </w:r>
            <w:r>
              <w:rPr>
                <w:rFonts w:hint="eastAsia" w:ascii="宋体" w:hAnsi="宋体" w:cs="宋体"/>
                <w:color w:val="auto"/>
                <w:szCs w:val="21"/>
                <w:highlight w:val="none"/>
              </w:rPr>
              <w:t>钢板悬挂，安装液压减震器</w:t>
            </w:r>
            <w:r>
              <w:rPr>
                <w:rFonts w:hint="eastAsia" w:ascii="宋体" w:hAnsi="宋体" w:cs="宋体"/>
                <w:bCs/>
                <w:color w:val="auto"/>
                <w:szCs w:val="21"/>
                <w:highlight w:val="none"/>
              </w:rPr>
              <w:t>。悬架系统承载力须满足公交运营线路实际超载要求，必须满足郊区线路道路条件，前桥配横向稳定杆。</w:t>
            </w:r>
          </w:p>
          <w:p w14:paraId="404218E0">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8、转向器：</w:t>
            </w:r>
            <w:r>
              <w:rPr>
                <w:rFonts w:hint="eastAsia" w:ascii="宋体" w:hAnsi="宋体" w:cs="宋体"/>
                <w:bCs/>
                <w:color w:val="auto"/>
                <w:szCs w:val="21"/>
                <w:highlight w:val="none"/>
                <w:lang w:val="en-US" w:eastAsia="zh-CN"/>
              </w:rPr>
              <w:t>双源电助力转向器，</w:t>
            </w:r>
            <w:r>
              <w:rPr>
                <w:rFonts w:hint="eastAsia" w:ascii="宋体" w:hAnsi="宋体" w:cs="宋体"/>
                <w:bCs/>
                <w:color w:val="auto"/>
                <w:szCs w:val="21"/>
                <w:highlight w:val="none"/>
              </w:rPr>
              <w:t>系统油管采用整根结构（或接头在易于检查维护的较低点），要求储油罐及油管接头防止渗漏油。整车高压断电异常情况时，保持转向系统维持助力状态。</w:t>
            </w:r>
          </w:p>
          <w:p w14:paraId="4655042E">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9、ATS系统散热器（整套质保8年）：采用</w:t>
            </w:r>
            <w:r>
              <w:rPr>
                <w:rFonts w:hint="eastAsia" w:ascii="宋体" w:hAnsi="宋体" w:cs="宋体"/>
                <w:bCs/>
                <w:color w:val="auto"/>
                <w:szCs w:val="21"/>
                <w:highlight w:val="none"/>
                <w:lang w:val="en-US" w:eastAsia="zh-CN"/>
              </w:rPr>
              <w:t>优质</w:t>
            </w:r>
            <w:r>
              <w:rPr>
                <w:rFonts w:hint="eastAsia" w:ascii="宋体" w:hAnsi="宋体" w:cs="宋体"/>
                <w:bCs/>
                <w:color w:val="auto"/>
                <w:szCs w:val="21"/>
                <w:highlight w:val="none"/>
              </w:rPr>
              <w:t>型材散热器，无刷风机；ECU具有一键回家模式，气流逆转除尘；与CAN总线无缝对接；配置无刷磁力泵，防护等级IP68 ，具有空转、欠压、反接保护功能，具有故障诊断及指示灯报警功能。</w:t>
            </w:r>
          </w:p>
          <w:p w14:paraId="225AD13D">
            <w:pPr>
              <w:pStyle w:val="44"/>
              <w:keepNext w:val="0"/>
              <w:keepLines w:val="0"/>
              <w:pageBreakBefore w:val="0"/>
              <w:widowControl w:val="0"/>
              <w:kinsoku/>
              <w:wordWrap/>
              <w:overflowPunct/>
              <w:topLinePunct w:val="0"/>
              <w:autoSpaceDE/>
              <w:autoSpaceDN/>
              <w:bidi w:val="0"/>
              <w:adjustRightInd/>
              <w:spacing w:line="540" w:lineRule="exact"/>
              <w:ind w:left="0" w:leftChars="0" w:firstLine="0" w:firstLineChars="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10、</w:t>
            </w:r>
            <w:r>
              <w:rPr>
                <w:rFonts w:hint="eastAsia" w:ascii="宋体" w:hAnsi="宋体" w:eastAsia="宋体" w:cs="宋体"/>
                <w:bCs/>
                <w:color w:val="auto"/>
                <w:szCs w:val="21"/>
                <w:highlight w:val="none"/>
                <w:lang w:val="en-US" w:eastAsia="zh-CN"/>
              </w:rPr>
              <w:t>采用无油</w:t>
            </w:r>
            <w:r>
              <w:rPr>
                <w:rFonts w:hint="eastAsia" w:ascii="宋体" w:hAnsi="宋体" w:eastAsia="宋体" w:cs="宋体"/>
                <w:bCs/>
                <w:color w:val="auto"/>
                <w:szCs w:val="21"/>
                <w:highlight w:val="none"/>
              </w:rPr>
              <w:t>电动空气压缩机（质保8年）。</w:t>
            </w:r>
          </w:p>
        </w:tc>
      </w:tr>
      <w:tr w14:paraId="0568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62C19BF">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电器系统</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211A2621">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1、配备2</w:t>
            </w:r>
            <w:r>
              <w:rPr>
                <w:rFonts w:hint="eastAsia" w:ascii="宋体" w:hAnsi="宋体" w:cs="宋体"/>
                <w:bCs/>
                <w:color w:val="auto"/>
                <w:szCs w:val="21"/>
                <w:highlight w:val="none"/>
                <w:lang w:val="en-US" w:eastAsia="zh-CN"/>
              </w:rPr>
              <w:t>*80</w:t>
            </w:r>
            <w:r>
              <w:rPr>
                <w:rFonts w:hint="eastAsia" w:ascii="宋体" w:hAnsi="宋体" w:cs="宋体"/>
                <w:bCs/>
                <w:color w:val="auto"/>
                <w:szCs w:val="21"/>
                <w:highlight w:val="none"/>
              </w:rPr>
              <w:t>A</w:t>
            </w:r>
            <w:r>
              <w:rPr>
                <w:rFonts w:hint="eastAsia" w:ascii="宋体" w:hAnsi="宋体" w:cs="宋体"/>
                <w:bCs/>
                <w:color w:val="auto"/>
                <w:szCs w:val="21"/>
                <w:highlight w:val="none"/>
                <w:lang w:val="en-US" w:eastAsia="zh-CN"/>
              </w:rPr>
              <w:t>以上</w:t>
            </w:r>
            <w:r>
              <w:rPr>
                <w:rFonts w:hint="eastAsia" w:ascii="宋体" w:hAnsi="宋体" w:cs="宋体"/>
                <w:bCs/>
                <w:color w:val="auto"/>
                <w:szCs w:val="21"/>
                <w:highlight w:val="none"/>
              </w:rPr>
              <w:t>免维护蓄电池（电池容量需符合车辆电器设备的需求），质保期不少于2年。蓄电池仓单独设立（可与后控盒共用），与车身间具有密封结构，底座留排水孔。电瓶线预留5-6公分。</w:t>
            </w:r>
          </w:p>
          <w:p w14:paraId="19377DEC">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2、电器线路：整车电器、电器线路、接插件和熔断器必须符合国家相关标准要求。除信号线等特殊线束外，其余电线采用辐照交联阻燃型材料（耐温≥125℃），底盘电线和电线束外加套阻燃波纹管，线束接插件采用安普原装进口，底盘线束需防水。</w:t>
            </w:r>
          </w:p>
          <w:p w14:paraId="190BFB0E">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3、电线和电线束布置符合GB7258相关规定。电线及线束与车身接触处用阻尼胶固定；穿越孔洞时须装防磨损胶垫圈和绝缘护套，进入车身暗线必须加套阻燃绝缘管，布置整齐、接头牢固并有绝缘套，每隔300mm安装固定扣攀。</w:t>
            </w:r>
          </w:p>
          <w:p w14:paraId="7C766473">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4、前、后围线束布置需有保护（尽量保证在大梁内侧），避免因车辆刮擦引起线束损坏。</w:t>
            </w:r>
          </w:p>
          <w:p w14:paraId="1CFFC553">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5、车辆预留部分备用线路或接线柱（20A和10A），并且接线柱或插接件前段有保险装置，要有标识（外接电源），以备车辆增加临时用电器的需求（备用线路由ACC控制）。</w:t>
            </w:r>
          </w:p>
          <w:p w14:paraId="79F902D7">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6、灯光、照明装置，信号装置，开关的布置符合相关法规要求。车厢外照明及信号装置的技术条件符合GB7258的规定。</w:t>
            </w:r>
          </w:p>
          <w:p w14:paraId="725E0D98">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7、前、后门上下客区域设置侧边迎宾灯（车门开启，灯光自动开启，避免直射眼睛）；车厢内照明采用分段可调式LED灯。</w:t>
            </w:r>
          </w:p>
          <w:p w14:paraId="2957C408">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8、电磁式电源总开关和旋转式机械开关。</w:t>
            </w:r>
          </w:p>
          <w:p w14:paraId="605523E3">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9、安装限速及限速报警装置，限定速度</w:t>
            </w:r>
            <w:r>
              <w:rPr>
                <w:rFonts w:hint="eastAsia" w:ascii="宋体" w:hAnsi="宋体" w:cs="宋体"/>
                <w:bCs/>
                <w:color w:val="auto"/>
                <w:szCs w:val="21"/>
                <w:highlight w:val="none"/>
                <w:lang w:val="en-US" w:eastAsia="zh-CN"/>
              </w:rPr>
              <w:t>50</w:t>
            </w:r>
            <w:r>
              <w:rPr>
                <w:rFonts w:hint="eastAsia" w:ascii="宋体" w:hAnsi="宋体" w:cs="宋体"/>
                <w:bCs/>
                <w:color w:val="auto"/>
                <w:szCs w:val="21"/>
                <w:highlight w:val="none"/>
              </w:rPr>
              <w:t>km/h（车辆交付后根据实际情况可进行修正）。</w:t>
            </w:r>
          </w:p>
          <w:p w14:paraId="07DDB89A">
            <w:pPr>
              <w:keepNext w:val="0"/>
              <w:keepLines w:val="0"/>
              <w:pageBreakBefore w:val="0"/>
              <w:widowControl w:val="0"/>
              <w:kinsoku/>
              <w:wordWrap/>
              <w:overflowPunct/>
              <w:topLinePunct w:val="0"/>
              <w:autoSpaceDE/>
              <w:autoSpaceDN/>
              <w:bidi w:val="0"/>
              <w:adjustRightInd/>
              <w:spacing w:line="540" w:lineRule="exact"/>
              <w:textAlignment w:val="auto"/>
              <w:rPr>
                <w:color w:val="auto"/>
                <w:highlight w:val="none"/>
              </w:rPr>
            </w:pPr>
            <w:r>
              <w:rPr>
                <w:rFonts w:hint="eastAsia" w:ascii="宋体" w:hAnsi="宋体" w:cs="宋体"/>
                <w:bCs/>
                <w:color w:val="auto"/>
                <w:szCs w:val="21"/>
                <w:highlight w:val="none"/>
              </w:rPr>
              <w:t>10、CAN彩屏总线系统：</w:t>
            </w:r>
            <w:r>
              <w:rPr>
                <w:color w:val="auto"/>
                <w:highlight w:val="none"/>
              </w:rPr>
              <w:t>整车采用优质 CAN 总线系统（与招标方车辆使用单位的技术信息管理平台对接），整车 CAN 总线控制系统（三级）集成客车电机、电机驱动系统（含电源）、空气悬挂系统、制动系统、电池设备仓散热系统、ABS、灯光、雨刷、车门、车载电子设备、空调与暖风装置等全部总成部件，具有状态显示、故障预警、故障判断、电耗与里程记录、故障记录、短路与过载保护等功能；预留电耗与里程以及故障信息等多项数据下载和传输接口。所有电器接插件采用进口 AMP 电线电器接插件（底盘部分为防水型）。线束布置整齐，走向合理，防护良好，固定可靠，不会出现坠挂和车辆运动中碰擦其他零部件或因抖动出现断裂。并提供 CAN 总线全部接口</w:t>
            </w:r>
          </w:p>
          <w:p w14:paraId="06C506EC">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11、</w:t>
            </w:r>
            <w:r>
              <w:rPr>
                <w:rFonts w:hint="eastAsia" w:ascii="宋体" w:hAnsi="宋体" w:cs="宋体"/>
                <w:bCs/>
                <w:color w:val="auto"/>
                <w:szCs w:val="21"/>
                <w:highlight w:val="none"/>
                <w:lang w:val="en-US" w:eastAsia="zh-CN"/>
              </w:rPr>
              <w:t>全车</w:t>
            </w:r>
            <w:r>
              <w:rPr>
                <w:rFonts w:hint="eastAsia" w:ascii="宋体" w:hAnsi="宋体" w:cs="宋体"/>
                <w:bCs/>
                <w:color w:val="auto"/>
                <w:szCs w:val="21"/>
                <w:highlight w:val="none"/>
              </w:rPr>
              <w:t>轮胎</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含备胎</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安装智能胎压监测系统。轮胎压力监测系统宜组合安装在仪表台内或安装在驾驶员易于观察的位置；应具备自检功能，当轮胎压力检测系统发生故障时应向驾驶员发出声或光报警信号；检测系统传感器宜为内置式传感器；检测系统宜集成轮胎身份电子标签系统，应具备轮胎更换系统自动识别匹配功能；检测系统应具备轮胎高压、低压报警装置并可显示温度功能，当车辆启动后，轮胎压力检测系统应在检测到轮胎压力出现异常后，立即提供声和光报警，并显示轮胎异常位置和异常类型，在轮胎压力恢复正常后应立即消除异常报警。</w:t>
            </w:r>
          </w:p>
          <w:p w14:paraId="0E93203B">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12、</w:t>
            </w:r>
            <w:r>
              <w:rPr>
                <w:rFonts w:hint="eastAsia" w:ascii="宋体" w:hAnsi="宋体" w:cs="宋体"/>
                <w:color w:val="auto"/>
                <w:szCs w:val="21"/>
                <w:highlight w:val="none"/>
              </w:rPr>
              <w:t>配电盒均采用全铝智能防火配电盒，取消保险和继电器，所有功率输出采用功率芯片来控制，具备CAN通讯功能（质保8年）</w:t>
            </w:r>
            <w:r>
              <w:rPr>
                <w:rFonts w:hint="eastAsia" w:ascii="宋体" w:hAnsi="宋体" w:cs="宋体"/>
                <w:bCs/>
                <w:color w:val="auto"/>
                <w:szCs w:val="21"/>
                <w:highlight w:val="none"/>
              </w:rPr>
              <w:t>。</w:t>
            </w:r>
          </w:p>
        </w:tc>
      </w:tr>
      <w:tr w14:paraId="7144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E3E5255">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车身</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71B691B0">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采用全承载整体式车身结构，车身骨架应有足够的强度、刚度，抗扭、抗弯性能好，整车密封性良好，采用阴极电泳等防腐处理，车身质保期8年。车身外侧采用涨拉蒙皮结构。整车前后桥轮毂罩区域应有两层密封防腐处理。车身顶棚骨架间距不大于900mm。上、下乘客门一踏骨架加强，防止地板塌陷。</w:t>
            </w:r>
          </w:p>
          <w:p w14:paraId="2F6B8323">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、符合国家标准车用内饰材料、地板铺地材料、车身隔热材料、动力电池舱隔热材料等阻燃性能应符合JT/T 1095的规定。客车整车采用防火阻燃材料，不得使用聚氨酯发泡。车顶棚骨架、侧围骨架使用防火隔热闭泡材料，底盘和轮毂使用乙烯基吸声降噪材料或气凝胶，技术性能必须达到GB38262-2019《汽车内饰材料燃烧特性》，防火等级A0级，内饰材料需提供国家认可机构出具的报告，车顶骨架和侧围使用厚度不少于25mm；</w:t>
            </w:r>
          </w:p>
          <w:p w14:paraId="20FC4D6D">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、车厢内顶板采用中顶铝塑板，内侧板采用PVC不燃烧阻燃材料，采用全景式铝合金空调风道（风道灯光设置为三段可调式），出风口为弥漫式（后排乘客区域不得直接对头部出风）。质保8年</w:t>
            </w:r>
          </w:p>
          <w:p w14:paraId="01C993BF">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、根据车身结构，在车身左右侧设置维修边门。为方便雨刷器等部件的检修，客车前围可打开，电瓶仓开小门。</w:t>
            </w:r>
          </w:p>
          <w:p w14:paraId="00FA3D31">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、车辆前部设置气管快接头，便于车辆施救，车辆前部设计为施救无需拆除保险杆即可硬杆拖车。</w:t>
            </w:r>
          </w:p>
        </w:tc>
      </w:tr>
      <w:tr w14:paraId="2627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A0C23B5">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地板</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5AB8377B">
            <w:pPr>
              <w:keepNext w:val="0"/>
              <w:keepLines w:val="0"/>
              <w:pageBreakBefore w:val="0"/>
              <w:widowControl w:val="0"/>
              <w:numPr>
                <w:ilvl w:val="0"/>
                <w:numId w:val="0"/>
              </w:numPr>
              <w:kinsoku/>
              <w:wordWrap/>
              <w:overflowPunct/>
              <w:topLinePunct w:val="0"/>
              <w:autoSpaceDE/>
              <w:autoSpaceDN/>
              <w:bidi w:val="0"/>
              <w:adjustRightInd/>
              <w:spacing w:line="540" w:lineRule="exact"/>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采用无机复合防水不燃烧PVC地板（厚度≥18mm），质保8年；地板革采用进口加厚耐磨石英砂地板革。前、后乘客门踏步区域采用黄色专用地板革，上、下乘客门一踏地板革增加“站立禁区”。</w:t>
            </w:r>
          </w:p>
          <w:p w14:paraId="568A201B">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、车厢内各阴阳角拼接缝处采用铝合金型材拼压，直角拼缝处采用磨光45°对接，圆弧拼缝处采用成型或锯齿状弯曲拼压。</w:t>
            </w:r>
          </w:p>
          <w:p w14:paraId="299017F8">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、车内设置检修孔和盖板（检修孔和盖板处需安装金属框架，确保不得塌陷）。</w:t>
            </w:r>
          </w:p>
        </w:tc>
      </w:tr>
      <w:tr w14:paraId="1B58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27B5DB7">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门窗及玻璃</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0D2BCFF3">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color w:val="auto"/>
                <w:szCs w:val="21"/>
                <w:highlight w:val="none"/>
              </w:rPr>
              <w:t>车门设计为</w:t>
            </w:r>
            <w:r>
              <w:rPr>
                <w:rFonts w:hint="eastAsia" w:ascii="宋体" w:hAnsi="宋体" w:cs="宋体"/>
                <w:color w:val="auto"/>
                <w:spacing w:val="-2"/>
                <w:szCs w:val="21"/>
                <w:highlight w:val="none"/>
              </w:rPr>
              <w:t>前、后气动内摆门</w:t>
            </w:r>
            <w:r>
              <w:rPr>
                <w:rFonts w:hint="eastAsia" w:ascii="宋体" w:hAnsi="宋体"/>
                <w:color w:val="auto"/>
                <w:szCs w:val="21"/>
                <w:highlight w:val="none"/>
              </w:rPr>
              <w:t>，有延时防夹功能</w:t>
            </w:r>
            <w:r>
              <w:rPr>
                <w:rFonts w:hint="eastAsia" w:ascii="宋体" w:hAnsi="宋体"/>
                <w:color w:val="auto"/>
                <w:szCs w:val="21"/>
                <w:highlight w:val="none"/>
                <w:lang w:eastAsia="zh-CN"/>
              </w:rPr>
              <w:t>，</w:t>
            </w:r>
            <w:r>
              <w:rPr>
                <w:rFonts w:hint="eastAsia" w:ascii="宋体" w:hAnsi="宋体" w:cs="宋体"/>
                <w:bCs/>
                <w:color w:val="auto"/>
                <w:szCs w:val="21"/>
                <w:highlight w:val="none"/>
              </w:rPr>
              <w:t>车辆未停稳不允许开门，乘客门没关闭不允许起步</w:t>
            </w:r>
            <w:r>
              <w:rPr>
                <w:rFonts w:hint="eastAsia" w:ascii="宋体" w:hAnsi="宋体" w:cs="宋体"/>
                <w:bCs/>
                <w:color w:val="auto"/>
                <w:szCs w:val="21"/>
                <w:highlight w:val="none"/>
                <w:lang w:eastAsia="zh-CN"/>
              </w:rPr>
              <w:t>。</w:t>
            </w:r>
            <w:r>
              <w:rPr>
                <w:rFonts w:hint="eastAsia" w:ascii="宋体" w:hAnsi="宋体" w:cs="宋体"/>
                <w:color w:val="auto"/>
                <w:szCs w:val="21"/>
                <w:highlight w:val="none"/>
              </w:rPr>
              <w:t>车门传动机构、门泵、电磁阀等工作可靠。加强型铝型材门，门玻璃为钢化玻璃，车门应有锁</w:t>
            </w:r>
            <w:r>
              <w:rPr>
                <w:rFonts w:hint="eastAsia" w:ascii="宋体" w:hAnsi="宋体" w:cs="宋体"/>
                <w:color w:val="auto"/>
                <w:szCs w:val="21"/>
                <w:highlight w:val="none"/>
                <w:lang w:eastAsia="zh-CN"/>
              </w:rPr>
              <w:t>，</w:t>
            </w:r>
            <w:r>
              <w:rPr>
                <w:rFonts w:hint="eastAsia" w:ascii="宋体" w:hAnsi="宋体" w:cs="宋体"/>
                <w:color w:val="auto"/>
                <w:szCs w:val="21"/>
                <w:highlight w:val="none"/>
              </w:rPr>
              <w:t>采用优质材料的门胶条，门胶条与门框边固定要牢固。</w:t>
            </w:r>
          </w:p>
          <w:p w14:paraId="592E73B4">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bCs/>
                <w:color w:val="auto"/>
                <w:szCs w:val="21"/>
                <w:highlight w:val="none"/>
              </w:rPr>
            </w:pPr>
            <w:r>
              <w:rPr>
                <w:rFonts w:hint="eastAsia" w:ascii="宋体" w:hAnsi="宋体"/>
                <w:bCs/>
                <w:color w:val="auto"/>
                <w:szCs w:val="21"/>
                <w:highlight w:val="none"/>
              </w:rPr>
              <w:t>前门转轴和后门转轴防夹罩上均要有 “请勿扶手，当心门夹”字样（黄色或红色喷漆）。</w:t>
            </w:r>
          </w:p>
          <w:p w14:paraId="333E2D96">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bCs/>
                <w:color w:val="auto"/>
                <w:szCs w:val="21"/>
                <w:highlight w:val="none"/>
              </w:rPr>
            </w:pPr>
            <w:r>
              <w:rPr>
                <w:rFonts w:hint="eastAsia" w:ascii="宋体" w:hAnsi="宋体"/>
                <w:bCs/>
                <w:color w:val="auto"/>
                <w:szCs w:val="21"/>
                <w:highlight w:val="none"/>
                <w:lang w:val="en-US" w:eastAsia="zh-CN"/>
              </w:rPr>
              <w:t>2、</w:t>
            </w:r>
            <w:r>
              <w:rPr>
                <w:rFonts w:hint="eastAsia" w:ascii="宋体" w:hAnsi="宋体" w:cs="黑体"/>
                <w:bCs/>
                <w:color w:val="auto"/>
                <w:szCs w:val="21"/>
                <w:highlight w:val="none"/>
              </w:rPr>
              <w:t>乘客门底部防尘功能采用翻板形式，翻板应采用分体式结构，损坏时可单独拆卸更换</w:t>
            </w:r>
          </w:p>
          <w:p w14:paraId="7303ADE5">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、门泵驱动系统采用电控气动方式，采用进口电磁阀和继电器。在驾驶区适当位置设置乘客门应急打开气动控制阀开关。前后乘客门应急开关设置位置合理，离地板高度1800mm左右。</w:t>
            </w:r>
          </w:p>
          <w:p w14:paraId="32310143">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bCs/>
                <w:color w:val="auto"/>
                <w:szCs w:val="21"/>
                <w:highlight w:val="none"/>
              </w:rPr>
              <w:t>5、侧窗采用粘贴式内藏推拉窗，推拉窗部分尽量大。侧窗下缘距地板高度小于680mm时应采取安全措施。左侧第一扇窗玻璃为白玻璃，前半扇可移动，后半扇固定。右侧安装路牌处对应部分玻璃为透明。左右侧窗各安装一扇内置推拉式紧急出口推窗，便于紧急情况下乘客逃生，并具有开启声响报警提醒功能。</w:t>
            </w:r>
            <w:r>
              <w:rPr>
                <w:rFonts w:hint="eastAsia" w:ascii="宋体" w:hAnsi="宋体" w:cs="宋体"/>
                <w:bCs/>
                <w:color w:val="auto"/>
                <w:szCs w:val="21"/>
                <w:highlight w:val="none"/>
              </w:rPr>
              <w:t>侧窗玻璃采用纳米隔热，透光率51%，厚度5mm及以上。前后乘客门玻璃采用白玻璃。整车安装新能源无火药一拖四手自一体破窗器，带翻盖报警功能，质保8年。</w:t>
            </w:r>
            <w:r>
              <w:rPr>
                <w:rFonts w:hint="eastAsia" w:ascii="宋体" w:hAnsi="宋体"/>
                <w:bCs/>
                <w:color w:val="auto"/>
                <w:szCs w:val="21"/>
                <w:highlight w:val="none"/>
              </w:rPr>
              <w:t>配报警式护手安全锤（6把及以上，其中司机上方1把）</w:t>
            </w:r>
            <w:r>
              <w:rPr>
                <w:rFonts w:hint="eastAsia" w:ascii="宋体" w:hAnsi="宋体"/>
                <w:bCs/>
                <w:color w:val="auto"/>
                <w:szCs w:val="21"/>
                <w:highlight w:val="none"/>
                <w:lang w:eastAsia="zh-CN"/>
              </w:rPr>
              <w:t>。</w:t>
            </w:r>
          </w:p>
          <w:p w14:paraId="3C53D08E">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bCs/>
                <w:color w:val="auto"/>
                <w:szCs w:val="21"/>
                <w:highlight w:val="none"/>
              </w:rPr>
            </w:pPr>
            <w:r>
              <w:rPr>
                <w:rFonts w:hint="eastAsia" w:ascii="宋体" w:hAnsi="宋体"/>
                <w:bCs/>
                <w:color w:val="auto"/>
                <w:szCs w:val="21"/>
                <w:highlight w:val="none"/>
              </w:rPr>
              <w:t>6、前挡风玻璃采用全景整体夹胶安全玻璃，并配有除雾装置。后挡风玻璃采用整体式钢化安全玻璃。风窗玻璃涂黑部分尺寸必须满足后视镜视角和电子路牌显示要求。</w:t>
            </w:r>
          </w:p>
          <w:p w14:paraId="4A3C58E7">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bCs/>
                <w:color w:val="auto"/>
                <w:szCs w:val="21"/>
                <w:highlight w:val="none"/>
              </w:rPr>
            </w:pPr>
            <w:r>
              <w:rPr>
                <w:rFonts w:hint="eastAsia" w:ascii="宋体" w:hAnsi="宋体"/>
                <w:bCs/>
                <w:color w:val="auto"/>
                <w:szCs w:val="21"/>
                <w:highlight w:val="none"/>
              </w:rPr>
              <w:t>7、驾驶座前方、左方安装下拉式活动遮阳帘，前方遮阳帘尽量往左靠。全车安装窗帘轨道。</w:t>
            </w:r>
          </w:p>
          <w:p w14:paraId="2A94E1D2">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bCs/>
                <w:color w:val="auto"/>
                <w:szCs w:val="21"/>
                <w:highlight w:val="none"/>
              </w:rPr>
            </w:pPr>
            <w:r>
              <w:rPr>
                <w:rFonts w:hint="eastAsia" w:ascii="宋体" w:hAnsi="宋体"/>
                <w:bCs/>
                <w:color w:val="auto"/>
                <w:szCs w:val="21"/>
                <w:highlight w:val="none"/>
              </w:rPr>
              <w:t>8、前乘客门与右前第一排座位之间、后乘客门与（高地板区）右后第一排座位之间，必须安装挡板，防止乘客轧伤。</w:t>
            </w:r>
          </w:p>
          <w:p w14:paraId="3C2D4EA9">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bCs/>
                <w:color w:val="auto"/>
                <w:szCs w:val="21"/>
                <w:highlight w:val="none"/>
              </w:rPr>
            </w:pPr>
            <w:r>
              <w:rPr>
                <w:rFonts w:hint="eastAsia" w:ascii="宋体" w:hAnsi="宋体"/>
                <w:bCs/>
                <w:color w:val="auto"/>
                <w:szCs w:val="21"/>
                <w:highlight w:val="none"/>
              </w:rPr>
              <w:t>9、安装1只带有换气功能的安全天窗，符合国家标准，天窗设计合理，开关轻便，顶盖部分钢板设计制作，不老化不锈蚀不漏雨，大功率多面进排风结构，强排风、低噪音，采用国内主要品牌。</w:t>
            </w:r>
          </w:p>
          <w:p w14:paraId="1E8D506F">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p>
        </w:tc>
      </w:tr>
      <w:tr w14:paraId="538E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CBAD079">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座椅附手杆</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1379C60A">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全车配（相当于</w:t>
            </w:r>
            <w:r>
              <w:rPr>
                <w:rFonts w:hint="eastAsia" w:ascii="宋体" w:hAnsi="宋体" w:cs="宋体"/>
                <w:bCs/>
                <w:color w:val="auto"/>
                <w:szCs w:val="21"/>
                <w:highlight w:val="none"/>
                <w:lang w:val="en-US" w:eastAsia="zh-CN"/>
              </w:rPr>
              <w:t>15</w:t>
            </w:r>
            <w:r>
              <w:rPr>
                <w:rFonts w:ascii="宋体" w:hAnsi="宋体" w:cs="宋体"/>
                <w:bCs/>
                <w:color w:val="auto"/>
                <w:szCs w:val="21"/>
                <w:highlight w:val="none"/>
              </w:rPr>
              <w:t>+1）</w:t>
            </w:r>
            <w:r>
              <w:rPr>
                <w:rFonts w:hint="eastAsia" w:ascii="宋体" w:hAnsi="宋体" w:cs="宋体"/>
                <w:bCs/>
                <w:color w:val="auto"/>
                <w:szCs w:val="21"/>
                <w:highlight w:val="none"/>
              </w:rPr>
              <w:t>公交乘客座椅，</w:t>
            </w:r>
            <w:r>
              <w:rPr>
                <w:rFonts w:ascii="宋体" w:hAnsi="宋体" w:cs="宋体"/>
                <w:bCs/>
                <w:color w:val="auto"/>
                <w:szCs w:val="21"/>
                <w:highlight w:val="none"/>
              </w:rPr>
              <w:t>座椅布置及数量在公告允许范围内由招标人确定。</w:t>
            </w:r>
            <w:r>
              <w:rPr>
                <w:rFonts w:hint="eastAsia" w:ascii="宋体" w:hAnsi="宋体" w:cs="宋体"/>
                <w:bCs/>
                <w:color w:val="auto"/>
                <w:szCs w:val="21"/>
                <w:highlight w:val="none"/>
              </w:rPr>
              <w:t>座椅布置及“爱心座椅”由招标人选定（投标人提供布置图），“爱心座椅”每车不少于5个，颜色为黄色需要由铝牌标识。</w:t>
            </w:r>
          </w:p>
          <w:p w14:paraId="42918C62">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2、司机座椅采用气囊减震式真皮驾驶椅，配三点式安全带（高度可调），增加安全带未系提醒。</w:t>
            </w:r>
          </w:p>
          <w:p w14:paraId="657D63C6">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3、驾驶区防护隔离设施必须符合JT/T 1241-2019标准要求，护围门玻璃材料应使用符合GB 9656中的钢化玻璃的相关规定，厚度应不小于5mm。应避免驾驶员受阳光眩光和车内灯光的影响，护围门上部玻璃的可见光透射比应不小于95%，可见光反射比应不大于1.5%。在合适位置张贴警示标志：“影响公交车驾驶员安全驾驶，涉嫌违法犯罪”和图片解说。</w:t>
            </w:r>
          </w:p>
          <w:p w14:paraId="3ADC113C">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4、车窗需安装护栏的，护栏高度符合GB7258规定逃生出口尺寸。</w:t>
            </w:r>
          </w:p>
          <w:p w14:paraId="6726B076">
            <w:pPr>
              <w:keepNext w:val="0"/>
              <w:keepLines w:val="0"/>
              <w:pageBreakBefore w:val="0"/>
              <w:widowControl w:val="0"/>
              <w:kinsoku/>
              <w:wordWrap/>
              <w:overflowPunct/>
              <w:topLinePunct w:val="0"/>
              <w:autoSpaceDE/>
              <w:autoSpaceDN/>
              <w:bidi w:val="0"/>
              <w:adjustRightInd/>
              <w:spacing w:line="540" w:lineRule="exact"/>
              <w:textAlignment w:val="auto"/>
              <w:rPr>
                <w:color w:val="auto"/>
                <w:highlight w:val="none"/>
              </w:rPr>
            </w:pPr>
            <w:r>
              <w:rPr>
                <w:rFonts w:hint="eastAsia" w:ascii="宋体" w:hAnsi="宋体" w:cs="宋体"/>
                <w:bCs/>
                <w:color w:val="auto"/>
                <w:szCs w:val="21"/>
                <w:highlight w:val="none"/>
              </w:rPr>
              <w:t>5、</w:t>
            </w:r>
            <w:r>
              <w:rPr>
                <w:color w:val="auto"/>
                <w:highlight w:val="none"/>
              </w:rPr>
              <w:t>手扶杆采用</w:t>
            </w:r>
            <w:r>
              <w:rPr>
                <w:rFonts w:hint="eastAsia"/>
                <w:color w:val="auto"/>
                <w:highlight w:val="none"/>
                <w:lang w:val="en-US" w:eastAsia="zh-CN"/>
              </w:rPr>
              <w:t>内置24V不锈钢</w:t>
            </w:r>
            <w:r>
              <w:rPr>
                <w:color w:val="auto"/>
                <w:highlight w:val="none"/>
              </w:rPr>
              <w:t>公交扶手</w:t>
            </w:r>
            <w:r>
              <w:rPr>
                <w:rFonts w:hint="eastAsia"/>
                <w:color w:val="auto"/>
                <w:highlight w:val="none"/>
                <w:lang w:val="en-US" w:eastAsia="zh-CN"/>
              </w:rPr>
              <w:t>杆</w:t>
            </w:r>
            <w:r>
              <w:rPr>
                <w:color w:val="auto"/>
                <w:highlight w:val="none"/>
              </w:rPr>
              <w:t>，带防寒套，</w:t>
            </w:r>
            <w:r>
              <w:rPr>
                <w:rFonts w:hint="eastAsia"/>
                <w:color w:val="auto"/>
                <w:highlight w:val="none"/>
                <w:lang w:val="en-US" w:eastAsia="zh-CN"/>
              </w:rPr>
              <w:t>前门第一根显示为“宁海公交欢迎您”，中门旁一根显示为“下车请按铃”，车厢中间区域选择一根显示“坐稳扶牢”，</w:t>
            </w:r>
            <w:r>
              <w:rPr>
                <w:color w:val="auto"/>
                <w:highlight w:val="none"/>
              </w:rPr>
              <w:t>采用</w:t>
            </w:r>
            <w:r>
              <w:rPr>
                <w:rFonts w:hint="eastAsia"/>
                <w:color w:val="auto"/>
                <w:highlight w:val="none"/>
                <w:lang w:val="en-US" w:eastAsia="zh-CN"/>
              </w:rPr>
              <w:t>不锈钢</w:t>
            </w:r>
            <w:r>
              <w:rPr>
                <w:color w:val="auto"/>
                <w:highlight w:val="none"/>
              </w:rPr>
              <w:t>拉环，扶手颜色按招标人在用车型一样、包括乘客门安全扶手。侧窗扶手安装要有利于应急逃生。手扶立柱配下车提示开关</w:t>
            </w:r>
            <w:r>
              <w:rPr>
                <w:rFonts w:hint="eastAsia"/>
                <w:color w:val="auto"/>
                <w:highlight w:val="none"/>
                <w:lang w:eastAsia="zh-CN"/>
              </w:rPr>
              <w:t>（</w:t>
            </w:r>
            <w:r>
              <w:rPr>
                <w:rFonts w:hint="eastAsia"/>
                <w:color w:val="auto"/>
                <w:highlight w:val="none"/>
                <w:lang w:val="en-US" w:eastAsia="zh-CN"/>
              </w:rPr>
              <w:t>全车不少于6个提示开关</w:t>
            </w:r>
            <w:r>
              <w:rPr>
                <w:rFonts w:hint="eastAsia"/>
                <w:color w:val="auto"/>
                <w:highlight w:val="none"/>
                <w:lang w:eastAsia="zh-CN"/>
              </w:rPr>
              <w:t>）</w:t>
            </w:r>
            <w:r>
              <w:rPr>
                <w:color w:val="auto"/>
                <w:highlight w:val="none"/>
              </w:rPr>
              <w:t>。在上客门处直扶手上配装 1.3 米的儿童票价标志牌 1 块。扶手各连接部位的螺栓加保护螺套。整车采用直扶手设计形式，直扶手与直扶手采用错距安装，最大限度地确保车厢内部通道宽度。</w:t>
            </w:r>
          </w:p>
        </w:tc>
      </w:tr>
      <w:tr w14:paraId="4A8B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D2509C5">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后视镜</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03506227">
            <w:pPr>
              <w:keepNext w:val="0"/>
              <w:keepLines w:val="0"/>
              <w:pageBreakBefore w:val="0"/>
              <w:widowControl w:val="0"/>
              <w:numPr>
                <w:ilvl w:val="0"/>
                <w:numId w:val="0"/>
              </w:numPr>
              <w:kinsoku/>
              <w:wordWrap/>
              <w:overflowPunct/>
              <w:topLinePunct w:val="0"/>
              <w:autoSpaceDE/>
              <w:autoSpaceDN/>
              <w:bidi w:val="0"/>
              <w:adjustRightInd/>
              <w:spacing w:line="540" w:lineRule="exact"/>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车辆外侧安装手动铁支架式大视野后视镜，支撑牢固，视野清晰。后视镜视野范围应符合GB7258规定。</w:t>
            </w:r>
          </w:p>
          <w:p w14:paraId="0F487D69">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、车厢内前挡风中部安装车内后视镜，可调节。</w:t>
            </w:r>
          </w:p>
          <w:p w14:paraId="6BEFC808">
            <w:pPr>
              <w:pStyle w:val="44"/>
              <w:keepNext w:val="0"/>
              <w:keepLines w:val="0"/>
              <w:pageBreakBefore w:val="0"/>
              <w:widowControl w:val="0"/>
              <w:kinsoku/>
              <w:wordWrap/>
              <w:overflowPunct/>
              <w:topLinePunct w:val="0"/>
              <w:autoSpaceDE/>
              <w:autoSpaceDN/>
              <w:bidi w:val="0"/>
              <w:adjustRightInd/>
              <w:spacing w:line="540" w:lineRule="exact"/>
              <w:ind w:left="0" w:leftChars="0" w:firstLine="0" w:firstLineChars="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、安装电子后视镜。软件功能必须具备以下功能：1）、屏幕支持显示2路以上摄像头画面，支持2路以上视频输入；2）支持CAN通讯电平检测等功能；3）支持SD卡存储，容量256G以上；</w:t>
            </w:r>
          </w:p>
        </w:tc>
      </w:tr>
      <w:tr w14:paraId="3503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42E8C0E2">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空调</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39DCC332">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1、智能变频冷暖空调，带电加热，优质铜管路芯体，变频压缩机，符合 GB/T21361-2008《汽车用空调器》及相关标准</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制冷量≥</w:t>
            </w: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rPr>
              <w:t>000</w:t>
            </w:r>
            <w:r>
              <w:rPr>
                <w:rFonts w:hint="eastAsia" w:ascii="宋体" w:hAnsi="宋体" w:cs="宋体"/>
                <w:bCs/>
                <w:color w:val="auto"/>
                <w:szCs w:val="21"/>
                <w:highlight w:val="none"/>
                <w:lang w:val="en-US" w:eastAsia="zh-CN"/>
              </w:rPr>
              <w:t>KCAL/H</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带PTC、新风功能，</w:t>
            </w:r>
            <w:r>
              <w:rPr>
                <w:rFonts w:hint="eastAsia" w:ascii="宋体" w:hAnsi="宋体" w:cs="宋体"/>
                <w:bCs/>
                <w:color w:val="auto"/>
                <w:szCs w:val="21"/>
                <w:highlight w:val="none"/>
              </w:rPr>
              <w:t>符合实际使用需求。空调机组安装牢固可靠，整机性能稳定；前、后车厢及驾驶区域温度均匀一致。空调蒸发器出风口处的顶盖蒙皮设有防水止口，排水管布置合理，防止冷凝水进入车内。</w:t>
            </w:r>
          </w:p>
          <w:p w14:paraId="5DE77510">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2、空调系统接入CAN总线，实现云数据处理，可对车辆空调是否开启，温度值进行后台判断。</w:t>
            </w:r>
          </w:p>
          <w:p w14:paraId="7F27A109">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在驾驶员位置必须加大出风量，要求单独铺设导风管至驾驶员位置并加装出风口，驾驶区域安装三个可调式出风口正对驾驶员,防止前热后冷现象。</w:t>
            </w:r>
          </w:p>
          <w:p w14:paraId="105B463D">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cs="宋体"/>
                <w:bCs/>
                <w:color w:val="auto"/>
                <w:szCs w:val="21"/>
                <w:highlight w:val="none"/>
              </w:rPr>
              <w:t>由于宁波地区冬日严寒,车辆在短时间内热量提升较慢,要求配置独立电采暖，司机独立电采暖1个。质保8年。</w:t>
            </w:r>
          </w:p>
          <w:p w14:paraId="2A2C1EAE">
            <w:pPr>
              <w:keepNext w:val="0"/>
              <w:keepLines w:val="0"/>
              <w:pageBreakBefore w:val="0"/>
              <w:widowControl w:val="0"/>
              <w:kinsoku/>
              <w:wordWrap/>
              <w:overflowPunct/>
              <w:topLinePunct w:val="0"/>
              <w:autoSpaceDE/>
              <w:autoSpaceDN/>
              <w:bidi w:val="0"/>
              <w:adjustRightInd/>
              <w:spacing w:line="540" w:lineRule="exact"/>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、前挡风高压电除霜系统。</w:t>
            </w:r>
            <w:r>
              <w:rPr>
                <w:rFonts w:hint="eastAsia" w:ascii="宋体" w:hAnsi="宋体" w:cs="宋体"/>
                <w:bCs/>
                <w:color w:val="auto"/>
                <w:szCs w:val="21"/>
                <w:highlight w:val="none"/>
                <w:lang w:val="en-US" w:eastAsia="zh-CN"/>
              </w:rPr>
              <w:t xml:space="preserve">  </w:t>
            </w:r>
          </w:p>
        </w:tc>
      </w:tr>
      <w:tr w14:paraId="7621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2E71508C">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服务系统</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6898F481">
            <w:pPr>
              <w:keepNext w:val="0"/>
              <w:keepLines w:val="0"/>
              <w:pageBreakBefore w:val="0"/>
              <w:widowControl w:val="0"/>
              <w:kinsoku/>
              <w:wordWrap/>
              <w:overflowPunct/>
              <w:topLinePunct w:val="0"/>
              <w:autoSpaceDE/>
              <w:autoSpaceDN/>
              <w:bidi w:val="0"/>
              <w:adjustRightInd/>
              <w:snapToGrid w:val="0"/>
              <w:spacing w:line="540" w:lineRule="exact"/>
              <w:textAlignment w:val="auto"/>
              <w:outlineLvl w:val="0"/>
              <w:rPr>
                <w:rFonts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选用选用</w:t>
            </w:r>
            <w:r>
              <w:rPr>
                <w:rFonts w:hint="eastAsia" w:ascii="宋体" w:hAnsi="宋体" w:cs="宋体"/>
                <w:bCs/>
                <w:color w:val="auto"/>
                <w:szCs w:val="21"/>
                <w:highlight w:val="none"/>
                <w:lang w:val="en-US" w:eastAsia="zh-CN"/>
              </w:rPr>
              <w:t>安徽中科中涣信息技术有限公司FC10系列智能终端</w:t>
            </w:r>
            <w:r>
              <w:rPr>
                <w:rFonts w:hint="eastAsia" w:ascii="宋体" w:hAnsi="宋体" w:cs="宋体"/>
                <w:bCs/>
                <w:color w:val="auto"/>
                <w:szCs w:val="21"/>
                <w:highlight w:val="none"/>
              </w:rPr>
              <w:t>（带客流分析、主动安全、驾驶行为分析功能），要确保一个通道只安装一个摄像头，</w:t>
            </w:r>
            <w:r>
              <w:rPr>
                <w:rFonts w:ascii="宋体" w:hAnsi="宋体" w:cs="宋体"/>
                <w:bCs/>
                <w:color w:val="auto"/>
                <w:szCs w:val="21"/>
                <w:highlight w:val="none"/>
              </w:rPr>
              <w:t>安装位置合理、防水，</w:t>
            </w:r>
            <w:r>
              <w:rPr>
                <w:rFonts w:hint="eastAsia" w:ascii="宋体" w:hAnsi="宋体" w:cs="宋体"/>
                <w:bCs/>
                <w:color w:val="auto"/>
                <w:szCs w:val="21"/>
                <w:highlight w:val="none"/>
              </w:rPr>
              <w:t>支持</w:t>
            </w:r>
            <w:r>
              <w:rPr>
                <w:rFonts w:ascii="宋体" w:hAnsi="宋体" w:cs="宋体"/>
                <w:bCs/>
                <w:color w:val="auto"/>
                <w:szCs w:val="21"/>
                <w:highlight w:val="none"/>
              </w:rPr>
              <w:t>CAN</w:t>
            </w:r>
            <w:r>
              <w:rPr>
                <w:rFonts w:hint="eastAsia" w:ascii="宋体" w:hAnsi="宋体" w:cs="宋体"/>
                <w:bCs/>
                <w:color w:val="auto"/>
                <w:szCs w:val="21"/>
                <w:highlight w:val="none"/>
              </w:rPr>
              <w:t>总线数据传输。</w:t>
            </w:r>
          </w:p>
          <w:p w14:paraId="34715D72">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2、仪表台、工具箱、由客车厂提供布置图，招标人确认。</w:t>
            </w:r>
          </w:p>
          <w:p w14:paraId="28CD9620">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3、采用</w:t>
            </w:r>
            <w:r>
              <w:rPr>
                <w:rFonts w:hint="eastAsia" w:ascii="宋体" w:hAnsi="宋体" w:cs="宋体"/>
                <w:bCs/>
                <w:color w:val="auto"/>
                <w:szCs w:val="21"/>
                <w:highlight w:val="none"/>
                <w:lang w:val="en-US" w:eastAsia="zh-CN"/>
              </w:rPr>
              <w:t>24</w:t>
            </w:r>
            <w:r>
              <w:rPr>
                <w:rFonts w:hint="eastAsia" w:ascii="宋体" w:hAnsi="宋体" w:cs="宋体"/>
                <w:bCs/>
                <w:color w:val="auto"/>
                <w:szCs w:val="21"/>
                <w:highlight w:val="none"/>
              </w:rPr>
              <w:t>矩阵电子路牌，前电子路牌要求11字显示，具体按中标车型尺寸确定；车厢内安装9字显示滚动屏附电子钟，前门后侧玻璃1/3处安装6字滚动型线路电子腰牌,</w:t>
            </w:r>
            <w:r>
              <w:rPr>
                <w:rFonts w:ascii="宋体" w:hAnsi="宋体" w:cs="宋体"/>
                <w:bCs/>
                <w:color w:val="auto"/>
                <w:szCs w:val="21"/>
                <w:highlight w:val="none"/>
              </w:rPr>
              <w:t>具体按中标车型尺寸确定；后路牌6字显示，</w:t>
            </w:r>
            <w:r>
              <w:rPr>
                <w:rFonts w:hint="eastAsia" w:ascii="宋体" w:hAnsi="宋体" w:cs="宋体"/>
                <w:bCs/>
                <w:color w:val="auto"/>
                <w:szCs w:val="21"/>
                <w:highlight w:val="none"/>
              </w:rPr>
              <w:t>车辆转向和制动时在后电子路牌显示“刹车，左转弯或右转弯”等信息。</w:t>
            </w:r>
          </w:p>
          <w:p w14:paraId="7CE71221">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4、安装3</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寸LCD车内乘客导乘屏，安装位置要牢固可靠，通讯接口与协议必须与宁海公交现有的智能调度监控系统兼容，具体通讯协议按招标人技术标准对接。</w:t>
            </w:r>
          </w:p>
          <w:p w14:paraId="00AA8765">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5、采用无人售票设计，安装含计数功能的投币机一个</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三个银袋</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国内优秀品牌，投币机翻板开关与前门联动，并单独设置投币箱翻板开关按钮。旁设POS机杆，前门安装宁波市民卡刷卡机具设备，为方便今后采用分段计费需求，在下客门合适位置预留安装刷卡设备支架，预铺设跟前门刷卡设备相连接的的电源线（电源线向市民卡公司采购），预铺设人脸识别设备电源线，电源直接从蓄电池引出。</w:t>
            </w:r>
          </w:p>
          <w:p w14:paraId="143F3FA8">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6、预留移动电视（车厢前部）和车内后滚动屏电源线。</w:t>
            </w:r>
          </w:p>
          <w:p w14:paraId="50798976">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7、车厢内均匀布置扬声器，报站器与电视喇叭合理分配，报站时自动降低电视音量。</w:t>
            </w:r>
          </w:p>
          <w:p w14:paraId="4DFF75E7">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8、前门扶手杆设立儿童身高限位标尺，标高1.3米。</w:t>
            </w:r>
          </w:p>
          <w:p w14:paraId="56940357">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9、智能公交监控系统设置独立电器箱安装位置，预留电源接口。</w:t>
            </w:r>
          </w:p>
          <w:p w14:paraId="6DE2B38D">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10、预留车载无线WIFA线束（驾驶台附近隐蔽位置）。</w:t>
            </w:r>
          </w:p>
          <w:p w14:paraId="070AC6A6">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11、驾驶员旁安装电风扇。</w:t>
            </w:r>
          </w:p>
          <w:p w14:paraId="0CE4D424">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、车内服务标识，车厂按招标人要求制作并按照指定位置安装。</w:t>
            </w:r>
          </w:p>
          <w:p w14:paraId="7659AC77">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、标配智能转弯提醒器，音量大小可根据不同时段自动调节，各项技术符合国标，配低速提醒装置。</w:t>
            </w:r>
          </w:p>
          <w:p w14:paraId="5098935C">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、车厢两侧安装USB充电插口</w:t>
            </w:r>
          </w:p>
        </w:tc>
      </w:tr>
      <w:tr w14:paraId="6F0D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7579BF6A">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其他</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11372277">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rPr>
              <w:t>1、车厢配内</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只4KG干粉灭火器</w:t>
            </w:r>
            <w:r>
              <w:rPr>
                <w:rFonts w:hint="eastAsia" w:ascii="宋体" w:hAnsi="宋体" w:cs="宋体"/>
                <w:bCs/>
                <w:color w:val="auto"/>
                <w:szCs w:val="21"/>
                <w:highlight w:val="none"/>
                <w:lang w:eastAsia="zh-CN"/>
              </w:rPr>
              <w:t>，</w:t>
            </w:r>
            <w:r>
              <w:rPr>
                <w:rFonts w:hint="eastAsia" w:ascii="宋体" w:hAnsi="宋体"/>
                <w:bCs/>
                <w:color w:val="auto"/>
                <w:szCs w:val="21"/>
                <w:highlight w:val="none"/>
              </w:rPr>
              <w:t>4只为手掷式灭火瓶</w:t>
            </w:r>
            <w:r>
              <w:rPr>
                <w:rFonts w:hint="eastAsia" w:ascii="宋体" w:hAnsi="宋体"/>
                <w:bCs/>
                <w:color w:val="auto"/>
                <w:szCs w:val="21"/>
                <w:highlight w:val="none"/>
                <w:lang w:eastAsia="zh-CN"/>
              </w:rPr>
              <w:t>（</w:t>
            </w:r>
            <w:r>
              <w:rPr>
                <w:rFonts w:hint="eastAsia" w:ascii="宋体" w:hAnsi="宋体"/>
                <w:bCs/>
                <w:color w:val="auto"/>
                <w:szCs w:val="21"/>
                <w:highlight w:val="none"/>
              </w:rPr>
              <w:t>安装在驾驶员工作区域</w:t>
            </w:r>
            <w:r>
              <w:rPr>
                <w:rFonts w:hint="eastAsia" w:ascii="宋体" w:hAnsi="宋体"/>
                <w:bCs/>
                <w:color w:val="auto"/>
                <w:szCs w:val="21"/>
                <w:highlight w:val="none"/>
                <w:lang w:eastAsia="zh-CN"/>
              </w:rPr>
              <w:t>）</w:t>
            </w:r>
            <w:r>
              <w:rPr>
                <w:rFonts w:hint="eastAsia" w:ascii="宋体" w:hAnsi="宋体"/>
                <w:bCs/>
                <w:color w:val="auto"/>
                <w:szCs w:val="21"/>
                <w:highlight w:val="none"/>
              </w:rPr>
              <w:t>，安装位置得当，不得影响乘客行走安全</w:t>
            </w:r>
            <w:r>
              <w:rPr>
                <w:rFonts w:hint="eastAsia" w:ascii="宋体" w:hAnsi="宋体" w:cs="宋体"/>
                <w:bCs/>
                <w:color w:val="auto"/>
                <w:szCs w:val="21"/>
                <w:highlight w:val="none"/>
              </w:rPr>
              <w:t>。。</w:t>
            </w:r>
          </w:p>
          <w:p w14:paraId="3067A345">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、车内安全设施的标识牌等必须使用铝牌铆接，确保不脱落，不掉色。</w:t>
            </w:r>
          </w:p>
          <w:p w14:paraId="796D7D00">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、车内布置</w:t>
            </w:r>
            <w:r>
              <w:rPr>
                <w:rFonts w:hint="eastAsia" w:ascii="宋体" w:hAnsi="宋体" w:cs="宋体"/>
                <w:bCs/>
                <w:color w:val="auto"/>
                <w:szCs w:val="21"/>
                <w:highlight w:val="none"/>
                <w:lang w:val="en-US" w:eastAsia="zh-CN"/>
              </w:rPr>
              <w:t>一体式</w:t>
            </w:r>
            <w:r>
              <w:rPr>
                <w:rFonts w:hint="eastAsia" w:ascii="宋体" w:hAnsi="宋体" w:cs="宋体"/>
                <w:bCs/>
                <w:color w:val="auto"/>
                <w:szCs w:val="21"/>
                <w:highlight w:val="none"/>
              </w:rPr>
              <w:t>垃圾箱。</w:t>
            </w:r>
          </w:p>
          <w:p w14:paraId="42D20EAF">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、驾驶员脚下区域采用耐磨不锈钢脚垫，同时右脚处加装不锈钢脚踏。</w:t>
            </w:r>
          </w:p>
          <w:p w14:paraId="18879CA3">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5、</w:t>
            </w:r>
            <w:r>
              <w:rPr>
                <w:color w:val="auto"/>
                <w:spacing w:val="9"/>
              </w:rPr>
              <w:t>驾驶室区域布置</w:t>
            </w:r>
            <w:r>
              <w:rPr>
                <w:color w:val="auto"/>
                <w:spacing w:val="-10"/>
              </w:rPr>
              <w:t xml:space="preserve"> </w:t>
            </w:r>
            <w:r>
              <w:rPr>
                <w:color w:val="auto"/>
                <w:spacing w:val="9"/>
              </w:rPr>
              <w:t>1</w:t>
            </w:r>
            <w:r>
              <w:rPr>
                <w:color w:val="auto"/>
                <w:spacing w:val="-38"/>
              </w:rPr>
              <w:t xml:space="preserve"> </w:t>
            </w:r>
            <w:r>
              <w:rPr>
                <w:color w:val="auto"/>
                <w:spacing w:val="9"/>
              </w:rPr>
              <w:t>个手机存放盒</w:t>
            </w:r>
          </w:p>
          <w:p w14:paraId="3D35B9C0">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、车内设置电器箱，各类模块和总保险盒统一放置在内。</w:t>
            </w:r>
          </w:p>
          <w:p w14:paraId="5BEE4267">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、车身颜色、图案、标识由招标人提供。</w:t>
            </w:r>
          </w:p>
          <w:p w14:paraId="183F5437">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、随车工具和资料。</w:t>
            </w:r>
          </w:p>
          <w:p w14:paraId="17007206">
            <w:pPr>
              <w:keepNext w:val="0"/>
              <w:keepLines w:val="0"/>
              <w:pageBreakBefore w:val="0"/>
              <w:widowControl w:val="0"/>
              <w:kinsoku/>
              <w:wordWrap/>
              <w:overflowPunct/>
              <w:topLinePunct w:val="0"/>
              <w:autoSpaceDE/>
              <w:autoSpaceDN/>
              <w:bidi w:val="0"/>
              <w:adjustRightInd/>
              <w:spacing w:line="540" w:lineRule="exact"/>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、车辆上牌所需照片和资料。</w:t>
            </w:r>
          </w:p>
        </w:tc>
      </w:tr>
    </w:tbl>
    <w:p w14:paraId="4ED79785">
      <w:pPr>
        <w:rPr>
          <w:color w:val="auto"/>
          <w:highlight w:val="none"/>
        </w:rPr>
      </w:pPr>
    </w:p>
    <w:p w14:paraId="1BE5DDB6">
      <w:pPr>
        <w:rPr>
          <w:color w:val="auto"/>
          <w:highlight w:val="none"/>
        </w:rPr>
      </w:pPr>
    </w:p>
    <w:p w14:paraId="6F58430D">
      <w:pPr>
        <w:rPr>
          <w:color w:val="auto"/>
          <w:highlight w:val="none"/>
        </w:rPr>
      </w:pPr>
    </w:p>
    <w:p w14:paraId="4C243C3D">
      <w:pPr>
        <w:rPr>
          <w:color w:val="auto"/>
          <w:highlight w:val="none"/>
        </w:rPr>
      </w:pPr>
    </w:p>
    <w:p w14:paraId="22624B6A">
      <w:pPr>
        <w:rPr>
          <w:color w:val="auto"/>
          <w:highlight w:val="none"/>
        </w:rPr>
      </w:pPr>
    </w:p>
    <w:p w14:paraId="68670A98">
      <w:pPr>
        <w:rPr>
          <w:color w:val="auto"/>
          <w:highlight w:val="none"/>
        </w:rPr>
      </w:pPr>
    </w:p>
    <w:p w14:paraId="020B34A9">
      <w:pPr>
        <w:rPr>
          <w:color w:val="auto"/>
          <w:highlight w:val="none"/>
        </w:rPr>
      </w:pPr>
    </w:p>
    <w:p w14:paraId="15361A25">
      <w:pPr>
        <w:rPr>
          <w:color w:val="auto"/>
          <w:highlight w:val="none"/>
        </w:rPr>
      </w:pPr>
    </w:p>
    <w:p w14:paraId="23FD950F">
      <w:pPr>
        <w:rPr>
          <w:color w:val="auto"/>
          <w:highlight w:val="none"/>
        </w:rPr>
      </w:pPr>
    </w:p>
    <w:p w14:paraId="37C78868">
      <w:pPr>
        <w:rPr>
          <w:color w:val="auto"/>
          <w:highlight w:val="none"/>
        </w:rPr>
      </w:pPr>
    </w:p>
    <w:p w14:paraId="5542FB81">
      <w:pPr>
        <w:rPr>
          <w:color w:val="auto"/>
          <w:highlight w:val="none"/>
        </w:rPr>
      </w:pPr>
    </w:p>
    <w:p w14:paraId="163D53C7">
      <w:pPr>
        <w:rPr>
          <w:color w:val="auto"/>
          <w:highlight w:val="none"/>
        </w:rPr>
      </w:pPr>
    </w:p>
    <w:p w14:paraId="49E79A82">
      <w:pPr>
        <w:rPr>
          <w:color w:val="auto"/>
          <w:highlight w:val="none"/>
        </w:rPr>
      </w:pPr>
    </w:p>
    <w:p w14:paraId="6A781D6A">
      <w:pPr>
        <w:rPr>
          <w:color w:val="auto"/>
          <w:highlight w:val="none"/>
        </w:rPr>
      </w:pPr>
    </w:p>
    <w:p w14:paraId="0CAA6A08">
      <w:pPr>
        <w:rPr>
          <w:color w:val="auto"/>
          <w:highlight w:val="none"/>
        </w:rPr>
      </w:pPr>
    </w:p>
    <w:p w14:paraId="1138DED8">
      <w:pPr>
        <w:rPr>
          <w:color w:val="auto"/>
          <w:highlight w:val="none"/>
        </w:rPr>
      </w:pPr>
    </w:p>
    <w:p w14:paraId="0268A7C7">
      <w:pPr>
        <w:rPr>
          <w:color w:val="auto"/>
          <w:highlight w:val="none"/>
        </w:rPr>
      </w:pPr>
    </w:p>
    <w:p w14:paraId="31273BFE">
      <w:pPr>
        <w:rPr>
          <w:color w:val="auto"/>
          <w:highlight w:val="none"/>
        </w:rPr>
      </w:pPr>
    </w:p>
    <w:p w14:paraId="6BD78D8E">
      <w:pPr>
        <w:rPr>
          <w:color w:val="auto"/>
          <w:highlight w:val="none"/>
        </w:rPr>
      </w:pPr>
    </w:p>
    <w:p w14:paraId="5AE366AD">
      <w:pPr>
        <w:rPr>
          <w:color w:val="auto"/>
          <w:highlight w:val="none"/>
        </w:rPr>
      </w:pPr>
    </w:p>
    <w:p w14:paraId="7C4C6B79">
      <w:pPr>
        <w:rPr>
          <w:color w:val="auto"/>
          <w:highlight w:val="none"/>
        </w:rPr>
      </w:pPr>
    </w:p>
    <w:p w14:paraId="423BA028">
      <w:pPr>
        <w:rPr>
          <w:color w:val="auto"/>
          <w:highlight w:val="none"/>
        </w:rPr>
      </w:pPr>
    </w:p>
    <w:p w14:paraId="3F158725">
      <w:pPr>
        <w:rPr>
          <w:color w:val="auto"/>
          <w:highlight w:val="none"/>
        </w:rPr>
      </w:pPr>
    </w:p>
    <w:p w14:paraId="274F4285">
      <w:pPr>
        <w:rPr>
          <w:color w:val="auto"/>
          <w:highlight w:val="none"/>
        </w:rPr>
      </w:pPr>
    </w:p>
    <w:p w14:paraId="1742D02F">
      <w:pPr>
        <w:rPr>
          <w:color w:val="auto"/>
          <w:highlight w:val="none"/>
        </w:rPr>
      </w:pPr>
    </w:p>
    <w:p w14:paraId="7688769E">
      <w:pPr>
        <w:rPr>
          <w:color w:val="auto"/>
          <w:highlight w:val="none"/>
        </w:rPr>
      </w:pPr>
    </w:p>
    <w:p w14:paraId="4DDDA114">
      <w:pPr>
        <w:rPr>
          <w:color w:val="auto"/>
          <w:highlight w:val="none"/>
        </w:rPr>
      </w:pPr>
    </w:p>
    <w:p w14:paraId="0AEA6DCC">
      <w:pPr>
        <w:rPr>
          <w:color w:val="auto"/>
          <w:highlight w:val="none"/>
        </w:rPr>
      </w:pPr>
    </w:p>
    <w:p w14:paraId="383220D9">
      <w:pPr>
        <w:rPr>
          <w:color w:val="auto"/>
          <w:highlight w:val="none"/>
        </w:rPr>
      </w:pPr>
    </w:p>
    <w:p w14:paraId="2E19D677">
      <w:pPr>
        <w:rPr>
          <w:color w:val="auto"/>
          <w:highlight w:val="none"/>
        </w:rPr>
      </w:pPr>
    </w:p>
    <w:p w14:paraId="43B710BF">
      <w:pPr>
        <w:rPr>
          <w:color w:val="auto"/>
          <w:highlight w:val="none"/>
        </w:rPr>
      </w:pPr>
    </w:p>
    <w:p w14:paraId="5B0362A4">
      <w:pPr>
        <w:rPr>
          <w:color w:val="auto"/>
          <w:highlight w:val="none"/>
        </w:rPr>
      </w:pPr>
    </w:p>
    <w:p w14:paraId="64D3886E">
      <w:pPr>
        <w:spacing w:before="143" w:line="228" w:lineRule="auto"/>
        <w:ind w:left="541"/>
        <w:rPr>
          <w:rFonts w:hint="eastAsia" w:ascii="宋体" w:hAnsi="宋体" w:eastAsia="宋体" w:cs="宋体"/>
          <w:color w:val="auto"/>
          <w:sz w:val="20"/>
          <w:szCs w:val="20"/>
          <w:highlight w:val="none"/>
          <w:lang w:eastAsia="zh-CN"/>
        </w:rPr>
      </w:pPr>
      <w:r>
        <w:rPr>
          <w:rFonts w:ascii="宋体" w:hAnsi="宋体" w:eastAsia="宋体" w:cs="宋体"/>
          <w:b/>
          <w:bCs/>
          <w:color w:val="auto"/>
          <w:spacing w:val="6"/>
          <w:sz w:val="20"/>
          <w:szCs w:val="20"/>
          <w:highlight w:val="none"/>
        </w:rPr>
        <w:t>技术附件</w:t>
      </w:r>
      <w:r>
        <w:rPr>
          <w:rFonts w:ascii="宋体" w:hAnsi="宋体" w:eastAsia="宋体" w:cs="宋体"/>
          <w:color w:val="auto"/>
          <w:spacing w:val="-38"/>
          <w:sz w:val="20"/>
          <w:szCs w:val="20"/>
          <w:highlight w:val="none"/>
        </w:rPr>
        <w:t xml:space="preserve"> </w:t>
      </w:r>
      <w:r>
        <w:rPr>
          <w:rFonts w:hint="eastAsia" w:ascii="宋体" w:hAnsi="宋体" w:cs="宋体"/>
          <w:b/>
          <w:bCs/>
          <w:color w:val="auto"/>
          <w:spacing w:val="6"/>
          <w:sz w:val="20"/>
          <w:szCs w:val="20"/>
          <w:highlight w:val="none"/>
          <w:lang w:val="en-US" w:eastAsia="zh-CN"/>
        </w:rPr>
        <w:t>2</w:t>
      </w:r>
    </w:p>
    <w:p w14:paraId="17FD2263">
      <w:pPr>
        <w:spacing w:line="140" w:lineRule="auto"/>
        <w:rPr>
          <w:rFonts w:ascii="Arial"/>
          <w:color w:val="auto"/>
          <w:sz w:val="2"/>
          <w:highlight w:val="none"/>
        </w:rPr>
      </w:pPr>
    </w:p>
    <w:tbl>
      <w:tblPr>
        <w:tblStyle w:val="22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810"/>
        <w:gridCol w:w="675"/>
        <w:gridCol w:w="1081"/>
        <w:gridCol w:w="2972"/>
        <w:gridCol w:w="2040"/>
      </w:tblGrid>
      <w:tr w14:paraId="2ECE0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526" w:type="dxa"/>
            <w:gridSpan w:val="6"/>
            <w:noWrap w:val="0"/>
            <w:vAlign w:val="top"/>
          </w:tcPr>
          <w:p w14:paraId="29D12C87">
            <w:pPr>
              <w:pStyle w:val="223"/>
              <w:spacing w:before="97" w:line="228" w:lineRule="auto"/>
              <w:ind w:left="3004"/>
              <w:rPr>
                <w:color w:val="auto"/>
                <w:highlight w:val="none"/>
              </w:rPr>
            </w:pPr>
            <w:r>
              <w:rPr>
                <w:b/>
                <w:bCs/>
                <w:color w:val="auto"/>
                <w:spacing w:val="7"/>
                <w:highlight w:val="none"/>
              </w:rPr>
              <w:t>车辆零部件质量保修期限表</w:t>
            </w:r>
          </w:p>
        </w:tc>
      </w:tr>
      <w:tr w14:paraId="0A984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noWrap w:val="0"/>
            <w:vAlign w:val="top"/>
          </w:tcPr>
          <w:p w14:paraId="5F0FD3C7">
            <w:pPr>
              <w:pStyle w:val="223"/>
              <w:spacing w:before="52" w:line="261" w:lineRule="auto"/>
              <w:ind w:left="168" w:right="158" w:hanging="4"/>
              <w:rPr>
                <w:color w:val="auto"/>
                <w:highlight w:val="none"/>
              </w:rPr>
            </w:pPr>
            <w:r>
              <w:rPr>
                <w:color w:val="auto"/>
                <w:spacing w:val="6"/>
                <w:highlight w:val="none"/>
              </w:rPr>
              <w:t>整车系</w:t>
            </w:r>
            <w:r>
              <w:rPr>
                <w:color w:val="auto"/>
                <w:highlight w:val="none"/>
              </w:rPr>
              <w:t xml:space="preserve"> </w:t>
            </w:r>
            <w:r>
              <w:rPr>
                <w:color w:val="auto"/>
                <w:spacing w:val="5"/>
                <w:highlight w:val="none"/>
              </w:rPr>
              <w:t>统分类</w:t>
            </w:r>
          </w:p>
        </w:tc>
        <w:tc>
          <w:tcPr>
            <w:tcW w:w="810" w:type="dxa"/>
            <w:noWrap w:val="0"/>
            <w:vAlign w:val="top"/>
          </w:tcPr>
          <w:p w14:paraId="57E85C90">
            <w:pPr>
              <w:pStyle w:val="223"/>
              <w:spacing w:before="208" w:line="230" w:lineRule="auto"/>
              <w:ind w:left="199"/>
              <w:rPr>
                <w:color w:val="auto"/>
                <w:highlight w:val="none"/>
              </w:rPr>
            </w:pPr>
            <w:r>
              <w:rPr>
                <w:color w:val="auto"/>
                <w:spacing w:val="5"/>
                <w:highlight w:val="none"/>
              </w:rPr>
              <w:t>序号</w:t>
            </w:r>
          </w:p>
        </w:tc>
        <w:tc>
          <w:tcPr>
            <w:tcW w:w="1756" w:type="dxa"/>
            <w:gridSpan w:val="2"/>
            <w:noWrap w:val="0"/>
            <w:vAlign w:val="top"/>
          </w:tcPr>
          <w:p w14:paraId="1BB5C027">
            <w:pPr>
              <w:pStyle w:val="223"/>
              <w:spacing w:before="209" w:line="228" w:lineRule="auto"/>
              <w:ind w:left="466"/>
              <w:rPr>
                <w:color w:val="auto"/>
                <w:highlight w:val="none"/>
              </w:rPr>
            </w:pPr>
            <w:r>
              <w:rPr>
                <w:color w:val="auto"/>
                <w:spacing w:val="6"/>
                <w:highlight w:val="none"/>
              </w:rPr>
              <w:t>项目分类</w:t>
            </w:r>
          </w:p>
        </w:tc>
        <w:tc>
          <w:tcPr>
            <w:tcW w:w="2972" w:type="dxa"/>
            <w:noWrap w:val="0"/>
            <w:vAlign w:val="top"/>
          </w:tcPr>
          <w:p w14:paraId="761A3B18">
            <w:pPr>
              <w:pStyle w:val="223"/>
              <w:spacing w:before="209" w:line="228" w:lineRule="auto"/>
              <w:ind w:left="1073"/>
              <w:rPr>
                <w:color w:val="auto"/>
                <w:highlight w:val="none"/>
              </w:rPr>
            </w:pPr>
            <w:r>
              <w:rPr>
                <w:color w:val="auto"/>
                <w:spacing w:val="7"/>
                <w:highlight w:val="none"/>
              </w:rPr>
              <w:t>保修内容</w:t>
            </w:r>
          </w:p>
        </w:tc>
        <w:tc>
          <w:tcPr>
            <w:tcW w:w="2040" w:type="dxa"/>
            <w:noWrap w:val="0"/>
            <w:vAlign w:val="top"/>
          </w:tcPr>
          <w:p w14:paraId="1BAEAF0D">
            <w:pPr>
              <w:pStyle w:val="223"/>
              <w:spacing w:before="209" w:line="229" w:lineRule="auto"/>
              <w:ind w:left="396"/>
              <w:rPr>
                <w:color w:val="auto"/>
                <w:highlight w:val="none"/>
              </w:rPr>
            </w:pPr>
            <w:r>
              <w:rPr>
                <w:color w:val="auto"/>
                <w:spacing w:val="8"/>
                <w:highlight w:val="none"/>
              </w:rPr>
              <w:t>质保期限要求</w:t>
            </w:r>
          </w:p>
        </w:tc>
      </w:tr>
      <w:tr w14:paraId="1DC64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noWrap w:val="0"/>
            <w:vAlign w:val="top"/>
          </w:tcPr>
          <w:p w14:paraId="5F4C7877">
            <w:pPr>
              <w:pStyle w:val="223"/>
              <w:spacing w:before="54" w:line="260" w:lineRule="auto"/>
              <w:ind w:left="270" w:right="158" w:hanging="106"/>
              <w:rPr>
                <w:color w:val="auto"/>
                <w:highlight w:val="none"/>
              </w:rPr>
            </w:pPr>
            <w:r>
              <w:rPr>
                <w:color w:val="auto"/>
                <w:spacing w:val="6"/>
                <w:highlight w:val="none"/>
              </w:rPr>
              <w:t>新能源</w:t>
            </w:r>
            <w:r>
              <w:rPr>
                <w:color w:val="auto"/>
                <w:highlight w:val="none"/>
              </w:rPr>
              <w:t xml:space="preserve"> </w:t>
            </w:r>
            <w:r>
              <w:rPr>
                <w:color w:val="auto"/>
                <w:spacing w:val="3"/>
                <w:highlight w:val="none"/>
              </w:rPr>
              <w:t>客车</w:t>
            </w:r>
          </w:p>
        </w:tc>
        <w:tc>
          <w:tcPr>
            <w:tcW w:w="810" w:type="dxa"/>
            <w:noWrap w:val="0"/>
            <w:vAlign w:val="top"/>
          </w:tcPr>
          <w:p w14:paraId="711C29F2">
            <w:pPr>
              <w:pStyle w:val="223"/>
              <w:spacing w:before="242" w:line="189" w:lineRule="auto"/>
              <w:ind w:left="371"/>
              <w:rPr>
                <w:color w:val="auto"/>
                <w:highlight w:val="none"/>
              </w:rPr>
            </w:pPr>
            <w:r>
              <w:rPr>
                <w:color w:val="auto"/>
                <w:highlight w:val="none"/>
              </w:rPr>
              <w:t>1</w:t>
            </w:r>
          </w:p>
        </w:tc>
        <w:tc>
          <w:tcPr>
            <w:tcW w:w="1756" w:type="dxa"/>
            <w:gridSpan w:val="2"/>
            <w:noWrap w:val="0"/>
            <w:vAlign w:val="top"/>
          </w:tcPr>
          <w:p w14:paraId="44809283">
            <w:pPr>
              <w:pStyle w:val="223"/>
              <w:spacing w:before="210" w:line="228" w:lineRule="auto"/>
              <w:ind w:left="674"/>
              <w:rPr>
                <w:color w:val="auto"/>
                <w:highlight w:val="none"/>
              </w:rPr>
            </w:pPr>
            <w:r>
              <w:rPr>
                <w:color w:val="auto"/>
                <w:spacing w:val="4"/>
                <w:highlight w:val="none"/>
              </w:rPr>
              <w:t>整车</w:t>
            </w:r>
          </w:p>
        </w:tc>
        <w:tc>
          <w:tcPr>
            <w:tcW w:w="2972" w:type="dxa"/>
            <w:noWrap w:val="0"/>
            <w:vAlign w:val="top"/>
          </w:tcPr>
          <w:p w14:paraId="11CDECA9">
            <w:pPr>
              <w:pStyle w:val="223"/>
              <w:spacing w:before="210" w:line="228" w:lineRule="auto"/>
              <w:ind w:left="666"/>
              <w:rPr>
                <w:color w:val="auto"/>
                <w:highlight w:val="none"/>
              </w:rPr>
            </w:pPr>
            <w:r>
              <w:rPr>
                <w:color w:val="auto"/>
                <w:spacing w:val="6"/>
                <w:highlight w:val="none"/>
              </w:rPr>
              <w:t>易损、易耗件除外</w:t>
            </w:r>
          </w:p>
        </w:tc>
        <w:tc>
          <w:tcPr>
            <w:tcW w:w="2040" w:type="dxa"/>
            <w:noWrap w:val="0"/>
            <w:vAlign w:val="top"/>
          </w:tcPr>
          <w:p w14:paraId="7788618D">
            <w:pPr>
              <w:pStyle w:val="223"/>
              <w:spacing w:before="210"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528EF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8" w:type="dxa"/>
            <w:vMerge w:val="restart"/>
            <w:tcBorders>
              <w:bottom w:val="nil"/>
            </w:tcBorders>
            <w:noWrap w:val="0"/>
            <w:vAlign w:val="top"/>
          </w:tcPr>
          <w:p w14:paraId="67F3CADA">
            <w:pPr>
              <w:spacing w:line="246" w:lineRule="auto"/>
              <w:rPr>
                <w:rFonts w:ascii="Arial"/>
                <w:color w:val="auto"/>
                <w:sz w:val="21"/>
                <w:highlight w:val="none"/>
              </w:rPr>
            </w:pPr>
          </w:p>
          <w:p w14:paraId="62B33404">
            <w:pPr>
              <w:spacing w:line="246" w:lineRule="auto"/>
              <w:rPr>
                <w:rFonts w:ascii="Arial"/>
                <w:color w:val="auto"/>
                <w:sz w:val="21"/>
                <w:highlight w:val="none"/>
              </w:rPr>
            </w:pPr>
          </w:p>
          <w:p w14:paraId="6C682E10">
            <w:pPr>
              <w:spacing w:line="246" w:lineRule="auto"/>
              <w:rPr>
                <w:rFonts w:ascii="Arial"/>
                <w:color w:val="auto"/>
                <w:sz w:val="21"/>
                <w:highlight w:val="none"/>
              </w:rPr>
            </w:pPr>
          </w:p>
          <w:p w14:paraId="557F7129">
            <w:pPr>
              <w:spacing w:line="246" w:lineRule="auto"/>
              <w:rPr>
                <w:rFonts w:ascii="Arial"/>
                <w:color w:val="auto"/>
                <w:sz w:val="21"/>
                <w:highlight w:val="none"/>
              </w:rPr>
            </w:pPr>
          </w:p>
          <w:p w14:paraId="458C31C6">
            <w:pPr>
              <w:spacing w:line="246" w:lineRule="auto"/>
              <w:rPr>
                <w:rFonts w:ascii="Arial"/>
                <w:color w:val="auto"/>
                <w:sz w:val="21"/>
                <w:highlight w:val="none"/>
              </w:rPr>
            </w:pPr>
          </w:p>
          <w:p w14:paraId="36AF5AD5">
            <w:pPr>
              <w:spacing w:line="246" w:lineRule="auto"/>
              <w:rPr>
                <w:rFonts w:ascii="Arial"/>
                <w:color w:val="auto"/>
                <w:sz w:val="21"/>
                <w:highlight w:val="none"/>
              </w:rPr>
            </w:pPr>
          </w:p>
          <w:p w14:paraId="7209F37E">
            <w:pPr>
              <w:spacing w:line="246" w:lineRule="auto"/>
              <w:rPr>
                <w:rFonts w:ascii="Arial"/>
                <w:color w:val="auto"/>
                <w:sz w:val="21"/>
                <w:highlight w:val="none"/>
              </w:rPr>
            </w:pPr>
          </w:p>
          <w:p w14:paraId="1CFD36E8">
            <w:pPr>
              <w:spacing w:line="246" w:lineRule="auto"/>
              <w:rPr>
                <w:rFonts w:ascii="Arial"/>
                <w:color w:val="auto"/>
                <w:sz w:val="21"/>
                <w:highlight w:val="none"/>
              </w:rPr>
            </w:pPr>
          </w:p>
          <w:p w14:paraId="1ABBBC73">
            <w:pPr>
              <w:spacing w:line="246" w:lineRule="auto"/>
              <w:rPr>
                <w:rFonts w:ascii="Arial"/>
                <w:color w:val="auto"/>
                <w:sz w:val="21"/>
                <w:highlight w:val="none"/>
              </w:rPr>
            </w:pPr>
          </w:p>
          <w:p w14:paraId="51264008">
            <w:pPr>
              <w:spacing w:line="246" w:lineRule="auto"/>
              <w:rPr>
                <w:rFonts w:ascii="Arial"/>
                <w:color w:val="auto"/>
                <w:sz w:val="21"/>
                <w:highlight w:val="none"/>
              </w:rPr>
            </w:pPr>
          </w:p>
          <w:p w14:paraId="5BB1D10F">
            <w:pPr>
              <w:spacing w:line="246" w:lineRule="auto"/>
              <w:rPr>
                <w:rFonts w:ascii="Arial"/>
                <w:color w:val="auto"/>
                <w:sz w:val="21"/>
                <w:highlight w:val="none"/>
              </w:rPr>
            </w:pPr>
          </w:p>
          <w:p w14:paraId="6B3FFF0F">
            <w:pPr>
              <w:spacing w:line="246" w:lineRule="auto"/>
              <w:rPr>
                <w:rFonts w:ascii="Arial"/>
                <w:color w:val="auto"/>
                <w:sz w:val="21"/>
                <w:highlight w:val="none"/>
              </w:rPr>
            </w:pPr>
          </w:p>
          <w:p w14:paraId="3E1FAB7F">
            <w:pPr>
              <w:spacing w:line="247" w:lineRule="auto"/>
              <w:rPr>
                <w:rFonts w:ascii="Arial"/>
                <w:color w:val="auto"/>
                <w:sz w:val="21"/>
                <w:highlight w:val="none"/>
              </w:rPr>
            </w:pPr>
          </w:p>
          <w:p w14:paraId="0792FD3C">
            <w:pPr>
              <w:spacing w:line="247" w:lineRule="auto"/>
              <w:rPr>
                <w:rFonts w:ascii="Arial"/>
                <w:color w:val="auto"/>
                <w:sz w:val="21"/>
                <w:highlight w:val="none"/>
              </w:rPr>
            </w:pPr>
          </w:p>
          <w:p w14:paraId="290623EA">
            <w:pPr>
              <w:spacing w:line="247" w:lineRule="auto"/>
              <w:rPr>
                <w:rFonts w:ascii="Arial"/>
                <w:color w:val="auto"/>
                <w:sz w:val="21"/>
                <w:highlight w:val="none"/>
              </w:rPr>
            </w:pPr>
          </w:p>
          <w:p w14:paraId="0222FFE6">
            <w:pPr>
              <w:pStyle w:val="223"/>
              <w:spacing w:before="65" w:line="229" w:lineRule="auto"/>
              <w:ind w:left="164"/>
              <w:rPr>
                <w:color w:val="auto"/>
                <w:highlight w:val="none"/>
              </w:rPr>
            </w:pPr>
            <w:r>
              <w:rPr>
                <w:color w:val="auto"/>
                <w:spacing w:val="6"/>
                <w:highlight w:val="none"/>
              </w:rPr>
              <w:t>新能源</w:t>
            </w:r>
          </w:p>
          <w:p w14:paraId="36E72511">
            <w:pPr>
              <w:pStyle w:val="223"/>
              <w:spacing w:before="64" w:line="228" w:lineRule="auto"/>
              <w:ind w:left="166"/>
              <w:rPr>
                <w:color w:val="auto"/>
                <w:highlight w:val="none"/>
              </w:rPr>
            </w:pPr>
            <w:r>
              <w:rPr>
                <w:color w:val="auto"/>
                <w:spacing w:val="6"/>
                <w:highlight w:val="none"/>
              </w:rPr>
              <w:t>部分主</w:t>
            </w:r>
          </w:p>
          <w:p w14:paraId="610CD8A6">
            <w:pPr>
              <w:pStyle w:val="223"/>
              <w:spacing w:before="64" w:line="228" w:lineRule="auto"/>
              <w:ind w:left="164"/>
              <w:rPr>
                <w:color w:val="auto"/>
                <w:highlight w:val="none"/>
              </w:rPr>
            </w:pPr>
            <w:r>
              <w:rPr>
                <w:color w:val="auto"/>
                <w:spacing w:val="6"/>
                <w:highlight w:val="none"/>
              </w:rPr>
              <w:t>要零部</w:t>
            </w:r>
          </w:p>
          <w:p w14:paraId="40ADDD31">
            <w:pPr>
              <w:pStyle w:val="223"/>
              <w:spacing w:before="65" w:line="228" w:lineRule="auto"/>
              <w:ind w:left="374"/>
              <w:rPr>
                <w:color w:val="auto"/>
                <w:highlight w:val="none"/>
              </w:rPr>
            </w:pPr>
            <w:r>
              <w:rPr>
                <w:color w:val="auto"/>
                <w:spacing w:val="1"/>
                <w:highlight w:val="none"/>
              </w:rPr>
              <w:t>件</w:t>
            </w:r>
          </w:p>
        </w:tc>
        <w:tc>
          <w:tcPr>
            <w:tcW w:w="810" w:type="dxa"/>
            <w:vMerge w:val="restart"/>
            <w:tcBorders>
              <w:bottom w:val="nil"/>
            </w:tcBorders>
            <w:noWrap w:val="0"/>
            <w:vAlign w:val="top"/>
          </w:tcPr>
          <w:p w14:paraId="09360911">
            <w:pPr>
              <w:spacing w:line="244" w:lineRule="auto"/>
              <w:rPr>
                <w:rFonts w:ascii="Arial"/>
                <w:color w:val="auto"/>
                <w:sz w:val="21"/>
                <w:highlight w:val="none"/>
              </w:rPr>
            </w:pPr>
          </w:p>
          <w:p w14:paraId="50D2411E">
            <w:pPr>
              <w:spacing w:line="244" w:lineRule="auto"/>
              <w:rPr>
                <w:rFonts w:ascii="Arial"/>
                <w:color w:val="auto"/>
                <w:sz w:val="21"/>
                <w:highlight w:val="none"/>
              </w:rPr>
            </w:pPr>
          </w:p>
          <w:p w14:paraId="26A51057">
            <w:pPr>
              <w:spacing w:line="244" w:lineRule="auto"/>
              <w:rPr>
                <w:rFonts w:ascii="Arial"/>
                <w:color w:val="auto"/>
                <w:sz w:val="21"/>
                <w:highlight w:val="none"/>
              </w:rPr>
            </w:pPr>
          </w:p>
          <w:p w14:paraId="68FFBEE4">
            <w:pPr>
              <w:spacing w:line="244" w:lineRule="auto"/>
              <w:rPr>
                <w:rFonts w:ascii="Arial"/>
                <w:color w:val="auto"/>
                <w:sz w:val="21"/>
                <w:highlight w:val="none"/>
              </w:rPr>
            </w:pPr>
          </w:p>
          <w:p w14:paraId="3F221C4A">
            <w:pPr>
              <w:spacing w:line="244" w:lineRule="auto"/>
              <w:rPr>
                <w:rFonts w:ascii="Arial"/>
                <w:color w:val="auto"/>
                <w:sz w:val="21"/>
                <w:highlight w:val="none"/>
              </w:rPr>
            </w:pPr>
          </w:p>
          <w:p w14:paraId="2D7D719A">
            <w:pPr>
              <w:spacing w:line="244" w:lineRule="auto"/>
              <w:rPr>
                <w:rFonts w:ascii="Arial"/>
                <w:color w:val="auto"/>
                <w:sz w:val="21"/>
                <w:highlight w:val="none"/>
              </w:rPr>
            </w:pPr>
          </w:p>
          <w:p w14:paraId="516BF4F5">
            <w:pPr>
              <w:spacing w:line="244" w:lineRule="auto"/>
              <w:rPr>
                <w:rFonts w:ascii="Arial"/>
                <w:color w:val="auto"/>
                <w:sz w:val="21"/>
                <w:highlight w:val="none"/>
              </w:rPr>
            </w:pPr>
          </w:p>
          <w:p w14:paraId="3FC1F2D6">
            <w:pPr>
              <w:spacing w:line="245" w:lineRule="auto"/>
              <w:rPr>
                <w:rFonts w:ascii="Arial"/>
                <w:color w:val="auto"/>
                <w:sz w:val="21"/>
                <w:highlight w:val="none"/>
              </w:rPr>
            </w:pPr>
          </w:p>
          <w:p w14:paraId="33E82958">
            <w:pPr>
              <w:spacing w:line="245" w:lineRule="auto"/>
              <w:rPr>
                <w:rFonts w:ascii="Arial"/>
                <w:color w:val="auto"/>
                <w:sz w:val="21"/>
                <w:highlight w:val="none"/>
              </w:rPr>
            </w:pPr>
          </w:p>
          <w:p w14:paraId="61AADC85">
            <w:pPr>
              <w:spacing w:line="245" w:lineRule="auto"/>
              <w:rPr>
                <w:rFonts w:ascii="Arial"/>
                <w:color w:val="auto"/>
                <w:sz w:val="21"/>
                <w:highlight w:val="none"/>
              </w:rPr>
            </w:pPr>
          </w:p>
          <w:p w14:paraId="3330E96E">
            <w:pPr>
              <w:spacing w:line="245" w:lineRule="auto"/>
              <w:rPr>
                <w:rFonts w:ascii="Arial"/>
                <w:color w:val="auto"/>
                <w:sz w:val="21"/>
                <w:highlight w:val="none"/>
              </w:rPr>
            </w:pPr>
          </w:p>
          <w:p w14:paraId="2E384A18">
            <w:pPr>
              <w:spacing w:line="245" w:lineRule="auto"/>
              <w:rPr>
                <w:rFonts w:ascii="Arial"/>
                <w:color w:val="auto"/>
                <w:sz w:val="21"/>
                <w:highlight w:val="none"/>
              </w:rPr>
            </w:pPr>
          </w:p>
          <w:p w14:paraId="6D777F15">
            <w:pPr>
              <w:spacing w:line="245" w:lineRule="auto"/>
              <w:rPr>
                <w:rFonts w:ascii="Arial"/>
                <w:color w:val="auto"/>
                <w:sz w:val="21"/>
                <w:highlight w:val="none"/>
              </w:rPr>
            </w:pPr>
          </w:p>
          <w:p w14:paraId="648C7C4E">
            <w:pPr>
              <w:spacing w:line="245" w:lineRule="auto"/>
              <w:rPr>
                <w:rFonts w:ascii="Arial"/>
                <w:color w:val="auto"/>
                <w:sz w:val="21"/>
                <w:highlight w:val="none"/>
              </w:rPr>
            </w:pPr>
          </w:p>
          <w:p w14:paraId="397CA10C">
            <w:pPr>
              <w:spacing w:line="245" w:lineRule="auto"/>
              <w:rPr>
                <w:rFonts w:ascii="Arial"/>
                <w:color w:val="auto"/>
                <w:sz w:val="21"/>
                <w:highlight w:val="none"/>
              </w:rPr>
            </w:pPr>
          </w:p>
          <w:p w14:paraId="4E67E792">
            <w:pPr>
              <w:pStyle w:val="223"/>
              <w:spacing w:before="65" w:line="189" w:lineRule="auto"/>
              <w:ind w:left="358"/>
              <w:rPr>
                <w:color w:val="auto"/>
                <w:highlight w:val="none"/>
              </w:rPr>
            </w:pPr>
            <w:r>
              <w:rPr>
                <w:color w:val="auto"/>
                <w:highlight w:val="none"/>
              </w:rPr>
              <w:t>2</w:t>
            </w:r>
          </w:p>
        </w:tc>
        <w:tc>
          <w:tcPr>
            <w:tcW w:w="675" w:type="dxa"/>
            <w:vMerge w:val="restart"/>
            <w:tcBorders>
              <w:bottom w:val="nil"/>
            </w:tcBorders>
            <w:noWrap w:val="0"/>
            <w:vAlign w:val="top"/>
          </w:tcPr>
          <w:p w14:paraId="3A0349C0">
            <w:pPr>
              <w:spacing w:line="248" w:lineRule="auto"/>
              <w:rPr>
                <w:rFonts w:ascii="Arial"/>
                <w:color w:val="auto"/>
                <w:sz w:val="21"/>
                <w:highlight w:val="none"/>
              </w:rPr>
            </w:pPr>
          </w:p>
          <w:p w14:paraId="6F53BB95">
            <w:pPr>
              <w:spacing w:line="248" w:lineRule="auto"/>
              <w:rPr>
                <w:rFonts w:ascii="Arial"/>
                <w:color w:val="auto"/>
                <w:sz w:val="21"/>
                <w:highlight w:val="none"/>
              </w:rPr>
            </w:pPr>
          </w:p>
          <w:p w14:paraId="47E37444">
            <w:pPr>
              <w:spacing w:line="248" w:lineRule="auto"/>
              <w:rPr>
                <w:rFonts w:ascii="Arial"/>
                <w:color w:val="auto"/>
                <w:sz w:val="21"/>
                <w:highlight w:val="none"/>
              </w:rPr>
            </w:pPr>
          </w:p>
          <w:p w14:paraId="16D37A07">
            <w:pPr>
              <w:spacing w:line="248" w:lineRule="auto"/>
              <w:rPr>
                <w:rFonts w:ascii="Arial"/>
                <w:color w:val="auto"/>
                <w:sz w:val="21"/>
                <w:highlight w:val="none"/>
              </w:rPr>
            </w:pPr>
          </w:p>
          <w:p w14:paraId="0218E880">
            <w:pPr>
              <w:spacing w:line="248" w:lineRule="auto"/>
              <w:rPr>
                <w:rFonts w:ascii="Arial"/>
                <w:color w:val="auto"/>
                <w:sz w:val="21"/>
                <w:highlight w:val="none"/>
              </w:rPr>
            </w:pPr>
          </w:p>
          <w:p w14:paraId="0C962214">
            <w:pPr>
              <w:spacing w:line="249" w:lineRule="auto"/>
              <w:rPr>
                <w:rFonts w:ascii="Arial"/>
                <w:color w:val="auto"/>
                <w:sz w:val="21"/>
                <w:highlight w:val="none"/>
              </w:rPr>
            </w:pPr>
          </w:p>
          <w:p w14:paraId="3823779F">
            <w:pPr>
              <w:spacing w:line="249" w:lineRule="auto"/>
              <w:rPr>
                <w:rFonts w:ascii="Arial"/>
                <w:color w:val="auto"/>
                <w:sz w:val="21"/>
                <w:highlight w:val="none"/>
              </w:rPr>
            </w:pPr>
          </w:p>
          <w:p w14:paraId="46488F09">
            <w:pPr>
              <w:spacing w:line="249" w:lineRule="auto"/>
              <w:rPr>
                <w:rFonts w:ascii="Arial"/>
                <w:color w:val="auto"/>
                <w:sz w:val="21"/>
                <w:highlight w:val="none"/>
              </w:rPr>
            </w:pPr>
          </w:p>
          <w:p w14:paraId="614B626A">
            <w:pPr>
              <w:spacing w:line="249" w:lineRule="auto"/>
              <w:rPr>
                <w:rFonts w:ascii="Arial"/>
                <w:color w:val="auto"/>
                <w:sz w:val="21"/>
                <w:highlight w:val="none"/>
              </w:rPr>
            </w:pPr>
          </w:p>
          <w:p w14:paraId="24372B00">
            <w:pPr>
              <w:spacing w:line="249" w:lineRule="auto"/>
              <w:rPr>
                <w:rFonts w:ascii="Arial"/>
                <w:color w:val="auto"/>
                <w:sz w:val="21"/>
                <w:highlight w:val="none"/>
              </w:rPr>
            </w:pPr>
          </w:p>
          <w:p w14:paraId="71B4F4A8">
            <w:pPr>
              <w:spacing w:line="249" w:lineRule="auto"/>
              <w:rPr>
                <w:rFonts w:ascii="Arial"/>
                <w:color w:val="auto"/>
                <w:sz w:val="21"/>
                <w:highlight w:val="none"/>
              </w:rPr>
            </w:pPr>
          </w:p>
          <w:p w14:paraId="52E92B59">
            <w:pPr>
              <w:spacing w:line="249" w:lineRule="auto"/>
              <w:rPr>
                <w:rFonts w:ascii="Arial"/>
                <w:color w:val="auto"/>
                <w:sz w:val="21"/>
                <w:highlight w:val="none"/>
              </w:rPr>
            </w:pPr>
          </w:p>
          <w:p w14:paraId="275C76F6">
            <w:pPr>
              <w:spacing w:line="249" w:lineRule="auto"/>
              <w:rPr>
                <w:rFonts w:ascii="Arial"/>
                <w:color w:val="auto"/>
                <w:sz w:val="21"/>
                <w:highlight w:val="none"/>
              </w:rPr>
            </w:pPr>
          </w:p>
          <w:p w14:paraId="32B6DA25">
            <w:pPr>
              <w:spacing w:line="249" w:lineRule="auto"/>
              <w:rPr>
                <w:rFonts w:ascii="Arial"/>
                <w:color w:val="auto"/>
                <w:sz w:val="21"/>
                <w:highlight w:val="none"/>
              </w:rPr>
            </w:pPr>
          </w:p>
          <w:p w14:paraId="330FADC6">
            <w:pPr>
              <w:pStyle w:val="223"/>
              <w:spacing w:before="65" w:line="274" w:lineRule="auto"/>
              <w:ind w:left="135" w:right="128" w:hanging="4"/>
              <w:rPr>
                <w:color w:val="auto"/>
                <w:highlight w:val="none"/>
              </w:rPr>
            </w:pPr>
            <w:r>
              <w:rPr>
                <w:color w:val="auto"/>
                <w:spacing w:val="4"/>
                <w:highlight w:val="none"/>
              </w:rPr>
              <w:t>三电</w:t>
            </w:r>
            <w:r>
              <w:rPr>
                <w:color w:val="auto"/>
                <w:highlight w:val="none"/>
              </w:rPr>
              <w:t xml:space="preserve"> </w:t>
            </w:r>
            <w:r>
              <w:rPr>
                <w:color w:val="auto"/>
                <w:spacing w:val="2"/>
                <w:highlight w:val="none"/>
              </w:rPr>
              <w:t>系统</w:t>
            </w:r>
          </w:p>
        </w:tc>
        <w:tc>
          <w:tcPr>
            <w:tcW w:w="1081" w:type="dxa"/>
            <w:noWrap w:val="0"/>
            <w:vAlign w:val="top"/>
          </w:tcPr>
          <w:p w14:paraId="4BBF3CCC">
            <w:pPr>
              <w:spacing w:line="304" w:lineRule="auto"/>
              <w:rPr>
                <w:rFonts w:ascii="Arial"/>
                <w:color w:val="auto"/>
                <w:sz w:val="21"/>
                <w:highlight w:val="none"/>
              </w:rPr>
            </w:pPr>
          </w:p>
          <w:p w14:paraId="7A96850C">
            <w:pPr>
              <w:spacing w:line="305" w:lineRule="auto"/>
              <w:rPr>
                <w:rFonts w:ascii="Arial"/>
                <w:color w:val="auto"/>
                <w:sz w:val="21"/>
                <w:highlight w:val="none"/>
              </w:rPr>
            </w:pPr>
          </w:p>
          <w:p w14:paraId="2877FC78">
            <w:pPr>
              <w:pStyle w:val="223"/>
              <w:spacing w:before="65" w:line="228" w:lineRule="auto"/>
              <w:ind w:left="126"/>
              <w:rPr>
                <w:color w:val="auto"/>
                <w:highlight w:val="none"/>
              </w:rPr>
            </w:pPr>
            <w:r>
              <w:rPr>
                <w:color w:val="auto"/>
                <w:spacing w:val="7"/>
                <w:highlight w:val="none"/>
              </w:rPr>
              <w:t>动力电池</w:t>
            </w:r>
          </w:p>
        </w:tc>
        <w:tc>
          <w:tcPr>
            <w:tcW w:w="2972" w:type="dxa"/>
            <w:noWrap w:val="0"/>
            <w:vAlign w:val="top"/>
          </w:tcPr>
          <w:p w14:paraId="0026F600">
            <w:pPr>
              <w:pStyle w:val="223"/>
              <w:spacing w:before="54" w:line="273" w:lineRule="auto"/>
              <w:ind w:left="652" w:right="147" w:hanging="474"/>
              <w:rPr>
                <w:color w:val="auto"/>
                <w:highlight w:val="none"/>
              </w:rPr>
            </w:pPr>
            <w:r>
              <w:rPr>
                <w:color w:val="auto"/>
                <w:spacing w:val="5"/>
                <w:highlight w:val="none"/>
              </w:rPr>
              <w:t>电池容量衰减不超过</w:t>
            </w:r>
            <w:r>
              <w:rPr>
                <w:color w:val="auto"/>
                <w:spacing w:val="-30"/>
                <w:highlight w:val="none"/>
              </w:rPr>
              <w:t xml:space="preserve"> </w:t>
            </w:r>
            <w:r>
              <w:rPr>
                <w:color w:val="auto"/>
                <w:spacing w:val="5"/>
                <w:highlight w:val="none"/>
              </w:rPr>
              <w:t>20%，安</w:t>
            </w:r>
            <w:r>
              <w:rPr>
                <w:color w:val="auto"/>
                <w:highlight w:val="none"/>
              </w:rPr>
              <w:t xml:space="preserve"> </w:t>
            </w:r>
            <w:r>
              <w:rPr>
                <w:color w:val="auto"/>
                <w:spacing w:val="7"/>
                <w:highlight w:val="none"/>
              </w:rPr>
              <w:t>全检测数值达标。</w:t>
            </w:r>
          </w:p>
          <w:p w14:paraId="66FEDAEF">
            <w:pPr>
              <w:pStyle w:val="223"/>
              <w:spacing w:before="32" w:line="228" w:lineRule="auto"/>
              <w:ind w:left="137"/>
              <w:rPr>
                <w:color w:val="auto"/>
                <w:highlight w:val="none"/>
              </w:rPr>
            </w:pPr>
            <w:r>
              <w:rPr>
                <w:color w:val="auto"/>
                <w:spacing w:val="2"/>
                <w:highlight w:val="none"/>
              </w:rPr>
              <w:t>电池包总成（含电芯、</w:t>
            </w:r>
            <w:r>
              <w:rPr>
                <w:color w:val="auto"/>
                <w:highlight w:val="none"/>
              </w:rPr>
              <w:t>BMS</w:t>
            </w:r>
            <w:r>
              <w:rPr>
                <w:color w:val="auto"/>
                <w:spacing w:val="2"/>
                <w:highlight w:val="none"/>
              </w:rPr>
              <w:t>、高</w:t>
            </w:r>
          </w:p>
          <w:p w14:paraId="474D01CC">
            <w:pPr>
              <w:pStyle w:val="223"/>
              <w:spacing w:before="64" w:line="260" w:lineRule="auto"/>
              <w:ind w:left="1075" w:right="118" w:hanging="947"/>
              <w:rPr>
                <w:color w:val="auto"/>
                <w:highlight w:val="none"/>
              </w:rPr>
            </w:pPr>
            <w:r>
              <w:rPr>
                <w:color w:val="auto"/>
                <w:spacing w:val="9"/>
                <w:highlight w:val="none"/>
              </w:rPr>
              <w:t>压接触器、高低压插件、连接</w:t>
            </w:r>
            <w:r>
              <w:rPr>
                <w:color w:val="auto"/>
                <w:spacing w:val="1"/>
                <w:highlight w:val="none"/>
              </w:rPr>
              <w:t xml:space="preserve"> </w:t>
            </w:r>
            <w:r>
              <w:rPr>
                <w:color w:val="auto"/>
                <w:spacing w:val="4"/>
                <w:highlight w:val="none"/>
              </w:rPr>
              <w:t>线束等）</w:t>
            </w:r>
          </w:p>
        </w:tc>
        <w:tc>
          <w:tcPr>
            <w:tcW w:w="2040" w:type="dxa"/>
            <w:noWrap w:val="0"/>
            <w:vAlign w:val="top"/>
          </w:tcPr>
          <w:p w14:paraId="63E375CC">
            <w:pPr>
              <w:spacing w:line="304" w:lineRule="auto"/>
              <w:rPr>
                <w:rFonts w:ascii="Arial"/>
                <w:color w:val="auto"/>
                <w:sz w:val="21"/>
                <w:highlight w:val="none"/>
              </w:rPr>
            </w:pPr>
          </w:p>
          <w:p w14:paraId="697892FC">
            <w:pPr>
              <w:spacing w:line="305" w:lineRule="auto"/>
              <w:rPr>
                <w:rFonts w:ascii="Arial"/>
                <w:color w:val="auto"/>
                <w:sz w:val="21"/>
                <w:highlight w:val="none"/>
              </w:rPr>
            </w:pPr>
          </w:p>
          <w:p w14:paraId="30BB0B03">
            <w:pPr>
              <w:pStyle w:val="223"/>
              <w:spacing w:before="65" w:line="228" w:lineRule="auto"/>
              <w:ind w:left="317"/>
              <w:rPr>
                <w:color w:val="auto"/>
                <w:highlight w:val="none"/>
              </w:rPr>
            </w:pPr>
            <w:r>
              <w:rPr>
                <w:color w:val="auto"/>
                <w:spacing w:val="5"/>
                <w:highlight w:val="none"/>
              </w:rPr>
              <w:t>8</w:t>
            </w:r>
            <w:r>
              <w:rPr>
                <w:color w:val="auto"/>
                <w:spacing w:val="-38"/>
                <w:highlight w:val="none"/>
              </w:rPr>
              <w:t xml:space="preserve"> </w:t>
            </w:r>
            <w:r>
              <w:rPr>
                <w:color w:val="auto"/>
                <w:spacing w:val="5"/>
                <w:highlight w:val="none"/>
              </w:rPr>
              <w:t>年（含附件）</w:t>
            </w:r>
          </w:p>
        </w:tc>
      </w:tr>
      <w:tr w14:paraId="10E26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21FDBB5B">
            <w:pPr>
              <w:rPr>
                <w:rFonts w:ascii="Arial"/>
                <w:color w:val="auto"/>
                <w:sz w:val="21"/>
                <w:highlight w:val="none"/>
              </w:rPr>
            </w:pPr>
          </w:p>
        </w:tc>
        <w:tc>
          <w:tcPr>
            <w:tcW w:w="810" w:type="dxa"/>
            <w:vMerge w:val="continue"/>
            <w:tcBorders>
              <w:top w:val="nil"/>
              <w:bottom w:val="nil"/>
            </w:tcBorders>
            <w:noWrap w:val="0"/>
            <w:vAlign w:val="top"/>
          </w:tcPr>
          <w:p w14:paraId="5701EB7E">
            <w:pPr>
              <w:rPr>
                <w:rFonts w:ascii="Arial"/>
                <w:color w:val="auto"/>
                <w:sz w:val="21"/>
                <w:highlight w:val="none"/>
              </w:rPr>
            </w:pPr>
          </w:p>
        </w:tc>
        <w:tc>
          <w:tcPr>
            <w:tcW w:w="675" w:type="dxa"/>
            <w:vMerge w:val="continue"/>
            <w:tcBorders>
              <w:top w:val="nil"/>
              <w:bottom w:val="nil"/>
            </w:tcBorders>
            <w:noWrap w:val="0"/>
            <w:vAlign w:val="top"/>
          </w:tcPr>
          <w:p w14:paraId="23D4B106">
            <w:pPr>
              <w:rPr>
                <w:rFonts w:ascii="Arial"/>
                <w:color w:val="auto"/>
                <w:sz w:val="21"/>
                <w:highlight w:val="none"/>
              </w:rPr>
            </w:pPr>
          </w:p>
        </w:tc>
        <w:tc>
          <w:tcPr>
            <w:tcW w:w="1081" w:type="dxa"/>
            <w:noWrap w:val="0"/>
            <w:vAlign w:val="top"/>
          </w:tcPr>
          <w:p w14:paraId="25C538F7">
            <w:pPr>
              <w:pStyle w:val="223"/>
              <w:spacing w:before="68" w:line="228" w:lineRule="auto"/>
              <w:ind w:left="128"/>
              <w:rPr>
                <w:color w:val="auto"/>
                <w:highlight w:val="none"/>
              </w:rPr>
            </w:pPr>
            <w:r>
              <w:rPr>
                <w:color w:val="auto"/>
                <w:spacing w:val="6"/>
                <w:highlight w:val="none"/>
              </w:rPr>
              <w:t>驱动电机</w:t>
            </w:r>
          </w:p>
        </w:tc>
        <w:tc>
          <w:tcPr>
            <w:tcW w:w="2972" w:type="dxa"/>
            <w:noWrap w:val="0"/>
            <w:vAlign w:val="top"/>
          </w:tcPr>
          <w:p w14:paraId="304B6C87">
            <w:pPr>
              <w:pStyle w:val="223"/>
              <w:spacing w:before="68" w:line="228" w:lineRule="auto"/>
              <w:ind w:left="341"/>
              <w:rPr>
                <w:color w:val="auto"/>
                <w:highlight w:val="none"/>
              </w:rPr>
            </w:pPr>
            <w:r>
              <w:rPr>
                <w:color w:val="auto"/>
                <w:spacing w:val="7"/>
                <w:highlight w:val="none"/>
              </w:rPr>
              <w:t>驱动电机总成</w:t>
            </w:r>
          </w:p>
        </w:tc>
        <w:tc>
          <w:tcPr>
            <w:tcW w:w="2040" w:type="dxa"/>
            <w:noWrap w:val="0"/>
            <w:vAlign w:val="top"/>
          </w:tcPr>
          <w:p w14:paraId="54F706B2">
            <w:pPr>
              <w:pStyle w:val="223"/>
              <w:spacing w:before="69"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63601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7B34CFC8">
            <w:pPr>
              <w:rPr>
                <w:rFonts w:ascii="Arial"/>
                <w:color w:val="auto"/>
                <w:sz w:val="21"/>
                <w:highlight w:val="none"/>
              </w:rPr>
            </w:pPr>
          </w:p>
        </w:tc>
        <w:tc>
          <w:tcPr>
            <w:tcW w:w="810" w:type="dxa"/>
            <w:vMerge w:val="continue"/>
            <w:tcBorders>
              <w:top w:val="nil"/>
              <w:bottom w:val="nil"/>
            </w:tcBorders>
            <w:noWrap w:val="0"/>
            <w:vAlign w:val="top"/>
          </w:tcPr>
          <w:p w14:paraId="680E55F5">
            <w:pPr>
              <w:rPr>
                <w:rFonts w:ascii="Arial"/>
                <w:color w:val="auto"/>
                <w:sz w:val="21"/>
                <w:highlight w:val="none"/>
              </w:rPr>
            </w:pPr>
          </w:p>
        </w:tc>
        <w:tc>
          <w:tcPr>
            <w:tcW w:w="675" w:type="dxa"/>
            <w:vMerge w:val="continue"/>
            <w:tcBorders>
              <w:top w:val="nil"/>
              <w:bottom w:val="nil"/>
            </w:tcBorders>
            <w:noWrap w:val="0"/>
            <w:vAlign w:val="top"/>
          </w:tcPr>
          <w:p w14:paraId="70A5365D">
            <w:pPr>
              <w:rPr>
                <w:rFonts w:ascii="Arial"/>
                <w:color w:val="auto"/>
                <w:sz w:val="21"/>
                <w:highlight w:val="none"/>
              </w:rPr>
            </w:pPr>
          </w:p>
        </w:tc>
        <w:tc>
          <w:tcPr>
            <w:tcW w:w="1081" w:type="dxa"/>
            <w:vMerge w:val="restart"/>
            <w:tcBorders>
              <w:bottom w:val="nil"/>
            </w:tcBorders>
            <w:noWrap w:val="0"/>
            <w:vAlign w:val="top"/>
          </w:tcPr>
          <w:p w14:paraId="375091FA">
            <w:pPr>
              <w:spacing w:line="243" w:lineRule="auto"/>
              <w:rPr>
                <w:rFonts w:ascii="Arial"/>
                <w:color w:val="auto"/>
                <w:sz w:val="21"/>
                <w:highlight w:val="none"/>
              </w:rPr>
            </w:pPr>
          </w:p>
          <w:p w14:paraId="25B8BED7">
            <w:pPr>
              <w:spacing w:line="244" w:lineRule="auto"/>
              <w:rPr>
                <w:rFonts w:ascii="Arial"/>
                <w:color w:val="auto"/>
                <w:sz w:val="21"/>
                <w:highlight w:val="none"/>
              </w:rPr>
            </w:pPr>
          </w:p>
          <w:p w14:paraId="63A23DAC">
            <w:pPr>
              <w:spacing w:line="244" w:lineRule="auto"/>
              <w:rPr>
                <w:rFonts w:ascii="Arial"/>
                <w:color w:val="auto"/>
                <w:sz w:val="21"/>
                <w:highlight w:val="none"/>
              </w:rPr>
            </w:pPr>
          </w:p>
          <w:p w14:paraId="68D49BC0">
            <w:pPr>
              <w:spacing w:line="244" w:lineRule="auto"/>
              <w:rPr>
                <w:rFonts w:ascii="Arial"/>
                <w:color w:val="auto"/>
                <w:sz w:val="21"/>
                <w:highlight w:val="none"/>
              </w:rPr>
            </w:pPr>
          </w:p>
          <w:p w14:paraId="00FC6F37">
            <w:pPr>
              <w:spacing w:line="244" w:lineRule="auto"/>
              <w:rPr>
                <w:rFonts w:ascii="Arial"/>
                <w:color w:val="auto"/>
                <w:sz w:val="21"/>
                <w:highlight w:val="none"/>
              </w:rPr>
            </w:pPr>
          </w:p>
          <w:p w14:paraId="585803F9">
            <w:pPr>
              <w:spacing w:line="244" w:lineRule="auto"/>
              <w:rPr>
                <w:rFonts w:ascii="Arial"/>
                <w:color w:val="auto"/>
                <w:sz w:val="21"/>
                <w:highlight w:val="none"/>
              </w:rPr>
            </w:pPr>
          </w:p>
          <w:p w14:paraId="731042A0">
            <w:pPr>
              <w:spacing w:line="244" w:lineRule="auto"/>
              <w:rPr>
                <w:rFonts w:ascii="Arial"/>
                <w:color w:val="auto"/>
                <w:sz w:val="21"/>
                <w:highlight w:val="none"/>
              </w:rPr>
            </w:pPr>
          </w:p>
          <w:p w14:paraId="293BA74D">
            <w:pPr>
              <w:spacing w:line="244" w:lineRule="auto"/>
              <w:rPr>
                <w:rFonts w:ascii="Arial"/>
                <w:color w:val="auto"/>
                <w:sz w:val="21"/>
                <w:highlight w:val="none"/>
              </w:rPr>
            </w:pPr>
          </w:p>
          <w:p w14:paraId="1449B938">
            <w:pPr>
              <w:spacing w:line="244" w:lineRule="auto"/>
              <w:rPr>
                <w:rFonts w:ascii="Arial"/>
                <w:color w:val="auto"/>
                <w:sz w:val="21"/>
                <w:highlight w:val="none"/>
              </w:rPr>
            </w:pPr>
          </w:p>
          <w:p w14:paraId="6B964166">
            <w:pPr>
              <w:spacing w:line="244" w:lineRule="auto"/>
              <w:rPr>
                <w:rFonts w:ascii="Arial"/>
                <w:color w:val="auto"/>
                <w:sz w:val="21"/>
                <w:highlight w:val="none"/>
              </w:rPr>
            </w:pPr>
          </w:p>
          <w:p w14:paraId="26AB8437">
            <w:pPr>
              <w:spacing w:line="244" w:lineRule="auto"/>
              <w:rPr>
                <w:rFonts w:ascii="Arial"/>
                <w:color w:val="auto"/>
                <w:sz w:val="21"/>
                <w:highlight w:val="none"/>
              </w:rPr>
            </w:pPr>
          </w:p>
          <w:p w14:paraId="0FA75CB5">
            <w:pPr>
              <w:pStyle w:val="223"/>
              <w:spacing w:before="65" w:line="229" w:lineRule="auto"/>
              <w:ind w:left="150"/>
              <w:rPr>
                <w:color w:val="auto"/>
                <w:highlight w:val="none"/>
              </w:rPr>
            </w:pPr>
            <w:r>
              <w:rPr>
                <w:color w:val="auto"/>
                <w:spacing w:val="1"/>
                <w:highlight w:val="none"/>
              </w:rPr>
              <w:t>电控系统</w:t>
            </w:r>
          </w:p>
        </w:tc>
        <w:tc>
          <w:tcPr>
            <w:tcW w:w="2972" w:type="dxa"/>
            <w:noWrap w:val="0"/>
            <w:vAlign w:val="top"/>
          </w:tcPr>
          <w:p w14:paraId="0EFB3549">
            <w:pPr>
              <w:pStyle w:val="223"/>
              <w:spacing w:before="69" w:line="228" w:lineRule="auto"/>
              <w:ind w:left="235"/>
              <w:rPr>
                <w:color w:val="auto"/>
                <w:highlight w:val="none"/>
              </w:rPr>
            </w:pPr>
            <w:r>
              <w:rPr>
                <w:color w:val="auto"/>
                <w:spacing w:val="8"/>
                <w:highlight w:val="none"/>
              </w:rPr>
              <w:t>驱动电机控制器</w:t>
            </w:r>
          </w:p>
        </w:tc>
        <w:tc>
          <w:tcPr>
            <w:tcW w:w="2040" w:type="dxa"/>
            <w:noWrap w:val="0"/>
            <w:vAlign w:val="top"/>
          </w:tcPr>
          <w:p w14:paraId="07A3F035">
            <w:pPr>
              <w:pStyle w:val="223"/>
              <w:spacing w:before="7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26B26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48" w:type="dxa"/>
            <w:vMerge w:val="continue"/>
            <w:tcBorders>
              <w:top w:val="nil"/>
              <w:bottom w:val="nil"/>
            </w:tcBorders>
            <w:noWrap w:val="0"/>
            <w:vAlign w:val="top"/>
          </w:tcPr>
          <w:p w14:paraId="1C0A216C">
            <w:pPr>
              <w:rPr>
                <w:rFonts w:ascii="Arial"/>
                <w:color w:val="auto"/>
                <w:sz w:val="21"/>
                <w:highlight w:val="none"/>
              </w:rPr>
            </w:pPr>
          </w:p>
        </w:tc>
        <w:tc>
          <w:tcPr>
            <w:tcW w:w="810" w:type="dxa"/>
            <w:vMerge w:val="continue"/>
            <w:tcBorders>
              <w:top w:val="nil"/>
              <w:bottom w:val="nil"/>
            </w:tcBorders>
            <w:noWrap w:val="0"/>
            <w:vAlign w:val="top"/>
          </w:tcPr>
          <w:p w14:paraId="69688202">
            <w:pPr>
              <w:rPr>
                <w:rFonts w:ascii="Arial"/>
                <w:color w:val="auto"/>
                <w:sz w:val="21"/>
                <w:highlight w:val="none"/>
              </w:rPr>
            </w:pPr>
          </w:p>
        </w:tc>
        <w:tc>
          <w:tcPr>
            <w:tcW w:w="675" w:type="dxa"/>
            <w:vMerge w:val="continue"/>
            <w:tcBorders>
              <w:top w:val="nil"/>
              <w:bottom w:val="nil"/>
            </w:tcBorders>
            <w:noWrap w:val="0"/>
            <w:vAlign w:val="top"/>
          </w:tcPr>
          <w:p w14:paraId="39B61719">
            <w:pPr>
              <w:rPr>
                <w:rFonts w:ascii="Arial"/>
                <w:color w:val="auto"/>
                <w:sz w:val="21"/>
                <w:highlight w:val="none"/>
              </w:rPr>
            </w:pPr>
          </w:p>
        </w:tc>
        <w:tc>
          <w:tcPr>
            <w:tcW w:w="1081" w:type="dxa"/>
            <w:vMerge w:val="continue"/>
            <w:tcBorders>
              <w:top w:val="nil"/>
              <w:bottom w:val="nil"/>
            </w:tcBorders>
            <w:noWrap w:val="0"/>
            <w:vAlign w:val="top"/>
          </w:tcPr>
          <w:p w14:paraId="62F7C587">
            <w:pPr>
              <w:rPr>
                <w:rFonts w:ascii="Arial"/>
                <w:color w:val="auto"/>
                <w:sz w:val="21"/>
                <w:highlight w:val="none"/>
              </w:rPr>
            </w:pPr>
          </w:p>
        </w:tc>
        <w:tc>
          <w:tcPr>
            <w:tcW w:w="2972" w:type="dxa"/>
            <w:noWrap w:val="0"/>
            <w:vAlign w:val="top"/>
          </w:tcPr>
          <w:p w14:paraId="337947AC">
            <w:pPr>
              <w:pStyle w:val="223"/>
              <w:spacing w:before="96" w:line="228" w:lineRule="auto"/>
              <w:ind w:left="1076"/>
              <w:rPr>
                <w:color w:val="auto"/>
                <w:highlight w:val="none"/>
              </w:rPr>
            </w:pPr>
            <w:r>
              <w:rPr>
                <w:color w:val="auto"/>
                <w:spacing w:val="6"/>
                <w:highlight w:val="none"/>
              </w:rPr>
              <w:t>维修开关</w:t>
            </w:r>
          </w:p>
        </w:tc>
        <w:tc>
          <w:tcPr>
            <w:tcW w:w="2040" w:type="dxa"/>
            <w:noWrap w:val="0"/>
            <w:vAlign w:val="top"/>
          </w:tcPr>
          <w:p w14:paraId="431510E6">
            <w:pPr>
              <w:pStyle w:val="223"/>
              <w:spacing w:before="96"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4EBA4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48" w:type="dxa"/>
            <w:vMerge w:val="continue"/>
            <w:tcBorders>
              <w:top w:val="nil"/>
              <w:bottom w:val="nil"/>
            </w:tcBorders>
            <w:noWrap w:val="0"/>
            <w:vAlign w:val="top"/>
          </w:tcPr>
          <w:p w14:paraId="41F962B2">
            <w:pPr>
              <w:rPr>
                <w:rFonts w:ascii="Arial"/>
                <w:color w:val="auto"/>
                <w:sz w:val="21"/>
                <w:highlight w:val="none"/>
              </w:rPr>
            </w:pPr>
          </w:p>
        </w:tc>
        <w:tc>
          <w:tcPr>
            <w:tcW w:w="810" w:type="dxa"/>
            <w:vMerge w:val="continue"/>
            <w:tcBorders>
              <w:top w:val="nil"/>
              <w:bottom w:val="nil"/>
            </w:tcBorders>
            <w:noWrap w:val="0"/>
            <w:vAlign w:val="top"/>
          </w:tcPr>
          <w:p w14:paraId="3B55D139">
            <w:pPr>
              <w:rPr>
                <w:rFonts w:ascii="Arial"/>
                <w:color w:val="auto"/>
                <w:sz w:val="21"/>
                <w:highlight w:val="none"/>
              </w:rPr>
            </w:pPr>
          </w:p>
        </w:tc>
        <w:tc>
          <w:tcPr>
            <w:tcW w:w="675" w:type="dxa"/>
            <w:vMerge w:val="continue"/>
            <w:tcBorders>
              <w:top w:val="nil"/>
              <w:bottom w:val="nil"/>
            </w:tcBorders>
            <w:noWrap w:val="0"/>
            <w:vAlign w:val="top"/>
          </w:tcPr>
          <w:p w14:paraId="124FE931">
            <w:pPr>
              <w:rPr>
                <w:rFonts w:ascii="Arial"/>
                <w:color w:val="auto"/>
                <w:sz w:val="21"/>
                <w:highlight w:val="none"/>
              </w:rPr>
            </w:pPr>
          </w:p>
        </w:tc>
        <w:tc>
          <w:tcPr>
            <w:tcW w:w="1081" w:type="dxa"/>
            <w:vMerge w:val="continue"/>
            <w:tcBorders>
              <w:top w:val="nil"/>
              <w:bottom w:val="nil"/>
            </w:tcBorders>
            <w:noWrap w:val="0"/>
            <w:vAlign w:val="top"/>
          </w:tcPr>
          <w:p w14:paraId="74E013F6">
            <w:pPr>
              <w:rPr>
                <w:rFonts w:ascii="Arial"/>
                <w:color w:val="auto"/>
                <w:sz w:val="21"/>
                <w:highlight w:val="none"/>
              </w:rPr>
            </w:pPr>
          </w:p>
        </w:tc>
        <w:tc>
          <w:tcPr>
            <w:tcW w:w="2972" w:type="dxa"/>
            <w:noWrap w:val="0"/>
            <w:vAlign w:val="top"/>
          </w:tcPr>
          <w:p w14:paraId="5A856D7F">
            <w:pPr>
              <w:pStyle w:val="223"/>
              <w:spacing w:before="104" w:line="228" w:lineRule="auto"/>
              <w:ind w:left="341"/>
              <w:rPr>
                <w:color w:val="auto"/>
                <w:highlight w:val="none"/>
              </w:rPr>
            </w:pPr>
            <w:r>
              <w:rPr>
                <w:color w:val="auto"/>
                <w:spacing w:val="7"/>
                <w:highlight w:val="none"/>
              </w:rPr>
              <w:t>充电口（含线束及附件）</w:t>
            </w:r>
          </w:p>
        </w:tc>
        <w:tc>
          <w:tcPr>
            <w:tcW w:w="2040" w:type="dxa"/>
            <w:noWrap w:val="0"/>
            <w:vAlign w:val="top"/>
          </w:tcPr>
          <w:p w14:paraId="26A0D89F">
            <w:pPr>
              <w:pStyle w:val="223"/>
              <w:spacing w:before="105"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778B7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948" w:type="dxa"/>
            <w:vMerge w:val="continue"/>
            <w:tcBorders>
              <w:top w:val="nil"/>
              <w:bottom w:val="nil"/>
            </w:tcBorders>
            <w:noWrap w:val="0"/>
            <w:vAlign w:val="top"/>
          </w:tcPr>
          <w:p w14:paraId="5FCB94EF">
            <w:pPr>
              <w:rPr>
                <w:rFonts w:ascii="Arial"/>
                <w:color w:val="auto"/>
                <w:sz w:val="21"/>
                <w:highlight w:val="none"/>
              </w:rPr>
            </w:pPr>
          </w:p>
        </w:tc>
        <w:tc>
          <w:tcPr>
            <w:tcW w:w="810" w:type="dxa"/>
            <w:vMerge w:val="continue"/>
            <w:tcBorders>
              <w:top w:val="nil"/>
              <w:bottom w:val="nil"/>
            </w:tcBorders>
            <w:noWrap w:val="0"/>
            <w:vAlign w:val="top"/>
          </w:tcPr>
          <w:p w14:paraId="261B85EE">
            <w:pPr>
              <w:rPr>
                <w:rFonts w:ascii="Arial"/>
                <w:color w:val="auto"/>
                <w:sz w:val="21"/>
                <w:highlight w:val="none"/>
              </w:rPr>
            </w:pPr>
          </w:p>
        </w:tc>
        <w:tc>
          <w:tcPr>
            <w:tcW w:w="675" w:type="dxa"/>
            <w:vMerge w:val="continue"/>
            <w:tcBorders>
              <w:top w:val="nil"/>
              <w:bottom w:val="nil"/>
            </w:tcBorders>
            <w:noWrap w:val="0"/>
            <w:vAlign w:val="top"/>
          </w:tcPr>
          <w:p w14:paraId="002209AE">
            <w:pPr>
              <w:rPr>
                <w:rFonts w:ascii="Arial"/>
                <w:color w:val="auto"/>
                <w:sz w:val="21"/>
                <w:highlight w:val="none"/>
              </w:rPr>
            </w:pPr>
          </w:p>
        </w:tc>
        <w:tc>
          <w:tcPr>
            <w:tcW w:w="1081" w:type="dxa"/>
            <w:vMerge w:val="continue"/>
            <w:tcBorders>
              <w:top w:val="nil"/>
              <w:bottom w:val="nil"/>
            </w:tcBorders>
            <w:noWrap w:val="0"/>
            <w:vAlign w:val="top"/>
          </w:tcPr>
          <w:p w14:paraId="4B004913">
            <w:pPr>
              <w:rPr>
                <w:rFonts w:ascii="Arial"/>
                <w:color w:val="auto"/>
                <w:sz w:val="21"/>
                <w:highlight w:val="none"/>
              </w:rPr>
            </w:pPr>
          </w:p>
        </w:tc>
        <w:tc>
          <w:tcPr>
            <w:tcW w:w="2972" w:type="dxa"/>
            <w:noWrap w:val="0"/>
            <w:vAlign w:val="top"/>
          </w:tcPr>
          <w:p w14:paraId="2E34C7EB">
            <w:pPr>
              <w:pStyle w:val="223"/>
              <w:spacing w:before="108" w:line="228" w:lineRule="auto"/>
              <w:ind w:left="236"/>
              <w:rPr>
                <w:color w:val="auto"/>
                <w:highlight w:val="none"/>
              </w:rPr>
            </w:pPr>
            <w:r>
              <w:rPr>
                <w:color w:val="auto"/>
                <w:spacing w:val="8"/>
                <w:highlight w:val="none"/>
              </w:rPr>
              <w:t>前后辅助控制器</w:t>
            </w:r>
          </w:p>
        </w:tc>
        <w:tc>
          <w:tcPr>
            <w:tcW w:w="2040" w:type="dxa"/>
            <w:noWrap w:val="0"/>
            <w:vAlign w:val="top"/>
          </w:tcPr>
          <w:p w14:paraId="5EE04C9C">
            <w:pPr>
              <w:pStyle w:val="223"/>
              <w:spacing w:before="109"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1A0E4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48" w:type="dxa"/>
            <w:vMerge w:val="continue"/>
            <w:tcBorders>
              <w:top w:val="nil"/>
              <w:bottom w:val="nil"/>
            </w:tcBorders>
            <w:noWrap w:val="0"/>
            <w:vAlign w:val="top"/>
          </w:tcPr>
          <w:p w14:paraId="7661354B">
            <w:pPr>
              <w:rPr>
                <w:rFonts w:ascii="Arial"/>
                <w:color w:val="auto"/>
                <w:sz w:val="21"/>
                <w:highlight w:val="none"/>
              </w:rPr>
            </w:pPr>
          </w:p>
        </w:tc>
        <w:tc>
          <w:tcPr>
            <w:tcW w:w="810" w:type="dxa"/>
            <w:vMerge w:val="continue"/>
            <w:tcBorders>
              <w:top w:val="nil"/>
              <w:bottom w:val="nil"/>
            </w:tcBorders>
            <w:noWrap w:val="0"/>
            <w:vAlign w:val="top"/>
          </w:tcPr>
          <w:p w14:paraId="730970A9">
            <w:pPr>
              <w:rPr>
                <w:rFonts w:ascii="Arial"/>
                <w:color w:val="auto"/>
                <w:sz w:val="21"/>
                <w:highlight w:val="none"/>
              </w:rPr>
            </w:pPr>
          </w:p>
        </w:tc>
        <w:tc>
          <w:tcPr>
            <w:tcW w:w="675" w:type="dxa"/>
            <w:vMerge w:val="continue"/>
            <w:tcBorders>
              <w:top w:val="nil"/>
              <w:bottom w:val="nil"/>
            </w:tcBorders>
            <w:noWrap w:val="0"/>
            <w:vAlign w:val="top"/>
          </w:tcPr>
          <w:p w14:paraId="0A5DD205">
            <w:pPr>
              <w:rPr>
                <w:rFonts w:ascii="Arial"/>
                <w:color w:val="auto"/>
                <w:sz w:val="21"/>
                <w:highlight w:val="none"/>
              </w:rPr>
            </w:pPr>
          </w:p>
        </w:tc>
        <w:tc>
          <w:tcPr>
            <w:tcW w:w="1081" w:type="dxa"/>
            <w:vMerge w:val="continue"/>
            <w:tcBorders>
              <w:top w:val="nil"/>
              <w:bottom w:val="nil"/>
            </w:tcBorders>
            <w:noWrap w:val="0"/>
            <w:vAlign w:val="top"/>
          </w:tcPr>
          <w:p w14:paraId="670D687F">
            <w:pPr>
              <w:rPr>
                <w:rFonts w:ascii="Arial"/>
                <w:color w:val="auto"/>
                <w:sz w:val="21"/>
                <w:highlight w:val="none"/>
              </w:rPr>
            </w:pPr>
          </w:p>
        </w:tc>
        <w:tc>
          <w:tcPr>
            <w:tcW w:w="2972" w:type="dxa"/>
            <w:noWrap w:val="0"/>
            <w:vAlign w:val="top"/>
          </w:tcPr>
          <w:p w14:paraId="11881216">
            <w:pPr>
              <w:pStyle w:val="223"/>
              <w:spacing w:before="105" w:line="228" w:lineRule="auto"/>
              <w:ind w:left="975"/>
              <w:rPr>
                <w:color w:val="auto"/>
                <w:highlight w:val="none"/>
              </w:rPr>
            </w:pPr>
            <w:r>
              <w:rPr>
                <w:color w:val="auto"/>
                <w:spacing w:val="6"/>
                <w:highlight w:val="none"/>
              </w:rPr>
              <w:t>负极保险盒</w:t>
            </w:r>
          </w:p>
        </w:tc>
        <w:tc>
          <w:tcPr>
            <w:tcW w:w="2040" w:type="dxa"/>
            <w:noWrap w:val="0"/>
            <w:vAlign w:val="top"/>
          </w:tcPr>
          <w:p w14:paraId="675E9EAE">
            <w:pPr>
              <w:pStyle w:val="223"/>
              <w:spacing w:before="105"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17CF3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48" w:type="dxa"/>
            <w:vMerge w:val="continue"/>
            <w:tcBorders>
              <w:top w:val="nil"/>
              <w:bottom w:val="nil"/>
            </w:tcBorders>
            <w:noWrap w:val="0"/>
            <w:vAlign w:val="top"/>
          </w:tcPr>
          <w:p w14:paraId="70DDF8DC">
            <w:pPr>
              <w:rPr>
                <w:rFonts w:ascii="Arial"/>
                <w:color w:val="auto"/>
                <w:sz w:val="21"/>
                <w:highlight w:val="none"/>
              </w:rPr>
            </w:pPr>
          </w:p>
        </w:tc>
        <w:tc>
          <w:tcPr>
            <w:tcW w:w="810" w:type="dxa"/>
            <w:vMerge w:val="continue"/>
            <w:tcBorders>
              <w:top w:val="nil"/>
              <w:bottom w:val="nil"/>
            </w:tcBorders>
            <w:noWrap w:val="0"/>
            <w:vAlign w:val="top"/>
          </w:tcPr>
          <w:p w14:paraId="0875F9B5">
            <w:pPr>
              <w:rPr>
                <w:rFonts w:ascii="Arial"/>
                <w:color w:val="auto"/>
                <w:sz w:val="21"/>
                <w:highlight w:val="none"/>
              </w:rPr>
            </w:pPr>
          </w:p>
        </w:tc>
        <w:tc>
          <w:tcPr>
            <w:tcW w:w="675" w:type="dxa"/>
            <w:vMerge w:val="continue"/>
            <w:tcBorders>
              <w:top w:val="nil"/>
              <w:bottom w:val="nil"/>
            </w:tcBorders>
            <w:noWrap w:val="0"/>
            <w:vAlign w:val="top"/>
          </w:tcPr>
          <w:p w14:paraId="5D8EF110">
            <w:pPr>
              <w:rPr>
                <w:rFonts w:ascii="Arial"/>
                <w:color w:val="auto"/>
                <w:sz w:val="21"/>
                <w:highlight w:val="none"/>
              </w:rPr>
            </w:pPr>
          </w:p>
        </w:tc>
        <w:tc>
          <w:tcPr>
            <w:tcW w:w="1081" w:type="dxa"/>
            <w:vMerge w:val="continue"/>
            <w:tcBorders>
              <w:top w:val="nil"/>
              <w:bottom w:val="nil"/>
            </w:tcBorders>
            <w:noWrap w:val="0"/>
            <w:vAlign w:val="top"/>
          </w:tcPr>
          <w:p w14:paraId="7D04E6EE">
            <w:pPr>
              <w:rPr>
                <w:rFonts w:ascii="Arial"/>
                <w:color w:val="auto"/>
                <w:sz w:val="21"/>
                <w:highlight w:val="none"/>
              </w:rPr>
            </w:pPr>
          </w:p>
        </w:tc>
        <w:tc>
          <w:tcPr>
            <w:tcW w:w="2972" w:type="dxa"/>
            <w:noWrap w:val="0"/>
            <w:vAlign w:val="top"/>
          </w:tcPr>
          <w:p w14:paraId="1698B868">
            <w:pPr>
              <w:pStyle w:val="223"/>
              <w:spacing w:before="107" w:line="228" w:lineRule="auto"/>
              <w:ind w:left="149"/>
              <w:rPr>
                <w:color w:val="auto"/>
                <w:highlight w:val="none"/>
              </w:rPr>
            </w:pPr>
            <w:r>
              <w:rPr>
                <w:color w:val="auto"/>
                <w:highlight w:val="none"/>
              </w:rPr>
              <w:t>DC</w:t>
            </w:r>
            <w:r>
              <w:rPr>
                <w:color w:val="auto"/>
                <w:spacing w:val="9"/>
                <w:highlight w:val="none"/>
              </w:rPr>
              <w:t>-</w:t>
            </w:r>
            <w:r>
              <w:rPr>
                <w:color w:val="auto"/>
                <w:highlight w:val="none"/>
              </w:rPr>
              <w:t>DC</w:t>
            </w:r>
            <w:r>
              <w:rPr>
                <w:color w:val="auto"/>
                <w:spacing w:val="-40"/>
                <w:highlight w:val="none"/>
              </w:rPr>
              <w:t xml:space="preserve"> </w:t>
            </w:r>
            <w:r>
              <w:rPr>
                <w:color w:val="auto"/>
                <w:spacing w:val="9"/>
                <w:highlight w:val="none"/>
              </w:rPr>
              <w:t>变换器总成</w:t>
            </w:r>
          </w:p>
        </w:tc>
        <w:tc>
          <w:tcPr>
            <w:tcW w:w="2040" w:type="dxa"/>
            <w:noWrap w:val="0"/>
            <w:vAlign w:val="top"/>
          </w:tcPr>
          <w:p w14:paraId="5F00E6A2">
            <w:pPr>
              <w:pStyle w:val="223"/>
              <w:spacing w:before="108"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B5F2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48" w:type="dxa"/>
            <w:vMerge w:val="continue"/>
            <w:tcBorders>
              <w:top w:val="nil"/>
              <w:bottom w:val="nil"/>
            </w:tcBorders>
            <w:noWrap w:val="0"/>
            <w:vAlign w:val="top"/>
          </w:tcPr>
          <w:p w14:paraId="31073554">
            <w:pPr>
              <w:rPr>
                <w:rFonts w:ascii="Arial"/>
                <w:color w:val="auto"/>
                <w:sz w:val="21"/>
                <w:highlight w:val="none"/>
              </w:rPr>
            </w:pPr>
          </w:p>
        </w:tc>
        <w:tc>
          <w:tcPr>
            <w:tcW w:w="810" w:type="dxa"/>
            <w:vMerge w:val="continue"/>
            <w:tcBorders>
              <w:top w:val="nil"/>
              <w:bottom w:val="nil"/>
            </w:tcBorders>
            <w:noWrap w:val="0"/>
            <w:vAlign w:val="top"/>
          </w:tcPr>
          <w:p w14:paraId="3E81B352">
            <w:pPr>
              <w:rPr>
                <w:rFonts w:ascii="Arial"/>
                <w:color w:val="auto"/>
                <w:sz w:val="21"/>
                <w:highlight w:val="none"/>
              </w:rPr>
            </w:pPr>
          </w:p>
        </w:tc>
        <w:tc>
          <w:tcPr>
            <w:tcW w:w="675" w:type="dxa"/>
            <w:vMerge w:val="continue"/>
            <w:tcBorders>
              <w:top w:val="nil"/>
              <w:bottom w:val="nil"/>
            </w:tcBorders>
            <w:noWrap w:val="0"/>
            <w:vAlign w:val="top"/>
          </w:tcPr>
          <w:p w14:paraId="08AC3020">
            <w:pPr>
              <w:rPr>
                <w:rFonts w:ascii="Arial"/>
                <w:color w:val="auto"/>
                <w:sz w:val="21"/>
                <w:highlight w:val="none"/>
              </w:rPr>
            </w:pPr>
          </w:p>
        </w:tc>
        <w:tc>
          <w:tcPr>
            <w:tcW w:w="1081" w:type="dxa"/>
            <w:vMerge w:val="continue"/>
            <w:tcBorders>
              <w:top w:val="nil"/>
              <w:bottom w:val="nil"/>
            </w:tcBorders>
            <w:noWrap w:val="0"/>
            <w:vAlign w:val="top"/>
          </w:tcPr>
          <w:p w14:paraId="24358E37">
            <w:pPr>
              <w:rPr>
                <w:rFonts w:ascii="Arial"/>
                <w:color w:val="auto"/>
                <w:sz w:val="21"/>
                <w:highlight w:val="none"/>
              </w:rPr>
            </w:pPr>
          </w:p>
        </w:tc>
        <w:tc>
          <w:tcPr>
            <w:tcW w:w="2972" w:type="dxa"/>
            <w:noWrap w:val="0"/>
            <w:vAlign w:val="top"/>
          </w:tcPr>
          <w:p w14:paraId="6B71F074">
            <w:pPr>
              <w:pStyle w:val="223"/>
              <w:spacing w:before="100" w:line="228" w:lineRule="auto"/>
              <w:ind w:left="442"/>
              <w:rPr>
                <w:color w:val="auto"/>
                <w:highlight w:val="none"/>
              </w:rPr>
            </w:pPr>
            <w:r>
              <w:rPr>
                <w:color w:val="auto"/>
                <w:spacing w:val="7"/>
                <w:highlight w:val="none"/>
              </w:rPr>
              <w:t>整车控制器</w:t>
            </w:r>
          </w:p>
        </w:tc>
        <w:tc>
          <w:tcPr>
            <w:tcW w:w="2040" w:type="dxa"/>
            <w:noWrap w:val="0"/>
            <w:vAlign w:val="top"/>
          </w:tcPr>
          <w:p w14:paraId="4B42B5BF">
            <w:pPr>
              <w:pStyle w:val="223"/>
              <w:spacing w:before="10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3C1D5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48" w:type="dxa"/>
            <w:vMerge w:val="continue"/>
            <w:tcBorders>
              <w:top w:val="nil"/>
              <w:bottom w:val="nil"/>
            </w:tcBorders>
            <w:noWrap w:val="0"/>
            <w:vAlign w:val="top"/>
          </w:tcPr>
          <w:p w14:paraId="0DDC9C3C">
            <w:pPr>
              <w:rPr>
                <w:rFonts w:ascii="Arial"/>
                <w:color w:val="auto"/>
                <w:sz w:val="21"/>
                <w:highlight w:val="none"/>
              </w:rPr>
            </w:pPr>
          </w:p>
        </w:tc>
        <w:tc>
          <w:tcPr>
            <w:tcW w:w="810" w:type="dxa"/>
            <w:vMerge w:val="continue"/>
            <w:tcBorders>
              <w:top w:val="nil"/>
              <w:bottom w:val="nil"/>
            </w:tcBorders>
            <w:noWrap w:val="0"/>
            <w:vAlign w:val="top"/>
          </w:tcPr>
          <w:p w14:paraId="4F420AD2">
            <w:pPr>
              <w:rPr>
                <w:rFonts w:ascii="Arial"/>
                <w:color w:val="auto"/>
                <w:sz w:val="21"/>
                <w:highlight w:val="none"/>
              </w:rPr>
            </w:pPr>
          </w:p>
        </w:tc>
        <w:tc>
          <w:tcPr>
            <w:tcW w:w="675" w:type="dxa"/>
            <w:vMerge w:val="continue"/>
            <w:tcBorders>
              <w:top w:val="nil"/>
              <w:bottom w:val="nil"/>
            </w:tcBorders>
            <w:noWrap w:val="0"/>
            <w:vAlign w:val="top"/>
          </w:tcPr>
          <w:p w14:paraId="1A8F9147">
            <w:pPr>
              <w:rPr>
                <w:rFonts w:ascii="Arial"/>
                <w:color w:val="auto"/>
                <w:sz w:val="21"/>
                <w:highlight w:val="none"/>
              </w:rPr>
            </w:pPr>
          </w:p>
        </w:tc>
        <w:tc>
          <w:tcPr>
            <w:tcW w:w="1081" w:type="dxa"/>
            <w:vMerge w:val="continue"/>
            <w:tcBorders>
              <w:top w:val="nil"/>
              <w:bottom w:val="nil"/>
            </w:tcBorders>
            <w:noWrap w:val="0"/>
            <w:vAlign w:val="top"/>
          </w:tcPr>
          <w:p w14:paraId="7909A706">
            <w:pPr>
              <w:rPr>
                <w:rFonts w:ascii="Arial"/>
                <w:color w:val="auto"/>
                <w:sz w:val="21"/>
                <w:highlight w:val="none"/>
              </w:rPr>
            </w:pPr>
          </w:p>
        </w:tc>
        <w:tc>
          <w:tcPr>
            <w:tcW w:w="2972" w:type="dxa"/>
            <w:noWrap w:val="0"/>
            <w:vAlign w:val="top"/>
          </w:tcPr>
          <w:p w14:paraId="00B9248E">
            <w:pPr>
              <w:pStyle w:val="223"/>
              <w:spacing w:before="110" w:line="228" w:lineRule="auto"/>
              <w:ind w:left="447"/>
              <w:rPr>
                <w:color w:val="auto"/>
                <w:highlight w:val="none"/>
              </w:rPr>
            </w:pPr>
            <w:r>
              <w:rPr>
                <w:color w:val="auto"/>
                <w:spacing w:val="7"/>
                <w:highlight w:val="none"/>
              </w:rPr>
              <w:t>高压配电箱</w:t>
            </w:r>
          </w:p>
        </w:tc>
        <w:tc>
          <w:tcPr>
            <w:tcW w:w="2040" w:type="dxa"/>
            <w:noWrap w:val="0"/>
            <w:vAlign w:val="top"/>
          </w:tcPr>
          <w:p w14:paraId="7CD349AB">
            <w:pPr>
              <w:pStyle w:val="223"/>
              <w:spacing w:before="11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6F996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948" w:type="dxa"/>
            <w:vMerge w:val="continue"/>
            <w:tcBorders>
              <w:top w:val="nil"/>
              <w:bottom w:val="nil"/>
            </w:tcBorders>
            <w:noWrap w:val="0"/>
            <w:vAlign w:val="top"/>
          </w:tcPr>
          <w:p w14:paraId="2F93DEDE">
            <w:pPr>
              <w:rPr>
                <w:rFonts w:ascii="Arial"/>
                <w:color w:val="auto"/>
                <w:sz w:val="21"/>
                <w:highlight w:val="none"/>
              </w:rPr>
            </w:pPr>
          </w:p>
        </w:tc>
        <w:tc>
          <w:tcPr>
            <w:tcW w:w="810" w:type="dxa"/>
            <w:vMerge w:val="continue"/>
            <w:tcBorders>
              <w:top w:val="nil"/>
              <w:bottom w:val="nil"/>
            </w:tcBorders>
            <w:noWrap w:val="0"/>
            <w:vAlign w:val="top"/>
          </w:tcPr>
          <w:p w14:paraId="3EBF723D">
            <w:pPr>
              <w:rPr>
                <w:rFonts w:ascii="Arial"/>
                <w:color w:val="auto"/>
                <w:sz w:val="21"/>
                <w:highlight w:val="none"/>
              </w:rPr>
            </w:pPr>
          </w:p>
        </w:tc>
        <w:tc>
          <w:tcPr>
            <w:tcW w:w="675" w:type="dxa"/>
            <w:vMerge w:val="continue"/>
            <w:tcBorders>
              <w:top w:val="nil"/>
              <w:bottom w:val="nil"/>
            </w:tcBorders>
            <w:noWrap w:val="0"/>
            <w:vAlign w:val="top"/>
          </w:tcPr>
          <w:p w14:paraId="271C59C3">
            <w:pPr>
              <w:rPr>
                <w:rFonts w:ascii="Arial"/>
                <w:color w:val="auto"/>
                <w:sz w:val="21"/>
                <w:highlight w:val="none"/>
              </w:rPr>
            </w:pPr>
          </w:p>
        </w:tc>
        <w:tc>
          <w:tcPr>
            <w:tcW w:w="1081" w:type="dxa"/>
            <w:vMerge w:val="continue"/>
            <w:tcBorders>
              <w:top w:val="nil"/>
              <w:bottom w:val="nil"/>
            </w:tcBorders>
            <w:noWrap w:val="0"/>
            <w:vAlign w:val="top"/>
          </w:tcPr>
          <w:p w14:paraId="7210946C">
            <w:pPr>
              <w:rPr>
                <w:rFonts w:ascii="Arial"/>
                <w:color w:val="auto"/>
                <w:sz w:val="21"/>
                <w:highlight w:val="none"/>
              </w:rPr>
            </w:pPr>
          </w:p>
        </w:tc>
        <w:tc>
          <w:tcPr>
            <w:tcW w:w="2972" w:type="dxa"/>
            <w:noWrap w:val="0"/>
            <w:vAlign w:val="top"/>
          </w:tcPr>
          <w:p w14:paraId="43320CF2">
            <w:pPr>
              <w:pStyle w:val="223"/>
              <w:spacing w:before="104" w:line="228" w:lineRule="auto"/>
              <w:ind w:left="233"/>
              <w:rPr>
                <w:color w:val="auto"/>
                <w:highlight w:val="none"/>
              </w:rPr>
            </w:pPr>
            <w:r>
              <w:rPr>
                <w:color w:val="auto"/>
                <w:spacing w:val="8"/>
                <w:highlight w:val="none"/>
              </w:rPr>
              <w:t>转向电机控制器</w:t>
            </w:r>
          </w:p>
        </w:tc>
        <w:tc>
          <w:tcPr>
            <w:tcW w:w="2040" w:type="dxa"/>
            <w:noWrap w:val="0"/>
            <w:vAlign w:val="top"/>
          </w:tcPr>
          <w:p w14:paraId="5AE97012">
            <w:pPr>
              <w:pStyle w:val="223"/>
              <w:spacing w:before="105"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13015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32ADFCF1">
            <w:pPr>
              <w:rPr>
                <w:rFonts w:ascii="Arial"/>
                <w:color w:val="auto"/>
                <w:sz w:val="21"/>
                <w:highlight w:val="none"/>
              </w:rPr>
            </w:pPr>
          </w:p>
        </w:tc>
        <w:tc>
          <w:tcPr>
            <w:tcW w:w="810" w:type="dxa"/>
            <w:vMerge w:val="continue"/>
            <w:tcBorders>
              <w:top w:val="nil"/>
              <w:bottom w:val="nil"/>
            </w:tcBorders>
            <w:noWrap w:val="0"/>
            <w:vAlign w:val="top"/>
          </w:tcPr>
          <w:p w14:paraId="704CB239">
            <w:pPr>
              <w:rPr>
                <w:rFonts w:ascii="Arial"/>
                <w:color w:val="auto"/>
                <w:sz w:val="21"/>
                <w:highlight w:val="none"/>
              </w:rPr>
            </w:pPr>
          </w:p>
        </w:tc>
        <w:tc>
          <w:tcPr>
            <w:tcW w:w="675" w:type="dxa"/>
            <w:vMerge w:val="continue"/>
            <w:tcBorders>
              <w:top w:val="nil"/>
              <w:bottom w:val="nil"/>
            </w:tcBorders>
            <w:noWrap w:val="0"/>
            <w:vAlign w:val="top"/>
          </w:tcPr>
          <w:p w14:paraId="7736BFD9">
            <w:pPr>
              <w:rPr>
                <w:rFonts w:ascii="Arial"/>
                <w:color w:val="auto"/>
                <w:sz w:val="21"/>
                <w:highlight w:val="none"/>
              </w:rPr>
            </w:pPr>
          </w:p>
        </w:tc>
        <w:tc>
          <w:tcPr>
            <w:tcW w:w="1081" w:type="dxa"/>
            <w:vMerge w:val="continue"/>
            <w:tcBorders>
              <w:top w:val="nil"/>
              <w:bottom w:val="nil"/>
            </w:tcBorders>
            <w:noWrap w:val="0"/>
            <w:vAlign w:val="top"/>
          </w:tcPr>
          <w:p w14:paraId="24A9B82C">
            <w:pPr>
              <w:rPr>
                <w:rFonts w:ascii="Arial"/>
                <w:color w:val="auto"/>
                <w:sz w:val="21"/>
                <w:highlight w:val="none"/>
              </w:rPr>
            </w:pPr>
          </w:p>
        </w:tc>
        <w:tc>
          <w:tcPr>
            <w:tcW w:w="2972" w:type="dxa"/>
            <w:noWrap w:val="0"/>
            <w:vAlign w:val="top"/>
          </w:tcPr>
          <w:p w14:paraId="3EB1EEC4">
            <w:pPr>
              <w:pStyle w:val="223"/>
              <w:spacing w:before="54" w:line="228" w:lineRule="auto"/>
              <w:ind w:left="345"/>
              <w:rPr>
                <w:color w:val="auto"/>
                <w:highlight w:val="none"/>
              </w:rPr>
            </w:pPr>
            <w:r>
              <w:rPr>
                <w:color w:val="auto"/>
                <w:spacing w:val="7"/>
                <w:highlight w:val="none"/>
              </w:rPr>
              <w:t>空压机控制器</w:t>
            </w:r>
          </w:p>
        </w:tc>
        <w:tc>
          <w:tcPr>
            <w:tcW w:w="2040" w:type="dxa"/>
            <w:noWrap w:val="0"/>
            <w:vAlign w:val="top"/>
          </w:tcPr>
          <w:p w14:paraId="47D736DC">
            <w:pPr>
              <w:pStyle w:val="223"/>
              <w:spacing w:before="55"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6C522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48" w:type="dxa"/>
            <w:vMerge w:val="continue"/>
            <w:tcBorders>
              <w:top w:val="nil"/>
              <w:bottom w:val="nil"/>
            </w:tcBorders>
            <w:noWrap w:val="0"/>
            <w:vAlign w:val="top"/>
          </w:tcPr>
          <w:p w14:paraId="5EC0F490">
            <w:pPr>
              <w:rPr>
                <w:rFonts w:ascii="Arial"/>
                <w:color w:val="auto"/>
                <w:sz w:val="21"/>
                <w:highlight w:val="none"/>
              </w:rPr>
            </w:pPr>
          </w:p>
        </w:tc>
        <w:tc>
          <w:tcPr>
            <w:tcW w:w="810" w:type="dxa"/>
            <w:vMerge w:val="continue"/>
            <w:tcBorders>
              <w:top w:val="nil"/>
              <w:bottom w:val="nil"/>
            </w:tcBorders>
            <w:noWrap w:val="0"/>
            <w:vAlign w:val="top"/>
          </w:tcPr>
          <w:p w14:paraId="00287AD8">
            <w:pPr>
              <w:rPr>
                <w:rFonts w:ascii="Arial"/>
                <w:color w:val="auto"/>
                <w:sz w:val="21"/>
                <w:highlight w:val="none"/>
              </w:rPr>
            </w:pPr>
          </w:p>
        </w:tc>
        <w:tc>
          <w:tcPr>
            <w:tcW w:w="675" w:type="dxa"/>
            <w:vMerge w:val="continue"/>
            <w:tcBorders>
              <w:top w:val="nil"/>
              <w:bottom w:val="nil"/>
            </w:tcBorders>
            <w:noWrap w:val="0"/>
            <w:vAlign w:val="top"/>
          </w:tcPr>
          <w:p w14:paraId="6C9D0E39">
            <w:pPr>
              <w:rPr>
                <w:rFonts w:ascii="Arial"/>
                <w:color w:val="auto"/>
                <w:sz w:val="21"/>
                <w:highlight w:val="none"/>
              </w:rPr>
            </w:pPr>
          </w:p>
        </w:tc>
        <w:tc>
          <w:tcPr>
            <w:tcW w:w="1081" w:type="dxa"/>
            <w:vMerge w:val="continue"/>
            <w:tcBorders>
              <w:top w:val="nil"/>
              <w:bottom w:val="nil"/>
            </w:tcBorders>
            <w:noWrap w:val="0"/>
            <w:vAlign w:val="top"/>
          </w:tcPr>
          <w:p w14:paraId="145D8BF2">
            <w:pPr>
              <w:rPr>
                <w:rFonts w:ascii="Arial"/>
                <w:color w:val="auto"/>
                <w:sz w:val="21"/>
                <w:highlight w:val="none"/>
              </w:rPr>
            </w:pPr>
          </w:p>
        </w:tc>
        <w:tc>
          <w:tcPr>
            <w:tcW w:w="2972" w:type="dxa"/>
            <w:noWrap w:val="0"/>
            <w:vAlign w:val="top"/>
          </w:tcPr>
          <w:p w14:paraId="3AFEC7CE">
            <w:pPr>
              <w:pStyle w:val="223"/>
              <w:spacing w:before="104" w:line="228" w:lineRule="auto"/>
              <w:ind w:left="363"/>
              <w:rPr>
                <w:color w:val="auto"/>
                <w:highlight w:val="none"/>
              </w:rPr>
            </w:pPr>
            <w:r>
              <w:rPr>
                <w:color w:val="auto"/>
                <w:spacing w:val="5"/>
                <w:highlight w:val="none"/>
              </w:rPr>
              <w:t>电动转向电机</w:t>
            </w:r>
          </w:p>
        </w:tc>
        <w:tc>
          <w:tcPr>
            <w:tcW w:w="2040" w:type="dxa"/>
            <w:noWrap w:val="0"/>
            <w:vAlign w:val="top"/>
          </w:tcPr>
          <w:p w14:paraId="023B7F20">
            <w:pPr>
              <w:pStyle w:val="223"/>
              <w:spacing w:before="105"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5EBF9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48" w:type="dxa"/>
            <w:vMerge w:val="continue"/>
            <w:tcBorders>
              <w:top w:val="nil"/>
              <w:bottom w:val="nil"/>
            </w:tcBorders>
            <w:noWrap w:val="0"/>
            <w:vAlign w:val="top"/>
          </w:tcPr>
          <w:p w14:paraId="22046E85">
            <w:pPr>
              <w:rPr>
                <w:rFonts w:ascii="Arial"/>
                <w:color w:val="auto"/>
                <w:sz w:val="21"/>
                <w:highlight w:val="none"/>
              </w:rPr>
            </w:pPr>
          </w:p>
        </w:tc>
        <w:tc>
          <w:tcPr>
            <w:tcW w:w="810" w:type="dxa"/>
            <w:vMerge w:val="continue"/>
            <w:tcBorders>
              <w:top w:val="nil"/>
              <w:bottom w:val="nil"/>
            </w:tcBorders>
            <w:noWrap w:val="0"/>
            <w:vAlign w:val="top"/>
          </w:tcPr>
          <w:p w14:paraId="0DE623A1">
            <w:pPr>
              <w:rPr>
                <w:rFonts w:ascii="Arial"/>
                <w:color w:val="auto"/>
                <w:sz w:val="21"/>
                <w:highlight w:val="none"/>
              </w:rPr>
            </w:pPr>
          </w:p>
        </w:tc>
        <w:tc>
          <w:tcPr>
            <w:tcW w:w="675" w:type="dxa"/>
            <w:vMerge w:val="continue"/>
            <w:tcBorders>
              <w:top w:val="nil"/>
              <w:bottom w:val="nil"/>
            </w:tcBorders>
            <w:noWrap w:val="0"/>
            <w:vAlign w:val="top"/>
          </w:tcPr>
          <w:p w14:paraId="18827E4C">
            <w:pPr>
              <w:rPr>
                <w:rFonts w:ascii="Arial"/>
                <w:color w:val="auto"/>
                <w:sz w:val="21"/>
                <w:highlight w:val="none"/>
              </w:rPr>
            </w:pPr>
          </w:p>
        </w:tc>
        <w:tc>
          <w:tcPr>
            <w:tcW w:w="1081" w:type="dxa"/>
            <w:vMerge w:val="continue"/>
            <w:tcBorders>
              <w:top w:val="nil"/>
              <w:bottom w:val="nil"/>
            </w:tcBorders>
            <w:noWrap w:val="0"/>
            <w:vAlign w:val="top"/>
          </w:tcPr>
          <w:p w14:paraId="2594AE41">
            <w:pPr>
              <w:rPr>
                <w:rFonts w:ascii="Arial"/>
                <w:color w:val="auto"/>
                <w:sz w:val="21"/>
                <w:highlight w:val="none"/>
              </w:rPr>
            </w:pPr>
          </w:p>
        </w:tc>
        <w:tc>
          <w:tcPr>
            <w:tcW w:w="2972" w:type="dxa"/>
            <w:noWrap w:val="0"/>
            <w:vAlign w:val="top"/>
          </w:tcPr>
          <w:p w14:paraId="694C67BA">
            <w:pPr>
              <w:pStyle w:val="223"/>
              <w:spacing w:before="107" w:line="229" w:lineRule="auto"/>
              <w:ind w:left="458"/>
              <w:rPr>
                <w:color w:val="auto"/>
                <w:highlight w:val="none"/>
              </w:rPr>
            </w:pPr>
            <w:r>
              <w:rPr>
                <w:color w:val="auto"/>
                <w:spacing w:val="7"/>
                <w:highlight w:val="none"/>
              </w:rPr>
              <w:t>网关控制器及支架总成</w:t>
            </w:r>
          </w:p>
        </w:tc>
        <w:tc>
          <w:tcPr>
            <w:tcW w:w="2040" w:type="dxa"/>
            <w:noWrap w:val="0"/>
            <w:vAlign w:val="top"/>
          </w:tcPr>
          <w:p w14:paraId="07585796">
            <w:pPr>
              <w:pStyle w:val="223"/>
              <w:spacing w:before="108"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5F5AE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948" w:type="dxa"/>
            <w:vMerge w:val="continue"/>
            <w:tcBorders>
              <w:top w:val="nil"/>
              <w:bottom w:val="nil"/>
            </w:tcBorders>
            <w:noWrap w:val="0"/>
            <w:vAlign w:val="top"/>
          </w:tcPr>
          <w:p w14:paraId="4900C098">
            <w:pPr>
              <w:rPr>
                <w:rFonts w:ascii="Arial"/>
                <w:color w:val="auto"/>
                <w:sz w:val="21"/>
                <w:highlight w:val="none"/>
              </w:rPr>
            </w:pPr>
          </w:p>
        </w:tc>
        <w:tc>
          <w:tcPr>
            <w:tcW w:w="810" w:type="dxa"/>
            <w:vMerge w:val="continue"/>
            <w:tcBorders>
              <w:top w:val="nil"/>
            </w:tcBorders>
            <w:noWrap w:val="0"/>
            <w:vAlign w:val="top"/>
          </w:tcPr>
          <w:p w14:paraId="4CF77506">
            <w:pPr>
              <w:rPr>
                <w:rFonts w:ascii="Arial"/>
                <w:color w:val="auto"/>
                <w:sz w:val="21"/>
                <w:highlight w:val="none"/>
              </w:rPr>
            </w:pPr>
          </w:p>
        </w:tc>
        <w:tc>
          <w:tcPr>
            <w:tcW w:w="675" w:type="dxa"/>
            <w:vMerge w:val="continue"/>
            <w:tcBorders>
              <w:top w:val="nil"/>
            </w:tcBorders>
            <w:noWrap w:val="0"/>
            <w:vAlign w:val="top"/>
          </w:tcPr>
          <w:p w14:paraId="27911944">
            <w:pPr>
              <w:rPr>
                <w:rFonts w:ascii="Arial"/>
                <w:color w:val="auto"/>
                <w:sz w:val="21"/>
                <w:highlight w:val="none"/>
              </w:rPr>
            </w:pPr>
          </w:p>
        </w:tc>
        <w:tc>
          <w:tcPr>
            <w:tcW w:w="1081" w:type="dxa"/>
            <w:vMerge w:val="continue"/>
            <w:tcBorders>
              <w:top w:val="nil"/>
            </w:tcBorders>
            <w:noWrap w:val="0"/>
            <w:vAlign w:val="top"/>
          </w:tcPr>
          <w:p w14:paraId="1FE1E9E1">
            <w:pPr>
              <w:rPr>
                <w:rFonts w:ascii="Arial"/>
                <w:color w:val="auto"/>
                <w:sz w:val="21"/>
                <w:highlight w:val="none"/>
              </w:rPr>
            </w:pPr>
          </w:p>
        </w:tc>
        <w:tc>
          <w:tcPr>
            <w:tcW w:w="2972" w:type="dxa"/>
            <w:noWrap w:val="0"/>
            <w:vAlign w:val="top"/>
          </w:tcPr>
          <w:p w14:paraId="68A8D609">
            <w:pPr>
              <w:pStyle w:val="223"/>
              <w:spacing w:before="111" w:line="228" w:lineRule="auto"/>
              <w:ind w:left="658"/>
              <w:rPr>
                <w:color w:val="auto"/>
                <w:highlight w:val="none"/>
              </w:rPr>
            </w:pPr>
            <w:r>
              <w:rPr>
                <w:color w:val="auto"/>
                <w:spacing w:val="7"/>
                <w:highlight w:val="none"/>
              </w:rPr>
              <w:t>高压线束及连接器</w:t>
            </w:r>
          </w:p>
        </w:tc>
        <w:tc>
          <w:tcPr>
            <w:tcW w:w="2040" w:type="dxa"/>
            <w:noWrap w:val="0"/>
            <w:vAlign w:val="top"/>
          </w:tcPr>
          <w:p w14:paraId="7B69ACA0">
            <w:pPr>
              <w:pStyle w:val="223"/>
              <w:spacing w:before="111"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38E16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1F3FF0E0">
            <w:pPr>
              <w:rPr>
                <w:rFonts w:ascii="Arial"/>
                <w:color w:val="auto"/>
                <w:sz w:val="21"/>
                <w:highlight w:val="none"/>
              </w:rPr>
            </w:pPr>
          </w:p>
        </w:tc>
        <w:tc>
          <w:tcPr>
            <w:tcW w:w="810" w:type="dxa"/>
            <w:vMerge w:val="restart"/>
            <w:tcBorders>
              <w:bottom w:val="nil"/>
            </w:tcBorders>
            <w:noWrap w:val="0"/>
            <w:vAlign w:val="top"/>
          </w:tcPr>
          <w:p w14:paraId="27514D62">
            <w:pPr>
              <w:spacing w:line="384" w:lineRule="auto"/>
              <w:rPr>
                <w:rFonts w:ascii="Arial"/>
                <w:color w:val="auto"/>
                <w:sz w:val="21"/>
                <w:highlight w:val="none"/>
              </w:rPr>
            </w:pPr>
          </w:p>
          <w:p w14:paraId="7DC5E9DB">
            <w:pPr>
              <w:pStyle w:val="223"/>
              <w:spacing w:before="65" w:line="189" w:lineRule="auto"/>
              <w:ind w:left="360"/>
              <w:rPr>
                <w:color w:val="auto"/>
                <w:highlight w:val="none"/>
              </w:rPr>
            </w:pPr>
            <w:r>
              <w:rPr>
                <w:color w:val="auto"/>
                <w:highlight w:val="none"/>
              </w:rPr>
              <w:t>3</w:t>
            </w:r>
          </w:p>
        </w:tc>
        <w:tc>
          <w:tcPr>
            <w:tcW w:w="1756" w:type="dxa"/>
            <w:gridSpan w:val="2"/>
            <w:vMerge w:val="restart"/>
            <w:tcBorders>
              <w:bottom w:val="nil"/>
            </w:tcBorders>
            <w:noWrap w:val="0"/>
            <w:vAlign w:val="top"/>
          </w:tcPr>
          <w:p w14:paraId="37484458">
            <w:pPr>
              <w:spacing w:line="352" w:lineRule="auto"/>
              <w:rPr>
                <w:rFonts w:ascii="Arial"/>
                <w:color w:val="auto"/>
                <w:sz w:val="21"/>
                <w:highlight w:val="none"/>
              </w:rPr>
            </w:pPr>
          </w:p>
          <w:p w14:paraId="150AFB2A">
            <w:pPr>
              <w:pStyle w:val="223"/>
              <w:spacing w:before="65" w:line="228" w:lineRule="auto"/>
              <w:ind w:left="463"/>
              <w:rPr>
                <w:color w:val="auto"/>
                <w:highlight w:val="none"/>
              </w:rPr>
            </w:pPr>
            <w:r>
              <w:rPr>
                <w:color w:val="auto"/>
                <w:spacing w:val="7"/>
                <w:highlight w:val="none"/>
              </w:rPr>
              <w:t>动力总成</w:t>
            </w:r>
          </w:p>
        </w:tc>
        <w:tc>
          <w:tcPr>
            <w:tcW w:w="2972" w:type="dxa"/>
            <w:noWrap w:val="0"/>
            <w:vAlign w:val="top"/>
          </w:tcPr>
          <w:p w14:paraId="6A456C38">
            <w:pPr>
              <w:pStyle w:val="223"/>
              <w:spacing w:before="71" w:line="228" w:lineRule="auto"/>
              <w:ind w:left="338"/>
              <w:rPr>
                <w:color w:val="auto"/>
                <w:highlight w:val="none"/>
              </w:rPr>
            </w:pPr>
            <w:r>
              <w:rPr>
                <w:color w:val="auto"/>
                <w:spacing w:val="8"/>
                <w:highlight w:val="none"/>
              </w:rPr>
              <w:t>减速器总成</w:t>
            </w:r>
          </w:p>
        </w:tc>
        <w:tc>
          <w:tcPr>
            <w:tcW w:w="2040" w:type="dxa"/>
            <w:noWrap w:val="0"/>
            <w:vAlign w:val="top"/>
          </w:tcPr>
          <w:p w14:paraId="498CB31E">
            <w:pPr>
              <w:pStyle w:val="223"/>
              <w:spacing w:before="71" w:line="228" w:lineRule="auto"/>
              <w:ind w:left="264"/>
              <w:rPr>
                <w:color w:val="auto"/>
                <w:highlight w:val="none"/>
              </w:rPr>
            </w:pPr>
            <w:r>
              <w:rPr>
                <w:color w:val="auto"/>
                <w:spacing w:val="2"/>
                <w:highlight w:val="none"/>
              </w:rPr>
              <w:t>8</w:t>
            </w:r>
            <w:r>
              <w:rPr>
                <w:color w:val="auto"/>
                <w:spacing w:val="-37"/>
                <w:highlight w:val="none"/>
              </w:rPr>
              <w:t xml:space="preserve"> </w:t>
            </w:r>
            <w:r>
              <w:rPr>
                <w:color w:val="auto"/>
                <w:spacing w:val="2"/>
                <w:highlight w:val="none"/>
              </w:rPr>
              <w:t>年或</w:t>
            </w:r>
            <w:r>
              <w:rPr>
                <w:color w:val="auto"/>
                <w:spacing w:val="-32"/>
                <w:highlight w:val="none"/>
              </w:rPr>
              <w:t xml:space="preserve"> </w:t>
            </w:r>
            <w:r>
              <w:rPr>
                <w:color w:val="auto"/>
                <w:spacing w:val="2"/>
                <w:highlight w:val="none"/>
              </w:rPr>
              <w:t>50</w:t>
            </w:r>
            <w:r>
              <w:rPr>
                <w:color w:val="auto"/>
                <w:spacing w:val="-36"/>
                <w:highlight w:val="none"/>
              </w:rPr>
              <w:t xml:space="preserve"> </w:t>
            </w:r>
            <w:r>
              <w:rPr>
                <w:color w:val="auto"/>
                <w:spacing w:val="2"/>
                <w:highlight w:val="none"/>
              </w:rPr>
              <w:t>万公里</w:t>
            </w:r>
          </w:p>
        </w:tc>
      </w:tr>
      <w:tr w14:paraId="7AFB2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7A26FD21">
            <w:pPr>
              <w:rPr>
                <w:rFonts w:ascii="Arial"/>
                <w:color w:val="auto"/>
                <w:sz w:val="21"/>
                <w:highlight w:val="none"/>
              </w:rPr>
            </w:pPr>
          </w:p>
        </w:tc>
        <w:tc>
          <w:tcPr>
            <w:tcW w:w="810" w:type="dxa"/>
            <w:vMerge w:val="continue"/>
            <w:tcBorders>
              <w:top w:val="nil"/>
              <w:bottom w:val="nil"/>
            </w:tcBorders>
            <w:noWrap w:val="0"/>
            <w:vAlign w:val="top"/>
          </w:tcPr>
          <w:p w14:paraId="595C81E9">
            <w:pPr>
              <w:rPr>
                <w:rFonts w:ascii="Arial"/>
                <w:color w:val="auto"/>
                <w:sz w:val="21"/>
                <w:highlight w:val="none"/>
              </w:rPr>
            </w:pPr>
          </w:p>
        </w:tc>
        <w:tc>
          <w:tcPr>
            <w:tcW w:w="1756" w:type="dxa"/>
            <w:gridSpan w:val="2"/>
            <w:vMerge w:val="continue"/>
            <w:tcBorders>
              <w:top w:val="nil"/>
              <w:bottom w:val="nil"/>
            </w:tcBorders>
            <w:noWrap w:val="0"/>
            <w:vAlign w:val="top"/>
          </w:tcPr>
          <w:p w14:paraId="7072BC33">
            <w:pPr>
              <w:rPr>
                <w:rFonts w:ascii="Arial"/>
                <w:color w:val="auto"/>
                <w:sz w:val="21"/>
                <w:highlight w:val="none"/>
              </w:rPr>
            </w:pPr>
          </w:p>
        </w:tc>
        <w:tc>
          <w:tcPr>
            <w:tcW w:w="2972" w:type="dxa"/>
            <w:noWrap w:val="0"/>
            <w:vAlign w:val="top"/>
          </w:tcPr>
          <w:p w14:paraId="0BAD67FA">
            <w:pPr>
              <w:pStyle w:val="223"/>
              <w:spacing w:before="69" w:line="228" w:lineRule="auto"/>
              <w:ind w:left="758"/>
              <w:rPr>
                <w:color w:val="auto"/>
                <w:highlight w:val="none"/>
              </w:rPr>
            </w:pPr>
            <w:r>
              <w:rPr>
                <w:color w:val="auto"/>
                <w:spacing w:val="8"/>
                <w:highlight w:val="none"/>
              </w:rPr>
              <w:t>减速器壳体组件</w:t>
            </w:r>
          </w:p>
        </w:tc>
        <w:tc>
          <w:tcPr>
            <w:tcW w:w="2040" w:type="dxa"/>
            <w:noWrap w:val="0"/>
            <w:vAlign w:val="top"/>
          </w:tcPr>
          <w:p w14:paraId="39F102E9">
            <w:pPr>
              <w:pStyle w:val="223"/>
              <w:spacing w:before="69" w:line="228" w:lineRule="auto"/>
              <w:ind w:left="264"/>
              <w:rPr>
                <w:color w:val="auto"/>
                <w:highlight w:val="none"/>
              </w:rPr>
            </w:pPr>
            <w:r>
              <w:rPr>
                <w:color w:val="auto"/>
                <w:spacing w:val="2"/>
                <w:highlight w:val="none"/>
              </w:rPr>
              <w:t>8</w:t>
            </w:r>
            <w:r>
              <w:rPr>
                <w:color w:val="auto"/>
                <w:spacing w:val="-37"/>
                <w:highlight w:val="none"/>
              </w:rPr>
              <w:t xml:space="preserve"> </w:t>
            </w:r>
            <w:r>
              <w:rPr>
                <w:color w:val="auto"/>
                <w:spacing w:val="2"/>
                <w:highlight w:val="none"/>
              </w:rPr>
              <w:t>年或</w:t>
            </w:r>
            <w:r>
              <w:rPr>
                <w:color w:val="auto"/>
                <w:spacing w:val="-32"/>
                <w:highlight w:val="none"/>
              </w:rPr>
              <w:t xml:space="preserve"> </w:t>
            </w:r>
            <w:r>
              <w:rPr>
                <w:color w:val="auto"/>
                <w:spacing w:val="2"/>
                <w:highlight w:val="none"/>
              </w:rPr>
              <w:t>50</w:t>
            </w:r>
            <w:r>
              <w:rPr>
                <w:color w:val="auto"/>
                <w:spacing w:val="-36"/>
                <w:highlight w:val="none"/>
              </w:rPr>
              <w:t xml:space="preserve"> </w:t>
            </w:r>
            <w:r>
              <w:rPr>
                <w:color w:val="auto"/>
                <w:spacing w:val="2"/>
                <w:highlight w:val="none"/>
              </w:rPr>
              <w:t>万公里</w:t>
            </w:r>
          </w:p>
        </w:tc>
      </w:tr>
      <w:tr w14:paraId="2CC1C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tcBorders>
            <w:noWrap w:val="0"/>
            <w:vAlign w:val="top"/>
          </w:tcPr>
          <w:p w14:paraId="32E225AC">
            <w:pPr>
              <w:rPr>
                <w:rFonts w:ascii="Arial"/>
                <w:color w:val="auto"/>
                <w:sz w:val="21"/>
                <w:highlight w:val="none"/>
              </w:rPr>
            </w:pPr>
          </w:p>
        </w:tc>
        <w:tc>
          <w:tcPr>
            <w:tcW w:w="810" w:type="dxa"/>
            <w:vMerge w:val="continue"/>
            <w:tcBorders>
              <w:top w:val="nil"/>
            </w:tcBorders>
            <w:noWrap w:val="0"/>
            <w:vAlign w:val="top"/>
          </w:tcPr>
          <w:p w14:paraId="5E590A0C">
            <w:pPr>
              <w:rPr>
                <w:rFonts w:ascii="Arial"/>
                <w:color w:val="auto"/>
                <w:sz w:val="21"/>
                <w:highlight w:val="none"/>
              </w:rPr>
            </w:pPr>
          </w:p>
        </w:tc>
        <w:tc>
          <w:tcPr>
            <w:tcW w:w="1756" w:type="dxa"/>
            <w:gridSpan w:val="2"/>
            <w:vMerge w:val="continue"/>
            <w:tcBorders>
              <w:top w:val="nil"/>
            </w:tcBorders>
            <w:noWrap w:val="0"/>
            <w:vAlign w:val="top"/>
          </w:tcPr>
          <w:p w14:paraId="2CCDF260">
            <w:pPr>
              <w:rPr>
                <w:rFonts w:ascii="Arial"/>
                <w:color w:val="auto"/>
                <w:sz w:val="21"/>
                <w:highlight w:val="none"/>
              </w:rPr>
            </w:pPr>
          </w:p>
        </w:tc>
        <w:tc>
          <w:tcPr>
            <w:tcW w:w="2972" w:type="dxa"/>
            <w:noWrap w:val="0"/>
            <w:vAlign w:val="top"/>
          </w:tcPr>
          <w:p w14:paraId="250865F1">
            <w:pPr>
              <w:pStyle w:val="223"/>
              <w:spacing w:before="69" w:line="228" w:lineRule="auto"/>
              <w:ind w:left="1177"/>
              <w:rPr>
                <w:color w:val="auto"/>
                <w:highlight w:val="none"/>
              </w:rPr>
            </w:pPr>
            <w:r>
              <w:rPr>
                <w:color w:val="auto"/>
                <w:spacing w:val="7"/>
                <w:highlight w:val="none"/>
              </w:rPr>
              <w:t>传动轴</w:t>
            </w:r>
          </w:p>
        </w:tc>
        <w:tc>
          <w:tcPr>
            <w:tcW w:w="2040" w:type="dxa"/>
            <w:noWrap w:val="0"/>
            <w:vAlign w:val="top"/>
          </w:tcPr>
          <w:p w14:paraId="7AB416BB">
            <w:pPr>
              <w:pStyle w:val="223"/>
              <w:spacing w:before="7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53AF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restart"/>
            <w:tcBorders>
              <w:bottom w:val="nil"/>
            </w:tcBorders>
            <w:noWrap w:val="0"/>
            <w:vAlign w:val="top"/>
          </w:tcPr>
          <w:p w14:paraId="2BA0F3EA">
            <w:pPr>
              <w:pStyle w:val="223"/>
              <w:spacing w:before="89" w:line="273" w:lineRule="auto"/>
              <w:ind w:left="162" w:right="158"/>
              <w:rPr>
                <w:color w:val="auto"/>
                <w:highlight w:val="none"/>
              </w:rPr>
            </w:pPr>
            <w:r>
              <w:rPr>
                <w:color w:val="auto"/>
                <w:spacing w:val="7"/>
                <w:highlight w:val="none"/>
              </w:rPr>
              <w:t>传统车</w:t>
            </w:r>
            <w:r>
              <w:rPr>
                <w:color w:val="auto"/>
                <w:highlight w:val="none"/>
              </w:rPr>
              <w:t xml:space="preserve"> </w:t>
            </w:r>
            <w:r>
              <w:rPr>
                <w:color w:val="auto"/>
                <w:spacing w:val="7"/>
                <w:highlight w:val="none"/>
              </w:rPr>
              <w:t>辆部分</w:t>
            </w:r>
          </w:p>
        </w:tc>
        <w:tc>
          <w:tcPr>
            <w:tcW w:w="810" w:type="dxa"/>
            <w:vMerge w:val="restart"/>
            <w:tcBorders>
              <w:bottom w:val="nil"/>
            </w:tcBorders>
            <w:noWrap w:val="0"/>
            <w:vAlign w:val="top"/>
          </w:tcPr>
          <w:p w14:paraId="52EA8082">
            <w:pPr>
              <w:pStyle w:val="223"/>
              <w:spacing w:before="278" w:line="189" w:lineRule="auto"/>
              <w:ind w:left="355"/>
              <w:rPr>
                <w:color w:val="auto"/>
                <w:highlight w:val="none"/>
              </w:rPr>
            </w:pPr>
            <w:r>
              <w:rPr>
                <w:color w:val="auto"/>
                <w:highlight w:val="none"/>
              </w:rPr>
              <w:t>4</w:t>
            </w:r>
          </w:p>
        </w:tc>
        <w:tc>
          <w:tcPr>
            <w:tcW w:w="675" w:type="dxa"/>
            <w:vMerge w:val="restart"/>
            <w:tcBorders>
              <w:bottom w:val="nil"/>
            </w:tcBorders>
            <w:noWrap w:val="0"/>
            <w:vAlign w:val="top"/>
          </w:tcPr>
          <w:p w14:paraId="6C883001">
            <w:pPr>
              <w:pStyle w:val="223"/>
              <w:spacing w:before="245" w:line="228" w:lineRule="auto"/>
              <w:ind w:left="133"/>
              <w:rPr>
                <w:color w:val="auto"/>
                <w:highlight w:val="none"/>
              </w:rPr>
            </w:pPr>
            <w:r>
              <w:rPr>
                <w:color w:val="auto"/>
                <w:spacing w:val="3"/>
                <w:highlight w:val="none"/>
              </w:rPr>
              <w:t>车身</w:t>
            </w:r>
          </w:p>
        </w:tc>
        <w:tc>
          <w:tcPr>
            <w:tcW w:w="1081" w:type="dxa"/>
            <w:noWrap w:val="0"/>
            <w:vAlign w:val="top"/>
          </w:tcPr>
          <w:p w14:paraId="2C8BFE6D">
            <w:pPr>
              <w:pStyle w:val="223"/>
              <w:spacing w:before="70" w:line="228" w:lineRule="auto"/>
              <w:ind w:left="334"/>
              <w:rPr>
                <w:color w:val="auto"/>
                <w:highlight w:val="none"/>
              </w:rPr>
            </w:pPr>
            <w:r>
              <w:rPr>
                <w:color w:val="auto"/>
                <w:spacing w:val="5"/>
                <w:highlight w:val="none"/>
              </w:rPr>
              <w:t>骨架</w:t>
            </w:r>
          </w:p>
        </w:tc>
        <w:tc>
          <w:tcPr>
            <w:tcW w:w="2972" w:type="dxa"/>
            <w:noWrap w:val="0"/>
            <w:vAlign w:val="top"/>
          </w:tcPr>
          <w:p w14:paraId="6FE3AC32">
            <w:pPr>
              <w:pStyle w:val="223"/>
              <w:spacing w:before="70" w:line="228" w:lineRule="auto"/>
              <w:ind w:left="1074"/>
              <w:rPr>
                <w:color w:val="auto"/>
                <w:highlight w:val="none"/>
              </w:rPr>
            </w:pPr>
            <w:r>
              <w:rPr>
                <w:color w:val="auto"/>
                <w:spacing w:val="6"/>
                <w:highlight w:val="none"/>
              </w:rPr>
              <w:t>车身骨架</w:t>
            </w:r>
          </w:p>
        </w:tc>
        <w:tc>
          <w:tcPr>
            <w:tcW w:w="2040" w:type="dxa"/>
            <w:noWrap w:val="0"/>
            <w:vAlign w:val="top"/>
          </w:tcPr>
          <w:p w14:paraId="09B7313D">
            <w:pPr>
              <w:pStyle w:val="223"/>
              <w:spacing w:before="7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2F5AF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948" w:type="dxa"/>
            <w:vMerge w:val="continue"/>
            <w:tcBorders>
              <w:top w:val="nil"/>
            </w:tcBorders>
            <w:noWrap w:val="0"/>
            <w:vAlign w:val="top"/>
          </w:tcPr>
          <w:p w14:paraId="7C9186EF">
            <w:pPr>
              <w:rPr>
                <w:rFonts w:ascii="Arial"/>
                <w:color w:val="auto"/>
                <w:sz w:val="21"/>
                <w:highlight w:val="none"/>
              </w:rPr>
            </w:pPr>
          </w:p>
        </w:tc>
        <w:tc>
          <w:tcPr>
            <w:tcW w:w="810" w:type="dxa"/>
            <w:vMerge w:val="continue"/>
            <w:tcBorders>
              <w:top w:val="nil"/>
            </w:tcBorders>
            <w:noWrap w:val="0"/>
            <w:vAlign w:val="top"/>
          </w:tcPr>
          <w:p w14:paraId="17405D2F">
            <w:pPr>
              <w:rPr>
                <w:rFonts w:ascii="Arial"/>
                <w:color w:val="auto"/>
                <w:sz w:val="21"/>
                <w:highlight w:val="none"/>
              </w:rPr>
            </w:pPr>
          </w:p>
        </w:tc>
        <w:tc>
          <w:tcPr>
            <w:tcW w:w="675" w:type="dxa"/>
            <w:vMerge w:val="continue"/>
            <w:tcBorders>
              <w:top w:val="nil"/>
            </w:tcBorders>
            <w:noWrap w:val="0"/>
            <w:vAlign w:val="top"/>
          </w:tcPr>
          <w:p w14:paraId="04A64AB2">
            <w:pPr>
              <w:rPr>
                <w:rFonts w:ascii="Arial"/>
                <w:color w:val="auto"/>
                <w:sz w:val="21"/>
                <w:highlight w:val="none"/>
              </w:rPr>
            </w:pPr>
          </w:p>
        </w:tc>
        <w:tc>
          <w:tcPr>
            <w:tcW w:w="1081" w:type="dxa"/>
            <w:noWrap w:val="0"/>
            <w:vAlign w:val="top"/>
          </w:tcPr>
          <w:p w14:paraId="1B4296E3">
            <w:pPr>
              <w:rPr>
                <w:rFonts w:ascii="Arial"/>
                <w:color w:val="auto"/>
                <w:sz w:val="21"/>
                <w:highlight w:val="none"/>
              </w:rPr>
            </w:pPr>
          </w:p>
        </w:tc>
        <w:tc>
          <w:tcPr>
            <w:tcW w:w="2972" w:type="dxa"/>
            <w:noWrap w:val="0"/>
            <w:vAlign w:val="top"/>
          </w:tcPr>
          <w:p w14:paraId="1E3A79DC">
            <w:pPr>
              <w:pStyle w:val="223"/>
              <w:spacing w:before="71" w:line="228" w:lineRule="auto"/>
              <w:ind w:left="342"/>
              <w:rPr>
                <w:color w:val="auto"/>
                <w:highlight w:val="none"/>
              </w:rPr>
            </w:pPr>
            <w:r>
              <w:rPr>
                <w:color w:val="auto"/>
                <w:spacing w:val="8"/>
                <w:highlight w:val="none"/>
              </w:rPr>
              <w:t>前后保险杠、车身覆盖件</w:t>
            </w:r>
          </w:p>
        </w:tc>
        <w:tc>
          <w:tcPr>
            <w:tcW w:w="2040" w:type="dxa"/>
            <w:noWrap w:val="0"/>
            <w:vAlign w:val="top"/>
          </w:tcPr>
          <w:p w14:paraId="10B697F2">
            <w:pPr>
              <w:pStyle w:val="223"/>
              <w:spacing w:before="71"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bl>
    <w:p w14:paraId="6C74CA31">
      <w:pPr>
        <w:pStyle w:val="17"/>
        <w:tabs>
          <w:tab w:val="left" w:pos="574"/>
        </w:tabs>
        <w:rPr>
          <w:color w:val="auto"/>
          <w:highlight w:val="none"/>
        </w:rPr>
      </w:pPr>
    </w:p>
    <w:p w14:paraId="5794695C">
      <w:pPr>
        <w:rPr>
          <w:color w:val="auto"/>
          <w:highlight w:val="none"/>
        </w:rPr>
        <w:sectPr>
          <w:pgSz w:w="11906" w:h="16839"/>
          <w:pgMar w:top="1431" w:right="1687" w:bottom="1231" w:left="1687" w:header="0" w:footer="984" w:gutter="0"/>
          <w:pgNumType w:fmt="decimal"/>
          <w:cols w:space="720" w:num="1"/>
        </w:sectPr>
      </w:pPr>
    </w:p>
    <w:p w14:paraId="6B0C4FF8">
      <w:pPr>
        <w:spacing w:line="91" w:lineRule="auto"/>
        <w:rPr>
          <w:rFonts w:ascii="Arial"/>
          <w:color w:val="auto"/>
          <w:sz w:val="2"/>
          <w:highlight w:val="none"/>
        </w:rPr>
      </w:pPr>
    </w:p>
    <w:tbl>
      <w:tblPr>
        <w:tblStyle w:val="22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810"/>
        <w:gridCol w:w="675"/>
        <w:gridCol w:w="1081"/>
        <w:gridCol w:w="2972"/>
        <w:gridCol w:w="2040"/>
      </w:tblGrid>
      <w:tr w14:paraId="5D742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48" w:type="dxa"/>
            <w:vMerge w:val="restart"/>
            <w:tcBorders>
              <w:bottom w:val="nil"/>
            </w:tcBorders>
            <w:noWrap w:val="0"/>
            <w:vAlign w:val="top"/>
          </w:tcPr>
          <w:p w14:paraId="0AE21957">
            <w:pPr>
              <w:pStyle w:val="223"/>
              <w:spacing w:before="56" w:line="273" w:lineRule="auto"/>
              <w:ind w:left="271" w:right="158" w:hanging="106"/>
              <w:rPr>
                <w:color w:val="auto"/>
                <w:highlight w:val="none"/>
              </w:rPr>
            </w:pPr>
            <w:r>
              <w:rPr>
                <w:color w:val="auto"/>
                <w:spacing w:val="6"/>
                <w:highlight w:val="none"/>
              </w:rPr>
              <w:t>主要零</w:t>
            </w:r>
            <w:r>
              <w:rPr>
                <w:color w:val="auto"/>
                <w:highlight w:val="none"/>
              </w:rPr>
              <w:t xml:space="preserve"> </w:t>
            </w:r>
            <w:r>
              <w:rPr>
                <w:color w:val="auto"/>
                <w:spacing w:val="3"/>
                <w:highlight w:val="none"/>
              </w:rPr>
              <w:t>部件</w:t>
            </w:r>
          </w:p>
        </w:tc>
        <w:tc>
          <w:tcPr>
            <w:tcW w:w="810" w:type="dxa"/>
            <w:vMerge w:val="restart"/>
            <w:tcBorders>
              <w:bottom w:val="nil"/>
            </w:tcBorders>
            <w:noWrap w:val="0"/>
            <w:vAlign w:val="top"/>
          </w:tcPr>
          <w:p w14:paraId="0AEDCB58">
            <w:pPr>
              <w:rPr>
                <w:rFonts w:ascii="Arial"/>
                <w:color w:val="auto"/>
                <w:sz w:val="21"/>
                <w:highlight w:val="none"/>
              </w:rPr>
            </w:pPr>
          </w:p>
        </w:tc>
        <w:tc>
          <w:tcPr>
            <w:tcW w:w="675" w:type="dxa"/>
            <w:vMerge w:val="restart"/>
            <w:tcBorders>
              <w:bottom w:val="nil"/>
            </w:tcBorders>
            <w:noWrap w:val="0"/>
            <w:vAlign w:val="top"/>
          </w:tcPr>
          <w:p w14:paraId="495932B8">
            <w:pPr>
              <w:rPr>
                <w:rFonts w:ascii="Arial"/>
                <w:color w:val="auto"/>
                <w:sz w:val="21"/>
                <w:highlight w:val="none"/>
              </w:rPr>
            </w:pPr>
          </w:p>
        </w:tc>
        <w:tc>
          <w:tcPr>
            <w:tcW w:w="1081" w:type="dxa"/>
            <w:noWrap w:val="0"/>
            <w:vAlign w:val="top"/>
          </w:tcPr>
          <w:p w14:paraId="45BF81B9">
            <w:pPr>
              <w:rPr>
                <w:rFonts w:ascii="Arial"/>
                <w:color w:val="auto"/>
                <w:sz w:val="21"/>
                <w:highlight w:val="none"/>
              </w:rPr>
            </w:pPr>
          </w:p>
        </w:tc>
        <w:tc>
          <w:tcPr>
            <w:tcW w:w="2972" w:type="dxa"/>
            <w:noWrap w:val="0"/>
            <w:vAlign w:val="top"/>
          </w:tcPr>
          <w:p w14:paraId="3BE59FAC">
            <w:pPr>
              <w:pStyle w:val="223"/>
              <w:spacing w:before="71" w:line="228" w:lineRule="auto"/>
              <w:ind w:left="465"/>
              <w:rPr>
                <w:color w:val="auto"/>
                <w:highlight w:val="none"/>
              </w:rPr>
            </w:pPr>
            <w:r>
              <w:rPr>
                <w:color w:val="auto"/>
                <w:spacing w:val="5"/>
                <w:highlight w:val="none"/>
              </w:rPr>
              <w:t>门系统（易损件除外）</w:t>
            </w:r>
          </w:p>
        </w:tc>
        <w:tc>
          <w:tcPr>
            <w:tcW w:w="2040" w:type="dxa"/>
            <w:noWrap w:val="0"/>
            <w:vAlign w:val="top"/>
          </w:tcPr>
          <w:p w14:paraId="298C04BB">
            <w:pPr>
              <w:pStyle w:val="223"/>
              <w:spacing w:before="71"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53644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1800DFD2">
            <w:pPr>
              <w:rPr>
                <w:rFonts w:ascii="Arial"/>
                <w:color w:val="auto"/>
                <w:sz w:val="21"/>
                <w:highlight w:val="none"/>
              </w:rPr>
            </w:pPr>
          </w:p>
        </w:tc>
        <w:tc>
          <w:tcPr>
            <w:tcW w:w="810" w:type="dxa"/>
            <w:vMerge w:val="continue"/>
            <w:tcBorders>
              <w:top w:val="nil"/>
              <w:bottom w:val="nil"/>
            </w:tcBorders>
            <w:noWrap w:val="0"/>
            <w:vAlign w:val="top"/>
          </w:tcPr>
          <w:p w14:paraId="38A78A61">
            <w:pPr>
              <w:rPr>
                <w:rFonts w:ascii="Arial"/>
                <w:color w:val="auto"/>
                <w:sz w:val="21"/>
                <w:highlight w:val="none"/>
              </w:rPr>
            </w:pPr>
          </w:p>
        </w:tc>
        <w:tc>
          <w:tcPr>
            <w:tcW w:w="675" w:type="dxa"/>
            <w:vMerge w:val="continue"/>
            <w:tcBorders>
              <w:top w:val="nil"/>
              <w:bottom w:val="nil"/>
            </w:tcBorders>
            <w:noWrap w:val="0"/>
            <w:vAlign w:val="top"/>
          </w:tcPr>
          <w:p w14:paraId="51D7939C">
            <w:pPr>
              <w:rPr>
                <w:rFonts w:ascii="Arial"/>
                <w:color w:val="auto"/>
                <w:sz w:val="21"/>
                <w:highlight w:val="none"/>
              </w:rPr>
            </w:pPr>
          </w:p>
        </w:tc>
        <w:tc>
          <w:tcPr>
            <w:tcW w:w="1081" w:type="dxa"/>
            <w:noWrap w:val="0"/>
            <w:vAlign w:val="top"/>
          </w:tcPr>
          <w:p w14:paraId="50588FF0">
            <w:pPr>
              <w:rPr>
                <w:rFonts w:ascii="Arial"/>
                <w:color w:val="auto"/>
                <w:sz w:val="21"/>
                <w:highlight w:val="none"/>
              </w:rPr>
            </w:pPr>
          </w:p>
        </w:tc>
        <w:tc>
          <w:tcPr>
            <w:tcW w:w="2972" w:type="dxa"/>
            <w:noWrap w:val="0"/>
            <w:vAlign w:val="top"/>
          </w:tcPr>
          <w:p w14:paraId="51000E3E">
            <w:pPr>
              <w:pStyle w:val="223"/>
              <w:spacing w:before="67" w:line="229" w:lineRule="auto"/>
              <w:ind w:left="971"/>
              <w:rPr>
                <w:color w:val="auto"/>
                <w:highlight w:val="none"/>
              </w:rPr>
            </w:pPr>
            <w:r>
              <w:rPr>
                <w:color w:val="auto"/>
                <w:spacing w:val="7"/>
                <w:highlight w:val="none"/>
              </w:rPr>
              <w:t>安全逃生窗</w:t>
            </w:r>
          </w:p>
        </w:tc>
        <w:tc>
          <w:tcPr>
            <w:tcW w:w="2040" w:type="dxa"/>
            <w:noWrap w:val="0"/>
            <w:vAlign w:val="top"/>
          </w:tcPr>
          <w:p w14:paraId="242A3AD5">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3FF6A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5C11C7F3">
            <w:pPr>
              <w:rPr>
                <w:rFonts w:ascii="Arial"/>
                <w:color w:val="auto"/>
                <w:sz w:val="21"/>
                <w:highlight w:val="none"/>
              </w:rPr>
            </w:pPr>
          </w:p>
        </w:tc>
        <w:tc>
          <w:tcPr>
            <w:tcW w:w="810" w:type="dxa"/>
            <w:vMerge w:val="continue"/>
            <w:tcBorders>
              <w:top w:val="nil"/>
              <w:bottom w:val="nil"/>
            </w:tcBorders>
            <w:noWrap w:val="0"/>
            <w:vAlign w:val="top"/>
          </w:tcPr>
          <w:p w14:paraId="6A9153C6">
            <w:pPr>
              <w:rPr>
                <w:rFonts w:ascii="Arial"/>
                <w:color w:val="auto"/>
                <w:sz w:val="21"/>
                <w:highlight w:val="none"/>
              </w:rPr>
            </w:pPr>
          </w:p>
        </w:tc>
        <w:tc>
          <w:tcPr>
            <w:tcW w:w="675" w:type="dxa"/>
            <w:vMerge w:val="continue"/>
            <w:tcBorders>
              <w:top w:val="nil"/>
              <w:bottom w:val="nil"/>
            </w:tcBorders>
            <w:noWrap w:val="0"/>
            <w:vAlign w:val="top"/>
          </w:tcPr>
          <w:p w14:paraId="1B63D5BF">
            <w:pPr>
              <w:rPr>
                <w:rFonts w:ascii="Arial"/>
                <w:color w:val="auto"/>
                <w:sz w:val="21"/>
                <w:highlight w:val="none"/>
              </w:rPr>
            </w:pPr>
          </w:p>
        </w:tc>
        <w:tc>
          <w:tcPr>
            <w:tcW w:w="1081" w:type="dxa"/>
            <w:noWrap w:val="0"/>
            <w:vAlign w:val="top"/>
          </w:tcPr>
          <w:p w14:paraId="5FAE89C3">
            <w:pPr>
              <w:rPr>
                <w:rFonts w:ascii="Arial"/>
                <w:color w:val="auto"/>
                <w:sz w:val="21"/>
                <w:highlight w:val="none"/>
              </w:rPr>
            </w:pPr>
          </w:p>
        </w:tc>
        <w:tc>
          <w:tcPr>
            <w:tcW w:w="2972" w:type="dxa"/>
            <w:noWrap w:val="0"/>
            <w:vAlign w:val="top"/>
          </w:tcPr>
          <w:p w14:paraId="6C8E775B">
            <w:pPr>
              <w:pStyle w:val="223"/>
              <w:spacing w:before="65" w:line="228" w:lineRule="auto"/>
              <w:ind w:left="1075"/>
              <w:rPr>
                <w:color w:val="auto"/>
                <w:highlight w:val="none"/>
              </w:rPr>
            </w:pPr>
            <w:r>
              <w:rPr>
                <w:color w:val="auto"/>
                <w:spacing w:val="6"/>
                <w:highlight w:val="none"/>
              </w:rPr>
              <w:t>各类舱门</w:t>
            </w:r>
          </w:p>
        </w:tc>
        <w:tc>
          <w:tcPr>
            <w:tcW w:w="2040" w:type="dxa"/>
            <w:noWrap w:val="0"/>
            <w:vAlign w:val="top"/>
          </w:tcPr>
          <w:p w14:paraId="1E4678E7">
            <w:pPr>
              <w:pStyle w:val="223"/>
              <w:spacing w:before="65"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465AD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0ABDD0F9">
            <w:pPr>
              <w:rPr>
                <w:rFonts w:ascii="Arial"/>
                <w:color w:val="auto"/>
                <w:sz w:val="21"/>
                <w:highlight w:val="none"/>
              </w:rPr>
            </w:pPr>
          </w:p>
        </w:tc>
        <w:tc>
          <w:tcPr>
            <w:tcW w:w="810" w:type="dxa"/>
            <w:vMerge w:val="continue"/>
            <w:tcBorders>
              <w:top w:val="nil"/>
              <w:bottom w:val="nil"/>
            </w:tcBorders>
            <w:noWrap w:val="0"/>
            <w:vAlign w:val="top"/>
          </w:tcPr>
          <w:p w14:paraId="1655E0D5">
            <w:pPr>
              <w:rPr>
                <w:rFonts w:ascii="Arial"/>
                <w:color w:val="auto"/>
                <w:sz w:val="21"/>
                <w:highlight w:val="none"/>
              </w:rPr>
            </w:pPr>
          </w:p>
        </w:tc>
        <w:tc>
          <w:tcPr>
            <w:tcW w:w="675" w:type="dxa"/>
            <w:vMerge w:val="continue"/>
            <w:tcBorders>
              <w:top w:val="nil"/>
              <w:bottom w:val="nil"/>
            </w:tcBorders>
            <w:noWrap w:val="0"/>
            <w:vAlign w:val="top"/>
          </w:tcPr>
          <w:p w14:paraId="6A7BFB71">
            <w:pPr>
              <w:rPr>
                <w:rFonts w:ascii="Arial"/>
                <w:color w:val="auto"/>
                <w:sz w:val="21"/>
                <w:highlight w:val="none"/>
              </w:rPr>
            </w:pPr>
          </w:p>
        </w:tc>
        <w:tc>
          <w:tcPr>
            <w:tcW w:w="1081" w:type="dxa"/>
            <w:noWrap w:val="0"/>
            <w:vAlign w:val="top"/>
          </w:tcPr>
          <w:p w14:paraId="342FF4AD">
            <w:pPr>
              <w:rPr>
                <w:rFonts w:ascii="Arial"/>
                <w:color w:val="auto"/>
                <w:sz w:val="21"/>
                <w:highlight w:val="none"/>
              </w:rPr>
            </w:pPr>
          </w:p>
        </w:tc>
        <w:tc>
          <w:tcPr>
            <w:tcW w:w="2972" w:type="dxa"/>
            <w:vMerge w:val="restart"/>
            <w:tcBorders>
              <w:bottom w:val="nil"/>
            </w:tcBorders>
            <w:noWrap w:val="0"/>
            <w:vAlign w:val="top"/>
          </w:tcPr>
          <w:p w14:paraId="5CBEAFA9">
            <w:pPr>
              <w:pStyle w:val="223"/>
              <w:spacing w:before="226" w:line="228" w:lineRule="auto"/>
              <w:ind w:left="1073"/>
              <w:rPr>
                <w:color w:val="auto"/>
                <w:highlight w:val="none"/>
              </w:rPr>
            </w:pPr>
            <w:r>
              <w:rPr>
                <w:color w:val="auto"/>
                <w:spacing w:val="7"/>
                <w:highlight w:val="none"/>
              </w:rPr>
              <w:t>整车玻璃</w:t>
            </w:r>
          </w:p>
        </w:tc>
        <w:tc>
          <w:tcPr>
            <w:tcW w:w="2040" w:type="dxa"/>
            <w:vMerge w:val="restart"/>
            <w:tcBorders>
              <w:bottom w:val="nil"/>
            </w:tcBorders>
            <w:noWrap w:val="0"/>
            <w:vAlign w:val="top"/>
          </w:tcPr>
          <w:p w14:paraId="7EC8FF01">
            <w:pPr>
              <w:pStyle w:val="223"/>
              <w:spacing w:before="226"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5C685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402CB9A7">
            <w:pPr>
              <w:rPr>
                <w:rFonts w:ascii="Arial"/>
                <w:color w:val="auto"/>
                <w:sz w:val="21"/>
                <w:highlight w:val="none"/>
              </w:rPr>
            </w:pPr>
          </w:p>
        </w:tc>
        <w:tc>
          <w:tcPr>
            <w:tcW w:w="810" w:type="dxa"/>
            <w:vMerge w:val="continue"/>
            <w:tcBorders>
              <w:top w:val="nil"/>
              <w:bottom w:val="nil"/>
            </w:tcBorders>
            <w:noWrap w:val="0"/>
            <w:vAlign w:val="top"/>
          </w:tcPr>
          <w:p w14:paraId="79F29E20">
            <w:pPr>
              <w:rPr>
                <w:rFonts w:ascii="Arial"/>
                <w:color w:val="auto"/>
                <w:sz w:val="21"/>
                <w:highlight w:val="none"/>
              </w:rPr>
            </w:pPr>
          </w:p>
        </w:tc>
        <w:tc>
          <w:tcPr>
            <w:tcW w:w="675" w:type="dxa"/>
            <w:vMerge w:val="continue"/>
            <w:tcBorders>
              <w:top w:val="nil"/>
              <w:bottom w:val="nil"/>
            </w:tcBorders>
            <w:noWrap w:val="0"/>
            <w:vAlign w:val="top"/>
          </w:tcPr>
          <w:p w14:paraId="61D405FD">
            <w:pPr>
              <w:rPr>
                <w:rFonts w:ascii="Arial"/>
                <w:color w:val="auto"/>
                <w:sz w:val="21"/>
                <w:highlight w:val="none"/>
              </w:rPr>
            </w:pPr>
          </w:p>
        </w:tc>
        <w:tc>
          <w:tcPr>
            <w:tcW w:w="1081" w:type="dxa"/>
            <w:noWrap w:val="0"/>
            <w:vAlign w:val="top"/>
          </w:tcPr>
          <w:p w14:paraId="081D6AF0">
            <w:pPr>
              <w:rPr>
                <w:rFonts w:ascii="Arial"/>
                <w:color w:val="auto"/>
                <w:sz w:val="21"/>
                <w:highlight w:val="none"/>
              </w:rPr>
            </w:pPr>
          </w:p>
        </w:tc>
        <w:tc>
          <w:tcPr>
            <w:tcW w:w="2972" w:type="dxa"/>
            <w:vMerge w:val="continue"/>
            <w:tcBorders>
              <w:top w:val="nil"/>
            </w:tcBorders>
            <w:noWrap w:val="0"/>
            <w:vAlign w:val="top"/>
          </w:tcPr>
          <w:p w14:paraId="23D5051D">
            <w:pPr>
              <w:rPr>
                <w:rFonts w:ascii="Arial"/>
                <w:color w:val="auto"/>
                <w:sz w:val="21"/>
                <w:highlight w:val="none"/>
              </w:rPr>
            </w:pPr>
          </w:p>
        </w:tc>
        <w:tc>
          <w:tcPr>
            <w:tcW w:w="2040" w:type="dxa"/>
            <w:vMerge w:val="continue"/>
            <w:tcBorders>
              <w:top w:val="nil"/>
            </w:tcBorders>
            <w:noWrap w:val="0"/>
            <w:vAlign w:val="top"/>
          </w:tcPr>
          <w:p w14:paraId="0AC68B3E">
            <w:pPr>
              <w:rPr>
                <w:rFonts w:ascii="Arial"/>
                <w:color w:val="auto"/>
                <w:sz w:val="21"/>
                <w:highlight w:val="none"/>
              </w:rPr>
            </w:pPr>
          </w:p>
        </w:tc>
      </w:tr>
      <w:tr w14:paraId="6B677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1E58E3ED">
            <w:pPr>
              <w:rPr>
                <w:rFonts w:ascii="Arial"/>
                <w:color w:val="auto"/>
                <w:sz w:val="21"/>
                <w:highlight w:val="none"/>
              </w:rPr>
            </w:pPr>
          </w:p>
        </w:tc>
        <w:tc>
          <w:tcPr>
            <w:tcW w:w="810" w:type="dxa"/>
            <w:vMerge w:val="continue"/>
            <w:tcBorders>
              <w:top w:val="nil"/>
              <w:bottom w:val="nil"/>
            </w:tcBorders>
            <w:noWrap w:val="0"/>
            <w:vAlign w:val="top"/>
          </w:tcPr>
          <w:p w14:paraId="4631C319">
            <w:pPr>
              <w:rPr>
                <w:rFonts w:ascii="Arial"/>
                <w:color w:val="auto"/>
                <w:sz w:val="21"/>
                <w:highlight w:val="none"/>
              </w:rPr>
            </w:pPr>
          </w:p>
        </w:tc>
        <w:tc>
          <w:tcPr>
            <w:tcW w:w="675" w:type="dxa"/>
            <w:vMerge w:val="continue"/>
            <w:tcBorders>
              <w:top w:val="nil"/>
              <w:bottom w:val="nil"/>
            </w:tcBorders>
            <w:noWrap w:val="0"/>
            <w:vAlign w:val="top"/>
          </w:tcPr>
          <w:p w14:paraId="4D8D2C24">
            <w:pPr>
              <w:rPr>
                <w:rFonts w:ascii="Arial"/>
                <w:color w:val="auto"/>
                <w:sz w:val="21"/>
                <w:highlight w:val="none"/>
              </w:rPr>
            </w:pPr>
          </w:p>
        </w:tc>
        <w:tc>
          <w:tcPr>
            <w:tcW w:w="1081" w:type="dxa"/>
            <w:noWrap w:val="0"/>
            <w:vAlign w:val="top"/>
          </w:tcPr>
          <w:p w14:paraId="36628507">
            <w:pPr>
              <w:rPr>
                <w:rFonts w:ascii="Arial"/>
                <w:color w:val="auto"/>
                <w:sz w:val="21"/>
                <w:highlight w:val="none"/>
              </w:rPr>
            </w:pPr>
          </w:p>
        </w:tc>
        <w:tc>
          <w:tcPr>
            <w:tcW w:w="2972" w:type="dxa"/>
            <w:noWrap w:val="0"/>
            <w:vAlign w:val="top"/>
          </w:tcPr>
          <w:p w14:paraId="776F53A9">
            <w:pPr>
              <w:pStyle w:val="223"/>
              <w:spacing w:before="50" w:line="262" w:lineRule="auto"/>
              <w:ind w:left="967" w:right="118" w:hanging="840"/>
              <w:rPr>
                <w:color w:val="auto"/>
                <w:highlight w:val="none"/>
              </w:rPr>
            </w:pPr>
            <w:r>
              <w:rPr>
                <w:color w:val="auto"/>
                <w:spacing w:val="9"/>
                <w:highlight w:val="none"/>
              </w:rPr>
              <w:t>地板及地板革（含各类地板检</w:t>
            </w:r>
            <w:r>
              <w:rPr>
                <w:color w:val="auto"/>
                <w:spacing w:val="2"/>
                <w:highlight w:val="none"/>
              </w:rPr>
              <w:t xml:space="preserve"> </w:t>
            </w:r>
            <w:r>
              <w:rPr>
                <w:color w:val="auto"/>
                <w:spacing w:val="5"/>
                <w:highlight w:val="none"/>
              </w:rPr>
              <w:t>修孔盖板）</w:t>
            </w:r>
          </w:p>
        </w:tc>
        <w:tc>
          <w:tcPr>
            <w:tcW w:w="2040" w:type="dxa"/>
            <w:noWrap w:val="0"/>
            <w:vAlign w:val="top"/>
          </w:tcPr>
          <w:p w14:paraId="40660B0E">
            <w:pPr>
              <w:pStyle w:val="223"/>
              <w:spacing w:before="20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2A486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1A5E18BC">
            <w:pPr>
              <w:rPr>
                <w:rFonts w:ascii="Arial"/>
                <w:color w:val="auto"/>
                <w:sz w:val="21"/>
                <w:highlight w:val="none"/>
              </w:rPr>
            </w:pPr>
          </w:p>
        </w:tc>
        <w:tc>
          <w:tcPr>
            <w:tcW w:w="810" w:type="dxa"/>
            <w:vMerge w:val="continue"/>
            <w:tcBorders>
              <w:top w:val="nil"/>
              <w:bottom w:val="nil"/>
            </w:tcBorders>
            <w:noWrap w:val="0"/>
            <w:vAlign w:val="top"/>
          </w:tcPr>
          <w:p w14:paraId="3A6F815A">
            <w:pPr>
              <w:rPr>
                <w:rFonts w:ascii="Arial"/>
                <w:color w:val="auto"/>
                <w:sz w:val="21"/>
                <w:highlight w:val="none"/>
              </w:rPr>
            </w:pPr>
          </w:p>
        </w:tc>
        <w:tc>
          <w:tcPr>
            <w:tcW w:w="675" w:type="dxa"/>
            <w:vMerge w:val="continue"/>
            <w:tcBorders>
              <w:top w:val="nil"/>
              <w:bottom w:val="nil"/>
            </w:tcBorders>
            <w:noWrap w:val="0"/>
            <w:vAlign w:val="top"/>
          </w:tcPr>
          <w:p w14:paraId="58126A24">
            <w:pPr>
              <w:rPr>
                <w:rFonts w:ascii="Arial"/>
                <w:color w:val="auto"/>
                <w:sz w:val="21"/>
                <w:highlight w:val="none"/>
              </w:rPr>
            </w:pPr>
          </w:p>
        </w:tc>
        <w:tc>
          <w:tcPr>
            <w:tcW w:w="1081" w:type="dxa"/>
            <w:vMerge w:val="restart"/>
            <w:tcBorders>
              <w:bottom w:val="nil"/>
            </w:tcBorders>
            <w:noWrap w:val="0"/>
            <w:vAlign w:val="top"/>
          </w:tcPr>
          <w:p w14:paraId="03B45638">
            <w:pPr>
              <w:spacing w:line="243" w:lineRule="auto"/>
              <w:rPr>
                <w:rFonts w:ascii="Arial"/>
                <w:color w:val="auto"/>
                <w:sz w:val="21"/>
                <w:highlight w:val="none"/>
              </w:rPr>
            </w:pPr>
          </w:p>
          <w:p w14:paraId="089C244E">
            <w:pPr>
              <w:spacing w:line="243" w:lineRule="auto"/>
              <w:rPr>
                <w:rFonts w:ascii="Arial"/>
                <w:color w:val="auto"/>
                <w:sz w:val="21"/>
                <w:highlight w:val="none"/>
              </w:rPr>
            </w:pPr>
          </w:p>
          <w:p w14:paraId="619C07C4">
            <w:pPr>
              <w:spacing w:line="243" w:lineRule="auto"/>
              <w:rPr>
                <w:rFonts w:ascii="Arial"/>
                <w:color w:val="auto"/>
                <w:sz w:val="21"/>
                <w:highlight w:val="none"/>
              </w:rPr>
            </w:pPr>
          </w:p>
          <w:p w14:paraId="5B6AED0F">
            <w:pPr>
              <w:spacing w:line="243" w:lineRule="auto"/>
              <w:rPr>
                <w:rFonts w:ascii="Arial"/>
                <w:color w:val="auto"/>
                <w:sz w:val="21"/>
                <w:highlight w:val="none"/>
              </w:rPr>
            </w:pPr>
          </w:p>
          <w:p w14:paraId="5506C65A">
            <w:pPr>
              <w:spacing w:line="244" w:lineRule="auto"/>
              <w:rPr>
                <w:rFonts w:ascii="Arial"/>
                <w:color w:val="auto"/>
                <w:sz w:val="21"/>
                <w:highlight w:val="none"/>
              </w:rPr>
            </w:pPr>
          </w:p>
          <w:p w14:paraId="433DD3A2">
            <w:pPr>
              <w:spacing w:line="244" w:lineRule="auto"/>
              <w:rPr>
                <w:rFonts w:ascii="Arial"/>
                <w:color w:val="auto"/>
                <w:sz w:val="21"/>
                <w:highlight w:val="none"/>
              </w:rPr>
            </w:pPr>
          </w:p>
          <w:p w14:paraId="48130179">
            <w:pPr>
              <w:spacing w:line="244" w:lineRule="auto"/>
              <w:rPr>
                <w:rFonts w:ascii="Arial"/>
                <w:color w:val="auto"/>
                <w:sz w:val="21"/>
                <w:highlight w:val="none"/>
              </w:rPr>
            </w:pPr>
          </w:p>
          <w:p w14:paraId="281CA297">
            <w:pPr>
              <w:spacing w:line="244" w:lineRule="auto"/>
              <w:rPr>
                <w:rFonts w:ascii="Arial"/>
                <w:color w:val="auto"/>
                <w:sz w:val="21"/>
                <w:highlight w:val="none"/>
              </w:rPr>
            </w:pPr>
          </w:p>
          <w:p w14:paraId="758E26E5">
            <w:pPr>
              <w:spacing w:line="244" w:lineRule="auto"/>
              <w:rPr>
                <w:rFonts w:ascii="Arial"/>
                <w:color w:val="auto"/>
                <w:sz w:val="21"/>
                <w:highlight w:val="none"/>
              </w:rPr>
            </w:pPr>
          </w:p>
          <w:p w14:paraId="1CD606AB">
            <w:pPr>
              <w:spacing w:line="244" w:lineRule="auto"/>
              <w:rPr>
                <w:rFonts w:ascii="Arial"/>
                <w:color w:val="auto"/>
                <w:sz w:val="21"/>
                <w:highlight w:val="none"/>
              </w:rPr>
            </w:pPr>
          </w:p>
          <w:p w14:paraId="722BCCD3">
            <w:pPr>
              <w:pStyle w:val="223"/>
              <w:spacing w:before="65" w:line="228" w:lineRule="auto"/>
              <w:ind w:left="113"/>
              <w:rPr>
                <w:color w:val="auto"/>
                <w:highlight w:val="none"/>
              </w:rPr>
            </w:pPr>
            <w:r>
              <w:rPr>
                <w:color w:val="auto"/>
                <w:spacing w:val="6"/>
                <w:highlight w:val="none"/>
              </w:rPr>
              <w:t>车身附件</w:t>
            </w:r>
          </w:p>
        </w:tc>
        <w:tc>
          <w:tcPr>
            <w:tcW w:w="2972" w:type="dxa"/>
            <w:noWrap w:val="0"/>
            <w:vAlign w:val="top"/>
          </w:tcPr>
          <w:p w14:paraId="262D21DA">
            <w:pPr>
              <w:pStyle w:val="223"/>
              <w:spacing w:before="66" w:line="228" w:lineRule="auto"/>
              <w:ind w:left="1286"/>
              <w:rPr>
                <w:color w:val="auto"/>
                <w:highlight w:val="none"/>
              </w:rPr>
            </w:pPr>
            <w:r>
              <w:rPr>
                <w:color w:val="auto"/>
                <w:spacing w:val="2"/>
                <w:highlight w:val="none"/>
              </w:rPr>
              <w:t>蒙皮</w:t>
            </w:r>
          </w:p>
        </w:tc>
        <w:tc>
          <w:tcPr>
            <w:tcW w:w="2040" w:type="dxa"/>
            <w:noWrap w:val="0"/>
            <w:vAlign w:val="top"/>
          </w:tcPr>
          <w:p w14:paraId="18E25124">
            <w:pPr>
              <w:pStyle w:val="223"/>
              <w:spacing w:before="66"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641B1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5E40D655">
            <w:pPr>
              <w:rPr>
                <w:rFonts w:ascii="Arial"/>
                <w:color w:val="auto"/>
                <w:sz w:val="21"/>
                <w:highlight w:val="none"/>
              </w:rPr>
            </w:pPr>
          </w:p>
        </w:tc>
        <w:tc>
          <w:tcPr>
            <w:tcW w:w="810" w:type="dxa"/>
            <w:vMerge w:val="continue"/>
            <w:tcBorders>
              <w:top w:val="nil"/>
              <w:bottom w:val="nil"/>
            </w:tcBorders>
            <w:noWrap w:val="0"/>
            <w:vAlign w:val="top"/>
          </w:tcPr>
          <w:p w14:paraId="3989B628">
            <w:pPr>
              <w:rPr>
                <w:rFonts w:ascii="Arial"/>
                <w:color w:val="auto"/>
                <w:sz w:val="21"/>
                <w:highlight w:val="none"/>
              </w:rPr>
            </w:pPr>
          </w:p>
        </w:tc>
        <w:tc>
          <w:tcPr>
            <w:tcW w:w="675" w:type="dxa"/>
            <w:vMerge w:val="continue"/>
            <w:tcBorders>
              <w:top w:val="nil"/>
              <w:bottom w:val="nil"/>
            </w:tcBorders>
            <w:noWrap w:val="0"/>
            <w:vAlign w:val="top"/>
          </w:tcPr>
          <w:p w14:paraId="6C3DA72C">
            <w:pPr>
              <w:rPr>
                <w:rFonts w:ascii="Arial"/>
                <w:color w:val="auto"/>
                <w:sz w:val="21"/>
                <w:highlight w:val="none"/>
              </w:rPr>
            </w:pPr>
          </w:p>
        </w:tc>
        <w:tc>
          <w:tcPr>
            <w:tcW w:w="1081" w:type="dxa"/>
            <w:vMerge w:val="continue"/>
            <w:tcBorders>
              <w:top w:val="nil"/>
              <w:bottom w:val="nil"/>
            </w:tcBorders>
            <w:noWrap w:val="0"/>
            <w:vAlign w:val="top"/>
          </w:tcPr>
          <w:p w14:paraId="709FCC06">
            <w:pPr>
              <w:rPr>
                <w:rFonts w:ascii="Arial"/>
                <w:color w:val="auto"/>
                <w:sz w:val="21"/>
                <w:highlight w:val="none"/>
              </w:rPr>
            </w:pPr>
          </w:p>
        </w:tc>
        <w:tc>
          <w:tcPr>
            <w:tcW w:w="2972" w:type="dxa"/>
            <w:noWrap w:val="0"/>
            <w:vAlign w:val="top"/>
          </w:tcPr>
          <w:p w14:paraId="338ECC0D">
            <w:pPr>
              <w:pStyle w:val="223"/>
              <w:spacing w:before="66" w:line="228" w:lineRule="auto"/>
              <w:ind w:left="968"/>
              <w:rPr>
                <w:color w:val="auto"/>
                <w:highlight w:val="none"/>
              </w:rPr>
            </w:pPr>
            <w:r>
              <w:rPr>
                <w:color w:val="auto"/>
                <w:spacing w:val="7"/>
                <w:highlight w:val="none"/>
              </w:rPr>
              <w:t>风道及附件</w:t>
            </w:r>
          </w:p>
        </w:tc>
        <w:tc>
          <w:tcPr>
            <w:tcW w:w="2040" w:type="dxa"/>
            <w:noWrap w:val="0"/>
            <w:vAlign w:val="top"/>
          </w:tcPr>
          <w:p w14:paraId="42B35BE6">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662ED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2C0208F6">
            <w:pPr>
              <w:rPr>
                <w:rFonts w:ascii="Arial"/>
                <w:color w:val="auto"/>
                <w:sz w:val="21"/>
                <w:highlight w:val="none"/>
              </w:rPr>
            </w:pPr>
          </w:p>
        </w:tc>
        <w:tc>
          <w:tcPr>
            <w:tcW w:w="810" w:type="dxa"/>
            <w:vMerge w:val="continue"/>
            <w:tcBorders>
              <w:top w:val="nil"/>
              <w:bottom w:val="nil"/>
            </w:tcBorders>
            <w:noWrap w:val="0"/>
            <w:vAlign w:val="top"/>
          </w:tcPr>
          <w:p w14:paraId="619BBCD9">
            <w:pPr>
              <w:rPr>
                <w:rFonts w:ascii="Arial"/>
                <w:color w:val="auto"/>
                <w:sz w:val="21"/>
                <w:highlight w:val="none"/>
              </w:rPr>
            </w:pPr>
          </w:p>
        </w:tc>
        <w:tc>
          <w:tcPr>
            <w:tcW w:w="675" w:type="dxa"/>
            <w:vMerge w:val="continue"/>
            <w:tcBorders>
              <w:top w:val="nil"/>
              <w:bottom w:val="nil"/>
            </w:tcBorders>
            <w:noWrap w:val="0"/>
            <w:vAlign w:val="top"/>
          </w:tcPr>
          <w:p w14:paraId="34E78331">
            <w:pPr>
              <w:rPr>
                <w:rFonts w:ascii="Arial"/>
                <w:color w:val="auto"/>
                <w:sz w:val="21"/>
                <w:highlight w:val="none"/>
              </w:rPr>
            </w:pPr>
          </w:p>
        </w:tc>
        <w:tc>
          <w:tcPr>
            <w:tcW w:w="1081" w:type="dxa"/>
            <w:vMerge w:val="continue"/>
            <w:tcBorders>
              <w:top w:val="nil"/>
              <w:bottom w:val="nil"/>
            </w:tcBorders>
            <w:noWrap w:val="0"/>
            <w:vAlign w:val="top"/>
          </w:tcPr>
          <w:p w14:paraId="17A9FA85">
            <w:pPr>
              <w:rPr>
                <w:rFonts w:ascii="Arial"/>
                <w:color w:val="auto"/>
                <w:sz w:val="21"/>
                <w:highlight w:val="none"/>
              </w:rPr>
            </w:pPr>
          </w:p>
        </w:tc>
        <w:tc>
          <w:tcPr>
            <w:tcW w:w="2972" w:type="dxa"/>
            <w:noWrap w:val="0"/>
            <w:vAlign w:val="top"/>
          </w:tcPr>
          <w:p w14:paraId="09A3E22C">
            <w:pPr>
              <w:pStyle w:val="223"/>
              <w:spacing w:before="67" w:line="232" w:lineRule="auto"/>
              <w:ind w:left="1178"/>
              <w:rPr>
                <w:color w:val="auto"/>
                <w:highlight w:val="none"/>
              </w:rPr>
            </w:pPr>
            <w:r>
              <w:rPr>
                <w:color w:val="auto"/>
                <w:spacing w:val="6"/>
                <w:highlight w:val="none"/>
              </w:rPr>
              <w:t>配电盒</w:t>
            </w:r>
          </w:p>
        </w:tc>
        <w:tc>
          <w:tcPr>
            <w:tcW w:w="2040" w:type="dxa"/>
            <w:noWrap w:val="0"/>
            <w:vAlign w:val="top"/>
          </w:tcPr>
          <w:p w14:paraId="22AB78BC">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2041C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948" w:type="dxa"/>
            <w:vMerge w:val="continue"/>
            <w:tcBorders>
              <w:top w:val="nil"/>
              <w:bottom w:val="nil"/>
            </w:tcBorders>
            <w:noWrap w:val="0"/>
            <w:vAlign w:val="top"/>
          </w:tcPr>
          <w:p w14:paraId="68A7E718">
            <w:pPr>
              <w:rPr>
                <w:rFonts w:ascii="Arial"/>
                <w:color w:val="auto"/>
                <w:sz w:val="21"/>
                <w:highlight w:val="none"/>
              </w:rPr>
            </w:pPr>
          </w:p>
        </w:tc>
        <w:tc>
          <w:tcPr>
            <w:tcW w:w="810" w:type="dxa"/>
            <w:vMerge w:val="continue"/>
            <w:tcBorders>
              <w:top w:val="nil"/>
              <w:bottom w:val="nil"/>
            </w:tcBorders>
            <w:noWrap w:val="0"/>
            <w:vAlign w:val="top"/>
          </w:tcPr>
          <w:p w14:paraId="01FCA5C2">
            <w:pPr>
              <w:rPr>
                <w:rFonts w:ascii="Arial"/>
                <w:color w:val="auto"/>
                <w:sz w:val="21"/>
                <w:highlight w:val="none"/>
              </w:rPr>
            </w:pPr>
          </w:p>
        </w:tc>
        <w:tc>
          <w:tcPr>
            <w:tcW w:w="675" w:type="dxa"/>
            <w:vMerge w:val="continue"/>
            <w:tcBorders>
              <w:top w:val="nil"/>
              <w:bottom w:val="nil"/>
            </w:tcBorders>
            <w:noWrap w:val="0"/>
            <w:vAlign w:val="top"/>
          </w:tcPr>
          <w:p w14:paraId="61FC5BD6">
            <w:pPr>
              <w:rPr>
                <w:rFonts w:ascii="Arial"/>
                <w:color w:val="auto"/>
                <w:sz w:val="21"/>
                <w:highlight w:val="none"/>
              </w:rPr>
            </w:pPr>
          </w:p>
        </w:tc>
        <w:tc>
          <w:tcPr>
            <w:tcW w:w="1081" w:type="dxa"/>
            <w:vMerge w:val="continue"/>
            <w:tcBorders>
              <w:top w:val="nil"/>
              <w:bottom w:val="nil"/>
            </w:tcBorders>
            <w:noWrap w:val="0"/>
            <w:vAlign w:val="top"/>
          </w:tcPr>
          <w:p w14:paraId="16CF0547">
            <w:pPr>
              <w:rPr>
                <w:rFonts w:ascii="Arial"/>
                <w:color w:val="auto"/>
                <w:sz w:val="21"/>
                <w:highlight w:val="none"/>
              </w:rPr>
            </w:pPr>
          </w:p>
        </w:tc>
        <w:tc>
          <w:tcPr>
            <w:tcW w:w="2972" w:type="dxa"/>
            <w:noWrap w:val="0"/>
            <w:vAlign w:val="top"/>
          </w:tcPr>
          <w:p w14:paraId="09B82910">
            <w:pPr>
              <w:pStyle w:val="223"/>
              <w:spacing w:before="67" w:line="228" w:lineRule="auto"/>
              <w:ind w:left="1072"/>
              <w:rPr>
                <w:color w:val="auto"/>
                <w:highlight w:val="none"/>
              </w:rPr>
            </w:pPr>
            <w:r>
              <w:rPr>
                <w:color w:val="auto"/>
                <w:spacing w:val="7"/>
                <w:highlight w:val="none"/>
              </w:rPr>
              <w:t>低压线束</w:t>
            </w:r>
          </w:p>
        </w:tc>
        <w:tc>
          <w:tcPr>
            <w:tcW w:w="2040" w:type="dxa"/>
            <w:noWrap w:val="0"/>
            <w:vAlign w:val="top"/>
          </w:tcPr>
          <w:p w14:paraId="02DE95E6">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BA58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5D95F443">
            <w:pPr>
              <w:rPr>
                <w:rFonts w:ascii="Arial"/>
                <w:color w:val="auto"/>
                <w:sz w:val="21"/>
                <w:highlight w:val="none"/>
              </w:rPr>
            </w:pPr>
          </w:p>
        </w:tc>
        <w:tc>
          <w:tcPr>
            <w:tcW w:w="810" w:type="dxa"/>
            <w:vMerge w:val="continue"/>
            <w:tcBorders>
              <w:top w:val="nil"/>
              <w:bottom w:val="nil"/>
            </w:tcBorders>
            <w:noWrap w:val="0"/>
            <w:vAlign w:val="top"/>
          </w:tcPr>
          <w:p w14:paraId="3D10F005">
            <w:pPr>
              <w:rPr>
                <w:rFonts w:ascii="Arial"/>
                <w:color w:val="auto"/>
                <w:sz w:val="21"/>
                <w:highlight w:val="none"/>
              </w:rPr>
            </w:pPr>
          </w:p>
        </w:tc>
        <w:tc>
          <w:tcPr>
            <w:tcW w:w="675" w:type="dxa"/>
            <w:vMerge w:val="continue"/>
            <w:tcBorders>
              <w:top w:val="nil"/>
              <w:bottom w:val="nil"/>
            </w:tcBorders>
            <w:noWrap w:val="0"/>
            <w:vAlign w:val="top"/>
          </w:tcPr>
          <w:p w14:paraId="333CFE3A">
            <w:pPr>
              <w:rPr>
                <w:rFonts w:ascii="Arial"/>
                <w:color w:val="auto"/>
                <w:sz w:val="21"/>
                <w:highlight w:val="none"/>
              </w:rPr>
            </w:pPr>
          </w:p>
        </w:tc>
        <w:tc>
          <w:tcPr>
            <w:tcW w:w="1081" w:type="dxa"/>
            <w:vMerge w:val="continue"/>
            <w:tcBorders>
              <w:top w:val="nil"/>
              <w:bottom w:val="nil"/>
            </w:tcBorders>
            <w:noWrap w:val="0"/>
            <w:vAlign w:val="top"/>
          </w:tcPr>
          <w:p w14:paraId="48977E2C">
            <w:pPr>
              <w:rPr>
                <w:rFonts w:ascii="Arial"/>
                <w:color w:val="auto"/>
                <w:sz w:val="21"/>
                <w:highlight w:val="none"/>
              </w:rPr>
            </w:pPr>
          </w:p>
        </w:tc>
        <w:tc>
          <w:tcPr>
            <w:tcW w:w="2972" w:type="dxa"/>
            <w:noWrap w:val="0"/>
            <w:vAlign w:val="top"/>
          </w:tcPr>
          <w:p w14:paraId="02AAA4AC">
            <w:pPr>
              <w:pStyle w:val="223"/>
              <w:spacing w:before="67" w:line="228" w:lineRule="auto"/>
              <w:ind w:left="757"/>
              <w:rPr>
                <w:color w:val="auto"/>
                <w:highlight w:val="none"/>
              </w:rPr>
            </w:pPr>
            <w:r>
              <w:rPr>
                <w:color w:val="auto"/>
                <w:spacing w:val="8"/>
                <w:highlight w:val="none"/>
              </w:rPr>
              <w:t>扶手杆及连接器</w:t>
            </w:r>
          </w:p>
        </w:tc>
        <w:tc>
          <w:tcPr>
            <w:tcW w:w="2040" w:type="dxa"/>
            <w:noWrap w:val="0"/>
            <w:vAlign w:val="top"/>
          </w:tcPr>
          <w:p w14:paraId="35983B06">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675EF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1049665D">
            <w:pPr>
              <w:rPr>
                <w:rFonts w:ascii="Arial"/>
                <w:color w:val="auto"/>
                <w:sz w:val="21"/>
                <w:highlight w:val="none"/>
              </w:rPr>
            </w:pPr>
          </w:p>
        </w:tc>
        <w:tc>
          <w:tcPr>
            <w:tcW w:w="810" w:type="dxa"/>
            <w:vMerge w:val="continue"/>
            <w:tcBorders>
              <w:top w:val="nil"/>
              <w:bottom w:val="nil"/>
            </w:tcBorders>
            <w:noWrap w:val="0"/>
            <w:vAlign w:val="top"/>
          </w:tcPr>
          <w:p w14:paraId="4D5E0DE2">
            <w:pPr>
              <w:rPr>
                <w:rFonts w:ascii="Arial"/>
                <w:color w:val="auto"/>
                <w:sz w:val="21"/>
                <w:highlight w:val="none"/>
              </w:rPr>
            </w:pPr>
          </w:p>
        </w:tc>
        <w:tc>
          <w:tcPr>
            <w:tcW w:w="675" w:type="dxa"/>
            <w:vMerge w:val="continue"/>
            <w:tcBorders>
              <w:top w:val="nil"/>
              <w:bottom w:val="nil"/>
            </w:tcBorders>
            <w:noWrap w:val="0"/>
            <w:vAlign w:val="top"/>
          </w:tcPr>
          <w:p w14:paraId="2A4EDEF5">
            <w:pPr>
              <w:rPr>
                <w:rFonts w:ascii="Arial"/>
                <w:color w:val="auto"/>
                <w:sz w:val="21"/>
                <w:highlight w:val="none"/>
              </w:rPr>
            </w:pPr>
          </w:p>
        </w:tc>
        <w:tc>
          <w:tcPr>
            <w:tcW w:w="1081" w:type="dxa"/>
            <w:vMerge w:val="continue"/>
            <w:tcBorders>
              <w:top w:val="nil"/>
              <w:bottom w:val="nil"/>
            </w:tcBorders>
            <w:noWrap w:val="0"/>
            <w:vAlign w:val="top"/>
          </w:tcPr>
          <w:p w14:paraId="4D5A0A48">
            <w:pPr>
              <w:rPr>
                <w:rFonts w:ascii="Arial"/>
                <w:color w:val="auto"/>
                <w:sz w:val="21"/>
                <w:highlight w:val="none"/>
              </w:rPr>
            </w:pPr>
          </w:p>
        </w:tc>
        <w:tc>
          <w:tcPr>
            <w:tcW w:w="2972" w:type="dxa"/>
            <w:noWrap w:val="0"/>
            <w:vAlign w:val="top"/>
          </w:tcPr>
          <w:p w14:paraId="3EC923C8">
            <w:pPr>
              <w:pStyle w:val="223"/>
              <w:spacing w:before="68" w:line="229" w:lineRule="auto"/>
              <w:ind w:left="969"/>
              <w:rPr>
                <w:color w:val="auto"/>
                <w:highlight w:val="none"/>
              </w:rPr>
            </w:pPr>
            <w:r>
              <w:rPr>
                <w:color w:val="auto"/>
                <w:spacing w:val="7"/>
                <w:highlight w:val="none"/>
              </w:rPr>
              <w:t>座椅及支架</w:t>
            </w:r>
          </w:p>
        </w:tc>
        <w:tc>
          <w:tcPr>
            <w:tcW w:w="2040" w:type="dxa"/>
            <w:noWrap w:val="0"/>
            <w:vAlign w:val="top"/>
          </w:tcPr>
          <w:p w14:paraId="4ACC3EC3">
            <w:pPr>
              <w:pStyle w:val="223"/>
              <w:spacing w:before="68"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2F089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1CFB15AB">
            <w:pPr>
              <w:rPr>
                <w:rFonts w:ascii="Arial"/>
                <w:color w:val="auto"/>
                <w:sz w:val="21"/>
                <w:highlight w:val="none"/>
              </w:rPr>
            </w:pPr>
          </w:p>
        </w:tc>
        <w:tc>
          <w:tcPr>
            <w:tcW w:w="810" w:type="dxa"/>
            <w:vMerge w:val="continue"/>
            <w:tcBorders>
              <w:top w:val="nil"/>
              <w:bottom w:val="nil"/>
            </w:tcBorders>
            <w:noWrap w:val="0"/>
            <w:vAlign w:val="top"/>
          </w:tcPr>
          <w:p w14:paraId="4DABA005">
            <w:pPr>
              <w:rPr>
                <w:rFonts w:ascii="Arial"/>
                <w:color w:val="auto"/>
                <w:sz w:val="21"/>
                <w:highlight w:val="none"/>
              </w:rPr>
            </w:pPr>
          </w:p>
        </w:tc>
        <w:tc>
          <w:tcPr>
            <w:tcW w:w="675" w:type="dxa"/>
            <w:vMerge w:val="continue"/>
            <w:tcBorders>
              <w:top w:val="nil"/>
              <w:bottom w:val="nil"/>
            </w:tcBorders>
            <w:noWrap w:val="0"/>
            <w:vAlign w:val="top"/>
          </w:tcPr>
          <w:p w14:paraId="57E342B5">
            <w:pPr>
              <w:rPr>
                <w:rFonts w:ascii="Arial"/>
                <w:color w:val="auto"/>
                <w:sz w:val="21"/>
                <w:highlight w:val="none"/>
              </w:rPr>
            </w:pPr>
          </w:p>
        </w:tc>
        <w:tc>
          <w:tcPr>
            <w:tcW w:w="1081" w:type="dxa"/>
            <w:vMerge w:val="continue"/>
            <w:tcBorders>
              <w:top w:val="nil"/>
              <w:bottom w:val="nil"/>
            </w:tcBorders>
            <w:noWrap w:val="0"/>
            <w:vAlign w:val="top"/>
          </w:tcPr>
          <w:p w14:paraId="618EAC79">
            <w:pPr>
              <w:rPr>
                <w:rFonts w:ascii="Arial"/>
                <w:color w:val="auto"/>
                <w:sz w:val="21"/>
                <w:highlight w:val="none"/>
              </w:rPr>
            </w:pPr>
          </w:p>
        </w:tc>
        <w:tc>
          <w:tcPr>
            <w:tcW w:w="2972" w:type="dxa"/>
            <w:noWrap w:val="0"/>
            <w:vAlign w:val="top"/>
          </w:tcPr>
          <w:p w14:paraId="56480ABA">
            <w:pPr>
              <w:pStyle w:val="223"/>
              <w:spacing w:before="67" w:line="228" w:lineRule="auto"/>
              <w:ind w:left="870"/>
              <w:rPr>
                <w:color w:val="auto"/>
                <w:highlight w:val="none"/>
              </w:rPr>
            </w:pPr>
            <w:r>
              <w:rPr>
                <w:color w:val="auto"/>
                <w:spacing w:val="6"/>
                <w:highlight w:val="none"/>
              </w:rPr>
              <w:t>司机包围总成</w:t>
            </w:r>
          </w:p>
        </w:tc>
        <w:tc>
          <w:tcPr>
            <w:tcW w:w="2040" w:type="dxa"/>
            <w:noWrap w:val="0"/>
            <w:vAlign w:val="top"/>
          </w:tcPr>
          <w:p w14:paraId="0C206BFC">
            <w:pPr>
              <w:pStyle w:val="223"/>
              <w:spacing w:before="68"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5C065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61241725">
            <w:pPr>
              <w:rPr>
                <w:rFonts w:ascii="Arial"/>
                <w:color w:val="auto"/>
                <w:sz w:val="21"/>
                <w:highlight w:val="none"/>
              </w:rPr>
            </w:pPr>
          </w:p>
        </w:tc>
        <w:tc>
          <w:tcPr>
            <w:tcW w:w="810" w:type="dxa"/>
            <w:vMerge w:val="continue"/>
            <w:tcBorders>
              <w:top w:val="nil"/>
              <w:bottom w:val="nil"/>
            </w:tcBorders>
            <w:noWrap w:val="0"/>
            <w:vAlign w:val="top"/>
          </w:tcPr>
          <w:p w14:paraId="0EA6A64A">
            <w:pPr>
              <w:rPr>
                <w:rFonts w:ascii="Arial"/>
                <w:color w:val="auto"/>
                <w:sz w:val="21"/>
                <w:highlight w:val="none"/>
              </w:rPr>
            </w:pPr>
          </w:p>
        </w:tc>
        <w:tc>
          <w:tcPr>
            <w:tcW w:w="675" w:type="dxa"/>
            <w:vMerge w:val="continue"/>
            <w:tcBorders>
              <w:top w:val="nil"/>
              <w:bottom w:val="nil"/>
            </w:tcBorders>
            <w:noWrap w:val="0"/>
            <w:vAlign w:val="top"/>
          </w:tcPr>
          <w:p w14:paraId="3A2C69BB">
            <w:pPr>
              <w:rPr>
                <w:rFonts w:ascii="Arial"/>
                <w:color w:val="auto"/>
                <w:sz w:val="21"/>
                <w:highlight w:val="none"/>
              </w:rPr>
            </w:pPr>
          </w:p>
        </w:tc>
        <w:tc>
          <w:tcPr>
            <w:tcW w:w="1081" w:type="dxa"/>
            <w:vMerge w:val="continue"/>
            <w:tcBorders>
              <w:top w:val="nil"/>
              <w:bottom w:val="nil"/>
            </w:tcBorders>
            <w:noWrap w:val="0"/>
            <w:vAlign w:val="top"/>
          </w:tcPr>
          <w:p w14:paraId="02C2602B">
            <w:pPr>
              <w:rPr>
                <w:rFonts w:ascii="Arial"/>
                <w:color w:val="auto"/>
                <w:sz w:val="21"/>
                <w:highlight w:val="none"/>
              </w:rPr>
            </w:pPr>
          </w:p>
        </w:tc>
        <w:tc>
          <w:tcPr>
            <w:tcW w:w="2972" w:type="dxa"/>
            <w:noWrap w:val="0"/>
            <w:vAlign w:val="top"/>
          </w:tcPr>
          <w:p w14:paraId="1848EE03">
            <w:pPr>
              <w:pStyle w:val="223"/>
              <w:spacing w:before="66" w:line="228" w:lineRule="auto"/>
              <w:ind w:left="759"/>
              <w:rPr>
                <w:color w:val="auto"/>
                <w:highlight w:val="none"/>
              </w:rPr>
            </w:pPr>
            <w:r>
              <w:rPr>
                <w:color w:val="auto"/>
                <w:spacing w:val="8"/>
                <w:highlight w:val="none"/>
              </w:rPr>
              <w:t>仪表台及包围件</w:t>
            </w:r>
          </w:p>
        </w:tc>
        <w:tc>
          <w:tcPr>
            <w:tcW w:w="2040" w:type="dxa"/>
            <w:noWrap w:val="0"/>
            <w:vAlign w:val="top"/>
          </w:tcPr>
          <w:p w14:paraId="049155FF">
            <w:pPr>
              <w:pStyle w:val="223"/>
              <w:spacing w:before="66"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4A115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1B83745C">
            <w:pPr>
              <w:rPr>
                <w:rFonts w:ascii="Arial"/>
                <w:color w:val="auto"/>
                <w:sz w:val="21"/>
                <w:highlight w:val="none"/>
              </w:rPr>
            </w:pPr>
          </w:p>
        </w:tc>
        <w:tc>
          <w:tcPr>
            <w:tcW w:w="810" w:type="dxa"/>
            <w:vMerge w:val="continue"/>
            <w:tcBorders>
              <w:top w:val="nil"/>
              <w:bottom w:val="nil"/>
            </w:tcBorders>
            <w:noWrap w:val="0"/>
            <w:vAlign w:val="top"/>
          </w:tcPr>
          <w:p w14:paraId="2B29A200">
            <w:pPr>
              <w:rPr>
                <w:rFonts w:ascii="Arial"/>
                <w:color w:val="auto"/>
                <w:sz w:val="21"/>
                <w:highlight w:val="none"/>
              </w:rPr>
            </w:pPr>
          </w:p>
        </w:tc>
        <w:tc>
          <w:tcPr>
            <w:tcW w:w="675" w:type="dxa"/>
            <w:vMerge w:val="continue"/>
            <w:tcBorders>
              <w:top w:val="nil"/>
              <w:bottom w:val="nil"/>
            </w:tcBorders>
            <w:noWrap w:val="0"/>
            <w:vAlign w:val="top"/>
          </w:tcPr>
          <w:p w14:paraId="73F1C2AD">
            <w:pPr>
              <w:rPr>
                <w:rFonts w:ascii="Arial"/>
                <w:color w:val="auto"/>
                <w:sz w:val="21"/>
                <w:highlight w:val="none"/>
              </w:rPr>
            </w:pPr>
          </w:p>
        </w:tc>
        <w:tc>
          <w:tcPr>
            <w:tcW w:w="1081" w:type="dxa"/>
            <w:vMerge w:val="continue"/>
            <w:tcBorders>
              <w:top w:val="nil"/>
              <w:bottom w:val="nil"/>
            </w:tcBorders>
            <w:noWrap w:val="0"/>
            <w:vAlign w:val="top"/>
          </w:tcPr>
          <w:p w14:paraId="5DA77DA3">
            <w:pPr>
              <w:rPr>
                <w:rFonts w:ascii="Arial"/>
                <w:color w:val="auto"/>
                <w:sz w:val="21"/>
                <w:highlight w:val="none"/>
              </w:rPr>
            </w:pPr>
          </w:p>
        </w:tc>
        <w:tc>
          <w:tcPr>
            <w:tcW w:w="2972" w:type="dxa"/>
            <w:noWrap w:val="0"/>
            <w:vAlign w:val="top"/>
          </w:tcPr>
          <w:p w14:paraId="75C1E8FE">
            <w:pPr>
              <w:pStyle w:val="223"/>
              <w:spacing w:before="66" w:line="229" w:lineRule="auto"/>
              <w:ind w:left="1075"/>
              <w:rPr>
                <w:color w:val="auto"/>
                <w:highlight w:val="none"/>
              </w:rPr>
            </w:pPr>
            <w:r>
              <w:rPr>
                <w:color w:val="auto"/>
                <w:spacing w:val="6"/>
                <w:highlight w:val="none"/>
              </w:rPr>
              <w:t>大灯总成</w:t>
            </w:r>
          </w:p>
        </w:tc>
        <w:tc>
          <w:tcPr>
            <w:tcW w:w="2040" w:type="dxa"/>
            <w:noWrap w:val="0"/>
            <w:vAlign w:val="top"/>
          </w:tcPr>
          <w:p w14:paraId="435B7B5B">
            <w:pPr>
              <w:pStyle w:val="223"/>
              <w:spacing w:before="67"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71A1A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3EDB3366">
            <w:pPr>
              <w:rPr>
                <w:rFonts w:ascii="Arial"/>
                <w:color w:val="auto"/>
                <w:sz w:val="21"/>
                <w:highlight w:val="none"/>
              </w:rPr>
            </w:pPr>
          </w:p>
        </w:tc>
        <w:tc>
          <w:tcPr>
            <w:tcW w:w="810" w:type="dxa"/>
            <w:vMerge w:val="continue"/>
            <w:tcBorders>
              <w:top w:val="nil"/>
              <w:bottom w:val="nil"/>
            </w:tcBorders>
            <w:noWrap w:val="0"/>
            <w:vAlign w:val="top"/>
          </w:tcPr>
          <w:p w14:paraId="7F3BC4D3">
            <w:pPr>
              <w:rPr>
                <w:rFonts w:ascii="Arial"/>
                <w:color w:val="auto"/>
                <w:sz w:val="21"/>
                <w:highlight w:val="none"/>
              </w:rPr>
            </w:pPr>
          </w:p>
        </w:tc>
        <w:tc>
          <w:tcPr>
            <w:tcW w:w="675" w:type="dxa"/>
            <w:vMerge w:val="continue"/>
            <w:tcBorders>
              <w:top w:val="nil"/>
              <w:bottom w:val="nil"/>
            </w:tcBorders>
            <w:noWrap w:val="0"/>
            <w:vAlign w:val="top"/>
          </w:tcPr>
          <w:p w14:paraId="5CE4BDAF">
            <w:pPr>
              <w:rPr>
                <w:rFonts w:ascii="Arial"/>
                <w:color w:val="auto"/>
                <w:sz w:val="21"/>
                <w:highlight w:val="none"/>
              </w:rPr>
            </w:pPr>
          </w:p>
        </w:tc>
        <w:tc>
          <w:tcPr>
            <w:tcW w:w="1081" w:type="dxa"/>
            <w:vMerge w:val="continue"/>
            <w:tcBorders>
              <w:top w:val="nil"/>
              <w:bottom w:val="nil"/>
            </w:tcBorders>
            <w:noWrap w:val="0"/>
            <w:vAlign w:val="top"/>
          </w:tcPr>
          <w:p w14:paraId="795801F7">
            <w:pPr>
              <w:rPr>
                <w:rFonts w:ascii="Arial"/>
                <w:color w:val="auto"/>
                <w:sz w:val="21"/>
                <w:highlight w:val="none"/>
              </w:rPr>
            </w:pPr>
          </w:p>
        </w:tc>
        <w:tc>
          <w:tcPr>
            <w:tcW w:w="2972" w:type="dxa"/>
            <w:noWrap w:val="0"/>
            <w:vAlign w:val="top"/>
          </w:tcPr>
          <w:p w14:paraId="5FCA0304">
            <w:pPr>
              <w:pStyle w:val="223"/>
              <w:spacing w:before="67" w:line="229" w:lineRule="auto"/>
              <w:ind w:left="1073"/>
              <w:rPr>
                <w:color w:val="auto"/>
                <w:highlight w:val="none"/>
              </w:rPr>
            </w:pPr>
            <w:r>
              <w:rPr>
                <w:color w:val="auto"/>
                <w:spacing w:val="7"/>
                <w:highlight w:val="none"/>
              </w:rPr>
              <w:t>尾灯总成</w:t>
            </w:r>
          </w:p>
        </w:tc>
        <w:tc>
          <w:tcPr>
            <w:tcW w:w="2040" w:type="dxa"/>
            <w:noWrap w:val="0"/>
            <w:vAlign w:val="top"/>
          </w:tcPr>
          <w:p w14:paraId="2B22BD5F">
            <w:pPr>
              <w:pStyle w:val="223"/>
              <w:spacing w:before="67"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27274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4DA5C43C">
            <w:pPr>
              <w:rPr>
                <w:rFonts w:ascii="Arial"/>
                <w:color w:val="auto"/>
                <w:sz w:val="21"/>
                <w:highlight w:val="none"/>
              </w:rPr>
            </w:pPr>
          </w:p>
        </w:tc>
        <w:tc>
          <w:tcPr>
            <w:tcW w:w="810" w:type="dxa"/>
            <w:vMerge w:val="continue"/>
            <w:tcBorders>
              <w:top w:val="nil"/>
              <w:bottom w:val="nil"/>
            </w:tcBorders>
            <w:noWrap w:val="0"/>
            <w:vAlign w:val="top"/>
          </w:tcPr>
          <w:p w14:paraId="71426DB5">
            <w:pPr>
              <w:rPr>
                <w:rFonts w:ascii="Arial"/>
                <w:color w:val="auto"/>
                <w:sz w:val="21"/>
                <w:highlight w:val="none"/>
              </w:rPr>
            </w:pPr>
          </w:p>
        </w:tc>
        <w:tc>
          <w:tcPr>
            <w:tcW w:w="675" w:type="dxa"/>
            <w:vMerge w:val="continue"/>
            <w:tcBorders>
              <w:top w:val="nil"/>
              <w:bottom w:val="nil"/>
            </w:tcBorders>
            <w:noWrap w:val="0"/>
            <w:vAlign w:val="top"/>
          </w:tcPr>
          <w:p w14:paraId="5CB00C1E">
            <w:pPr>
              <w:rPr>
                <w:rFonts w:ascii="Arial"/>
                <w:color w:val="auto"/>
                <w:sz w:val="21"/>
                <w:highlight w:val="none"/>
              </w:rPr>
            </w:pPr>
          </w:p>
        </w:tc>
        <w:tc>
          <w:tcPr>
            <w:tcW w:w="1081" w:type="dxa"/>
            <w:vMerge w:val="continue"/>
            <w:tcBorders>
              <w:top w:val="nil"/>
              <w:bottom w:val="nil"/>
            </w:tcBorders>
            <w:noWrap w:val="0"/>
            <w:vAlign w:val="top"/>
          </w:tcPr>
          <w:p w14:paraId="26133674">
            <w:pPr>
              <w:rPr>
                <w:rFonts w:ascii="Arial"/>
                <w:color w:val="auto"/>
                <w:sz w:val="21"/>
                <w:highlight w:val="none"/>
              </w:rPr>
            </w:pPr>
          </w:p>
        </w:tc>
        <w:tc>
          <w:tcPr>
            <w:tcW w:w="2972" w:type="dxa"/>
            <w:noWrap w:val="0"/>
            <w:vAlign w:val="top"/>
          </w:tcPr>
          <w:p w14:paraId="3A162744">
            <w:pPr>
              <w:pStyle w:val="223"/>
              <w:spacing w:before="67" w:line="228" w:lineRule="auto"/>
              <w:ind w:left="968"/>
              <w:rPr>
                <w:color w:val="auto"/>
                <w:highlight w:val="none"/>
              </w:rPr>
            </w:pPr>
            <w:r>
              <w:rPr>
                <w:color w:val="auto"/>
                <w:spacing w:val="7"/>
                <w:highlight w:val="none"/>
              </w:rPr>
              <w:t>铝合金轮辋</w:t>
            </w:r>
          </w:p>
        </w:tc>
        <w:tc>
          <w:tcPr>
            <w:tcW w:w="2040" w:type="dxa"/>
            <w:noWrap w:val="0"/>
            <w:vAlign w:val="top"/>
          </w:tcPr>
          <w:p w14:paraId="68F27D5A">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1B1DE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123ED4C0">
            <w:pPr>
              <w:rPr>
                <w:rFonts w:ascii="Arial"/>
                <w:color w:val="auto"/>
                <w:sz w:val="21"/>
                <w:highlight w:val="none"/>
              </w:rPr>
            </w:pPr>
          </w:p>
        </w:tc>
        <w:tc>
          <w:tcPr>
            <w:tcW w:w="810" w:type="dxa"/>
            <w:vMerge w:val="continue"/>
            <w:tcBorders>
              <w:top w:val="nil"/>
              <w:bottom w:val="nil"/>
            </w:tcBorders>
            <w:noWrap w:val="0"/>
            <w:vAlign w:val="top"/>
          </w:tcPr>
          <w:p w14:paraId="3BE872F1">
            <w:pPr>
              <w:rPr>
                <w:rFonts w:ascii="Arial"/>
                <w:color w:val="auto"/>
                <w:sz w:val="21"/>
                <w:highlight w:val="none"/>
              </w:rPr>
            </w:pPr>
          </w:p>
        </w:tc>
        <w:tc>
          <w:tcPr>
            <w:tcW w:w="675" w:type="dxa"/>
            <w:vMerge w:val="continue"/>
            <w:tcBorders>
              <w:top w:val="nil"/>
              <w:bottom w:val="nil"/>
            </w:tcBorders>
            <w:noWrap w:val="0"/>
            <w:vAlign w:val="top"/>
          </w:tcPr>
          <w:p w14:paraId="02C33C4D">
            <w:pPr>
              <w:rPr>
                <w:rFonts w:ascii="Arial"/>
                <w:color w:val="auto"/>
                <w:sz w:val="21"/>
                <w:highlight w:val="none"/>
              </w:rPr>
            </w:pPr>
          </w:p>
        </w:tc>
        <w:tc>
          <w:tcPr>
            <w:tcW w:w="1081" w:type="dxa"/>
            <w:vMerge w:val="continue"/>
            <w:tcBorders>
              <w:top w:val="nil"/>
              <w:bottom w:val="nil"/>
            </w:tcBorders>
            <w:noWrap w:val="0"/>
            <w:vAlign w:val="top"/>
          </w:tcPr>
          <w:p w14:paraId="5104A66C">
            <w:pPr>
              <w:rPr>
                <w:rFonts w:ascii="Arial"/>
                <w:color w:val="auto"/>
                <w:sz w:val="21"/>
                <w:highlight w:val="none"/>
              </w:rPr>
            </w:pPr>
          </w:p>
        </w:tc>
        <w:tc>
          <w:tcPr>
            <w:tcW w:w="2972" w:type="dxa"/>
            <w:noWrap w:val="0"/>
            <w:vAlign w:val="top"/>
          </w:tcPr>
          <w:p w14:paraId="13D71652">
            <w:pPr>
              <w:pStyle w:val="223"/>
              <w:spacing w:before="68" w:line="228" w:lineRule="auto"/>
              <w:ind w:left="974"/>
              <w:rPr>
                <w:color w:val="auto"/>
                <w:highlight w:val="none"/>
              </w:rPr>
            </w:pPr>
            <w:r>
              <w:rPr>
                <w:color w:val="auto"/>
                <w:spacing w:val="6"/>
                <w:highlight w:val="none"/>
              </w:rPr>
              <w:t>驾驶员座椅</w:t>
            </w:r>
          </w:p>
        </w:tc>
        <w:tc>
          <w:tcPr>
            <w:tcW w:w="2040" w:type="dxa"/>
            <w:noWrap w:val="0"/>
            <w:vAlign w:val="top"/>
          </w:tcPr>
          <w:p w14:paraId="4E86850D">
            <w:pPr>
              <w:pStyle w:val="223"/>
              <w:spacing w:before="68"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726E0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729DF5BC">
            <w:pPr>
              <w:rPr>
                <w:rFonts w:ascii="Arial"/>
                <w:color w:val="auto"/>
                <w:sz w:val="21"/>
                <w:highlight w:val="none"/>
              </w:rPr>
            </w:pPr>
          </w:p>
        </w:tc>
        <w:tc>
          <w:tcPr>
            <w:tcW w:w="810" w:type="dxa"/>
            <w:vMerge w:val="continue"/>
            <w:tcBorders>
              <w:top w:val="nil"/>
              <w:bottom w:val="nil"/>
            </w:tcBorders>
            <w:noWrap w:val="0"/>
            <w:vAlign w:val="top"/>
          </w:tcPr>
          <w:p w14:paraId="745327D4">
            <w:pPr>
              <w:rPr>
                <w:rFonts w:ascii="Arial"/>
                <w:color w:val="auto"/>
                <w:sz w:val="21"/>
                <w:highlight w:val="none"/>
              </w:rPr>
            </w:pPr>
          </w:p>
        </w:tc>
        <w:tc>
          <w:tcPr>
            <w:tcW w:w="675" w:type="dxa"/>
            <w:vMerge w:val="continue"/>
            <w:tcBorders>
              <w:top w:val="nil"/>
              <w:bottom w:val="nil"/>
            </w:tcBorders>
            <w:noWrap w:val="0"/>
            <w:vAlign w:val="top"/>
          </w:tcPr>
          <w:p w14:paraId="081696B5">
            <w:pPr>
              <w:rPr>
                <w:rFonts w:ascii="Arial"/>
                <w:color w:val="auto"/>
                <w:sz w:val="21"/>
                <w:highlight w:val="none"/>
              </w:rPr>
            </w:pPr>
          </w:p>
        </w:tc>
        <w:tc>
          <w:tcPr>
            <w:tcW w:w="1081" w:type="dxa"/>
            <w:vMerge w:val="continue"/>
            <w:tcBorders>
              <w:top w:val="nil"/>
              <w:bottom w:val="nil"/>
            </w:tcBorders>
            <w:noWrap w:val="0"/>
            <w:vAlign w:val="top"/>
          </w:tcPr>
          <w:p w14:paraId="50A049F7">
            <w:pPr>
              <w:rPr>
                <w:rFonts w:ascii="Arial"/>
                <w:color w:val="auto"/>
                <w:sz w:val="21"/>
                <w:highlight w:val="none"/>
              </w:rPr>
            </w:pPr>
          </w:p>
        </w:tc>
        <w:tc>
          <w:tcPr>
            <w:tcW w:w="2972" w:type="dxa"/>
            <w:noWrap w:val="0"/>
            <w:vAlign w:val="top"/>
          </w:tcPr>
          <w:p w14:paraId="3EA93052">
            <w:pPr>
              <w:pStyle w:val="223"/>
              <w:spacing w:before="68" w:line="228" w:lineRule="auto"/>
              <w:ind w:left="1098"/>
              <w:rPr>
                <w:color w:val="auto"/>
                <w:highlight w:val="none"/>
              </w:rPr>
            </w:pPr>
            <w:r>
              <w:rPr>
                <w:color w:val="auto"/>
                <w:spacing w:val="1"/>
                <w:highlight w:val="none"/>
              </w:rPr>
              <w:t>内后视镜</w:t>
            </w:r>
          </w:p>
        </w:tc>
        <w:tc>
          <w:tcPr>
            <w:tcW w:w="2040" w:type="dxa"/>
            <w:noWrap w:val="0"/>
            <w:vAlign w:val="top"/>
          </w:tcPr>
          <w:p w14:paraId="40413399">
            <w:pPr>
              <w:pStyle w:val="223"/>
              <w:spacing w:before="68"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24851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312A7769">
            <w:pPr>
              <w:rPr>
                <w:rFonts w:ascii="Arial"/>
                <w:color w:val="auto"/>
                <w:sz w:val="21"/>
                <w:highlight w:val="none"/>
              </w:rPr>
            </w:pPr>
          </w:p>
        </w:tc>
        <w:tc>
          <w:tcPr>
            <w:tcW w:w="810" w:type="dxa"/>
            <w:vMerge w:val="continue"/>
            <w:tcBorders>
              <w:top w:val="nil"/>
              <w:bottom w:val="nil"/>
            </w:tcBorders>
            <w:noWrap w:val="0"/>
            <w:vAlign w:val="top"/>
          </w:tcPr>
          <w:p w14:paraId="63B3E8E4">
            <w:pPr>
              <w:rPr>
                <w:rFonts w:ascii="Arial"/>
                <w:color w:val="auto"/>
                <w:sz w:val="21"/>
                <w:highlight w:val="none"/>
              </w:rPr>
            </w:pPr>
          </w:p>
        </w:tc>
        <w:tc>
          <w:tcPr>
            <w:tcW w:w="675" w:type="dxa"/>
            <w:vMerge w:val="continue"/>
            <w:tcBorders>
              <w:top w:val="nil"/>
              <w:bottom w:val="nil"/>
            </w:tcBorders>
            <w:noWrap w:val="0"/>
            <w:vAlign w:val="top"/>
          </w:tcPr>
          <w:p w14:paraId="2DBDC8F6">
            <w:pPr>
              <w:rPr>
                <w:rFonts w:ascii="Arial"/>
                <w:color w:val="auto"/>
                <w:sz w:val="21"/>
                <w:highlight w:val="none"/>
              </w:rPr>
            </w:pPr>
          </w:p>
        </w:tc>
        <w:tc>
          <w:tcPr>
            <w:tcW w:w="1081" w:type="dxa"/>
            <w:vMerge w:val="continue"/>
            <w:tcBorders>
              <w:top w:val="nil"/>
              <w:bottom w:val="nil"/>
            </w:tcBorders>
            <w:noWrap w:val="0"/>
            <w:vAlign w:val="top"/>
          </w:tcPr>
          <w:p w14:paraId="6A5B299A">
            <w:pPr>
              <w:rPr>
                <w:rFonts w:ascii="Arial"/>
                <w:color w:val="auto"/>
                <w:sz w:val="21"/>
                <w:highlight w:val="none"/>
              </w:rPr>
            </w:pPr>
          </w:p>
        </w:tc>
        <w:tc>
          <w:tcPr>
            <w:tcW w:w="2972" w:type="dxa"/>
            <w:noWrap w:val="0"/>
            <w:vAlign w:val="top"/>
          </w:tcPr>
          <w:p w14:paraId="0692A055">
            <w:pPr>
              <w:pStyle w:val="223"/>
              <w:spacing w:before="66" w:line="228" w:lineRule="auto"/>
              <w:ind w:left="1073"/>
              <w:rPr>
                <w:color w:val="auto"/>
                <w:highlight w:val="none"/>
              </w:rPr>
            </w:pPr>
            <w:r>
              <w:rPr>
                <w:color w:val="auto"/>
                <w:spacing w:val="7"/>
                <w:highlight w:val="none"/>
              </w:rPr>
              <w:t>全车锁体</w:t>
            </w:r>
          </w:p>
        </w:tc>
        <w:tc>
          <w:tcPr>
            <w:tcW w:w="2040" w:type="dxa"/>
            <w:noWrap w:val="0"/>
            <w:vAlign w:val="top"/>
          </w:tcPr>
          <w:p w14:paraId="766D4594">
            <w:pPr>
              <w:pStyle w:val="223"/>
              <w:spacing w:before="66"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14F3C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767F6B9C">
            <w:pPr>
              <w:rPr>
                <w:rFonts w:ascii="Arial"/>
                <w:color w:val="auto"/>
                <w:sz w:val="21"/>
                <w:highlight w:val="none"/>
              </w:rPr>
            </w:pPr>
          </w:p>
        </w:tc>
        <w:tc>
          <w:tcPr>
            <w:tcW w:w="810" w:type="dxa"/>
            <w:vMerge w:val="continue"/>
            <w:tcBorders>
              <w:top w:val="nil"/>
              <w:bottom w:val="nil"/>
            </w:tcBorders>
            <w:noWrap w:val="0"/>
            <w:vAlign w:val="top"/>
          </w:tcPr>
          <w:p w14:paraId="697FC939">
            <w:pPr>
              <w:rPr>
                <w:rFonts w:ascii="Arial"/>
                <w:color w:val="auto"/>
                <w:sz w:val="21"/>
                <w:highlight w:val="none"/>
              </w:rPr>
            </w:pPr>
          </w:p>
        </w:tc>
        <w:tc>
          <w:tcPr>
            <w:tcW w:w="675" w:type="dxa"/>
            <w:vMerge w:val="continue"/>
            <w:tcBorders>
              <w:top w:val="nil"/>
            </w:tcBorders>
            <w:noWrap w:val="0"/>
            <w:vAlign w:val="top"/>
          </w:tcPr>
          <w:p w14:paraId="684DCF97">
            <w:pPr>
              <w:rPr>
                <w:rFonts w:ascii="Arial"/>
                <w:color w:val="auto"/>
                <w:sz w:val="21"/>
                <w:highlight w:val="none"/>
              </w:rPr>
            </w:pPr>
          </w:p>
        </w:tc>
        <w:tc>
          <w:tcPr>
            <w:tcW w:w="1081" w:type="dxa"/>
            <w:vMerge w:val="continue"/>
            <w:tcBorders>
              <w:top w:val="nil"/>
            </w:tcBorders>
            <w:noWrap w:val="0"/>
            <w:vAlign w:val="top"/>
          </w:tcPr>
          <w:p w14:paraId="7870E43A">
            <w:pPr>
              <w:rPr>
                <w:rFonts w:ascii="Arial"/>
                <w:color w:val="auto"/>
                <w:sz w:val="21"/>
                <w:highlight w:val="none"/>
              </w:rPr>
            </w:pPr>
          </w:p>
        </w:tc>
        <w:tc>
          <w:tcPr>
            <w:tcW w:w="2972" w:type="dxa"/>
            <w:noWrap w:val="0"/>
            <w:vAlign w:val="top"/>
          </w:tcPr>
          <w:p w14:paraId="13F5968C">
            <w:pPr>
              <w:pStyle w:val="223"/>
              <w:spacing w:before="66" w:line="229" w:lineRule="auto"/>
              <w:ind w:left="1077"/>
              <w:rPr>
                <w:color w:val="auto"/>
                <w:highlight w:val="none"/>
              </w:rPr>
            </w:pPr>
            <w:r>
              <w:rPr>
                <w:color w:val="auto"/>
                <w:spacing w:val="6"/>
                <w:highlight w:val="none"/>
              </w:rPr>
              <w:t>外后视镜</w:t>
            </w:r>
          </w:p>
        </w:tc>
        <w:tc>
          <w:tcPr>
            <w:tcW w:w="2040" w:type="dxa"/>
            <w:noWrap w:val="0"/>
            <w:vAlign w:val="top"/>
          </w:tcPr>
          <w:p w14:paraId="369834A8">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753F8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48" w:type="dxa"/>
            <w:vMerge w:val="continue"/>
            <w:tcBorders>
              <w:top w:val="nil"/>
              <w:bottom w:val="nil"/>
            </w:tcBorders>
            <w:noWrap w:val="0"/>
            <w:vAlign w:val="top"/>
          </w:tcPr>
          <w:p w14:paraId="773E3B97">
            <w:pPr>
              <w:rPr>
                <w:rFonts w:ascii="Arial"/>
                <w:color w:val="auto"/>
                <w:sz w:val="21"/>
                <w:highlight w:val="none"/>
              </w:rPr>
            </w:pPr>
          </w:p>
        </w:tc>
        <w:tc>
          <w:tcPr>
            <w:tcW w:w="810" w:type="dxa"/>
            <w:vMerge w:val="continue"/>
            <w:tcBorders>
              <w:top w:val="nil"/>
              <w:bottom w:val="nil"/>
            </w:tcBorders>
            <w:noWrap w:val="0"/>
            <w:vAlign w:val="top"/>
          </w:tcPr>
          <w:p w14:paraId="71CA9FB2">
            <w:pPr>
              <w:rPr>
                <w:rFonts w:ascii="Arial"/>
                <w:color w:val="auto"/>
                <w:sz w:val="21"/>
                <w:highlight w:val="none"/>
              </w:rPr>
            </w:pPr>
          </w:p>
        </w:tc>
        <w:tc>
          <w:tcPr>
            <w:tcW w:w="675" w:type="dxa"/>
            <w:vMerge w:val="restart"/>
            <w:tcBorders>
              <w:bottom w:val="nil"/>
            </w:tcBorders>
            <w:noWrap w:val="0"/>
            <w:vAlign w:val="top"/>
          </w:tcPr>
          <w:p w14:paraId="7EFAF86E">
            <w:pPr>
              <w:rPr>
                <w:rFonts w:ascii="Arial"/>
                <w:color w:val="auto"/>
                <w:sz w:val="21"/>
                <w:highlight w:val="none"/>
              </w:rPr>
            </w:pPr>
          </w:p>
        </w:tc>
        <w:tc>
          <w:tcPr>
            <w:tcW w:w="1081" w:type="dxa"/>
            <w:noWrap w:val="0"/>
            <w:vAlign w:val="top"/>
          </w:tcPr>
          <w:p w14:paraId="7D93B679">
            <w:pPr>
              <w:rPr>
                <w:rFonts w:ascii="Arial"/>
                <w:color w:val="auto"/>
                <w:sz w:val="21"/>
                <w:highlight w:val="none"/>
              </w:rPr>
            </w:pPr>
          </w:p>
        </w:tc>
        <w:tc>
          <w:tcPr>
            <w:tcW w:w="2972" w:type="dxa"/>
            <w:noWrap w:val="0"/>
            <w:vAlign w:val="top"/>
          </w:tcPr>
          <w:p w14:paraId="1E177CDA">
            <w:pPr>
              <w:pStyle w:val="223"/>
              <w:spacing w:before="59" w:line="229" w:lineRule="auto"/>
              <w:ind w:left="1286"/>
              <w:rPr>
                <w:color w:val="auto"/>
                <w:highlight w:val="none"/>
              </w:rPr>
            </w:pPr>
            <w:r>
              <w:rPr>
                <w:color w:val="auto"/>
                <w:spacing w:val="2"/>
                <w:highlight w:val="none"/>
              </w:rPr>
              <w:t>天窗</w:t>
            </w:r>
          </w:p>
        </w:tc>
        <w:tc>
          <w:tcPr>
            <w:tcW w:w="2040" w:type="dxa"/>
            <w:noWrap w:val="0"/>
            <w:vAlign w:val="top"/>
          </w:tcPr>
          <w:p w14:paraId="646AD549">
            <w:pPr>
              <w:pStyle w:val="223"/>
              <w:spacing w:before="6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11DE1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5B32881B">
            <w:pPr>
              <w:rPr>
                <w:rFonts w:ascii="Arial"/>
                <w:color w:val="auto"/>
                <w:sz w:val="21"/>
                <w:highlight w:val="none"/>
              </w:rPr>
            </w:pPr>
          </w:p>
        </w:tc>
        <w:tc>
          <w:tcPr>
            <w:tcW w:w="810" w:type="dxa"/>
            <w:vMerge w:val="continue"/>
            <w:tcBorders>
              <w:top w:val="nil"/>
            </w:tcBorders>
            <w:noWrap w:val="0"/>
            <w:vAlign w:val="top"/>
          </w:tcPr>
          <w:p w14:paraId="64D7B9E2">
            <w:pPr>
              <w:rPr>
                <w:rFonts w:ascii="Arial"/>
                <w:color w:val="auto"/>
                <w:sz w:val="21"/>
                <w:highlight w:val="none"/>
              </w:rPr>
            </w:pPr>
          </w:p>
        </w:tc>
        <w:tc>
          <w:tcPr>
            <w:tcW w:w="675" w:type="dxa"/>
            <w:vMerge w:val="continue"/>
            <w:tcBorders>
              <w:top w:val="nil"/>
            </w:tcBorders>
            <w:noWrap w:val="0"/>
            <w:vAlign w:val="top"/>
          </w:tcPr>
          <w:p w14:paraId="3DAF6789">
            <w:pPr>
              <w:rPr>
                <w:rFonts w:ascii="Arial"/>
                <w:color w:val="auto"/>
                <w:sz w:val="21"/>
                <w:highlight w:val="none"/>
              </w:rPr>
            </w:pPr>
          </w:p>
        </w:tc>
        <w:tc>
          <w:tcPr>
            <w:tcW w:w="1081" w:type="dxa"/>
            <w:noWrap w:val="0"/>
            <w:vAlign w:val="top"/>
          </w:tcPr>
          <w:p w14:paraId="429F9ACE">
            <w:pPr>
              <w:pStyle w:val="223"/>
              <w:spacing w:before="67" w:line="228" w:lineRule="auto"/>
              <w:ind w:left="336"/>
              <w:rPr>
                <w:color w:val="auto"/>
                <w:highlight w:val="none"/>
              </w:rPr>
            </w:pPr>
            <w:r>
              <w:rPr>
                <w:color w:val="auto"/>
                <w:spacing w:val="3"/>
                <w:highlight w:val="none"/>
              </w:rPr>
              <w:t>车架</w:t>
            </w:r>
          </w:p>
        </w:tc>
        <w:tc>
          <w:tcPr>
            <w:tcW w:w="2972" w:type="dxa"/>
            <w:noWrap w:val="0"/>
            <w:vAlign w:val="top"/>
          </w:tcPr>
          <w:p w14:paraId="03973F86">
            <w:pPr>
              <w:pStyle w:val="223"/>
              <w:spacing w:before="67" w:line="228" w:lineRule="auto"/>
              <w:ind w:left="863"/>
              <w:rPr>
                <w:color w:val="auto"/>
                <w:highlight w:val="none"/>
              </w:rPr>
            </w:pPr>
            <w:r>
              <w:rPr>
                <w:color w:val="auto"/>
                <w:spacing w:val="6"/>
                <w:highlight w:val="none"/>
              </w:rPr>
              <w:t>车架（底盘）</w:t>
            </w:r>
          </w:p>
        </w:tc>
        <w:tc>
          <w:tcPr>
            <w:tcW w:w="2040" w:type="dxa"/>
            <w:noWrap w:val="0"/>
            <w:vAlign w:val="top"/>
          </w:tcPr>
          <w:p w14:paraId="5B225368">
            <w:pPr>
              <w:pStyle w:val="223"/>
              <w:spacing w:before="67" w:line="228" w:lineRule="auto"/>
              <w:ind w:left="804"/>
              <w:rPr>
                <w:color w:val="auto"/>
                <w:highlight w:val="none"/>
              </w:rPr>
            </w:pPr>
            <w:r>
              <w:rPr>
                <w:color w:val="auto"/>
                <w:spacing w:val="-5"/>
                <w:highlight w:val="none"/>
              </w:rPr>
              <w:t>10</w:t>
            </w:r>
            <w:r>
              <w:rPr>
                <w:color w:val="auto"/>
                <w:spacing w:val="-39"/>
                <w:highlight w:val="none"/>
              </w:rPr>
              <w:t xml:space="preserve"> </w:t>
            </w:r>
            <w:r>
              <w:rPr>
                <w:color w:val="auto"/>
                <w:spacing w:val="-5"/>
                <w:highlight w:val="none"/>
              </w:rPr>
              <w:t>年</w:t>
            </w:r>
          </w:p>
        </w:tc>
      </w:tr>
      <w:tr w14:paraId="77974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35C6CE23">
            <w:pPr>
              <w:rPr>
                <w:rFonts w:ascii="Arial"/>
                <w:color w:val="auto"/>
                <w:sz w:val="21"/>
                <w:highlight w:val="none"/>
              </w:rPr>
            </w:pPr>
          </w:p>
        </w:tc>
        <w:tc>
          <w:tcPr>
            <w:tcW w:w="810" w:type="dxa"/>
            <w:vMerge w:val="restart"/>
            <w:tcBorders>
              <w:bottom w:val="nil"/>
            </w:tcBorders>
            <w:noWrap w:val="0"/>
            <w:vAlign w:val="top"/>
          </w:tcPr>
          <w:p w14:paraId="797EFDDB">
            <w:pPr>
              <w:spacing w:line="263" w:lineRule="auto"/>
              <w:rPr>
                <w:rFonts w:ascii="Arial"/>
                <w:color w:val="auto"/>
                <w:sz w:val="21"/>
                <w:highlight w:val="none"/>
              </w:rPr>
            </w:pPr>
          </w:p>
          <w:p w14:paraId="2642A3C0">
            <w:pPr>
              <w:spacing w:line="263" w:lineRule="auto"/>
              <w:rPr>
                <w:rFonts w:ascii="Arial"/>
                <w:color w:val="auto"/>
                <w:sz w:val="21"/>
                <w:highlight w:val="none"/>
              </w:rPr>
            </w:pPr>
          </w:p>
          <w:p w14:paraId="7F908956">
            <w:pPr>
              <w:spacing w:line="263" w:lineRule="auto"/>
              <w:rPr>
                <w:rFonts w:ascii="Arial"/>
                <w:color w:val="auto"/>
                <w:sz w:val="21"/>
                <w:highlight w:val="none"/>
              </w:rPr>
            </w:pPr>
          </w:p>
          <w:p w14:paraId="1C08B2F3">
            <w:pPr>
              <w:spacing w:line="264" w:lineRule="auto"/>
              <w:rPr>
                <w:rFonts w:ascii="Arial"/>
                <w:color w:val="auto"/>
                <w:sz w:val="21"/>
                <w:highlight w:val="none"/>
              </w:rPr>
            </w:pPr>
          </w:p>
          <w:p w14:paraId="04530078">
            <w:pPr>
              <w:spacing w:line="264" w:lineRule="auto"/>
              <w:rPr>
                <w:rFonts w:ascii="Arial"/>
                <w:color w:val="auto"/>
                <w:sz w:val="21"/>
                <w:highlight w:val="none"/>
              </w:rPr>
            </w:pPr>
          </w:p>
          <w:p w14:paraId="14846A3E">
            <w:pPr>
              <w:spacing w:line="264" w:lineRule="auto"/>
              <w:rPr>
                <w:rFonts w:ascii="Arial"/>
                <w:color w:val="auto"/>
                <w:sz w:val="21"/>
                <w:highlight w:val="none"/>
              </w:rPr>
            </w:pPr>
          </w:p>
          <w:p w14:paraId="3B39A08B">
            <w:pPr>
              <w:spacing w:line="264" w:lineRule="auto"/>
              <w:rPr>
                <w:rFonts w:ascii="Arial"/>
                <w:color w:val="auto"/>
                <w:sz w:val="21"/>
                <w:highlight w:val="none"/>
              </w:rPr>
            </w:pPr>
          </w:p>
          <w:p w14:paraId="24B2BF6F">
            <w:pPr>
              <w:pStyle w:val="223"/>
              <w:spacing w:before="65" w:line="187" w:lineRule="auto"/>
              <w:ind w:left="360"/>
              <w:rPr>
                <w:color w:val="auto"/>
                <w:highlight w:val="none"/>
              </w:rPr>
            </w:pPr>
            <w:r>
              <w:rPr>
                <w:color w:val="auto"/>
                <w:highlight w:val="none"/>
              </w:rPr>
              <w:t>5</w:t>
            </w:r>
          </w:p>
        </w:tc>
        <w:tc>
          <w:tcPr>
            <w:tcW w:w="675" w:type="dxa"/>
            <w:vMerge w:val="restart"/>
            <w:tcBorders>
              <w:bottom w:val="nil"/>
            </w:tcBorders>
            <w:noWrap w:val="0"/>
            <w:vAlign w:val="top"/>
          </w:tcPr>
          <w:p w14:paraId="187D1B5B">
            <w:pPr>
              <w:spacing w:line="245" w:lineRule="auto"/>
              <w:rPr>
                <w:rFonts w:ascii="Arial"/>
                <w:color w:val="auto"/>
                <w:sz w:val="21"/>
                <w:highlight w:val="none"/>
              </w:rPr>
            </w:pPr>
          </w:p>
          <w:p w14:paraId="49622068">
            <w:pPr>
              <w:spacing w:line="245" w:lineRule="auto"/>
              <w:rPr>
                <w:rFonts w:ascii="Arial"/>
                <w:color w:val="auto"/>
                <w:sz w:val="21"/>
                <w:highlight w:val="none"/>
              </w:rPr>
            </w:pPr>
          </w:p>
          <w:p w14:paraId="410477E6">
            <w:pPr>
              <w:spacing w:line="245" w:lineRule="auto"/>
              <w:rPr>
                <w:rFonts w:ascii="Arial"/>
                <w:color w:val="auto"/>
                <w:sz w:val="21"/>
                <w:highlight w:val="none"/>
              </w:rPr>
            </w:pPr>
          </w:p>
          <w:p w14:paraId="23F109C5">
            <w:pPr>
              <w:spacing w:line="245" w:lineRule="auto"/>
              <w:rPr>
                <w:rFonts w:ascii="Arial"/>
                <w:color w:val="auto"/>
                <w:sz w:val="21"/>
                <w:highlight w:val="none"/>
              </w:rPr>
            </w:pPr>
          </w:p>
          <w:p w14:paraId="72B82C9F">
            <w:pPr>
              <w:spacing w:line="246" w:lineRule="auto"/>
              <w:rPr>
                <w:rFonts w:ascii="Arial"/>
                <w:color w:val="auto"/>
                <w:sz w:val="21"/>
                <w:highlight w:val="none"/>
              </w:rPr>
            </w:pPr>
          </w:p>
          <w:p w14:paraId="5A89EFCC">
            <w:pPr>
              <w:spacing w:line="246" w:lineRule="auto"/>
              <w:rPr>
                <w:rFonts w:ascii="Arial"/>
                <w:color w:val="auto"/>
                <w:sz w:val="21"/>
                <w:highlight w:val="none"/>
              </w:rPr>
            </w:pPr>
          </w:p>
          <w:p w14:paraId="3F6EA0EC">
            <w:pPr>
              <w:spacing w:line="246" w:lineRule="auto"/>
              <w:rPr>
                <w:rFonts w:ascii="Arial"/>
                <w:color w:val="auto"/>
                <w:sz w:val="21"/>
                <w:highlight w:val="none"/>
              </w:rPr>
            </w:pPr>
          </w:p>
          <w:p w14:paraId="67A5A118">
            <w:pPr>
              <w:spacing w:line="246" w:lineRule="auto"/>
              <w:rPr>
                <w:rFonts w:ascii="Arial"/>
                <w:color w:val="auto"/>
                <w:sz w:val="21"/>
                <w:highlight w:val="none"/>
              </w:rPr>
            </w:pPr>
          </w:p>
          <w:p w14:paraId="0CE37E96">
            <w:pPr>
              <w:spacing w:line="246" w:lineRule="auto"/>
              <w:rPr>
                <w:rFonts w:ascii="Arial"/>
                <w:color w:val="auto"/>
                <w:sz w:val="21"/>
                <w:highlight w:val="none"/>
              </w:rPr>
            </w:pPr>
          </w:p>
          <w:p w14:paraId="76BF1DD2">
            <w:pPr>
              <w:spacing w:line="246" w:lineRule="auto"/>
              <w:rPr>
                <w:rFonts w:ascii="Arial"/>
                <w:color w:val="auto"/>
                <w:sz w:val="21"/>
                <w:highlight w:val="none"/>
              </w:rPr>
            </w:pPr>
          </w:p>
          <w:p w14:paraId="105DEFA0">
            <w:pPr>
              <w:spacing w:line="246" w:lineRule="auto"/>
              <w:rPr>
                <w:rFonts w:ascii="Arial"/>
                <w:color w:val="auto"/>
                <w:sz w:val="21"/>
                <w:highlight w:val="none"/>
              </w:rPr>
            </w:pPr>
          </w:p>
          <w:p w14:paraId="47271AF5">
            <w:pPr>
              <w:pStyle w:val="223"/>
              <w:spacing w:before="65" w:line="230" w:lineRule="auto"/>
              <w:ind w:left="130"/>
              <w:rPr>
                <w:color w:val="auto"/>
                <w:highlight w:val="none"/>
              </w:rPr>
            </w:pPr>
            <w:r>
              <w:rPr>
                <w:color w:val="auto"/>
                <w:spacing w:val="5"/>
                <w:highlight w:val="none"/>
              </w:rPr>
              <w:t>底盘</w:t>
            </w:r>
          </w:p>
        </w:tc>
        <w:tc>
          <w:tcPr>
            <w:tcW w:w="1081" w:type="dxa"/>
            <w:vMerge w:val="restart"/>
            <w:tcBorders>
              <w:bottom w:val="nil"/>
            </w:tcBorders>
            <w:noWrap w:val="0"/>
            <w:vAlign w:val="top"/>
          </w:tcPr>
          <w:p w14:paraId="0DA6C0AD">
            <w:pPr>
              <w:spacing w:line="322" w:lineRule="auto"/>
              <w:rPr>
                <w:rFonts w:ascii="Arial"/>
                <w:color w:val="auto"/>
                <w:sz w:val="21"/>
                <w:highlight w:val="none"/>
              </w:rPr>
            </w:pPr>
          </w:p>
          <w:p w14:paraId="192EC774">
            <w:pPr>
              <w:pStyle w:val="223"/>
              <w:spacing w:before="65" w:line="228" w:lineRule="auto"/>
              <w:ind w:left="336"/>
              <w:rPr>
                <w:color w:val="auto"/>
                <w:highlight w:val="none"/>
              </w:rPr>
            </w:pPr>
            <w:r>
              <w:rPr>
                <w:color w:val="auto"/>
                <w:spacing w:val="3"/>
                <w:highlight w:val="none"/>
              </w:rPr>
              <w:t>车桥</w:t>
            </w:r>
          </w:p>
        </w:tc>
        <w:tc>
          <w:tcPr>
            <w:tcW w:w="2972" w:type="dxa"/>
            <w:noWrap w:val="0"/>
            <w:vAlign w:val="top"/>
          </w:tcPr>
          <w:p w14:paraId="544D6D14">
            <w:pPr>
              <w:pStyle w:val="223"/>
              <w:spacing w:before="67" w:line="229" w:lineRule="auto"/>
              <w:ind w:left="1285"/>
              <w:rPr>
                <w:color w:val="auto"/>
                <w:highlight w:val="none"/>
              </w:rPr>
            </w:pPr>
            <w:r>
              <w:rPr>
                <w:color w:val="auto"/>
                <w:spacing w:val="3"/>
                <w:highlight w:val="none"/>
              </w:rPr>
              <w:t>前桥</w:t>
            </w:r>
          </w:p>
        </w:tc>
        <w:tc>
          <w:tcPr>
            <w:tcW w:w="2040" w:type="dxa"/>
            <w:noWrap w:val="0"/>
            <w:vAlign w:val="top"/>
          </w:tcPr>
          <w:p w14:paraId="407C97D1">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D762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00D0734D">
            <w:pPr>
              <w:rPr>
                <w:rFonts w:ascii="Arial"/>
                <w:color w:val="auto"/>
                <w:sz w:val="21"/>
                <w:highlight w:val="none"/>
              </w:rPr>
            </w:pPr>
          </w:p>
        </w:tc>
        <w:tc>
          <w:tcPr>
            <w:tcW w:w="810" w:type="dxa"/>
            <w:vMerge w:val="continue"/>
            <w:tcBorders>
              <w:top w:val="nil"/>
              <w:bottom w:val="nil"/>
            </w:tcBorders>
            <w:noWrap w:val="0"/>
            <w:vAlign w:val="top"/>
          </w:tcPr>
          <w:p w14:paraId="176E4C76">
            <w:pPr>
              <w:rPr>
                <w:rFonts w:ascii="Arial"/>
                <w:color w:val="auto"/>
                <w:sz w:val="21"/>
                <w:highlight w:val="none"/>
              </w:rPr>
            </w:pPr>
          </w:p>
        </w:tc>
        <w:tc>
          <w:tcPr>
            <w:tcW w:w="675" w:type="dxa"/>
            <w:vMerge w:val="continue"/>
            <w:tcBorders>
              <w:top w:val="nil"/>
              <w:bottom w:val="nil"/>
            </w:tcBorders>
            <w:noWrap w:val="0"/>
            <w:vAlign w:val="top"/>
          </w:tcPr>
          <w:p w14:paraId="17246176">
            <w:pPr>
              <w:rPr>
                <w:rFonts w:ascii="Arial"/>
                <w:color w:val="auto"/>
                <w:sz w:val="21"/>
                <w:highlight w:val="none"/>
              </w:rPr>
            </w:pPr>
          </w:p>
        </w:tc>
        <w:tc>
          <w:tcPr>
            <w:tcW w:w="1081" w:type="dxa"/>
            <w:vMerge w:val="continue"/>
            <w:tcBorders>
              <w:top w:val="nil"/>
              <w:bottom w:val="nil"/>
            </w:tcBorders>
            <w:noWrap w:val="0"/>
            <w:vAlign w:val="top"/>
          </w:tcPr>
          <w:p w14:paraId="33911482">
            <w:pPr>
              <w:rPr>
                <w:rFonts w:ascii="Arial"/>
                <w:color w:val="auto"/>
                <w:sz w:val="21"/>
                <w:highlight w:val="none"/>
              </w:rPr>
            </w:pPr>
          </w:p>
        </w:tc>
        <w:tc>
          <w:tcPr>
            <w:tcW w:w="2972" w:type="dxa"/>
            <w:noWrap w:val="0"/>
            <w:vAlign w:val="top"/>
          </w:tcPr>
          <w:p w14:paraId="04A034D9">
            <w:pPr>
              <w:pStyle w:val="223"/>
              <w:spacing w:before="53" w:line="228" w:lineRule="auto"/>
              <w:ind w:left="549"/>
              <w:rPr>
                <w:color w:val="auto"/>
                <w:highlight w:val="none"/>
              </w:rPr>
            </w:pPr>
            <w:r>
              <w:rPr>
                <w:color w:val="auto"/>
                <w:spacing w:val="7"/>
                <w:highlight w:val="none"/>
              </w:rPr>
              <w:t>后桥（含主减速器）</w:t>
            </w:r>
          </w:p>
        </w:tc>
        <w:tc>
          <w:tcPr>
            <w:tcW w:w="2040" w:type="dxa"/>
            <w:noWrap w:val="0"/>
            <w:vAlign w:val="top"/>
          </w:tcPr>
          <w:p w14:paraId="5FB541BE">
            <w:pPr>
              <w:pStyle w:val="223"/>
              <w:spacing w:before="53"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66A62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378ACE70">
            <w:pPr>
              <w:rPr>
                <w:rFonts w:ascii="Arial"/>
                <w:color w:val="auto"/>
                <w:sz w:val="21"/>
                <w:highlight w:val="none"/>
              </w:rPr>
            </w:pPr>
          </w:p>
        </w:tc>
        <w:tc>
          <w:tcPr>
            <w:tcW w:w="810" w:type="dxa"/>
            <w:vMerge w:val="continue"/>
            <w:tcBorders>
              <w:top w:val="nil"/>
              <w:bottom w:val="nil"/>
            </w:tcBorders>
            <w:noWrap w:val="0"/>
            <w:vAlign w:val="top"/>
          </w:tcPr>
          <w:p w14:paraId="3E55F938">
            <w:pPr>
              <w:rPr>
                <w:rFonts w:ascii="Arial"/>
                <w:color w:val="auto"/>
                <w:sz w:val="21"/>
                <w:highlight w:val="none"/>
              </w:rPr>
            </w:pPr>
          </w:p>
        </w:tc>
        <w:tc>
          <w:tcPr>
            <w:tcW w:w="675" w:type="dxa"/>
            <w:vMerge w:val="continue"/>
            <w:tcBorders>
              <w:top w:val="nil"/>
              <w:bottom w:val="nil"/>
            </w:tcBorders>
            <w:noWrap w:val="0"/>
            <w:vAlign w:val="top"/>
          </w:tcPr>
          <w:p w14:paraId="53A5C8DD">
            <w:pPr>
              <w:rPr>
                <w:rFonts w:ascii="Arial"/>
                <w:color w:val="auto"/>
                <w:sz w:val="21"/>
                <w:highlight w:val="none"/>
              </w:rPr>
            </w:pPr>
          </w:p>
        </w:tc>
        <w:tc>
          <w:tcPr>
            <w:tcW w:w="1081" w:type="dxa"/>
            <w:vMerge w:val="continue"/>
            <w:tcBorders>
              <w:top w:val="nil"/>
            </w:tcBorders>
            <w:noWrap w:val="0"/>
            <w:vAlign w:val="top"/>
          </w:tcPr>
          <w:p w14:paraId="495DCBE1">
            <w:pPr>
              <w:rPr>
                <w:rFonts w:ascii="Arial"/>
                <w:color w:val="auto"/>
                <w:sz w:val="21"/>
                <w:highlight w:val="none"/>
              </w:rPr>
            </w:pPr>
          </w:p>
        </w:tc>
        <w:tc>
          <w:tcPr>
            <w:tcW w:w="2972" w:type="dxa"/>
            <w:noWrap w:val="0"/>
            <w:vAlign w:val="top"/>
          </w:tcPr>
          <w:p w14:paraId="23B55726">
            <w:pPr>
              <w:pStyle w:val="223"/>
              <w:spacing w:before="53" w:line="229" w:lineRule="auto"/>
              <w:ind w:left="972"/>
              <w:rPr>
                <w:color w:val="auto"/>
                <w:highlight w:val="none"/>
              </w:rPr>
            </w:pPr>
            <w:r>
              <w:rPr>
                <w:color w:val="auto"/>
                <w:spacing w:val="7"/>
                <w:highlight w:val="none"/>
              </w:rPr>
              <w:t>免维护轮毂</w:t>
            </w:r>
          </w:p>
        </w:tc>
        <w:tc>
          <w:tcPr>
            <w:tcW w:w="2040" w:type="dxa"/>
            <w:noWrap w:val="0"/>
            <w:vAlign w:val="top"/>
          </w:tcPr>
          <w:p w14:paraId="24FAAB29">
            <w:pPr>
              <w:pStyle w:val="223"/>
              <w:spacing w:before="53"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18C9B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948" w:type="dxa"/>
            <w:vMerge w:val="continue"/>
            <w:tcBorders>
              <w:top w:val="nil"/>
              <w:bottom w:val="nil"/>
            </w:tcBorders>
            <w:noWrap w:val="0"/>
            <w:vAlign w:val="top"/>
          </w:tcPr>
          <w:p w14:paraId="759B795A">
            <w:pPr>
              <w:rPr>
                <w:rFonts w:ascii="Arial"/>
                <w:color w:val="auto"/>
                <w:sz w:val="21"/>
                <w:highlight w:val="none"/>
              </w:rPr>
            </w:pPr>
          </w:p>
        </w:tc>
        <w:tc>
          <w:tcPr>
            <w:tcW w:w="810" w:type="dxa"/>
            <w:vMerge w:val="continue"/>
            <w:tcBorders>
              <w:top w:val="nil"/>
              <w:bottom w:val="nil"/>
            </w:tcBorders>
            <w:noWrap w:val="0"/>
            <w:vAlign w:val="top"/>
          </w:tcPr>
          <w:p w14:paraId="5497E40C">
            <w:pPr>
              <w:rPr>
                <w:rFonts w:ascii="Arial"/>
                <w:color w:val="auto"/>
                <w:sz w:val="21"/>
                <w:highlight w:val="none"/>
              </w:rPr>
            </w:pPr>
          </w:p>
        </w:tc>
        <w:tc>
          <w:tcPr>
            <w:tcW w:w="675" w:type="dxa"/>
            <w:vMerge w:val="continue"/>
            <w:tcBorders>
              <w:top w:val="nil"/>
              <w:bottom w:val="nil"/>
            </w:tcBorders>
            <w:noWrap w:val="0"/>
            <w:vAlign w:val="top"/>
          </w:tcPr>
          <w:p w14:paraId="76ED3FBA">
            <w:pPr>
              <w:rPr>
                <w:rFonts w:ascii="Arial"/>
                <w:color w:val="auto"/>
                <w:sz w:val="21"/>
                <w:highlight w:val="none"/>
              </w:rPr>
            </w:pPr>
          </w:p>
        </w:tc>
        <w:tc>
          <w:tcPr>
            <w:tcW w:w="1081" w:type="dxa"/>
            <w:vMerge w:val="restart"/>
            <w:tcBorders>
              <w:bottom w:val="nil"/>
            </w:tcBorders>
            <w:noWrap w:val="0"/>
            <w:vAlign w:val="top"/>
          </w:tcPr>
          <w:p w14:paraId="393E160A">
            <w:pPr>
              <w:spacing w:line="258" w:lineRule="auto"/>
              <w:rPr>
                <w:rFonts w:ascii="Arial"/>
                <w:color w:val="auto"/>
                <w:sz w:val="21"/>
                <w:highlight w:val="none"/>
              </w:rPr>
            </w:pPr>
          </w:p>
          <w:p w14:paraId="79BC484F">
            <w:pPr>
              <w:spacing w:line="259" w:lineRule="auto"/>
              <w:rPr>
                <w:rFonts w:ascii="Arial"/>
                <w:color w:val="auto"/>
                <w:sz w:val="21"/>
                <w:highlight w:val="none"/>
              </w:rPr>
            </w:pPr>
          </w:p>
          <w:p w14:paraId="1BDA42FE">
            <w:pPr>
              <w:pStyle w:val="223"/>
              <w:spacing w:before="65" w:line="274" w:lineRule="auto"/>
              <w:ind w:left="338" w:right="331" w:hanging="1"/>
              <w:rPr>
                <w:color w:val="auto"/>
                <w:highlight w:val="none"/>
              </w:rPr>
            </w:pPr>
            <w:r>
              <w:rPr>
                <w:color w:val="auto"/>
                <w:spacing w:val="3"/>
                <w:highlight w:val="none"/>
              </w:rPr>
              <w:t>悬挂</w:t>
            </w:r>
            <w:r>
              <w:rPr>
                <w:color w:val="auto"/>
                <w:highlight w:val="none"/>
              </w:rPr>
              <w:t xml:space="preserve"> </w:t>
            </w:r>
            <w:r>
              <w:rPr>
                <w:color w:val="auto"/>
                <w:spacing w:val="2"/>
                <w:highlight w:val="none"/>
              </w:rPr>
              <w:t>系统</w:t>
            </w:r>
          </w:p>
        </w:tc>
        <w:tc>
          <w:tcPr>
            <w:tcW w:w="2972" w:type="dxa"/>
            <w:noWrap w:val="0"/>
            <w:vAlign w:val="top"/>
          </w:tcPr>
          <w:p w14:paraId="2D3FA7F0">
            <w:pPr>
              <w:pStyle w:val="223"/>
              <w:spacing w:before="108" w:line="228" w:lineRule="auto"/>
              <w:ind w:left="1179"/>
              <w:rPr>
                <w:color w:val="auto"/>
                <w:highlight w:val="none"/>
              </w:rPr>
            </w:pPr>
            <w:r>
              <w:rPr>
                <w:color w:val="auto"/>
                <w:spacing w:val="6"/>
                <w:highlight w:val="none"/>
              </w:rPr>
              <w:t>稳定杆</w:t>
            </w:r>
          </w:p>
        </w:tc>
        <w:tc>
          <w:tcPr>
            <w:tcW w:w="2040" w:type="dxa"/>
            <w:noWrap w:val="0"/>
            <w:vAlign w:val="top"/>
          </w:tcPr>
          <w:p w14:paraId="4933D5F3">
            <w:pPr>
              <w:pStyle w:val="223"/>
              <w:spacing w:before="108"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2204A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48" w:type="dxa"/>
            <w:vMerge w:val="continue"/>
            <w:tcBorders>
              <w:top w:val="nil"/>
              <w:bottom w:val="nil"/>
            </w:tcBorders>
            <w:noWrap w:val="0"/>
            <w:vAlign w:val="top"/>
          </w:tcPr>
          <w:p w14:paraId="5DCCEC5C">
            <w:pPr>
              <w:rPr>
                <w:rFonts w:ascii="Arial"/>
                <w:color w:val="auto"/>
                <w:sz w:val="21"/>
                <w:highlight w:val="none"/>
              </w:rPr>
            </w:pPr>
          </w:p>
        </w:tc>
        <w:tc>
          <w:tcPr>
            <w:tcW w:w="810" w:type="dxa"/>
            <w:vMerge w:val="continue"/>
            <w:tcBorders>
              <w:top w:val="nil"/>
              <w:bottom w:val="nil"/>
            </w:tcBorders>
            <w:noWrap w:val="0"/>
            <w:vAlign w:val="top"/>
          </w:tcPr>
          <w:p w14:paraId="6C190C65">
            <w:pPr>
              <w:rPr>
                <w:rFonts w:ascii="Arial"/>
                <w:color w:val="auto"/>
                <w:sz w:val="21"/>
                <w:highlight w:val="none"/>
              </w:rPr>
            </w:pPr>
          </w:p>
        </w:tc>
        <w:tc>
          <w:tcPr>
            <w:tcW w:w="675" w:type="dxa"/>
            <w:vMerge w:val="continue"/>
            <w:tcBorders>
              <w:top w:val="nil"/>
              <w:bottom w:val="nil"/>
            </w:tcBorders>
            <w:noWrap w:val="0"/>
            <w:vAlign w:val="top"/>
          </w:tcPr>
          <w:p w14:paraId="54043193">
            <w:pPr>
              <w:rPr>
                <w:rFonts w:ascii="Arial"/>
                <w:color w:val="auto"/>
                <w:sz w:val="21"/>
                <w:highlight w:val="none"/>
              </w:rPr>
            </w:pPr>
          </w:p>
        </w:tc>
        <w:tc>
          <w:tcPr>
            <w:tcW w:w="1081" w:type="dxa"/>
            <w:vMerge w:val="continue"/>
            <w:tcBorders>
              <w:top w:val="nil"/>
              <w:bottom w:val="nil"/>
            </w:tcBorders>
            <w:noWrap w:val="0"/>
            <w:vAlign w:val="top"/>
          </w:tcPr>
          <w:p w14:paraId="480D40D4">
            <w:pPr>
              <w:rPr>
                <w:rFonts w:ascii="Arial"/>
                <w:color w:val="auto"/>
                <w:sz w:val="21"/>
                <w:highlight w:val="none"/>
              </w:rPr>
            </w:pPr>
          </w:p>
        </w:tc>
        <w:tc>
          <w:tcPr>
            <w:tcW w:w="2972" w:type="dxa"/>
            <w:noWrap w:val="0"/>
            <w:vAlign w:val="top"/>
          </w:tcPr>
          <w:p w14:paraId="2C2AAF19">
            <w:pPr>
              <w:pStyle w:val="223"/>
              <w:spacing w:before="104" w:line="228" w:lineRule="auto"/>
              <w:ind w:left="1178"/>
              <w:rPr>
                <w:color w:val="auto"/>
                <w:highlight w:val="none"/>
              </w:rPr>
            </w:pPr>
            <w:r>
              <w:rPr>
                <w:color w:val="auto"/>
                <w:spacing w:val="6"/>
                <w:highlight w:val="none"/>
              </w:rPr>
              <w:t>推力杆</w:t>
            </w:r>
          </w:p>
        </w:tc>
        <w:tc>
          <w:tcPr>
            <w:tcW w:w="2040" w:type="dxa"/>
            <w:noWrap w:val="0"/>
            <w:vAlign w:val="top"/>
          </w:tcPr>
          <w:p w14:paraId="7EBF92F2">
            <w:pPr>
              <w:pStyle w:val="223"/>
              <w:spacing w:before="104"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534ED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48" w:type="dxa"/>
            <w:vMerge w:val="continue"/>
            <w:tcBorders>
              <w:top w:val="nil"/>
              <w:bottom w:val="nil"/>
            </w:tcBorders>
            <w:noWrap w:val="0"/>
            <w:vAlign w:val="top"/>
          </w:tcPr>
          <w:p w14:paraId="1C01B389">
            <w:pPr>
              <w:rPr>
                <w:rFonts w:ascii="Arial"/>
                <w:color w:val="auto"/>
                <w:sz w:val="21"/>
                <w:highlight w:val="none"/>
              </w:rPr>
            </w:pPr>
          </w:p>
        </w:tc>
        <w:tc>
          <w:tcPr>
            <w:tcW w:w="810" w:type="dxa"/>
            <w:vMerge w:val="continue"/>
            <w:tcBorders>
              <w:top w:val="nil"/>
              <w:bottom w:val="nil"/>
            </w:tcBorders>
            <w:noWrap w:val="0"/>
            <w:vAlign w:val="top"/>
          </w:tcPr>
          <w:p w14:paraId="3B71E1C8">
            <w:pPr>
              <w:rPr>
                <w:rFonts w:ascii="Arial"/>
                <w:color w:val="auto"/>
                <w:sz w:val="21"/>
                <w:highlight w:val="none"/>
              </w:rPr>
            </w:pPr>
          </w:p>
        </w:tc>
        <w:tc>
          <w:tcPr>
            <w:tcW w:w="675" w:type="dxa"/>
            <w:vMerge w:val="continue"/>
            <w:tcBorders>
              <w:top w:val="nil"/>
              <w:bottom w:val="nil"/>
            </w:tcBorders>
            <w:noWrap w:val="0"/>
            <w:vAlign w:val="top"/>
          </w:tcPr>
          <w:p w14:paraId="2333D6C4">
            <w:pPr>
              <w:rPr>
                <w:rFonts w:ascii="Arial"/>
                <w:color w:val="auto"/>
                <w:sz w:val="21"/>
                <w:highlight w:val="none"/>
              </w:rPr>
            </w:pPr>
          </w:p>
        </w:tc>
        <w:tc>
          <w:tcPr>
            <w:tcW w:w="1081" w:type="dxa"/>
            <w:vMerge w:val="continue"/>
            <w:tcBorders>
              <w:top w:val="nil"/>
              <w:bottom w:val="nil"/>
            </w:tcBorders>
            <w:noWrap w:val="0"/>
            <w:vAlign w:val="top"/>
          </w:tcPr>
          <w:p w14:paraId="56196ABD">
            <w:pPr>
              <w:rPr>
                <w:rFonts w:ascii="Arial"/>
                <w:color w:val="auto"/>
                <w:sz w:val="21"/>
                <w:highlight w:val="none"/>
              </w:rPr>
            </w:pPr>
          </w:p>
        </w:tc>
        <w:tc>
          <w:tcPr>
            <w:tcW w:w="2972" w:type="dxa"/>
            <w:noWrap w:val="0"/>
            <w:vAlign w:val="top"/>
          </w:tcPr>
          <w:p w14:paraId="4EBB86A4">
            <w:pPr>
              <w:pStyle w:val="223"/>
              <w:spacing w:before="103" w:line="228" w:lineRule="auto"/>
              <w:ind w:left="1079"/>
              <w:rPr>
                <w:color w:val="auto"/>
                <w:highlight w:val="none"/>
              </w:rPr>
            </w:pPr>
            <w:r>
              <w:rPr>
                <w:color w:val="auto"/>
                <w:spacing w:val="5"/>
                <w:highlight w:val="none"/>
              </w:rPr>
              <w:t>空气弹簧</w:t>
            </w:r>
          </w:p>
        </w:tc>
        <w:tc>
          <w:tcPr>
            <w:tcW w:w="2040" w:type="dxa"/>
            <w:noWrap w:val="0"/>
            <w:vAlign w:val="top"/>
          </w:tcPr>
          <w:p w14:paraId="5A1C760C">
            <w:pPr>
              <w:pStyle w:val="223"/>
              <w:spacing w:before="103"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2BFD7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48" w:type="dxa"/>
            <w:vMerge w:val="continue"/>
            <w:tcBorders>
              <w:top w:val="nil"/>
              <w:bottom w:val="nil"/>
            </w:tcBorders>
            <w:noWrap w:val="0"/>
            <w:vAlign w:val="top"/>
          </w:tcPr>
          <w:p w14:paraId="0AF27F5F">
            <w:pPr>
              <w:rPr>
                <w:rFonts w:ascii="Arial"/>
                <w:color w:val="auto"/>
                <w:sz w:val="21"/>
                <w:highlight w:val="none"/>
              </w:rPr>
            </w:pPr>
          </w:p>
        </w:tc>
        <w:tc>
          <w:tcPr>
            <w:tcW w:w="810" w:type="dxa"/>
            <w:vMerge w:val="continue"/>
            <w:tcBorders>
              <w:top w:val="nil"/>
              <w:bottom w:val="nil"/>
            </w:tcBorders>
            <w:noWrap w:val="0"/>
            <w:vAlign w:val="top"/>
          </w:tcPr>
          <w:p w14:paraId="65F7CCBD">
            <w:pPr>
              <w:rPr>
                <w:rFonts w:ascii="Arial"/>
                <w:color w:val="auto"/>
                <w:sz w:val="21"/>
                <w:highlight w:val="none"/>
              </w:rPr>
            </w:pPr>
          </w:p>
        </w:tc>
        <w:tc>
          <w:tcPr>
            <w:tcW w:w="675" w:type="dxa"/>
            <w:vMerge w:val="continue"/>
            <w:tcBorders>
              <w:top w:val="nil"/>
              <w:bottom w:val="nil"/>
            </w:tcBorders>
            <w:noWrap w:val="0"/>
            <w:vAlign w:val="top"/>
          </w:tcPr>
          <w:p w14:paraId="452EB866">
            <w:pPr>
              <w:rPr>
                <w:rFonts w:ascii="Arial"/>
                <w:color w:val="auto"/>
                <w:sz w:val="21"/>
                <w:highlight w:val="none"/>
              </w:rPr>
            </w:pPr>
          </w:p>
        </w:tc>
        <w:tc>
          <w:tcPr>
            <w:tcW w:w="1081" w:type="dxa"/>
            <w:vMerge w:val="continue"/>
            <w:tcBorders>
              <w:top w:val="nil"/>
            </w:tcBorders>
            <w:noWrap w:val="0"/>
            <w:vAlign w:val="top"/>
          </w:tcPr>
          <w:p w14:paraId="4B66051F">
            <w:pPr>
              <w:rPr>
                <w:rFonts w:ascii="Arial"/>
                <w:color w:val="auto"/>
                <w:sz w:val="21"/>
                <w:highlight w:val="none"/>
              </w:rPr>
            </w:pPr>
          </w:p>
        </w:tc>
        <w:tc>
          <w:tcPr>
            <w:tcW w:w="2972" w:type="dxa"/>
            <w:noWrap w:val="0"/>
            <w:vAlign w:val="top"/>
          </w:tcPr>
          <w:p w14:paraId="400B6043">
            <w:pPr>
              <w:pStyle w:val="223"/>
              <w:spacing w:before="105" w:line="229" w:lineRule="auto"/>
              <w:ind w:left="967"/>
              <w:rPr>
                <w:color w:val="auto"/>
                <w:highlight w:val="none"/>
              </w:rPr>
            </w:pPr>
            <w:r>
              <w:rPr>
                <w:color w:val="auto"/>
                <w:spacing w:val="8"/>
                <w:highlight w:val="none"/>
              </w:rPr>
              <w:t>减振器总成</w:t>
            </w:r>
          </w:p>
        </w:tc>
        <w:tc>
          <w:tcPr>
            <w:tcW w:w="2040" w:type="dxa"/>
            <w:noWrap w:val="0"/>
            <w:vAlign w:val="top"/>
          </w:tcPr>
          <w:p w14:paraId="7058DE0D">
            <w:pPr>
              <w:pStyle w:val="223"/>
              <w:spacing w:before="105"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16174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948" w:type="dxa"/>
            <w:vMerge w:val="continue"/>
            <w:tcBorders>
              <w:top w:val="nil"/>
              <w:bottom w:val="nil"/>
            </w:tcBorders>
            <w:noWrap w:val="0"/>
            <w:vAlign w:val="top"/>
          </w:tcPr>
          <w:p w14:paraId="2EAD9022">
            <w:pPr>
              <w:rPr>
                <w:rFonts w:ascii="Arial"/>
                <w:color w:val="auto"/>
                <w:sz w:val="21"/>
                <w:highlight w:val="none"/>
              </w:rPr>
            </w:pPr>
          </w:p>
        </w:tc>
        <w:tc>
          <w:tcPr>
            <w:tcW w:w="810" w:type="dxa"/>
            <w:vMerge w:val="continue"/>
            <w:tcBorders>
              <w:top w:val="nil"/>
              <w:bottom w:val="nil"/>
            </w:tcBorders>
            <w:noWrap w:val="0"/>
            <w:vAlign w:val="top"/>
          </w:tcPr>
          <w:p w14:paraId="4AB84CDD">
            <w:pPr>
              <w:rPr>
                <w:rFonts w:ascii="Arial"/>
                <w:color w:val="auto"/>
                <w:sz w:val="21"/>
                <w:highlight w:val="none"/>
              </w:rPr>
            </w:pPr>
          </w:p>
        </w:tc>
        <w:tc>
          <w:tcPr>
            <w:tcW w:w="675" w:type="dxa"/>
            <w:vMerge w:val="continue"/>
            <w:tcBorders>
              <w:top w:val="nil"/>
              <w:bottom w:val="nil"/>
            </w:tcBorders>
            <w:noWrap w:val="0"/>
            <w:vAlign w:val="top"/>
          </w:tcPr>
          <w:p w14:paraId="5D07D07D">
            <w:pPr>
              <w:rPr>
                <w:rFonts w:ascii="Arial"/>
                <w:color w:val="auto"/>
                <w:sz w:val="21"/>
                <w:highlight w:val="none"/>
              </w:rPr>
            </w:pPr>
          </w:p>
        </w:tc>
        <w:tc>
          <w:tcPr>
            <w:tcW w:w="1081" w:type="dxa"/>
            <w:vMerge w:val="restart"/>
            <w:tcBorders>
              <w:bottom w:val="nil"/>
            </w:tcBorders>
            <w:noWrap w:val="0"/>
            <w:vAlign w:val="top"/>
          </w:tcPr>
          <w:p w14:paraId="55590F84">
            <w:pPr>
              <w:spacing w:line="300" w:lineRule="auto"/>
              <w:rPr>
                <w:rFonts w:ascii="Arial"/>
                <w:color w:val="auto"/>
                <w:sz w:val="21"/>
                <w:highlight w:val="none"/>
              </w:rPr>
            </w:pPr>
          </w:p>
          <w:p w14:paraId="49993559">
            <w:pPr>
              <w:spacing w:line="300" w:lineRule="auto"/>
              <w:rPr>
                <w:rFonts w:ascii="Arial"/>
                <w:color w:val="auto"/>
                <w:sz w:val="21"/>
                <w:highlight w:val="none"/>
              </w:rPr>
            </w:pPr>
          </w:p>
          <w:p w14:paraId="56E1F944">
            <w:pPr>
              <w:spacing w:line="300" w:lineRule="auto"/>
              <w:rPr>
                <w:rFonts w:ascii="Arial"/>
                <w:color w:val="auto"/>
                <w:sz w:val="21"/>
                <w:highlight w:val="none"/>
              </w:rPr>
            </w:pPr>
          </w:p>
          <w:p w14:paraId="702FCB55">
            <w:pPr>
              <w:pStyle w:val="223"/>
              <w:spacing w:before="65" w:line="229" w:lineRule="auto"/>
              <w:ind w:left="126"/>
              <w:rPr>
                <w:color w:val="auto"/>
                <w:highlight w:val="none"/>
              </w:rPr>
            </w:pPr>
            <w:r>
              <w:rPr>
                <w:color w:val="auto"/>
                <w:spacing w:val="7"/>
                <w:highlight w:val="none"/>
              </w:rPr>
              <w:t>制动系统</w:t>
            </w:r>
          </w:p>
        </w:tc>
        <w:tc>
          <w:tcPr>
            <w:tcW w:w="2972" w:type="dxa"/>
            <w:noWrap w:val="0"/>
            <w:vAlign w:val="top"/>
          </w:tcPr>
          <w:p w14:paraId="16C04AB1">
            <w:pPr>
              <w:pStyle w:val="223"/>
              <w:spacing w:before="83" w:line="229" w:lineRule="auto"/>
              <w:ind w:left="968"/>
              <w:rPr>
                <w:color w:val="auto"/>
                <w:highlight w:val="none"/>
              </w:rPr>
            </w:pPr>
            <w:r>
              <w:rPr>
                <w:color w:val="auto"/>
                <w:spacing w:val="7"/>
                <w:highlight w:val="none"/>
              </w:rPr>
              <w:t>制动器总成</w:t>
            </w:r>
          </w:p>
        </w:tc>
        <w:tc>
          <w:tcPr>
            <w:tcW w:w="2040" w:type="dxa"/>
            <w:noWrap w:val="0"/>
            <w:vAlign w:val="top"/>
          </w:tcPr>
          <w:p w14:paraId="1F364DF2">
            <w:pPr>
              <w:pStyle w:val="223"/>
              <w:spacing w:before="83"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4A806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948" w:type="dxa"/>
            <w:vMerge w:val="continue"/>
            <w:tcBorders>
              <w:top w:val="nil"/>
              <w:bottom w:val="nil"/>
            </w:tcBorders>
            <w:noWrap w:val="0"/>
            <w:vAlign w:val="top"/>
          </w:tcPr>
          <w:p w14:paraId="0B9DB1DC">
            <w:pPr>
              <w:rPr>
                <w:rFonts w:ascii="Arial"/>
                <w:color w:val="auto"/>
                <w:sz w:val="21"/>
                <w:highlight w:val="none"/>
              </w:rPr>
            </w:pPr>
          </w:p>
        </w:tc>
        <w:tc>
          <w:tcPr>
            <w:tcW w:w="810" w:type="dxa"/>
            <w:vMerge w:val="continue"/>
            <w:tcBorders>
              <w:top w:val="nil"/>
              <w:bottom w:val="nil"/>
            </w:tcBorders>
            <w:noWrap w:val="0"/>
            <w:vAlign w:val="top"/>
          </w:tcPr>
          <w:p w14:paraId="08A8ACDF">
            <w:pPr>
              <w:rPr>
                <w:rFonts w:ascii="Arial"/>
                <w:color w:val="auto"/>
                <w:sz w:val="21"/>
                <w:highlight w:val="none"/>
              </w:rPr>
            </w:pPr>
          </w:p>
        </w:tc>
        <w:tc>
          <w:tcPr>
            <w:tcW w:w="675" w:type="dxa"/>
            <w:vMerge w:val="continue"/>
            <w:tcBorders>
              <w:top w:val="nil"/>
              <w:bottom w:val="nil"/>
            </w:tcBorders>
            <w:noWrap w:val="0"/>
            <w:vAlign w:val="top"/>
          </w:tcPr>
          <w:p w14:paraId="74E13C88">
            <w:pPr>
              <w:rPr>
                <w:rFonts w:ascii="Arial"/>
                <w:color w:val="auto"/>
                <w:sz w:val="21"/>
                <w:highlight w:val="none"/>
              </w:rPr>
            </w:pPr>
          </w:p>
        </w:tc>
        <w:tc>
          <w:tcPr>
            <w:tcW w:w="1081" w:type="dxa"/>
            <w:vMerge w:val="continue"/>
            <w:tcBorders>
              <w:top w:val="nil"/>
              <w:bottom w:val="nil"/>
            </w:tcBorders>
            <w:noWrap w:val="0"/>
            <w:vAlign w:val="top"/>
          </w:tcPr>
          <w:p w14:paraId="1ADC78B4">
            <w:pPr>
              <w:rPr>
                <w:rFonts w:ascii="Arial"/>
                <w:color w:val="auto"/>
                <w:sz w:val="21"/>
                <w:highlight w:val="none"/>
              </w:rPr>
            </w:pPr>
          </w:p>
        </w:tc>
        <w:tc>
          <w:tcPr>
            <w:tcW w:w="2972" w:type="dxa"/>
            <w:noWrap w:val="0"/>
            <w:vAlign w:val="top"/>
          </w:tcPr>
          <w:p w14:paraId="03E77614">
            <w:pPr>
              <w:pStyle w:val="223"/>
              <w:spacing w:before="111" w:line="228" w:lineRule="auto"/>
              <w:ind w:left="514"/>
              <w:rPr>
                <w:color w:val="auto"/>
                <w:highlight w:val="none"/>
              </w:rPr>
            </w:pPr>
            <w:r>
              <w:rPr>
                <w:color w:val="auto"/>
                <w:highlight w:val="none"/>
              </w:rPr>
              <w:t>ABS</w:t>
            </w:r>
            <w:r>
              <w:rPr>
                <w:color w:val="auto"/>
                <w:spacing w:val="13"/>
                <w:highlight w:val="none"/>
              </w:rPr>
              <w:t>、</w:t>
            </w:r>
            <w:r>
              <w:rPr>
                <w:color w:val="auto"/>
                <w:highlight w:val="none"/>
              </w:rPr>
              <w:t>EBS</w:t>
            </w:r>
            <w:r>
              <w:rPr>
                <w:color w:val="auto"/>
                <w:spacing w:val="-39"/>
                <w:highlight w:val="none"/>
              </w:rPr>
              <w:t xml:space="preserve"> </w:t>
            </w:r>
            <w:r>
              <w:rPr>
                <w:color w:val="auto"/>
                <w:spacing w:val="13"/>
                <w:highlight w:val="none"/>
              </w:rPr>
              <w:t>等电控单元</w:t>
            </w:r>
          </w:p>
        </w:tc>
        <w:tc>
          <w:tcPr>
            <w:tcW w:w="2040" w:type="dxa"/>
            <w:noWrap w:val="0"/>
            <w:vAlign w:val="top"/>
          </w:tcPr>
          <w:p w14:paraId="68F3CF28">
            <w:pPr>
              <w:pStyle w:val="223"/>
              <w:spacing w:before="111"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6D339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48" w:type="dxa"/>
            <w:vMerge w:val="continue"/>
            <w:tcBorders>
              <w:top w:val="nil"/>
              <w:bottom w:val="nil"/>
            </w:tcBorders>
            <w:noWrap w:val="0"/>
            <w:vAlign w:val="top"/>
          </w:tcPr>
          <w:p w14:paraId="4EB0DB37">
            <w:pPr>
              <w:rPr>
                <w:rFonts w:ascii="Arial"/>
                <w:color w:val="auto"/>
                <w:sz w:val="21"/>
                <w:highlight w:val="none"/>
              </w:rPr>
            </w:pPr>
          </w:p>
        </w:tc>
        <w:tc>
          <w:tcPr>
            <w:tcW w:w="810" w:type="dxa"/>
            <w:vMerge w:val="continue"/>
            <w:tcBorders>
              <w:top w:val="nil"/>
              <w:bottom w:val="nil"/>
            </w:tcBorders>
            <w:noWrap w:val="0"/>
            <w:vAlign w:val="top"/>
          </w:tcPr>
          <w:p w14:paraId="3C46FE68">
            <w:pPr>
              <w:rPr>
                <w:rFonts w:ascii="Arial"/>
                <w:color w:val="auto"/>
                <w:sz w:val="21"/>
                <w:highlight w:val="none"/>
              </w:rPr>
            </w:pPr>
          </w:p>
        </w:tc>
        <w:tc>
          <w:tcPr>
            <w:tcW w:w="675" w:type="dxa"/>
            <w:vMerge w:val="continue"/>
            <w:tcBorders>
              <w:top w:val="nil"/>
              <w:bottom w:val="nil"/>
            </w:tcBorders>
            <w:noWrap w:val="0"/>
            <w:vAlign w:val="top"/>
          </w:tcPr>
          <w:p w14:paraId="5DC84A41">
            <w:pPr>
              <w:rPr>
                <w:rFonts w:ascii="Arial"/>
                <w:color w:val="auto"/>
                <w:sz w:val="21"/>
                <w:highlight w:val="none"/>
              </w:rPr>
            </w:pPr>
          </w:p>
        </w:tc>
        <w:tc>
          <w:tcPr>
            <w:tcW w:w="1081" w:type="dxa"/>
            <w:vMerge w:val="continue"/>
            <w:tcBorders>
              <w:top w:val="nil"/>
              <w:bottom w:val="nil"/>
            </w:tcBorders>
            <w:noWrap w:val="0"/>
            <w:vAlign w:val="top"/>
          </w:tcPr>
          <w:p w14:paraId="20285176">
            <w:pPr>
              <w:rPr>
                <w:rFonts w:ascii="Arial"/>
                <w:color w:val="auto"/>
                <w:sz w:val="21"/>
                <w:highlight w:val="none"/>
              </w:rPr>
            </w:pPr>
          </w:p>
        </w:tc>
        <w:tc>
          <w:tcPr>
            <w:tcW w:w="2972" w:type="dxa"/>
            <w:noWrap w:val="0"/>
            <w:vAlign w:val="top"/>
          </w:tcPr>
          <w:p w14:paraId="448D850B">
            <w:pPr>
              <w:pStyle w:val="223"/>
              <w:spacing w:before="108" w:line="228" w:lineRule="auto"/>
              <w:ind w:left="1073"/>
              <w:rPr>
                <w:color w:val="auto"/>
                <w:highlight w:val="none"/>
              </w:rPr>
            </w:pPr>
            <w:r>
              <w:rPr>
                <w:color w:val="auto"/>
                <w:spacing w:val="7"/>
                <w:highlight w:val="none"/>
              </w:rPr>
              <w:t>制动阀类</w:t>
            </w:r>
          </w:p>
        </w:tc>
        <w:tc>
          <w:tcPr>
            <w:tcW w:w="2040" w:type="dxa"/>
            <w:noWrap w:val="0"/>
            <w:vAlign w:val="top"/>
          </w:tcPr>
          <w:p w14:paraId="72BCA435">
            <w:pPr>
              <w:pStyle w:val="223"/>
              <w:spacing w:before="108"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55DE7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48" w:type="dxa"/>
            <w:vMerge w:val="continue"/>
            <w:tcBorders>
              <w:top w:val="nil"/>
              <w:bottom w:val="nil"/>
            </w:tcBorders>
            <w:noWrap w:val="0"/>
            <w:vAlign w:val="top"/>
          </w:tcPr>
          <w:p w14:paraId="6C2E270B">
            <w:pPr>
              <w:rPr>
                <w:rFonts w:ascii="Arial"/>
                <w:color w:val="auto"/>
                <w:sz w:val="21"/>
                <w:highlight w:val="none"/>
              </w:rPr>
            </w:pPr>
          </w:p>
        </w:tc>
        <w:tc>
          <w:tcPr>
            <w:tcW w:w="810" w:type="dxa"/>
            <w:vMerge w:val="continue"/>
            <w:tcBorders>
              <w:top w:val="nil"/>
              <w:bottom w:val="nil"/>
            </w:tcBorders>
            <w:noWrap w:val="0"/>
            <w:vAlign w:val="top"/>
          </w:tcPr>
          <w:p w14:paraId="5BA7CDD0">
            <w:pPr>
              <w:rPr>
                <w:rFonts w:ascii="Arial"/>
                <w:color w:val="auto"/>
                <w:sz w:val="21"/>
                <w:highlight w:val="none"/>
              </w:rPr>
            </w:pPr>
          </w:p>
        </w:tc>
        <w:tc>
          <w:tcPr>
            <w:tcW w:w="675" w:type="dxa"/>
            <w:vMerge w:val="continue"/>
            <w:tcBorders>
              <w:top w:val="nil"/>
              <w:bottom w:val="nil"/>
            </w:tcBorders>
            <w:noWrap w:val="0"/>
            <w:vAlign w:val="top"/>
          </w:tcPr>
          <w:p w14:paraId="19966BEE">
            <w:pPr>
              <w:rPr>
                <w:rFonts w:ascii="Arial"/>
                <w:color w:val="auto"/>
                <w:sz w:val="21"/>
                <w:highlight w:val="none"/>
              </w:rPr>
            </w:pPr>
          </w:p>
        </w:tc>
        <w:tc>
          <w:tcPr>
            <w:tcW w:w="1081" w:type="dxa"/>
            <w:vMerge w:val="continue"/>
            <w:tcBorders>
              <w:top w:val="nil"/>
              <w:bottom w:val="nil"/>
            </w:tcBorders>
            <w:noWrap w:val="0"/>
            <w:vAlign w:val="top"/>
          </w:tcPr>
          <w:p w14:paraId="0BB7C52A">
            <w:pPr>
              <w:rPr>
                <w:rFonts w:ascii="Arial"/>
                <w:color w:val="auto"/>
                <w:sz w:val="21"/>
                <w:highlight w:val="none"/>
              </w:rPr>
            </w:pPr>
          </w:p>
        </w:tc>
        <w:tc>
          <w:tcPr>
            <w:tcW w:w="2972" w:type="dxa"/>
            <w:noWrap w:val="0"/>
            <w:vAlign w:val="top"/>
          </w:tcPr>
          <w:p w14:paraId="26EAF192">
            <w:pPr>
              <w:pStyle w:val="223"/>
              <w:spacing w:before="106" w:line="229" w:lineRule="auto"/>
              <w:ind w:left="1097"/>
              <w:rPr>
                <w:color w:val="auto"/>
                <w:highlight w:val="none"/>
              </w:rPr>
            </w:pPr>
            <w:r>
              <w:rPr>
                <w:color w:val="auto"/>
                <w:spacing w:val="1"/>
                <w:highlight w:val="none"/>
              </w:rPr>
              <w:t>电子手刹</w:t>
            </w:r>
          </w:p>
        </w:tc>
        <w:tc>
          <w:tcPr>
            <w:tcW w:w="2040" w:type="dxa"/>
            <w:noWrap w:val="0"/>
            <w:vAlign w:val="top"/>
          </w:tcPr>
          <w:p w14:paraId="249291A7">
            <w:pPr>
              <w:pStyle w:val="223"/>
              <w:spacing w:before="106"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15D86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48" w:type="dxa"/>
            <w:vMerge w:val="continue"/>
            <w:tcBorders>
              <w:top w:val="nil"/>
              <w:bottom w:val="nil"/>
            </w:tcBorders>
            <w:noWrap w:val="0"/>
            <w:vAlign w:val="top"/>
          </w:tcPr>
          <w:p w14:paraId="576E35E1">
            <w:pPr>
              <w:rPr>
                <w:rFonts w:ascii="Arial"/>
                <w:color w:val="auto"/>
                <w:sz w:val="21"/>
                <w:highlight w:val="none"/>
              </w:rPr>
            </w:pPr>
          </w:p>
        </w:tc>
        <w:tc>
          <w:tcPr>
            <w:tcW w:w="810" w:type="dxa"/>
            <w:vMerge w:val="continue"/>
            <w:tcBorders>
              <w:top w:val="nil"/>
              <w:bottom w:val="nil"/>
            </w:tcBorders>
            <w:noWrap w:val="0"/>
            <w:vAlign w:val="top"/>
          </w:tcPr>
          <w:p w14:paraId="27D4BAD2">
            <w:pPr>
              <w:rPr>
                <w:rFonts w:ascii="Arial"/>
                <w:color w:val="auto"/>
                <w:sz w:val="21"/>
                <w:highlight w:val="none"/>
              </w:rPr>
            </w:pPr>
          </w:p>
        </w:tc>
        <w:tc>
          <w:tcPr>
            <w:tcW w:w="675" w:type="dxa"/>
            <w:vMerge w:val="continue"/>
            <w:tcBorders>
              <w:top w:val="nil"/>
            </w:tcBorders>
            <w:noWrap w:val="0"/>
            <w:vAlign w:val="top"/>
          </w:tcPr>
          <w:p w14:paraId="08B444F6">
            <w:pPr>
              <w:rPr>
                <w:rFonts w:ascii="Arial"/>
                <w:color w:val="auto"/>
                <w:sz w:val="21"/>
                <w:highlight w:val="none"/>
              </w:rPr>
            </w:pPr>
          </w:p>
        </w:tc>
        <w:tc>
          <w:tcPr>
            <w:tcW w:w="1081" w:type="dxa"/>
            <w:vMerge w:val="continue"/>
            <w:tcBorders>
              <w:top w:val="nil"/>
            </w:tcBorders>
            <w:noWrap w:val="0"/>
            <w:vAlign w:val="top"/>
          </w:tcPr>
          <w:p w14:paraId="323BD08E">
            <w:pPr>
              <w:rPr>
                <w:rFonts w:ascii="Arial"/>
                <w:color w:val="auto"/>
                <w:sz w:val="21"/>
                <w:highlight w:val="none"/>
              </w:rPr>
            </w:pPr>
          </w:p>
        </w:tc>
        <w:tc>
          <w:tcPr>
            <w:tcW w:w="2972" w:type="dxa"/>
            <w:noWrap w:val="0"/>
            <w:vAlign w:val="top"/>
          </w:tcPr>
          <w:p w14:paraId="10657D9E">
            <w:pPr>
              <w:pStyle w:val="223"/>
              <w:spacing w:before="139" w:line="228" w:lineRule="auto"/>
              <w:ind w:left="1177"/>
              <w:rPr>
                <w:color w:val="auto"/>
                <w:highlight w:val="none"/>
              </w:rPr>
            </w:pPr>
            <w:r>
              <w:rPr>
                <w:color w:val="auto"/>
                <w:spacing w:val="7"/>
                <w:highlight w:val="none"/>
              </w:rPr>
              <w:t>储气筒</w:t>
            </w:r>
          </w:p>
        </w:tc>
        <w:tc>
          <w:tcPr>
            <w:tcW w:w="2040" w:type="dxa"/>
            <w:noWrap w:val="0"/>
            <w:vAlign w:val="top"/>
          </w:tcPr>
          <w:p w14:paraId="64546BDF">
            <w:pPr>
              <w:pStyle w:val="223"/>
              <w:spacing w:before="139"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1649D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085C91A7">
            <w:pPr>
              <w:rPr>
                <w:rFonts w:ascii="Arial"/>
                <w:color w:val="auto"/>
                <w:sz w:val="21"/>
                <w:highlight w:val="none"/>
              </w:rPr>
            </w:pPr>
          </w:p>
        </w:tc>
        <w:tc>
          <w:tcPr>
            <w:tcW w:w="810" w:type="dxa"/>
            <w:vMerge w:val="continue"/>
            <w:tcBorders>
              <w:top w:val="nil"/>
              <w:bottom w:val="nil"/>
            </w:tcBorders>
            <w:noWrap w:val="0"/>
            <w:vAlign w:val="top"/>
          </w:tcPr>
          <w:p w14:paraId="332708E3">
            <w:pPr>
              <w:rPr>
                <w:rFonts w:ascii="Arial"/>
                <w:color w:val="auto"/>
                <w:sz w:val="21"/>
                <w:highlight w:val="none"/>
              </w:rPr>
            </w:pPr>
          </w:p>
        </w:tc>
        <w:tc>
          <w:tcPr>
            <w:tcW w:w="675" w:type="dxa"/>
            <w:vMerge w:val="restart"/>
            <w:tcBorders>
              <w:bottom w:val="nil"/>
            </w:tcBorders>
            <w:noWrap w:val="0"/>
            <w:vAlign w:val="top"/>
          </w:tcPr>
          <w:p w14:paraId="3207B69D">
            <w:pPr>
              <w:rPr>
                <w:rFonts w:ascii="Arial"/>
                <w:color w:val="auto"/>
                <w:sz w:val="21"/>
                <w:highlight w:val="none"/>
              </w:rPr>
            </w:pPr>
          </w:p>
        </w:tc>
        <w:tc>
          <w:tcPr>
            <w:tcW w:w="1081" w:type="dxa"/>
            <w:vMerge w:val="restart"/>
            <w:tcBorders>
              <w:bottom w:val="nil"/>
            </w:tcBorders>
            <w:noWrap w:val="0"/>
            <w:vAlign w:val="top"/>
          </w:tcPr>
          <w:p w14:paraId="4EC2D279">
            <w:pPr>
              <w:pStyle w:val="223"/>
              <w:spacing w:before="244" w:line="229" w:lineRule="auto"/>
              <w:ind w:left="126"/>
              <w:rPr>
                <w:color w:val="auto"/>
                <w:highlight w:val="none"/>
              </w:rPr>
            </w:pPr>
            <w:r>
              <w:rPr>
                <w:color w:val="auto"/>
                <w:spacing w:val="7"/>
                <w:highlight w:val="none"/>
              </w:rPr>
              <w:t>转向系统</w:t>
            </w:r>
          </w:p>
        </w:tc>
        <w:tc>
          <w:tcPr>
            <w:tcW w:w="2972" w:type="dxa"/>
            <w:noWrap w:val="0"/>
            <w:vAlign w:val="top"/>
          </w:tcPr>
          <w:p w14:paraId="52D59CD1">
            <w:pPr>
              <w:pStyle w:val="223"/>
              <w:spacing w:before="69" w:line="229" w:lineRule="auto"/>
              <w:ind w:left="1179"/>
              <w:rPr>
                <w:color w:val="auto"/>
                <w:highlight w:val="none"/>
              </w:rPr>
            </w:pPr>
            <w:r>
              <w:rPr>
                <w:color w:val="auto"/>
                <w:spacing w:val="6"/>
                <w:highlight w:val="none"/>
              </w:rPr>
              <w:t>转向盘</w:t>
            </w:r>
          </w:p>
        </w:tc>
        <w:tc>
          <w:tcPr>
            <w:tcW w:w="2040" w:type="dxa"/>
            <w:noWrap w:val="0"/>
            <w:vAlign w:val="top"/>
          </w:tcPr>
          <w:p w14:paraId="4CEEC431">
            <w:pPr>
              <w:pStyle w:val="223"/>
              <w:spacing w:before="69"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07048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948" w:type="dxa"/>
            <w:vMerge w:val="continue"/>
            <w:tcBorders>
              <w:top w:val="nil"/>
            </w:tcBorders>
            <w:noWrap w:val="0"/>
            <w:vAlign w:val="top"/>
          </w:tcPr>
          <w:p w14:paraId="155CCC65">
            <w:pPr>
              <w:rPr>
                <w:rFonts w:ascii="Arial"/>
                <w:color w:val="auto"/>
                <w:sz w:val="21"/>
                <w:highlight w:val="none"/>
              </w:rPr>
            </w:pPr>
          </w:p>
        </w:tc>
        <w:tc>
          <w:tcPr>
            <w:tcW w:w="810" w:type="dxa"/>
            <w:vMerge w:val="continue"/>
            <w:tcBorders>
              <w:top w:val="nil"/>
            </w:tcBorders>
            <w:noWrap w:val="0"/>
            <w:vAlign w:val="top"/>
          </w:tcPr>
          <w:p w14:paraId="0658EC41">
            <w:pPr>
              <w:rPr>
                <w:rFonts w:ascii="Arial"/>
                <w:color w:val="auto"/>
                <w:sz w:val="21"/>
                <w:highlight w:val="none"/>
              </w:rPr>
            </w:pPr>
          </w:p>
        </w:tc>
        <w:tc>
          <w:tcPr>
            <w:tcW w:w="675" w:type="dxa"/>
            <w:vMerge w:val="continue"/>
            <w:tcBorders>
              <w:top w:val="nil"/>
            </w:tcBorders>
            <w:noWrap w:val="0"/>
            <w:vAlign w:val="top"/>
          </w:tcPr>
          <w:p w14:paraId="47808916">
            <w:pPr>
              <w:rPr>
                <w:rFonts w:ascii="Arial"/>
                <w:color w:val="auto"/>
                <w:sz w:val="21"/>
                <w:highlight w:val="none"/>
              </w:rPr>
            </w:pPr>
          </w:p>
        </w:tc>
        <w:tc>
          <w:tcPr>
            <w:tcW w:w="1081" w:type="dxa"/>
            <w:vMerge w:val="continue"/>
            <w:tcBorders>
              <w:top w:val="nil"/>
            </w:tcBorders>
            <w:noWrap w:val="0"/>
            <w:vAlign w:val="top"/>
          </w:tcPr>
          <w:p w14:paraId="0472A254">
            <w:pPr>
              <w:rPr>
                <w:rFonts w:ascii="Arial"/>
                <w:color w:val="auto"/>
                <w:sz w:val="21"/>
                <w:highlight w:val="none"/>
              </w:rPr>
            </w:pPr>
          </w:p>
        </w:tc>
        <w:tc>
          <w:tcPr>
            <w:tcW w:w="2972" w:type="dxa"/>
            <w:noWrap w:val="0"/>
            <w:vAlign w:val="top"/>
          </w:tcPr>
          <w:p w14:paraId="5F7FE65D">
            <w:pPr>
              <w:pStyle w:val="223"/>
              <w:spacing w:before="69" w:line="228" w:lineRule="auto"/>
              <w:ind w:left="363"/>
              <w:rPr>
                <w:color w:val="auto"/>
                <w:highlight w:val="none"/>
              </w:rPr>
            </w:pPr>
            <w:r>
              <w:rPr>
                <w:color w:val="auto"/>
                <w:spacing w:val="5"/>
                <w:highlight w:val="none"/>
              </w:rPr>
              <w:t>电动转向油泵（含电机）</w:t>
            </w:r>
          </w:p>
        </w:tc>
        <w:tc>
          <w:tcPr>
            <w:tcW w:w="2040" w:type="dxa"/>
            <w:noWrap w:val="0"/>
            <w:vAlign w:val="top"/>
          </w:tcPr>
          <w:p w14:paraId="38EC741E">
            <w:pPr>
              <w:pStyle w:val="223"/>
              <w:spacing w:before="7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bl>
    <w:p w14:paraId="4A529342">
      <w:pPr>
        <w:pStyle w:val="17"/>
        <w:tabs>
          <w:tab w:val="left" w:pos="574"/>
        </w:tabs>
        <w:rPr>
          <w:color w:val="auto"/>
          <w:highlight w:val="none"/>
        </w:rPr>
      </w:pPr>
    </w:p>
    <w:p w14:paraId="05938B9F">
      <w:pPr>
        <w:rPr>
          <w:color w:val="auto"/>
          <w:highlight w:val="none"/>
        </w:rPr>
        <w:sectPr>
          <w:footerReference r:id="rId17" w:type="default"/>
          <w:pgSz w:w="11906" w:h="16839"/>
          <w:pgMar w:top="1431" w:right="1687" w:bottom="1231" w:left="1687" w:header="0" w:footer="984" w:gutter="0"/>
          <w:pgNumType w:fmt="decimal"/>
          <w:cols w:space="720" w:num="1"/>
        </w:sectPr>
      </w:pPr>
    </w:p>
    <w:p w14:paraId="2811D3B4">
      <w:pPr>
        <w:spacing w:line="91" w:lineRule="auto"/>
        <w:rPr>
          <w:rFonts w:ascii="Arial"/>
          <w:color w:val="auto"/>
          <w:sz w:val="2"/>
          <w:highlight w:val="none"/>
        </w:rPr>
      </w:pPr>
    </w:p>
    <w:tbl>
      <w:tblPr>
        <w:tblStyle w:val="22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810"/>
        <w:gridCol w:w="675"/>
        <w:gridCol w:w="1081"/>
        <w:gridCol w:w="2972"/>
        <w:gridCol w:w="2040"/>
      </w:tblGrid>
      <w:tr w14:paraId="73E88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948" w:type="dxa"/>
            <w:vMerge w:val="restart"/>
            <w:tcBorders>
              <w:bottom w:val="nil"/>
            </w:tcBorders>
            <w:noWrap w:val="0"/>
            <w:vAlign w:val="top"/>
          </w:tcPr>
          <w:p w14:paraId="29120D15">
            <w:pPr>
              <w:rPr>
                <w:rFonts w:ascii="Arial"/>
                <w:color w:val="auto"/>
                <w:sz w:val="21"/>
                <w:highlight w:val="none"/>
              </w:rPr>
            </w:pPr>
          </w:p>
        </w:tc>
        <w:tc>
          <w:tcPr>
            <w:tcW w:w="810" w:type="dxa"/>
            <w:vMerge w:val="restart"/>
            <w:tcBorders>
              <w:bottom w:val="nil"/>
            </w:tcBorders>
            <w:noWrap w:val="0"/>
            <w:vAlign w:val="top"/>
          </w:tcPr>
          <w:p w14:paraId="5D4ED291">
            <w:pPr>
              <w:rPr>
                <w:rFonts w:ascii="Arial"/>
                <w:color w:val="auto"/>
                <w:sz w:val="21"/>
                <w:highlight w:val="none"/>
              </w:rPr>
            </w:pPr>
          </w:p>
        </w:tc>
        <w:tc>
          <w:tcPr>
            <w:tcW w:w="675" w:type="dxa"/>
            <w:noWrap w:val="0"/>
            <w:vAlign w:val="top"/>
          </w:tcPr>
          <w:p w14:paraId="2DFA541A">
            <w:pPr>
              <w:rPr>
                <w:rFonts w:ascii="Arial"/>
                <w:color w:val="auto"/>
                <w:sz w:val="21"/>
                <w:highlight w:val="none"/>
              </w:rPr>
            </w:pPr>
          </w:p>
        </w:tc>
        <w:tc>
          <w:tcPr>
            <w:tcW w:w="1081" w:type="dxa"/>
            <w:noWrap w:val="0"/>
            <w:vAlign w:val="top"/>
          </w:tcPr>
          <w:p w14:paraId="0024AE81">
            <w:pPr>
              <w:rPr>
                <w:rFonts w:ascii="Arial"/>
                <w:color w:val="auto"/>
                <w:sz w:val="21"/>
                <w:highlight w:val="none"/>
              </w:rPr>
            </w:pPr>
          </w:p>
        </w:tc>
        <w:tc>
          <w:tcPr>
            <w:tcW w:w="2972" w:type="dxa"/>
            <w:noWrap w:val="0"/>
            <w:vAlign w:val="top"/>
          </w:tcPr>
          <w:p w14:paraId="2A6111EC">
            <w:pPr>
              <w:pStyle w:val="223"/>
              <w:spacing w:before="71" w:line="229" w:lineRule="auto"/>
              <w:ind w:left="1179"/>
              <w:rPr>
                <w:color w:val="auto"/>
                <w:highlight w:val="none"/>
              </w:rPr>
            </w:pPr>
            <w:r>
              <w:rPr>
                <w:color w:val="auto"/>
                <w:spacing w:val="6"/>
                <w:highlight w:val="none"/>
              </w:rPr>
              <w:t>转向器</w:t>
            </w:r>
          </w:p>
        </w:tc>
        <w:tc>
          <w:tcPr>
            <w:tcW w:w="2040" w:type="dxa"/>
            <w:noWrap w:val="0"/>
            <w:vAlign w:val="top"/>
          </w:tcPr>
          <w:p w14:paraId="115C6B9A">
            <w:pPr>
              <w:pStyle w:val="223"/>
              <w:spacing w:before="71"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4B80D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35D97AAB">
            <w:pPr>
              <w:rPr>
                <w:rFonts w:ascii="Arial"/>
                <w:color w:val="auto"/>
                <w:sz w:val="21"/>
                <w:highlight w:val="none"/>
              </w:rPr>
            </w:pPr>
          </w:p>
        </w:tc>
        <w:tc>
          <w:tcPr>
            <w:tcW w:w="810" w:type="dxa"/>
            <w:vMerge w:val="continue"/>
            <w:tcBorders>
              <w:top w:val="nil"/>
              <w:bottom w:val="nil"/>
            </w:tcBorders>
            <w:noWrap w:val="0"/>
            <w:vAlign w:val="top"/>
          </w:tcPr>
          <w:p w14:paraId="6F45A9DD">
            <w:pPr>
              <w:rPr>
                <w:rFonts w:ascii="Arial"/>
                <w:color w:val="auto"/>
                <w:sz w:val="21"/>
                <w:highlight w:val="none"/>
              </w:rPr>
            </w:pPr>
          </w:p>
        </w:tc>
        <w:tc>
          <w:tcPr>
            <w:tcW w:w="675" w:type="dxa"/>
            <w:vMerge w:val="restart"/>
            <w:tcBorders>
              <w:bottom w:val="nil"/>
            </w:tcBorders>
            <w:noWrap w:val="0"/>
            <w:vAlign w:val="top"/>
          </w:tcPr>
          <w:p w14:paraId="31155CAE">
            <w:pPr>
              <w:rPr>
                <w:rFonts w:ascii="Arial"/>
                <w:color w:val="auto"/>
                <w:sz w:val="21"/>
                <w:highlight w:val="none"/>
              </w:rPr>
            </w:pPr>
          </w:p>
        </w:tc>
        <w:tc>
          <w:tcPr>
            <w:tcW w:w="1081" w:type="dxa"/>
            <w:vMerge w:val="restart"/>
            <w:tcBorders>
              <w:bottom w:val="nil"/>
            </w:tcBorders>
            <w:noWrap w:val="0"/>
            <w:vAlign w:val="top"/>
          </w:tcPr>
          <w:p w14:paraId="0524689A">
            <w:pPr>
              <w:spacing w:line="261" w:lineRule="auto"/>
              <w:rPr>
                <w:rFonts w:ascii="Arial"/>
                <w:color w:val="auto"/>
                <w:sz w:val="21"/>
                <w:highlight w:val="none"/>
              </w:rPr>
            </w:pPr>
          </w:p>
          <w:p w14:paraId="1A861C9F">
            <w:pPr>
              <w:spacing w:line="261" w:lineRule="auto"/>
              <w:rPr>
                <w:rFonts w:ascii="Arial"/>
                <w:color w:val="auto"/>
                <w:sz w:val="21"/>
                <w:highlight w:val="none"/>
              </w:rPr>
            </w:pPr>
          </w:p>
          <w:p w14:paraId="6E058A2B">
            <w:pPr>
              <w:pStyle w:val="223"/>
              <w:spacing w:before="65" w:line="230" w:lineRule="auto"/>
              <w:ind w:left="127"/>
              <w:rPr>
                <w:color w:val="auto"/>
                <w:highlight w:val="none"/>
              </w:rPr>
            </w:pPr>
            <w:r>
              <w:rPr>
                <w:color w:val="auto"/>
                <w:spacing w:val="6"/>
                <w:highlight w:val="none"/>
              </w:rPr>
              <w:t>冷却系统</w:t>
            </w:r>
          </w:p>
        </w:tc>
        <w:tc>
          <w:tcPr>
            <w:tcW w:w="2972" w:type="dxa"/>
            <w:noWrap w:val="0"/>
            <w:vAlign w:val="top"/>
          </w:tcPr>
          <w:p w14:paraId="3C417FC5">
            <w:pPr>
              <w:pStyle w:val="223"/>
              <w:spacing w:before="67" w:line="228" w:lineRule="auto"/>
              <w:ind w:left="1177"/>
              <w:rPr>
                <w:color w:val="auto"/>
                <w:highlight w:val="none"/>
              </w:rPr>
            </w:pPr>
            <w:r>
              <w:rPr>
                <w:color w:val="auto"/>
                <w:spacing w:val="7"/>
                <w:highlight w:val="none"/>
              </w:rPr>
              <w:t>散热器</w:t>
            </w:r>
          </w:p>
        </w:tc>
        <w:tc>
          <w:tcPr>
            <w:tcW w:w="2040" w:type="dxa"/>
            <w:noWrap w:val="0"/>
            <w:vAlign w:val="top"/>
          </w:tcPr>
          <w:p w14:paraId="6B4F86EE">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C098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2754C877">
            <w:pPr>
              <w:rPr>
                <w:rFonts w:ascii="Arial"/>
                <w:color w:val="auto"/>
                <w:sz w:val="21"/>
                <w:highlight w:val="none"/>
              </w:rPr>
            </w:pPr>
          </w:p>
        </w:tc>
        <w:tc>
          <w:tcPr>
            <w:tcW w:w="810" w:type="dxa"/>
            <w:vMerge w:val="continue"/>
            <w:tcBorders>
              <w:top w:val="nil"/>
              <w:bottom w:val="nil"/>
            </w:tcBorders>
            <w:noWrap w:val="0"/>
            <w:vAlign w:val="top"/>
          </w:tcPr>
          <w:p w14:paraId="1430113B">
            <w:pPr>
              <w:rPr>
                <w:rFonts w:ascii="Arial"/>
                <w:color w:val="auto"/>
                <w:sz w:val="21"/>
                <w:highlight w:val="none"/>
              </w:rPr>
            </w:pPr>
          </w:p>
        </w:tc>
        <w:tc>
          <w:tcPr>
            <w:tcW w:w="675" w:type="dxa"/>
            <w:vMerge w:val="continue"/>
            <w:tcBorders>
              <w:top w:val="nil"/>
              <w:bottom w:val="nil"/>
            </w:tcBorders>
            <w:noWrap w:val="0"/>
            <w:vAlign w:val="top"/>
          </w:tcPr>
          <w:p w14:paraId="104BFD06">
            <w:pPr>
              <w:rPr>
                <w:rFonts w:ascii="Arial"/>
                <w:color w:val="auto"/>
                <w:sz w:val="21"/>
                <w:highlight w:val="none"/>
              </w:rPr>
            </w:pPr>
          </w:p>
        </w:tc>
        <w:tc>
          <w:tcPr>
            <w:tcW w:w="1081" w:type="dxa"/>
            <w:vMerge w:val="continue"/>
            <w:tcBorders>
              <w:top w:val="nil"/>
              <w:bottom w:val="nil"/>
            </w:tcBorders>
            <w:noWrap w:val="0"/>
            <w:vAlign w:val="top"/>
          </w:tcPr>
          <w:p w14:paraId="635C02FC">
            <w:pPr>
              <w:rPr>
                <w:rFonts w:ascii="Arial"/>
                <w:color w:val="auto"/>
                <w:sz w:val="21"/>
                <w:highlight w:val="none"/>
              </w:rPr>
            </w:pPr>
          </w:p>
        </w:tc>
        <w:tc>
          <w:tcPr>
            <w:tcW w:w="2972" w:type="dxa"/>
            <w:noWrap w:val="0"/>
            <w:vAlign w:val="top"/>
          </w:tcPr>
          <w:p w14:paraId="2318106A">
            <w:pPr>
              <w:pStyle w:val="223"/>
              <w:spacing w:before="65" w:line="228" w:lineRule="auto"/>
              <w:ind w:left="886"/>
              <w:rPr>
                <w:color w:val="auto"/>
                <w:highlight w:val="none"/>
              </w:rPr>
            </w:pPr>
            <w:r>
              <w:rPr>
                <w:color w:val="auto"/>
                <w:spacing w:val="4"/>
                <w:highlight w:val="none"/>
              </w:rPr>
              <w:t>电动水泵总成</w:t>
            </w:r>
          </w:p>
        </w:tc>
        <w:tc>
          <w:tcPr>
            <w:tcW w:w="2040" w:type="dxa"/>
            <w:noWrap w:val="0"/>
            <w:vAlign w:val="top"/>
          </w:tcPr>
          <w:p w14:paraId="7276618E">
            <w:pPr>
              <w:pStyle w:val="223"/>
              <w:spacing w:before="65"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58DF7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78E50014">
            <w:pPr>
              <w:rPr>
                <w:rFonts w:ascii="Arial"/>
                <w:color w:val="auto"/>
                <w:sz w:val="21"/>
                <w:highlight w:val="none"/>
              </w:rPr>
            </w:pPr>
          </w:p>
        </w:tc>
        <w:tc>
          <w:tcPr>
            <w:tcW w:w="810" w:type="dxa"/>
            <w:vMerge w:val="continue"/>
            <w:tcBorders>
              <w:top w:val="nil"/>
              <w:bottom w:val="nil"/>
            </w:tcBorders>
            <w:noWrap w:val="0"/>
            <w:vAlign w:val="top"/>
          </w:tcPr>
          <w:p w14:paraId="2A12B9A9">
            <w:pPr>
              <w:rPr>
                <w:rFonts w:ascii="Arial"/>
                <w:color w:val="auto"/>
                <w:sz w:val="21"/>
                <w:highlight w:val="none"/>
              </w:rPr>
            </w:pPr>
          </w:p>
        </w:tc>
        <w:tc>
          <w:tcPr>
            <w:tcW w:w="675" w:type="dxa"/>
            <w:vMerge w:val="continue"/>
            <w:tcBorders>
              <w:top w:val="nil"/>
              <w:bottom w:val="nil"/>
            </w:tcBorders>
            <w:noWrap w:val="0"/>
            <w:vAlign w:val="top"/>
          </w:tcPr>
          <w:p w14:paraId="2F6315D6">
            <w:pPr>
              <w:rPr>
                <w:rFonts w:ascii="Arial"/>
                <w:color w:val="auto"/>
                <w:sz w:val="21"/>
                <w:highlight w:val="none"/>
              </w:rPr>
            </w:pPr>
          </w:p>
        </w:tc>
        <w:tc>
          <w:tcPr>
            <w:tcW w:w="1081" w:type="dxa"/>
            <w:vMerge w:val="continue"/>
            <w:tcBorders>
              <w:top w:val="nil"/>
              <w:bottom w:val="nil"/>
            </w:tcBorders>
            <w:noWrap w:val="0"/>
            <w:vAlign w:val="top"/>
          </w:tcPr>
          <w:p w14:paraId="3C2A4463">
            <w:pPr>
              <w:rPr>
                <w:rFonts w:ascii="Arial"/>
                <w:color w:val="auto"/>
                <w:sz w:val="21"/>
                <w:highlight w:val="none"/>
              </w:rPr>
            </w:pPr>
          </w:p>
        </w:tc>
        <w:tc>
          <w:tcPr>
            <w:tcW w:w="2972" w:type="dxa"/>
            <w:noWrap w:val="0"/>
            <w:vAlign w:val="top"/>
          </w:tcPr>
          <w:p w14:paraId="184B8D1E">
            <w:pPr>
              <w:pStyle w:val="223"/>
              <w:spacing w:before="65" w:line="229" w:lineRule="auto"/>
              <w:ind w:left="1097"/>
              <w:rPr>
                <w:color w:val="auto"/>
                <w:highlight w:val="none"/>
              </w:rPr>
            </w:pPr>
            <w:r>
              <w:rPr>
                <w:color w:val="auto"/>
                <w:spacing w:val="1"/>
                <w:highlight w:val="none"/>
              </w:rPr>
              <w:t>电子风扇</w:t>
            </w:r>
          </w:p>
        </w:tc>
        <w:tc>
          <w:tcPr>
            <w:tcW w:w="2040" w:type="dxa"/>
            <w:noWrap w:val="0"/>
            <w:vAlign w:val="top"/>
          </w:tcPr>
          <w:p w14:paraId="7C5E5DA3">
            <w:pPr>
              <w:pStyle w:val="223"/>
              <w:spacing w:before="66"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1D37D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5F2AE28D">
            <w:pPr>
              <w:rPr>
                <w:rFonts w:ascii="Arial"/>
                <w:color w:val="auto"/>
                <w:sz w:val="21"/>
                <w:highlight w:val="none"/>
              </w:rPr>
            </w:pPr>
          </w:p>
        </w:tc>
        <w:tc>
          <w:tcPr>
            <w:tcW w:w="810" w:type="dxa"/>
            <w:vMerge w:val="continue"/>
            <w:tcBorders>
              <w:top w:val="nil"/>
            </w:tcBorders>
            <w:noWrap w:val="0"/>
            <w:vAlign w:val="top"/>
          </w:tcPr>
          <w:p w14:paraId="2AADC993">
            <w:pPr>
              <w:rPr>
                <w:rFonts w:ascii="Arial"/>
                <w:color w:val="auto"/>
                <w:sz w:val="21"/>
                <w:highlight w:val="none"/>
              </w:rPr>
            </w:pPr>
          </w:p>
        </w:tc>
        <w:tc>
          <w:tcPr>
            <w:tcW w:w="675" w:type="dxa"/>
            <w:vMerge w:val="continue"/>
            <w:tcBorders>
              <w:top w:val="nil"/>
            </w:tcBorders>
            <w:noWrap w:val="0"/>
            <w:vAlign w:val="top"/>
          </w:tcPr>
          <w:p w14:paraId="6CDF5F63">
            <w:pPr>
              <w:rPr>
                <w:rFonts w:ascii="Arial"/>
                <w:color w:val="auto"/>
                <w:sz w:val="21"/>
                <w:highlight w:val="none"/>
              </w:rPr>
            </w:pPr>
          </w:p>
        </w:tc>
        <w:tc>
          <w:tcPr>
            <w:tcW w:w="1081" w:type="dxa"/>
            <w:vMerge w:val="continue"/>
            <w:tcBorders>
              <w:top w:val="nil"/>
            </w:tcBorders>
            <w:noWrap w:val="0"/>
            <w:vAlign w:val="top"/>
          </w:tcPr>
          <w:p w14:paraId="7623F5E5">
            <w:pPr>
              <w:rPr>
                <w:rFonts w:ascii="Arial"/>
                <w:color w:val="auto"/>
                <w:sz w:val="21"/>
                <w:highlight w:val="none"/>
              </w:rPr>
            </w:pPr>
          </w:p>
        </w:tc>
        <w:tc>
          <w:tcPr>
            <w:tcW w:w="2972" w:type="dxa"/>
            <w:noWrap w:val="0"/>
            <w:vAlign w:val="top"/>
          </w:tcPr>
          <w:p w14:paraId="436B2F8F">
            <w:pPr>
              <w:pStyle w:val="223"/>
              <w:spacing w:before="66" w:line="228" w:lineRule="auto"/>
              <w:ind w:left="1073"/>
              <w:rPr>
                <w:color w:val="auto"/>
                <w:highlight w:val="none"/>
              </w:rPr>
            </w:pPr>
            <w:r>
              <w:rPr>
                <w:color w:val="auto"/>
                <w:spacing w:val="7"/>
                <w:highlight w:val="none"/>
              </w:rPr>
              <w:t>膨胀水箱</w:t>
            </w:r>
          </w:p>
        </w:tc>
        <w:tc>
          <w:tcPr>
            <w:tcW w:w="2040" w:type="dxa"/>
            <w:noWrap w:val="0"/>
            <w:vAlign w:val="top"/>
          </w:tcPr>
          <w:p w14:paraId="384ECB28">
            <w:pPr>
              <w:pStyle w:val="223"/>
              <w:spacing w:before="66"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41E6C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48" w:type="dxa"/>
            <w:vMerge w:val="continue"/>
            <w:tcBorders>
              <w:top w:val="nil"/>
              <w:bottom w:val="nil"/>
            </w:tcBorders>
            <w:noWrap w:val="0"/>
            <w:vAlign w:val="top"/>
          </w:tcPr>
          <w:p w14:paraId="269E31D8">
            <w:pPr>
              <w:rPr>
                <w:rFonts w:ascii="Arial"/>
                <w:color w:val="auto"/>
                <w:sz w:val="21"/>
                <w:highlight w:val="none"/>
              </w:rPr>
            </w:pPr>
          </w:p>
        </w:tc>
        <w:tc>
          <w:tcPr>
            <w:tcW w:w="810" w:type="dxa"/>
            <w:vMerge w:val="restart"/>
            <w:tcBorders>
              <w:bottom w:val="nil"/>
            </w:tcBorders>
            <w:noWrap w:val="0"/>
            <w:vAlign w:val="top"/>
          </w:tcPr>
          <w:p w14:paraId="2397DC11">
            <w:pPr>
              <w:spacing w:line="252" w:lineRule="auto"/>
              <w:rPr>
                <w:rFonts w:ascii="Arial"/>
                <w:color w:val="auto"/>
                <w:sz w:val="21"/>
                <w:highlight w:val="none"/>
              </w:rPr>
            </w:pPr>
          </w:p>
          <w:p w14:paraId="297D995B">
            <w:pPr>
              <w:spacing w:line="252" w:lineRule="auto"/>
              <w:rPr>
                <w:rFonts w:ascii="Arial"/>
                <w:color w:val="auto"/>
                <w:sz w:val="21"/>
                <w:highlight w:val="none"/>
              </w:rPr>
            </w:pPr>
          </w:p>
          <w:p w14:paraId="42E9DB6E">
            <w:pPr>
              <w:spacing w:line="252" w:lineRule="auto"/>
              <w:rPr>
                <w:rFonts w:ascii="Arial"/>
                <w:color w:val="auto"/>
                <w:sz w:val="21"/>
                <w:highlight w:val="none"/>
              </w:rPr>
            </w:pPr>
          </w:p>
          <w:p w14:paraId="17588AEB">
            <w:pPr>
              <w:spacing w:line="252" w:lineRule="auto"/>
              <w:rPr>
                <w:rFonts w:ascii="Arial"/>
                <w:color w:val="auto"/>
                <w:sz w:val="21"/>
                <w:highlight w:val="none"/>
              </w:rPr>
            </w:pPr>
          </w:p>
          <w:p w14:paraId="48D87D97">
            <w:pPr>
              <w:spacing w:line="252" w:lineRule="auto"/>
              <w:rPr>
                <w:rFonts w:ascii="Arial"/>
                <w:color w:val="auto"/>
                <w:sz w:val="21"/>
                <w:highlight w:val="none"/>
              </w:rPr>
            </w:pPr>
          </w:p>
          <w:p w14:paraId="2F578136">
            <w:pPr>
              <w:spacing w:line="252" w:lineRule="auto"/>
              <w:rPr>
                <w:rFonts w:ascii="Arial"/>
                <w:color w:val="auto"/>
                <w:sz w:val="21"/>
                <w:highlight w:val="none"/>
              </w:rPr>
            </w:pPr>
          </w:p>
          <w:p w14:paraId="7871BEF9">
            <w:pPr>
              <w:spacing w:line="252" w:lineRule="auto"/>
              <w:rPr>
                <w:rFonts w:ascii="Arial"/>
                <w:color w:val="auto"/>
                <w:sz w:val="21"/>
                <w:highlight w:val="none"/>
              </w:rPr>
            </w:pPr>
          </w:p>
          <w:p w14:paraId="468FBE42">
            <w:pPr>
              <w:spacing w:line="253" w:lineRule="auto"/>
              <w:rPr>
                <w:rFonts w:ascii="Arial"/>
                <w:color w:val="auto"/>
                <w:sz w:val="21"/>
                <w:highlight w:val="none"/>
              </w:rPr>
            </w:pPr>
          </w:p>
          <w:p w14:paraId="215BA532">
            <w:pPr>
              <w:spacing w:line="253" w:lineRule="auto"/>
              <w:rPr>
                <w:rFonts w:ascii="Arial"/>
                <w:color w:val="auto"/>
                <w:sz w:val="21"/>
                <w:highlight w:val="none"/>
              </w:rPr>
            </w:pPr>
          </w:p>
          <w:p w14:paraId="24FC947D">
            <w:pPr>
              <w:spacing w:line="253" w:lineRule="auto"/>
              <w:rPr>
                <w:rFonts w:ascii="Arial"/>
                <w:color w:val="auto"/>
                <w:sz w:val="21"/>
                <w:highlight w:val="none"/>
              </w:rPr>
            </w:pPr>
          </w:p>
          <w:p w14:paraId="40312A3A">
            <w:pPr>
              <w:spacing w:line="253" w:lineRule="auto"/>
              <w:rPr>
                <w:rFonts w:ascii="Arial"/>
                <w:color w:val="auto"/>
                <w:sz w:val="21"/>
                <w:highlight w:val="none"/>
              </w:rPr>
            </w:pPr>
          </w:p>
          <w:p w14:paraId="32971A4A">
            <w:pPr>
              <w:spacing w:line="253" w:lineRule="auto"/>
              <w:rPr>
                <w:rFonts w:ascii="Arial"/>
                <w:color w:val="auto"/>
                <w:sz w:val="21"/>
                <w:highlight w:val="none"/>
              </w:rPr>
            </w:pPr>
          </w:p>
          <w:p w14:paraId="769A96A3">
            <w:pPr>
              <w:spacing w:line="253" w:lineRule="auto"/>
              <w:rPr>
                <w:rFonts w:ascii="Arial"/>
                <w:color w:val="auto"/>
                <w:sz w:val="21"/>
                <w:highlight w:val="none"/>
              </w:rPr>
            </w:pPr>
          </w:p>
          <w:p w14:paraId="2E34982A">
            <w:pPr>
              <w:pStyle w:val="223"/>
              <w:spacing w:before="65" w:line="189" w:lineRule="auto"/>
              <w:ind w:left="357"/>
              <w:rPr>
                <w:color w:val="auto"/>
                <w:highlight w:val="none"/>
              </w:rPr>
            </w:pPr>
            <w:r>
              <w:rPr>
                <w:color w:val="auto"/>
                <w:highlight w:val="none"/>
              </w:rPr>
              <w:t>6</w:t>
            </w:r>
          </w:p>
        </w:tc>
        <w:tc>
          <w:tcPr>
            <w:tcW w:w="1756" w:type="dxa"/>
            <w:gridSpan w:val="2"/>
            <w:vMerge w:val="restart"/>
            <w:tcBorders>
              <w:bottom w:val="nil"/>
            </w:tcBorders>
            <w:noWrap w:val="0"/>
            <w:vAlign w:val="top"/>
          </w:tcPr>
          <w:p w14:paraId="31EC377B">
            <w:pPr>
              <w:spacing w:line="250" w:lineRule="auto"/>
              <w:rPr>
                <w:rFonts w:ascii="Arial"/>
                <w:color w:val="auto"/>
                <w:sz w:val="21"/>
                <w:highlight w:val="none"/>
              </w:rPr>
            </w:pPr>
          </w:p>
          <w:p w14:paraId="3545B246">
            <w:pPr>
              <w:spacing w:line="250" w:lineRule="auto"/>
              <w:rPr>
                <w:rFonts w:ascii="Arial"/>
                <w:color w:val="auto"/>
                <w:sz w:val="21"/>
                <w:highlight w:val="none"/>
              </w:rPr>
            </w:pPr>
          </w:p>
          <w:p w14:paraId="18108EDF">
            <w:pPr>
              <w:spacing w:line="250" w:lineRule="auto"/>
              <w:rPr>
                <w:rFonts w:ascii="Arial"/>
                <w:color w:val="auto"/>
                <w:sz w:val="21"/>
                <w:highlight w:val="none"/>
              </w:rPr>
            </w:pPr>
          </w:p>
          <w:p w14:paraId="3BC4ADA7">
            <w:pPr>
              <w:spacing w:line="250" w:lineRule="auto"/>
              <w:rPr>
                <w:rFonts w:ascii="Arial"/>
                <w:color w:val="auto"/>
                <w:sz w:val="21"/>
                <w:highlight w:val="none"/>
              </w:rPr>
            </w:pPr>
          </w:p>
          <w:p w14:paraId="47CB2009">
            <w:pPr>
              <w:spacing w:line="250" w:lineRule="auto"/>
              <w:rPr>
                <w:rFonts w:ascii="Arial"/>
                <w:color w:val="auto"/>
                <w:sz w:val="21"/>
                <w:highlight w:val="none"/>
              </w:rPr>
            </w:pPr>
          </w:p>
          <w:p w14:paraId="23F418DF">
            <w:pPr>
              <w:spacing w:line="250" w:lineRule="auto"/>
              <w:rPr>
                <w:rFonts w:ascii="Arial"/>
                <w:color w:val="auto"/>
                <w:sz w:val="21"/>
                <w:highlight w:val="none"/>
              </w:rPr>
            </w:pPr>
          </w:p>
          <w:p w14:paraId="62E3CE97">
            <w:pPr>
              <w:spacing w:line="250" w:lineRule="auto"/>
              <w:rPr>
                <w:rFonts w:ascii="Arial"/>
                <w:color w:val="auto"/>
                <w:sz w:val="21"/>
                <w:highlight w:val="none"/>
              </w:rPr>
            </w:pPr>
          </w:p>
          <w:p w14:paraId="07F86147">
            <w:pPr>
              <w:spacing w:line="250" w:lineRule="auto"/>
              <w:rPr>
                <w:rFonts w:ascii="Arial"/>
                <w:color w:val="auto"/>
                <w:sz w:val="21"/>
                <w:highlight w:val="none"/>
              </w:rPr>
            </w:pPr>
          </w:p>
          <w:p w14:paraId="70A85DD8">
            <w:pPr>
              <w:spacing w:line="250" w:lineRule="auto"/>
              <w:rPr>
                <w:rFonts w:ascii="Arial"/>
                <w:color w:val="auto"/>
                <w:sz w:val="21"/>
                <w:highlight w:val="none"/>
              </w:rPr>
            </w:pPr>
          </w:p>
          <w:p w14:paraId="7BCF4DCA">
            <w:pPr>
              <w:spacing w:line="250" w:lineRule="auto"/>
              <w:rPr>
                <w:rFonts w:ascii="Arial"/>
                <w:color w:val="auto"/>
                <w:sz w:val="21"/>
                <w:highlight w:val="none"/>
              </w:rPr>
            </w:pPr>
          </w:p>
          <w:p w14:paraId="055B5270">
            <w:pPr>
              <w:spacing w:line="250" w:lineRule="auto"/>
              <w:rPr>
                <w:rFonts w:ascii="Arial"/>
                <w:color w:val="auto"/>
                <w:sz w:val="21"/>
                <w:highlight w:val="none"/>
              </w:rPr>
            </w:pPr>
          </w:p>
          <w:p w14:paraId="7D4DD2BE">
            <w:pPr>
              <w:spacing w:line="250" w:lineRule="auto"/>
              <w:rPr>
                <w:rFonts w:ascii="Arial"/>
                <w:color w:val="auto"/>
                <w:sz w:val="21"/>
                <w:highlight w:val="none"/>
              </w:rPr>
            </w:pPr>
          </w:p>
          <w:p w14:paraId="6BF2B9AA">
            <w:pPr>
              <w:spacing w:line="250" w:lineRule="auto"/>
              <w:rPr>
                <w:rFonts w:ascii="Arial"/>
                <w:color w:val="auto"/>
                <w:sz w:val="21"/>
                <w:highlight w:val="none"/>
              </w:rPr>
            </w:pPr>
          </w:p>
          <w:p w14:paraId="2489862C">
            <w:pPr>
              <w:pStyle w:val="223"/>
              <w:spacing w:before="65" w:line="228" w:lineRule="auto"/>
              <w:ind w:left="114"/>
              <w:rPr>
                <w:color w:val="auto"/>
                <w:highlight w:val="none"/>
              </w:rPr>
            </w:pPr>
            <w:r>
              <w:rPr>
                <w:color w:val="auto"/>
                <w:spacing w:val="7"/>
                <w:highlight w:val="none"/>
              </w:rPr>
              <w:t>车辆电子设备</w:t>
            </w:r>
          </w:p>
        </w:tc>
        <w:tc>
          <w:tcPr>
            <w:tcW w:w="2972" w:type="dxa"/>
            <w:noWrap w:val="0"/>
            <w:vAlign w:val="top"/>
          </w:tcPr>
          <w:p w14:paraId="2C7C2CE7">
            <w:pPr>
              <w:pStyle w:val="223"/>
              <w:spacing w:before="97" w:line="228" w:lineRule="auto"/>
              <w:ind w:left="549"/>
              <w:rPr>
                <w:color w:val="auto"/>
                <w:highlight w:val="none"/>
              </w:rPr>
            </w:pPr>
            <w:r>
              <w:rPr>
                <w:color w:val="auto"/>
                <w:spacing w:val="8"/>
                <w:highlight w:val="none"/>
              </w:rPr>
              <w:t>车载智能调度一体机</w:t>
            </w:r>
          </w:p>
        </w:tc>
        <w:tc>
          <w:tcPr>
            <w:tcW w:w="2040" w:type="dxa"/>
            <w:noWrap w:val="0"/>
            <w:vAlign w:val="top"/>
          </w:tcPr>
          <w:p w14:paraId="43325459">
            <w:pPr>
              <w:pStyle w:val="223"/>
              <w:spacing w:before="98"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75E9A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48" w:type="dxa"/>
            <w:vMerge w:val="continue"/>
            <w:tcBorders>
              <w:top w:val="nil"/>
              <w:bottom w:val="nil"/>
            </w:tcBorders>
            <w:noWrap w:val="0"/>
            <w:vAlign w:val="top"/>
          </w:tcPr>
          <w:p w14:paraId="7C19479B">
            <w:pPr>
              <w:rPr>
                <w:rFonts w:ascii="Arial"/>
                <w:color w:val="auto"/>
                <w:sz w:val="21"/>
                <w:highlight w:val="none"/>
              </w:rPr>
            </w:pPr>
          </w:p>
        </w:tc>
        <w:tc>
          <w:tcPr>
            <w:tcW w:w="810" w:type="dxa"/>
            <w:vMerge w:val="continue"/>
            <w:tcBorders>
              <w:top w:val="nil"/>
              <w:bottom w:val="nil"/>
            </w:tcBorders>
            <w:noWrap w:val="0"/>
            <w:vAlign w:val="top"/>
          </w:tcPr>
          <w:p w14:paraId="0DBC97C9">
            <w:pPr>
              <w:rPr>
                <w:rFonts w:ascii="Arial"/>
                <w:color w:val="auto"/>
                <w:sz w:val="21"/>
                <w:highlight w:val="none"/>
              </w:rPr>
            </w:pPr>
          </w:p>
        </w:tc>
        <w:tc>
          <w:tcPr>
            <w:tcW w:w="1756" w:type="dxa"/>
            <w:gridSpan w:val="2"/>
            <w:vMerge w:val="continue"/>
            <w:tcBorders>
              <w:top w:val="nil"/>
              <w:bottom w:val="nil"/>
            </w:tcBorders>
            <w:noWrap w:val="0"/>
            <w:vAlign w:val="top"/>
          </w:tcPr>
          <w:p w14:paraId="0CC88B41">
            <w:pPr>
              <w:rPr>
                <w:rFonts w:ascii="Arial"/>
                <w:color w:val="auto"/>
                <w:sz w:val="21"/>
                <w:highlight w:val="none"/>
              </w:rPr>
            </w:pPr>
          </w:p>
        </w:tc>
        <w:tc>
          <w:tcPr>
            <w:tcW w:w="2972" w:type="dxa"/>
            <w:noWrap w:val="0"/>
            <w:vAlign w:val="top"/>
          </w:tcPr>
          <w:p w14:paraId="29DACF87">
            <w:pPr>
              <w:pStyle w:val="223"/>
              <w:spacing w:before="99" w:line="228" w:lineRule="auto"/>
              <w:ind w:left="659"/>
              <w:rPr>
                <w:color w:val="auto"/>
                <w:highlight w:val="none"/>
              </w:rPr>
            </w:pPr>
            <w:r>
              <w:rPr>
                <w:color w:val="auto"/>
                <w:spacing w:val="7"/>
                <w:highlight w:val="none"/>
              </w:rPr>
              <w:t>驾驶行为分析终端</w:t>
            </w:r>
          </w:p>
        </w:tc>
        <w:tc>
          <w:tcPr>
            <w:tcW w:w="2040" w:type="dxa"/>
            <w:noWrap w:val="0"/>
            <w:vAlign w:val="top"/>
          </w:tcPr>
          <w:p w14:paraId="050CE3B9">
            <w:pPr>
              <w:pStyle w:val="223"/>
              <w:spacing w:before="99"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2449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948" w:type="dxa"/>
            <w:vMerge w:val="continue"/>
            <w:tcBorders>
              <w:top w:val="nil"/>
              <w:bottom w:val="nil"/>
            </w:tcBorders>
            <w:noWrap w:val="0"/>
            <w:vAlign w:val="top"/>
          </w:tcPr>
          <w:p w14:paraId="6128C055">
            <w:pPr>
              <w:rPr>
                <w:rFonts w:ascii="Arial"/>
                <w:color w:val="auto"/>
                <w:sz w:val="21"/>
                <w:highlight w:val="none"/>
              </w:rPr>
            </w:pPr>
          </w:p>
        </w:tc>
        <w:tc>
          <w:tcPr>
            <w:tcW w:w="810" w:type="dxa"/>
            <w:vMerge w:val="continue"/>
            <w:tcBorders>
              <w:top w:val="nil"/>
              <w:bottom w:val="nil"/>
            </w:tcBorders>
            <w:noWrap w:val="0"/>
            <w:vAlign w:val="top"/>
          </w:tcPr>
          <w:p w14:paraId="576F9B53">
            <w:pPr>
              <w:rPr>
                <w:rFonts w:ascii="Arial"/>
                <w:color w:val="auto"/>
                <w:sz w:val="21"/>
                <w:highlight w:val="none"/>
              </w:rPr>
            </w:pPr>
          </w:p>
        </w:tc>
        <w:tc>
          <w:tcPr>
            <w:tcW w:w="1756" w:type="dxa"/>
            <w:gridSpan w:val="2"/>
            <w:vMerge w:val="continue"/>
            <w:tcBorders>
              <w:top w:val="nil"/>
              <w:bottom w:val="nil"/>
            </w:tcBorders>
            <w:noWrap w:val="0"/>
            <w:vAlign w:val="top"/>
          </w:tcPr>
          <w:p w14:paraId="4CEFC452">
            <w:pPr>
              <w:rPr>
                <w:rFonts w:ascii="Arial"/>
                <w:color w:val="auto"/>
                <w:sz w:val="21"/>
                <w:highlight w:val="none"/>
              </w:rPr>
            </w:pPr>
          </w:p>
        </w:tc>
        <w:tc>
          <w:tcPr>
            <w:tcW w:w="2972" w:type="dxa"/>
            <w:noWrap w:val="0"/>
            <w:vAlign w:val="top"/>
          </w:tcPr>
          <w:p w14:paraId="21C03CED">
            <w:pPr>
              <w:pStyle w:val="223"/>
              <w:spacing w:before="118" w:line="228" w:lineRule="auto"/>
              <w:ind w:left="654"/>
              <w:rPr>
                <w:color w:val="auto"/>
                <w:highlight w:val="none"/>
              </w:rPr>
            </w:pPr>
            <w:r>
              <w:rPr>
                <w:color w:val="auto"/>
                <w:spacing w:val="8"/>
                <w:highlight w:val="none"/>
              </w:rPr>
              <w:t>车载视频监控系统</w:t>
            </w:r>
          </w:p>
        </w:tc>
        <w:tc>
          <w:tcPr>
            <w:tcW w:w="2040" w:type="dxa"/>
            <w:noWrap w:val="0"/>
            <w:vAlign w:val="top"/>
          </w:tcPr>
          <w:p w14:paraId="44C55848">
            <w:pPr>
              <w:pStyle w:val="223"/>
              <w:spacing w:before="118"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ECD9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48" w:type="dxa"/>
            <w:vMerge w:val="continue"/>
            <w:tcBorders>
              <w:top w:val="nil"/>
              <w:bottom w:val="nil"/>
            </w:tcBorders>
            <w:noWrap w:val="0"/>
            <w:vAlign w:val="top"/>
          </w:tcPr>
          <w:p w14:paraId="0DCD8576">
            <w:pPr>
              <w:rPr>
                <w:rFonts w:ascii="Arial"/>
                <w:color w:val="auto"/>
                <w:sz w:val="21"/>
                <w:highlight w:val="none"/>
              </w:rPr>
            </w:pPr>
          </w:p>
        </w:tc>
        <w:tc>
          <w:tcPr>
            <w:tcW w:w="810" w:type="dxa"/>
            <w:vMerge w:val="continue"/>
            <w:tcBorders>
              <w:top w:val="nil"/>
              <w:bottom w:val="nil"/>
            </w:tcBorders>
            <w:noWrap w:val="0"/>
            <w:vAlign w:val="top"/>
          </w:tcPr>
          <w:p w14:paraId="7DC945ED">
            <w:pPr>
              <w:rPr>
                <w:rFonts w:ascii="Arial"/>
                <w:color w:val="auto"/>
                <w:sz w:val="21"/>
                <w:highlight w:val="none"/>
              </w:rPr>
            </w:pPr>
          </w:p>
        </w:tc>
        <w:tc>
          <w:tcPr>
            <w:tcW w:w="1756" w:type="dxa"/>
            <w:gridSpan w:val="2"/>
            <w:vMerge w:val="continue"/>
            <w:tcBorders>
              <w:top w:val="nil"/>
              <w:bottom w:val="nil"/>
            </w:tcBorders>
            <w:noWrap w:val="0"/>
            <w:vAlign w:val="top"/>
          </w:tcPr>
          <w:p w14:paraId="4895DB52">
            <w:pPr>
              <w:rPr>
                <w:rFonts w:ascii="Arial"/>
                <w:color w:val="auto"/>
                <w:sz w:val="21"/>
                <w:highlight w:val="none"/>
              </w:rPr>
            </w:pPr>
          </w:p>
        </w:tc>
        <w:tc>
          <w:tcPr>
            <w:tcW w:w="2972" w:type="dxa"/>
            <w:noWrap w:val="0"/>
            <w:vAlign w:val="top"/>
          </w:tcPr>
          <w:p w14:paraId="245633F6">
            <w:pPr>
              <w:pStyle w:val="223"/>
              <w:spacing w:before="174" w:line="228" w:lineRule="auto"/>
              <w:ind w:left="443"/>
              <w:rPr>
                <w:color w:val="auto"/>
                <w:highlight w:val="none"/>
              </w:rPr>
            </w:pPr>
            <w:r>
              <w:rPr>
                <w:color w:val="auto"/>
                <w:spacing w:val="8"/>
                <w:highlight w:val="none"/>
              </w:rPr>
              <w:t>车辆辅助安全预警设备</w:t>
            </w:r>
          </w:p>
        </w:tc>
        <w:tc>
          <w:tcPr>
            <w:tcW w:w="2040" w:type="dxa"/>
            <w:noWrap w:val="0"/>
            <w:vAlign w:val="top"/>
          </w:tcPr>
          <w:p w14:paraId="47B7596A">
            <w:pPr>
              <w:pStyle w:val="223"/>
              <w:spacing w:before="174"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69AF2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63AB1409">
            <w:pPr>
              <w:rPr>
                <w:rFonts w:ascii="Arial"/>
                <w:color w:val="auto"/>
                <w:sz w:val="21"/>
                <w:highlight w:val="none"/>
              </w:rPr>
            </w:pPr>
          </w:p>
        </w:tc>
        <w:tc>
          <w:tcPr>
            <w:tcW w:w="810" w:type="dxa"/>
            <w:vMerge w:val="continue"/>
            <w:tcBorders>
              <w:top w:val="nil"/>
              <w:bottom w:val="nil"/>
            </w:tcBorders>
            <w:noWrap w:val="0"/>
            <w:vAlign w:val="top"/>
          </w:tcPr>
          <w:p w14:paraId="35241638">
            <w:pPr>
              <w:rPr>
                <w:rFonts w:ascii="Arial"/>
                <w:color w:val="auto"/>
                <w:sz w:val="21"/>
                <w:highlight w:val="none"/>
              </w:rPr>
            </w:pPr>
          </w:p>
        </w:tc>
        <w:tc>
          <w:tcPr>
            <w:tcW w:w="1756" w:type="dxa"/>
            <w:gridSpan w:val="2"/>
            <w:vMerge w:val="continue"/>
            <w:tcBorders>
              <w:top w:val="nil"/>
              <w:bottom w:val="nil"/>
            </w:tcBorders>
            <w:noWrap w:val="0"/>
            <w:vAlign w:val="top"/>
          </w:tcPr>
          <w:p w14:paraId="741F2226">
            <w:pPr>
              <w:rPr>
                <w:rFonts w:ascii="Arial"/>
                <w:color w:val="auto"/>
                <w:sz w:val="21"/>
                <w:highlight w:val="none"/>
              </w:rPr>
            </w:pPr>
          </w:p>
        </w:tc>
        <w:tc>
          <w:tcPr>
            <w:tcW w:w="2972" w:type="dxa"/>
            <w:noWrap w:val="0"/>
            <w:vAlign w:val="top"/>
          </w:tcPr>
          <w:p w14:paraId="53259E60">
            <w:pPr>
              <w:pStyle w:val="223"/>
              <w:spacing w:before="53" w:line="228" w:lineRule="auto"/>
              <w:ind w:left="863"/>
              <w:rPr>
                <w:color w:val="auto"/>
                <w:highlight w:val="none"/>
              </w:rPr>
            </w:pPr>
            <w:r>
              <w:rPr>
                <w:color w:val="auto"/>
                <w:spacing w:val="7"/>
                <w:highlight w:val="none"/>
              </w:rPr>
              <w:t>车外监视系统</w:t>
            </w:r>
          </w:p>
        </w:tc>
        <w:tc>
          <w:tcPr>
            <w:tcW w:w="2040" w:type="dxa"/>
            <w:noWrap w:val="0"/>
            <w:vAlign w:val="top"/>
          </w:tcPr>
          <w:p w14:paraId="6F119364">
            <w:pPr>
              <w:pStyle w:val="223"/>
              <w:spacing w:before="53"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5F568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2FDFE3CC">
            <w:pPr>
              <w:rPr>
                <w:rFonts w:ascii="Arial"/>
                <w:color w:val="auto"/>
                <w:sz w:val="21"/>
                <w:highlight w:val="none"/>
              </w:rPr>
            </w:pPr>
          </w:p>
        </w:tc>
        <w:tc>
          <w:tcPr>
            <w:tcW w:w="810" w:type="dxa"/>
            <w:vMerge w:val="continue"/>
            <w:tcBorders>
              <w:top w:val="nil"/>
              <w:bottom w:val="nil"/>
            </w:tcBorders>
            <w:noWrap w:val="0"/>
            <w:vAlign w:val="top"/>
          </w:tcPr>
          <w:p w14:paraId="0F40E252">
            <w:pPr>
              <w:rPr>
                <w:rFonts w:ascii="Arial"/>
                <w:color w:val="auto"/>
                <w:sz w:val="21"/>
                <w:highlight w:val="none"/>
              </w:rPr>
            </w:pPr>
          </w:p>
        </w:tc>
        <w:tc>
          <w:tcPr>
            <w:tcW w:w="1756" w:type="dxa"/>
            <w:gridSpan w:val="2"/>
            <w:vMerge w:val="continue"/>
            <w:tcBorders>
              <w:top w:val="nil"/>
              <w:bottom w:val="nil"/>
            </w:tcBorders>
            <w:noWrap w:val="0"/>
            <w:vAlign w:val="top"/>
          </w:tcPr>
          <w:p w14:paraId="480DCB5F">
            <w:pPr>
              <w:rPr>
                <w:rFonts w:ascii="Arial"/>
                <w:color w:val="auto"/>
                <w:sz w:val="21"/>
                <w:highlight w:val="none"/>
              </w:rPr>
            </w:pPr>
          </w:p>
        </w:tc>
        <w:tc>
          <w:tcPr>
            <w:tcW w:w="2972" w:type="dxa"/>
            <w:noWrap w:val="0"/>
            <w:vAlign w:val="top"/>
          </w:tcPr>
          <w:p w14:paraId="0AC73635">
            <w:pPr>
              <w:pStyle w:val="223"/>
              <w:spacing w:before="52" w:line="228" w:lineRule="auto"/>
              <w:ind w:left="969"/>
              <w:rPr>
                <w:color w:val="auto"/>
                <w:highlight w:val="none"/>
              </w:rPr>
            </w:pPr>
            <w:r>
              <w:rPr>
                <w:color w:val="auto"/>
                <w:spacing w:val="7"/>
                <w:highlight w:val="none"/>
              </w:rPr>
              <w:t>客流统计仪</w:t>
            </w:r>
          </w:p>
        </w:tc>
        <w:tc>
          <w:tcPr>
            <w:tcW w:w="2040" w:type="dxa"/>
            <w:noWrap w:val="0"/>
            <w:vAlign w:val="top"/>
          </w:tcPr>
          <w:p w14:paraId="3550C891">
            <w:pPr>
              <w:pStyle w:val="223"/>
              <w:spacing w:before="52"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778ED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3A563E63">
            <w:pPr>
              <w:rPr>
                <w:rFonts w:ascii="Arial"/>
                <w:color w:val="auto"/>
                <w:sz w:val="21"/>
                <w:highlight w:val="none"/>
              </w:rPr>
            </w:pPr>
          </w:p>
        </w:tc>
        <w:tc>
          <w:tcPr>
            <w:tcW w:w="810" w:type="dxa"/>
            <w:vMerge w:val="continue"/>
            <w:tcBorders>
              <w:top w:val="nil"/>
              <w:bottom w:val="nil"/>
            </w:tcBorders>
            <w:noWrap w:val="0"/>
            <w:vAlign w:val="top"/>
          </w:tcPr>
          <w:p w14:paraId="243BB744">
            <w:pPr>
              <w:rPr>
                <w:rFonts w:ascii="Arial"/>
                <w:color w:val="auto"/>
                <w:sz w:val="21"/>
                <w:highlight w:val="none"/>
              </w:rPr>
            </w:pPr>
          </w:p>
        </w:tc>
        <w:tc>
          <w:tcPr>
            <w:tcW w:w="1756" w:type="dxa"/>
            <w:gridSpan w:val="2"/>
            <w:vMerge w:val="continue"/>
            <w:tcBorders>
              <w:top w:val="nil"/>
              <w:bottom w:val="nil"/>
            </w:tcBorders>
            <w:noWrap w:val="0"/>
            <w:vAlign w:val="top"/>
          </w:tcPr>
          <w:p w14:paraId="34A7E26D">
            <w:pPr>
              <w:rPr>
                <w:rFonts w:ascii="Arial"/>
                <w:color w:val="auto"/>
                <w:sz w:val="21"/>
                <w:highlight w:val="none"/>
              </w:rPr>
            </w:pPr>
          </w:p>
        </w:tc>
        <w:tc>
          <w:tcPr>
            <w:tcW w:w="2972" w:type="dxa"/>
            <w:noWrap w:val="0"/>
            <w:vAlign w:val="top"/>
          </w:tcPr>
          <w:p w14:paraId="2E9A32E2">
            <w:pPr>
              <w:pStyle w:val="223"/>
              <w:spacing w:before="52" w:line="228" w:lineRule="auto"/>
              <w:ind w:left="704"/>
              <w:rPr>
                <w:color w:val="auto"/>
                <w:highlight w:val="none"/>
              </w:rPr>
            </w:pPr>
            <w:r>
              <w:rPr>
                <w:color w:val="auto"/>
                <w:spacing w:val="5"/>
                <w:highlight w:val="none"/>
              </w:rPr>
              <w:t>电子路牌、</w:t>
            </w:r>
            <w:r>
              <w:rPr>
                <w:color w:val="auto"/>
                <w:highlight w:val="none"/>
              </w:rPr>
              <w:t>LED</w:t>
            </w:r>
            <w:r>
              <w:rPr>
                <w:color w:val="auto"/>
                <w:spacing w:val="-38"/>
                <w:highlight w:val="none"/>
              </w:rPr>
              <w:t xml:space="preserve"> </w:t>
            </w:r>
            <w:r>
              <w:rPr>
                <w:color w:val="auto"/>
                <w:spacing w:val="5"/>
                <w:highlight w:val="none"/>
              </w:rPr>
              <w:t>屏</w:t>
            </w:r>
          </w:p>
        </w:tc>
        <w:tc>
          <w:tcPr>
            <w:tcW w:w="2040" w:type="dxa"/>
            <w:noWrap w:val="0"/>
            <w:vAlign w:val="top"/>
          </w:tcPr>
          <w:p w14:paraId="6501A7F5">
            <w:pPr>
              <w:pStyle w:val="223"/>
              <w:spacing w:before="52" w:line="228" w:lineRule="auto"/>
              <w:ind w:left="842"/>
              <w:rPr>
                <w:color w:val="auto"/>
                <w:highlight w:val="none"/>
              </w:rPr>
            </w:pPr>
            <w:r>
              <w:rPr>
                <w:rFonts w:hint="eastAsia"/>
                <w:color w:val="auto"/>
                <w:spacing w:val="-3"/>
                <w:highlight w:val="none"/>
                <w:lang w:val="en-US" w:eastAsia="zh-CN"/>
              </w:rPr>
              <w:t>3</w:t>
            </w:r>
            <w:r>
              <w:rPr>
                <w:color w:val="auto"/>
                <w:spacing w:val="-39"/>
                <w:highlight w:val="none"/>
              </w:rPr>
              <w:t xml:space="preserve"> </w:t>
            </w:r>
            <w:r>
              <w:rPr>
                <w:color w:val="auto"/>
                <w:spacing w:val="-3"/>
                <w:highlight w:val="none"/>
              </w:rPr>
              <w:t>年</w:t>
            </w:r>
          </w:p>
        </w:tc>
      </w:tr>
      <w:tr w14:paraId="158B2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583E680A">
            <w:pPr>
              <w:rPr>
                <w:rFonts w:ascii="Arial"/>
                <w:color w:val="auto"/>
                <w:sz w:val="21"/>
                <w:highlight w:val="none"/>
              </w:rPr>
            </w:pPr>
          </w:p>
        </w:tc>
        <w:tc>
          <w:tcPr>
            <w:tcW w:w="810" w:type="dxa"/>
            <w:vMerge w:val="continue"/>
            <w:tcBorders>
              <w:top w:val="nil"/>
              <w:bottom w:val="nil"/>
            </w:tcBorders>
            <w:noWrap w:val="0"/>
            <w:vAlign w:val="top"/>
          </w:tcPr>
          <w:p w14:paraId="72F6555F">
            <w:pPr>
              <w:rPr>
                <w:rFonts w:ascii="Arial"/>
                <w:color w:val="auto"/>
                <w:sz w:val="21"/>
                <w:highlight w:val="none"/>
              </w:rPr>
            </w:pPr>
          </w:p>
        </w:tc>
        <w:tc>
          <w:tcPr>
            <w:tcW w:w="1756" w:type="dxa"/>
            <w:gridSpan w:val="2"/>
            <w:vMerge w:val="continue"/>
            <w:tcBorders>
              <w:top w:val="nil"/>
              <w:bottom w:val="nil"/>
            </w:tcBorders>
            <w:noWrap w:val="0"/>
            <w:vAlign w:val="top"/>
          </w:tcPr>
          <w:p w14:paraId="4566CCA5">
            <w:pPr>
              <w:rPr>
                <w:rFonts w:ascii="Arial"/>
                <w:color w:val="auto"/>
                <w:sz w:val="21"/>
                <w:highlight w:val="none"/>
              </w:rPr>
            </w:pPr>
          </w:p>
        </w:tc>
        <w:tc>
          <w:tcPr>
            <w:tcW w:w="2972" w:type="dxa"/>
            <w:noWrap w:val="0"/>
            <w:vAlign w:val="top"/>
          </w:tcPr>
          <w:p w14:paraId="24133300">
            <w:pPr>
              <w:pStyle w:val="223"/>
              <w:spacing w:before="51" w:line="229" w:lineRule="auto"/>
              <w:ind w:left="992"/>
              <w:rPr>
                <w:color w:val="auto"/>
                <w:highlight w:val="none"/>
              </w:rPr>
            </w:pPr>
            <w:r>
              <w:rPr>
                <w:color w:val="auto"/>
                <w:highlight w:val="none"/>
              </w:rPr>
              <w:t>LCD</w:t>
            </w:r>
            <w:r>
              <w:rPr>
                <w:color w:val="auto"/>
                <w:spacing w:val="-35"/>
                <w:highlight w:val="none"/>
              </w:rPr>
              <w:t xml:space="preserve"> </w:t>
            </w:r>
            <w:r>
              <w:rPr>
                <w:color w:val="auto"/>
                <w:spacing w:val="8"/>
                <w:highlight w:val="none"/>
              </w:rPr>
              <w:t>导乘屏</w:t>
            </w:r>
          </w:p>
        </w:tc>
        <w:tc>
          <w:tcPr>
            <w:tcW w:w="2040" w:type="dxa"/>
            <w:noWrap w:val="0"/>
            <w:vAlign w:val="top"/>
          </w:tcPr>
          <w:p w14:paraId="2EBBA9AF">
            <w:pPr>
              <w:pStyle w:val="223"/>
              <w:spacing w:before="52" w:line="228" w:lineRule="auto"/>
              <w:ind w:left="842"/>
              <w:rPr>
                <w:color w:val="auto"/>
                <w:highlight w:val="none"/>
              </w:rPr>
            </w:pPr>
            <w:r>
              <w:rPr>
                <w:rFonts w:hint="eastAsia"/>
                <w:color w:val="auto"/>
                <w:spacing w:val="-3"/>
                <w:highlight w:val="none"/>
                <w:lang w:val="en-US" w:eastAsia="zh-CN"/>
              </w:rPr>
              <w:t>3</w:t>
            </w:r>
            <w:r>
              <w:rPr>
                <w:color w:val="auto"/>
                <w:spacing w:val="-39"/>
                <w:highlight w:val="none"/>
              </w:rPr>
              <w:t xml:space="preserve"> </w:t>
            </w:r>
            <w:r>
              <w:rPr>
                <w:color w:val="auto"/>
                <w:spacing w:val="-3"/>
                <w:highlight w:val="none"/>
              </w:rPr>
              <w:t>年</w:t>
            </w:r>
          </w:p>
        </w:tc>
      </w:tr>
      <w:tr w14:paraId="63B13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405C9629">
            <w:pPr>
              <w:rPr>
                <w:rFonts w:ascii="Arial"/>
                <w:color w:val="auto"/>
                <w:sz w:val="21"/>
                <w:highlight w:val="none"/>
              </w:rPr>
            </w:pPr>
          </w:p>
        </w:tc>
        <w:tc>
          <w:tcPr>
            <w:tcW w:w="810" w:type="dxa"/>
            <w:vMerge w:val="continue"/>
            <w:tcBorders>
              <w:top w:val="nil"/>
              <w:bottom w:val="nil"/>
            </w:tcBorders>
            <w:noWrap w:val="0"/>
            <w:vAlign w:val="top"/>
          </w:tcPr>
          <w:p w14:paraId="4EA7B33D">
            <w:pPr>
              <w:rPr>
                <w:rFonts w:ascii="Arial"/>
                <w:color w:val="auto"/>
                <w:sz w:val="21"/>
                <w:highlight w:val="none"/>
              </w:rPr>
            </w:pPr>
          </w:p>
        </w:tc>
        <w:tc>
          <w:tcPr>
            <w:tcW w:w="1756" w:type="dxa"/>
            <w:gridSpan w:val="2"/>
            <w:vMerge w:val="continue"/>
            <w:tcBorders>
              <w:top w:val="nil"/>
              <w:bottom w:val="nil"/>
            </w:tcBorders>
            <w:noWrap w:val="0"/>
            <w:vAlign w:val="top"/>
          </w:tcPr>
          <w:p w14:paraId="601993AA">
            <w:pPr>
              <w:rPr>
                <w:rFonts w:ascii="Arial"/>
                <w:color w:val="auto"/>
                <w:sz w:val="21"/>
                <w:highlight w:val="none"/>
              </w:rPr>
            </w:pPr>
          </w:p>
        </w:tc>
        <w:tc>
          <w:tcPr>
            <w:tcW w:w="2972" w:type="dxa"/>
            <w:noWrap w:val="0"/>
            <w:vAlign w:val="top"/>
          </w:tcPr>
          <w:p w14:paraId="6F625CF1">
            <w:pPr>
              <w:pStyle w:val="223"/>
              <w:spacing w:before="51" w:line="228" w:lineRule="auto"/>
              <w:ind w:left="863"/>
              <w:rPr>
                <w:color w:val="auto"/>
                <w:highlight w:val="none"/>
              </w:rPr>
            </w:pPr>
            <w:r>
              <w:rPr>
                <w:color w:val="auto"/>
                <w:spacing w:val="7"/>
                <w:highlight w:val="none"/>
              </w:rPr>
              <w:t>车辆数据模块</w:t>
            </w:r>
          </w:p>
        </w:tc>
        <w:tc>
          <w:tcPr>
            <w:tcW w:w="2040" w:type="dxa"/>
            <w:noWrap w:val="0"/>
            <w:vAlign w:val="top"/>
          </w:tcPr>
          <w:p w14:paraId="062FA562">
            <w:pPr>
              <w:pStyle w:val="223"/>
              <w:spacing w:before="51"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C23D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52E40380">
            <w:pPr>
              <w:rPr>
                <w:rFonts w:ascii="Arial"/>
                <w:color w:val="auto"/>
                <w:sz w:val="21"/>
                <w:highlight w:val="none"/>
              </w:rPr>
            </w:pPr>
          </w:p>
        </w:tc>
        <w:tc>
          <w:tcPr>
            <w:tcW w:w="810" w:type="dxa"/>
            <w:vMerge w:val="continue"/>
            <w:tcBorders>
              <w:top w:val="nil"/>
              <w:bottom w:val="nil"/>
            </w:tcBorders>
            <w:noWrap w:val="0"/>
            <w:vAlign w:val="top"/>
          </w:tcPr>
          <w:p w14:paraId="31A0B09F">
            <w:pPr>
              <w:rPr>
                <w:rFonts w:ascii="Arial"/>
                <w:color w:val="auto"/>
                <w:sz w:val="21"/>
                <w:highlight w:val="none"/>
              </w:rPr>
            </w:pPr>
          </w:p>
        </w:tc>
        <w:tc>
          <w:tcPr>
            <w:tcW w:w="1756" w:type="dxa"/>
            <w:gridSpan w:val="2"/>
            <w:vMerge w:val="continue"/>
            <w:tcBorders>
              <w:top w:val="nil"/>
              <w:bottom w:val="nil"/>
            </w:tcBorders>
            <w:noWrap w:val="0"/>
            <w:vAlign w:val="top"/>
          </w:tcPr>
          <w:p w14:paraId="1C2549AF">
            <w:pPr>
              <w:rPr>
                <w:rFonts w:ascii="Arial"/>
                <w:color w:val="auto"/>
                <w:sz w:val="21"/>
                <w:highlight w:val="none"/>
              </w:rPr>
            </w:pPr>
          </w:p>
        </w:tc>
        <w:tc>
          <w:tcPr>
            <w:tcW w:w="2972" w:type="dxa"/>
            <w:noWrap w:val="0"/>
            <w:vAlign w:val="top"/>
          </w:tcPr>
          <w:p w14:paraId="7A3E05C1">
            <w:pPr>
              <w:pStyle w:val="223"/>
              <w:spacing w:before="53" w:line="228" w:lineRule="auto"/>
              <w:ind w:left="863"/>
              <w:rPr>
                <w:color w:val="auto"/>
                <w:highlight w:val="none"/>
              </w:rPr>
            </w:pPr>
            <w:r>
              <w:rPr>
                <w:color w:val="auto"/>
                <w:spacing w:val="7"/>
                <w:highlight w:val="none"/>
              </w:rPr>
              <w:t>车身控制模块</w:t>
            </w:r>
          </w:p>
        </w:tc>
        <w:tc>
          <w:tcPr>
            <w:tcW w:w="2040" w:type="dxa"/>
            <w:noWrap w:val="0"/>
            <w:vAlign w:val="top"/>
          </w:tcPr>
          <w:p w14:paraId="18D4407C">
            <w:pPr>
              <w:pStyle w:val="223"/>
              <w:spacing w:before="53"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0C03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948" w:type="dxa"/>
            <w:vMerge w:val="continue"/>
            <w:tcBorders>
              <w:top w:val="nil"/>
              <w:bottom w:val="nil"/>
            </w:tcBorders>
            <w:noWrap w:val="0"/>
            <w:vAlign w:val="top"/>
          </w:tcPr>
          <w:p w14:paraId="63340487">
            <w:pPr>
              <w:rPr>
                <w:rFonts w:ascii="Arial"/>
                <w:color w:val="auto"/>
                <w:sz w:val="21"/>
                <w:highlight w:val="none"/>
              </w:rPr>
            </w:pPr>
          </w:p>
        </w:tc>
        <w:tc>
          <w:tcPr>
            <w:tcW w:w="810" w:type="dxa"/>
            <w:vMerge w:val="continue"/>
            <w:tcBorders>
              <w:top w:val="nil"/>
              <w:bottom w:val="nil"/>
            </w:tcBorders>
            <w:noWrap w:val="0"/>
            <w:vAlign w:val="top"/>
          </w:tcPr>
          <w:p w14:paraId="523DB1FC">
            <w:pPr>
              <w:rPr>
                <w:rFonts w:ascii="Arial"/>
                <w:color w:val="auto"/>
                <w:sz w:val="21"/>
                <w:highlight w:val="none"/>
              </w:rPr>
            </w:pPr>
          </w:p>
        </w:tc>
        <w:tc>
          <w:tcPr>
            <w:tcW w:w="1756" w:type="dxa"/>
            <w:gridSpan w:val="2"/>
            <w:vMerge w:val="continue"/>
            <w:tcBorders>
              <w:top w:val="nil"/>
              <w:bottom w:val="nil"/>
            </w:tcBorders>
            <w:noWrap w:val="0"/>
            <w:vAlign w:val="top"/>
          </w:tcPr>
          <w:p w14:paraId="0F319E04">
            <w:pPr>
              <w:rPr>
                <w:rFonts w:ascii="Arial"/>
                <w:color w:val="auto"/>
                <w:sz w:val="21"/>
                <w:highlight w:val="none"/>
              </w:rPr>
            </w:pPr>
          </w:p>
        </w:tc>
        <w:tc>
          <w:tcPr>
            <w:tcW w:w="2972" w:type="dxa"/>
            <w:noWrap w:val="0"/>
            <w:vAlign w:val="top"/>
          </w:tcPr>
          <w:p w14:paraId="31E7709F">
            <w:pPr>
              <w:pStyle w:val="223"/>
              <w:spacing w:before="72" w:line="228" w:lineRule="auto"/>
              <w:ind w:left="970"/>
              <w:rPr>
                <w:color w:val="auto"/>
                <w:highlight w:val="none"/>
              </w:rPr>
            </w:pPr>
            <w:r>
              <w:rPr>
                <w:color w:val="auto"/>
                <w:spacing w:val="7"/>
                <w:highlight w:val="none"/>
              </w:rPr>
              <w:t>行车记录仪</w:t>
            </w:r>
          </w:p>
        </w:tc>
        <w:tc>
          <w:tcPr>
            <w:tcW w:w="2040" w:type="dxa"/>
            <w:noWrap w:val="0"/>
            <w:vAlign w:val="top"/>
          </w:tcPr>
          <w:p w14:paraId="674267BC">
            <w:pPr>
              <w:pStyle w:val="223"/>
              <w:spacing w:before="72"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55498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687CEF88">
            <w:pPr>
              <w:rPr>
                <w:rFonts w:ascii="Arial"/>
                <w:color w:val="auto"/>
                <w:sz w:val="21"/>
                <w:highlight w:val="none"/>
              </w:rPr>
            </w:pPr>
          </w:p>
        </w:tc>
        <w:tc>
          <w:tcPr>
            <w:tcW w:w="810" w:type="dxa"/>
            <w:vMerge w:val="continue"/>
            <w:tcBorders>
              <w:top w:val="nil"/>
            </w:tcBorders>
            <w:noWrap w:val="0"/>
            <w:vAlign w:val="top"/>
          </w:tcPr>
          <w:p w14:paraId="1A59AF1E">
            <w:pPr>
              <w:rPr>
                <w:rFonts w:ascii="Arial"/>
                <w:color w:val="auto"/>
                <w:sz w:val="21"/>
                <w:highlight w:val="none"/>
              </w:rPr>
            </w:pPr>
          </w:p>
        </w:tc>
        <w:tc>
          <w:tcPr>
            <w:tcW w:w="1756" w:type="dxa"/>
            <w:gridSpan w:val="2"/>
            <w:vMerge w:val="continue"/>
            <w:tcBorders>
              <w:top w:val="nil"/>
            </w:tcBorders>
            <w:noWrap w:val="0"/>
            <w:vAlign w:val="top"/>
          </w:tcPr>
          <w:p w14:paraId="0552644E">
            <w:pPr>
              <w:rPr>
                <w:rFonts w:ascii="Arial"/>
                <w:color w:val="auto"/>
                <w:sz w:val="21"/>
                <w:highlight w:val="none"/>
              </w:rPr>
            </w:pPr>
          </w:p>
        </w:tc>
        <w:tc>
          <w:tcPr>
            <w:tcW w:w="2972" w:type="dxa"/>
            <w:noWrap w:val="0"/>
            <w:vAlign w:val="top"/>
          </w:tcPr>
          <w:p w14:paraId="50770340">
            <w:pPr>
              <w:pStyle w:val="223"/>
              <w:spacing w:before="52" w:line="228" w:lineRule="auto"/>
              <w:ind w:left="549"/>
              <w:rPr>
                <w:color w:val="auto"/>
                <w:highlight w:val="none"/>
              </w:rPr>
            </w:pPr>
            <w:r>
              <w:rPr>
                <w:color w:val="auto"/>
                <w:spacing w:val="16"/>
                <w:highlight w:val="none"/>
              </w:rPr>
              <w:t>车辆仪表和</w:t>
            </w:r>
            <w:r>
              <w:rPr>
                <w:color w:val="auto"/>
                <w:highlight w:val="none"/>
              </w:rPr>
              <w:t>CAN</w:t>
            </w:r>
            <w:r>
              <w:rPr>
                <w:color w:val="auto"/>
                <w:spacing w:val="-34"/>
                <w:highlight w:val="none"/>
              </w:rPr>
              <w:t xml:space="preserve"> </w:t>
            </w:r>
            <w:r>
              <w:rPr>
                <w:color w:val="auto"/>
                <w:spacing w:val="16"/>
                <w:highlight w:val="none"/>
              </w:rPr>
              <w:t>总线</w:t>
            </w:r>
          </w:p>
        </w:tc>
        <w:tc>
          <w:tcPr>
            <w:tcW w:w="2040" w:type="dxa"/>
            <w:noWrap w:val="0"/>
            <w:vAlign w:val="top"/>
          </w:tcPr>
          <w:p w14:paraId="2D146E1F">
            <w:pPr>
              <w:pStyle w:val="223"/>
              <w:spacing w:before="52"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73A36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48" w:type="dxa"/>
            <w:vMerge w:val="continue"/>
            <w:tcBorders>
              <w:top w:val="nil"/>
              <w:bottom w:val="nil"/>
            </w:tcBorders>
            <w:noWrap w:val="0"/>
            <w:vAlign w:val="top"/>
          </w:tcPr>
          <w:p w14:paraId="565D8494">
            <w:pPr>
              <w:rPr>
                <w:rFonts w:ascii="Arial"/>
                <w:color w:val="auto"/>
                <w:sz w:val="21"/>
                <w:highlight w:val="none"/>
              </w:rPr>
            </w:pPr>
          </w:p>
        </w:tc>
        <w:tc>
          <w:tcPr>
            <w:tcW w:w="810" w:type="dxa"/>
            <w:vMerge w:val="restart"/>
            <w:tcBorders>
              <w:bottom w:val="nil"/>
            </w:tcBorders>
            <w:noWrap w:val="0"/>
            <w:vAlign w:val="top"/>
          </w:tcPr>
          <w:p w14:paraId="60BF0594">
            <w:pPr>
              <w:spacing w:line="257" w:lineRule="auto"/>
              <w:rPr>
                <w:rFonts w:ascii="Arial"/>
                <w:color w:val="auto"/>
                <w:sz w:val="21"/>
                <w:highlight w:val="none"/>
              </w:rPr>
            </w:pPr>
          </w:p>
          <w:p w14:paraId="739BA158">
            <w:pPr>
              <w:pStyle w:val="223"/>
              <w:spacing w:before="65" w:line="187" w:lineRule="auto"/>
              <w:ind w:left="360"/>
              <w:rPr>
                <w:color w:val="auto"/>
                <w:highlight w:val="none"/>
              </w:rPr>
            </w:pPr>
            <w:r>
              <w:rPr>
                <w:color w:val="auto"/>
                <w:highlight w:val="none"/>
              </w:rPr>
              <w:t>7</w:t>
            </w:r>
          </w:p>
        </w:tc>
        <w:tc>
          <w:tcPr>
            <w:tcW w:w="1756" w:type="dxa"/>
            <w:gridSpan w:val="2"/>
            <w:vMerge w:val="restart"/>
            <w:tcBorders>
              <w:bottom w:val="nil"/>
            </w:tcBorders>
            <w:noWrap w:val="0"/>
            <w:vAlign w:val="top"/>
          </w:tcPr>
          <w:p w14:paraId="40BFEE8D">
            <w:pPr>
              <w:pStyle w:val="223"/>
              <w:spacing w:before="289" w:line="228" w:lineRule="auto"/>
              <w:ind w:left="288"/>
              <w:rPr>
                <w:color w:val="auto"/>
                <w:highlight w:val="none"/>
              </w:rPr>
            </w:pPr>
            <w:r>
              <w:rPr>
                <w:color w:val="auto"/>
                <w:spacing w:val="2"/>
                <w:highlight w:val="none"/>
              </w:rPr>
              <w:t>自动灭火系统</w:t>
            </w:r>
          </w:p>
        </w:tc>
        <w:tc>
          <w:tcPr>
            <w:tcW w:w="2972" w:type="dxa"/>
            <w:noWrap w:val="0"/>
            <w:vAlign w:val="top"/>
          </w:tcPr>
          <w:p w14:paraId="7D5C0A6A">
            <w:pPr>
              <w:pStyle w:val="223"/>
              <w:spacing w:before="90" w:line="228" w:lineRule="auto"/>
              <w:ind w:left="572"/>
              <w:rPr>
                <w:color w:val="auto"/>
                <w:highlight w:val="none"/>
              </w:rPr>
            </w:pPr>
            <w:r>
              <w:rPr>
                <w:color w:val="auto"/>
                <w:spacing w:val="6"/>
                <w:highlight w:val="none"/>
              </w:rPr>
              <w:t>电池箱专用灭火装置</w:t>
            </w:r>
          </w:p>
        </w:tc>
        <w:tc>
          <w:tcPr>
            <w:tcW w:w="2040" w:type="dxa"/>
            <w:noWrap w:val="0"/>
            <w:vAlign w:val="top"/>
          </w:tcPr>
          <w:p w14:paraId="6169BC5F">
            <w:pPr>
              <w:pStyle w:val="223"/>
              <w:spacing w:before="9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10316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48" w:type="dxa"/>
            <w:vMerge w:val="continue"/>
            <w:tcBorders>
              <w:top w:val="nil"/>
              <w:bottom w:val="nil"/>
            </w:tcBorders>
            <w:noWrap w:val="0"/>
            <w:vAlign w:val="top"/>
          </w:tcPr>
          <w:p w14:paraId="6294684E">
            <w:pPr>
              <w:rPr>
                <w:rFonts w:ascii="Arial"/>
                <w:color w:val="auto"/>
                <w:sz w:val="21"/>
                <w:highlight w:val="none"/>
              </w:rPr>
            </w:pPr>
          </w:p>
        </w:tc>
        <w:tc>
          <w:tcPr>
            <w:tcW w:w="810" w:type="dxa"/>
            <w:vMerge w:val="continue"/>
            <w:tcBorders>
              <w:top w:val="nil"/>
            </w:tcBorders>
            <w:noWrap w:val="0"/>
            <w:vAlign w:val="top"/>
          </w:tcPr>
          <w:p w14:paraId="3C007E6C">
            <w:pPr>
              <w:rPr>
                <w:rFonts w:ascii="Arial"/>
                <w:color w:val="auto"/>
                <w:sz w:val="21"/>
                <w:highlight w:val="none"/>
              </w:rPr>
            </w:pPr>
          </w:p>
        </w:tc>
        <w:tc>
          <w:tcPr>
            <w:tcW w:w="1756" w:type="dxa"/>
            <w:gridSpan w:val="2"/>
            <w:vMerge w:val="continue"/>
            <w:tcBorders>
              <w:top w:val="nil"/>
            </w:tcBorders>
            <w:noWrap w:val="0"/>
            <w:vAlign w:val="top"/>
          </w:tcPr>
          <w:p w14:paraId="463ECE88">
            <w:pPr>
              <w:rPr>
                <w:rFonts w:ascii="Arial"/>
                <w:color w:val="auto"/>
                <w:sz w:val="21"/>
                <w:highlight w:val="none"/>
              </w:rPr>
            </w:pPr>
          </w:p>
        </w:tc>
        <w:tc>
          <w:tcPr>
            <w:tcW w:w="2972" w:type="dxa"/>
            <w:noWrap w:val="0"/>
            <w:vAlign w:val="top"/>
          </w:tcPr>
          <w:p w14:paraId="412FFEE4">
            <w:pPr>
              <w:pStyle w:val="223"/>
              <w:spacing w:before="90" w:line="228" w:lineRule="auto"/>
              <w:ind w:left="553"/>
              <w:rPr>
                <w:color w:val="auto"/>
                <w:highlight w:val="none"/>
              </w:rPr>
            </w:pPr>
            <w:r>
              <w:rPr>
                <w:color w:val="auto"/>
                <w:spacing w:val="8"/>
                <w:highlight w:val="none"/>
              </w:rPr>
              <w:t>高压仓自动灭火装置</w:t>
            </w:r>
          </w:p>
        </w:tc>
        <w:tc>
          <w:tcPr>
            <w:tcW w:w="2040" w:type="dxa"/>
            <w:noWrap w:val="0"/>
            <w:vAlign w:val="top"/>
          </w:tcPr>
          <w:p w14:paraId="72D06B14">
            <w:pPr>
              <w:pStyle w:val="223"/>
              <w:spacing w:before="9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2C038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48" w:type="dxa"/>
            <w:vMerge w:val="continue"/>
            <w:tcBorders>
              <w:top w:val="nil"/>
              <w:bottom w:val="nil"/>
            </w:tcBorders>
            <w:noWrap w:val="0"/>
            <w:vAlign w:val="top"/>
          </w:tcPr>
          <w:p w14:paraId="6D5BF785">
            <w:pPr>
              <w:rPr>
                <w:rFonts w:ascii="Arial"/>
                <w:color w:val="auto"/>
                <w:sz w:val="21"/>
                <w:highlight w:val="none"/>
              </w:rPr>
            </w:pPr>
          </w:p>
        </w:tc>
        <w:tc>
          <w:tcPr>
            <w:tcW w:w="810" w:type="dxa"/>
            <w:vMerge w:val="restart"/>
            <w:tcBorders>
              <w:bottom w:val="nil"/>
            </w:tcBorders>
            <w:noWrap w:val="0"/>
            <w:vAlign w:val="top"/>
          </w:tcPr>
          <w:p w14:paraId="05F31A9C">
            <w:pPr>
              <w:spacing w:line="256" w:lineRule="auto"/>
              <w:rPr>
                <w:rFonts w:ascii="Arial"/>
                <w:color w:val="auto"/>
                <w:sz w:val="21"/>
                <w:highlight w:val="none"/>
              </w:rPr>
            </w:pPr>
          </w:p>
          <w:p w14:paraId="370313C8">
            <w:pPr>
              <w:pStyle w:val="223"/>
              <w:spacing w:before="65" w:line="189" w:lineRule="auto"/>
              <w:ind w:left="356"/>
              <w:rPr>
                <w:color w:val="auto"/>
                <w:highlight w:val="none"/>
              </w:rPr>
            </w:pPr>
            <w:r>
              <w:rPr>
                <w:color w:val="auto"/>
                <w:highlight w:val="none"/>
              </w:rPr>
              <w:t>8</w:t>
            </w:r>
          </w:p>
        </w:tc>
        <w:tc>
          <w:tcPr>
            <w:tcW w:w="1756" w:type="dxa"/>
            <w:gridSpan w:val="2"/>
            <w:vMerge w:val="restart"/>
            <w:tcBorders>
              <w:bottom w:val="nil"/>
            </w:tcBorders>
            <w:noWrap w:val="0"/>
            <w:vAlign w:val="top"/>
          </w:tcPr>
          <w:p w14:paraId="5D7D0408">
            <w:pPr>
              <w:pStyle w:val="223"/>
              <w:spacing w:before="289" w:line="230" w:lineRule="auto"/>
              <w:ind w:left="469"/>
              <w:rPr>
                <w:color w:val="auto"/>
                <w:highlight w:val="none"/>
              </w:rPr>
            </w:pPr>
            <w:r>
              <w:rPr>
                <w:color w:val="auto"/>
                <w:spacing w:val="5"/>
                <w:highlight w:val="none"/>
              </w:rPr>
              <w:t>空调系统</w:t>
            </w:r>
          </w:p>
        </w:tc>
        <w:tc>
          <w:tcPr>
            <w:tcW w:w="2972" w:type="dxa"/>
            <w:noWrap w:val="0"/>
            <w:vAlign w:val="top"/>
          </w:tcPr>
          <w:p w14:paraId="689088C2">
            <w:pPr>
              <w:pStyle w:val="223"/>
              <w:spacing w:before="90" w:line="229" w:lineRule="auto"/>
              <w:ind w:left="549"/>
              <w:rPr>
                <w:color w:val="auto"/>
                <w:highlight w:val="none"/>
              </w:rPr>
            </w:pPr>
            <w:r>
              <w:rPr>
                <w:color w:val="auto"/>
                <w:spacing w:val="8"/>
                <w:highlight w:val="none"/>
              </w:rPr>
              <w:t>冷暖一体电空调总成</w:t>
            </w:r>
          </w:p>
        </w:tc>
        <w:tc>
          <w:tcPr>
            <w:tcW w:w="2040" w:type="dxa"/>
            <w:noWrap w:val="0"/>
            <w:vAlign w:val="top"/>
          </w:tcPr>
          <w:p w14:paraId="5C7E243D">
            <w:pPr>
              <w:pStyle w:val="223"/>
              <w:spacing w:before="91"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71B59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48" w:type="dxa"/>
            <w:vMerge w:val="continue"/>
            <w:tcBorders>
              <w:top w:val="nil"/>
              <w:bottom w:val="nil"/>
            </w:tcBorders>
            <w:noWrap w:val="0"/>
            <w:vAlign w:val="top"/>
          </w:tcPr>
          <w:p w14:paraId="418EFC5C">
            <w:pPr>
              <w:rPr>
                <w:rFonts w:ascii="Arial"/>
                <w:color w:val="auto"/>
                <w:sz w:val="21"/>
                <w:highlight w:val="none"/>
              </w:rPr>
            </w:pPr>
          </w:p>
        </w:tc>
        <w:tc>
          <w:tcPr>
            <w:tcW w:w="810" w:type="dxa"/>
            <w:vMerge w:val="continue"/>
            <w:tcBorders>
              <w:top w:val="nil"/>
            </w:tcBorders>
            <w:noWrap w:val="0"/>
            <w:vAlign w:val="top"/>
          </w:tcPr>
          <w:p w14:paraId="2286C8B5">
            <w:pPr>
              <w:rPr>
                <w:rFonts w:ascii="Arial"/>
                <w:color w:val="auto"/>
                <w:sz w:val="21"/>
                <w:highlight w:val="none"/>
              </w:rPr>
            </w:pPr>
          </w:p>
        </w:tc>
        <w:tc>
          <w:tcPr>
            <w:tcW w:w="1756" w:type="dxa"/>
            <w:gridSpan w:val="2"/>
            <w:vMerge w:val="continue"/>
            <w:tcBorders>
              <w:top w:val="nil"/>
            </w:tcBorders>
            <w:noWrap w:val="0"/>
            <w:vAlign w:val="top"/>
          </w:tcPr>
          <w:p w14:paraId="44366F96">
            <w:pPr>
              <w:rPr>
                <w:rFonts w:ascii="Arial"/>
                <w:color w:val="auto"/>
                <w:sz w:val="21"/>
                <w:highlight w:val="none"/>
              </w:rPr>
            </w:pPr>
          </w:p>
        </w:tc>
        <w:tc>
          <w:tcPr>
            <w:tcW w:w="2972" w:type="dxa"/>
            <w:noWrap w:val="0"/>
            <w:vAlign w:val="top"/>
          </w:tcPr>
          <w:p w14:paraId="5EB44414">
            <w:pPr>
              <w:pStyle w:val="223"/>
              <w:spacing w:before="90" w:line="228" w:lineRule="auto"/>
              <w:ind w:left="1097"/>
              <w:rPr>
                <w:color w:val="auto"/>
                <w:highlight w:val="none"/>
              </w:rPr>
            </w:pPr>
            <w:r>
              <w:rPr>
                <w:color w:val="auto"/>
                <w:spacing w:val="1"/>
                <w:highlight w:val="none"/>
              </w:rPr>
              <w:t>电除霜机</w:t>
            </w:r>
          </w:p>
        </w:tc>
        <w:tc>
          <w:tcPr>
            <w:tcW w:w="2040" w:type="dxa"/>
            <w:noWrap w:val="0"/>
            <w:vAlign w:val="top"/>
          </w:tcPr>
          <w:p w14:paraId="5B4F8D85">
            <w:pPr>
              <w:pStyle w:val="223"/>
              <w:spacing w:before="91"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C7CC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610696C7">
            <w:pPr>
              <w:rPr>
                <w:rFonts w:ascii="Arial"/>
                <w:color w:val="auto"/>
                <w:sz w:val="21"/>
                <w:highlight w:val="none"/>
              </w:rPr>
            </w:pPr>
          </w:p>
        </w:tc>
        <w:tc>
          <w:tcPr>
            <w:tcW w:w="810" w:type="dxa"/>
            <w:vMerge w:val="restart"/>
            <w:noWrap w:val="0"/>
            <w:vAlign w:val="center"/>
          </w:tcPr>
          <w:p w14:paraId="43794201">
            <w:pPr>
              <w:pStyle w:val="223"/>
              <w:spacing w:before="143" w:line="190" w:lineRule="auto"/>
              <w:ind w:left="318" w:leftChars="0"/>
              <w:jc w:val="both"/>
              <w:rPr>
                <w:rFonts w:ascii="Arial"/>
                <w:color w:val="auto"/>
                <w:sz w:val="21"/>
                <w:highlight w:val="none"/>
              </w:rPr>
            </w:pPr>
            <w:r>
              <w:rPr>
                <w:rFonts w:hint="eastAsia"/>
                <w:color w:val="auto"/>
                <w:spacing w:val="-7"/>
                <w:highlight w:val="none"/>
                <w:lang w:val="en-US" w:eastAsia="zh-CN"/>
              </w:rPr>
              <w:t>9</w:t>
            </w:r>
          </w:p>
        </w:tc>
        <w:tc>
          <w:tcPr>
            <w:tcW w:w="1756" w:type="dxa"/>
            <w:gridSpan w:val="2"/>
            <w:vMerge w:val="restart"/>
            <w:noWrap w:val="0"/>
            <w:vAlign w:val="center"/>
          </w:tcPr>
          <w:p w14:paraId="06EAA527">
            <w:pPr>
              <w:pStyle w:val="223"/>
              <w:spacing w:before="112" w:line="228" w:lineRule="auto"/>
              <w:ind w:left="267" w:leftChars="0"/>
              <w:jc w:val="both"/>
              <w:rPr>
                <w:rFonts w:ascii="Arial"/>
                <w:color w:val="auto"/>
                <w:sz w:val="21"/>
                <w:highlight w:val="none"/>
              </w:rPr>
            </w:pPr>
            <w:r>
              <w:rPr>
                <w:color w:val="auto"/>
                <w:spacing w:val="5"/>
                <w:highlight w:val="none"/>
              </w:rPr>
              <w:t>易损、易耗件</w:t>
            </w:r>
          </w:p>
        </w:tc>
        <w:tc>
          <w:tcPr>
            <w:tcW w:w="2972" w:type="dxa"/>
            <w:noWrap w:val="0"/>
            <w:vAlign w:val="top"/>
          </w:tcPr>
          <w:p w14:paraId="27DEB533">
            <w:pPr>
              <w:pStyle w:val="223"/>
              <w:spacing w:before="209" w:line="229" w:lineRule="auto"/>
              <w:ind w:left="1179"/>
              <w:rPr>
                <w:color w:val="auto"/>
                <w:highlight w:val="none"/>
              </w:rPr>
            </w:pPr>
            <w:r>
              <w:rPr>
                <w:color w:val="auto"/>
                <w:spacing w:val="6"/>
                <w:highlight w:val="none"/>
              </w:rPr>
              <w:t>制动片</w:t>
            </w:r>
          </w:p>
        </w:tc>
        <w:tc>
          <w:tcPr>
            <w:tcW w:w="2040" w:type="dxa"/>
            <w:noWrap w:val="0"/>
            <w:vAlign w:val="top"/>
          </w:tcPr>
          <w:p w14:paraId="6DC0BD21">
            <w:pPr>
              <w:pStyle w:val="223"/>
              <w:spacing w:before="52" w:line="261" w:lineRule="auto"/>
              <w:ind w:left="290" w:right="109" w:hanging="171"/>
              <w:rPr>
                <w:color w:val="auto"/>
                <w:highlight w:val="none"/>
              </w:rPr>
            </w:pPr>
            <w:r>
              <w:rPr>
                <w:color w:val="auto"/>
                <w:highlight w:val="none"/>
              </w:rPr>
              <w:t>常规磨损不保修，保</w:t>
            </w:r>
            <w:r>
              <w:rPr>
                <w:color w:val="auto"/>
                <w:spacing w:val="5"/>
                <w:highlight w:val="none"/>
              </w:rPr>
              <w:t xml:space="preserve"> </w:t>
            </w:r>
            <w:r>
              <w:rPr>
                <w:color w:val="auto"/>
                <w:spacing w:val="8"/>
                <w:highlight w:val="none"/>
              </w:rPr>
              <w:t>养周期自行更换</w:t>
            </w:r>
          </w:p>
        </w:tc>
      </w:tr>
      <w:tr w14:paraId="5CFD5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2A414593">
            <w:pPr>
              <w:rPr>
                <w:rFonts w:ascii="Arial"/>
                <w:color w:val="auto"/>
                <w:sz w:val="21"/>
                <w:highlight w:val="none"/>
              </w:rPr>
            </w:pPr>
          </w:p>
        </w:tc>
        <w:tc>
          <w:tcPr>
            <w:tcW w:w="810" w:type="dxa"/>
            <w:vMerge w:val="continue"/>
            <w:noWrap w:val="0"/>
            <w:vAlign w:val="top"/>
          </w:tcPr>
          <w:p w14:paraId="24CEF779">
            <w:pPr>
              <w:rPr>
                <w:rFonts w:ascii="Arial"/>
                <w:color w:val="auto"/>
                <w:sz w:val="21"/>
                <w:highlight w:val="none"/>
              </w:rPr>
            </w:pPr>
          </w:p>
        </w:tc>
        <w:tc>
          <w:tcPr>
            <w:tcW w:w="1756" w:type="dxa"/>
            <w:gridSpan w:val="2"/>
            <w:vMerge w:val="continue"/>
            <w:noWrap w:val="0"/>
            <w:vAlign w:val="top"/>
          </w:tcPr>
          <w:p w14:paraId="29AA8C5A">
            <w:pPr>
              <w:rPr>
                <w:rFonts w:ascii="Arial"/>
                <w:color w:val="auto"/>
                <w:sz w:val="21"/>
                <w:highlight w:val="none"/>
              </w:rPr>
            </w:pPr>
          </w:p>
        </w:tc>
        <w:tc>
          <w:tcPr>
            <w:tcW w:w="2972" w:type="dxa"/>
            <w:noWrap w:val="0"/>
            <w:vAlign w:val="top"/>
          </w:tcPr>
          <w:p w14:paraId="6AFE6018">
            <w:pPr>
              <w:pStyle w:val="223"/>
              <w:spacing w:before="210" w:line="229" w:lineRule="auto"/>
              <w:ind w:left="1179"/>
              <w:rPr>
                <w:color w:val="auto"/>
                <w:highlight w:val="none"/>
              </w:rPr>
            </w:pPr>
            <w:r>
              <w:rPr>
                <w:color w:val="auto"/>
                <w:spacing w:val="6"/>
                <w:highlight w:val="none"/>
              </w:rPr>
              <w:t>制动盘</w:t>
            </w:r>
          </w:p>
        </w:tc>
        <w:tc>
          <w:tcPr>
            <w:tcW w:w="2040" w:type="dxa"/>
            <w:noWrap w:val="0"/>
            <w:vAlign w:val="top"/>
          </w:tcPr>
          <w:p w14:paraId="180FAE5F">
            <w:pPr>
              <w:pStyle w:val="223"/>
              <w:spacing w:before="54" w:line="260" w:lineRule="auto"/>
              <w:ind w:left="290" w:right="109" w:hanging="171"/>
              <w:rPr>
                <w:color w:val="auto"/>
                <w:highlight w:val="none"/>
              </w:rPr>
            </w:pPr>
            <w:r>
              <w:rPr>
                <w:color w:val="auto"/>
                <w:highlight w:val="none"/>
              </w:rPr>
              <w:t>常规磨损不保修，保</w:t>
            </w:r>
            <w:r>
              <w:rPr>
                <w:color w:val="auto"/>
                <w:spacing w:val="5"/>
                <w:highlight w:val="none"/>
              </w:rPr>
              <w:t xml:space="preserve"> </w:t>
            </w:r>
            <w:r>
              <w:rPr>
                <w:color w:val="auto"/>
                <w:spacing w:val="8"/>
                <w:highlight w:val="none"/>
              </w:rPr>
              <w:t>养周期自行更换</w:t>
            </w:r>
          </w:p>
        </w:tc>
      </w:tr>
      <w:tr w14:paraId="1A3FD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36D4BC6B">
            <w:pPr>
              <w:rPr>
                <w:rFonts w:ascii="Arial"/>
                <w:color w:val="auto"/>
                <w:sz w:val="21"/>
                <w:highlight w:val="none"/>
              </w:rPr>
            </w:pPr>
          </w:p>
        </w:tc>
        <w:tc>
          <w:tcPr>
            <w:tcW w:w="810" w:type="dxa"/>
            <w:vMerge w:val="continue"/>
            <w:noWrap w:val="0"/>
            <w:vAlign w:val="top"/>
          </w:tcPr>
          <w:p w14:paraId="5CEE4C8F">
            <w:pPr>
              <w:rPr>
                <w:rFonts w:ascii="Arial"/>
                <w:color w:val="auto"/>
                <w:sz w:val="21"/>
                <w:highlight w:val="none"/>
              </w:rPr>
            </w:pPr>
          </w:p>
        </w:tc>
        <w:tc>
          <w:tcPr>
            <w:tcW w:w="1756" w:type="dxa"/>
            <w:gridSpan w:val="2"/>
            <w:vMerge w:val="continue"/>
            <w:noWrap w:val="0"/>
            <w:vAlign w:val="top"/>
          </w:tcPr>
          <w:p w14:paraId="69477363">
            <w:pPr>
              <w:rPr>
                <w:rFonts w:ascii="Arial"/>
                <w:color w:val="auto"/>
                <w:sz w:val="21"/>
                <w:highlight w:val="none"/>
              </w:rPr>
            </w:pPr>
          </w:p>
        </w:tc>
        <w:tc>
          <w:tcPr>
            <w:tcW w:w="2972" w:type="dxa"/>
            <w:noWrap w:val="0"/>
            <w:vAlign w:val="top"/>
          </w:tcPr>
          <w:p w14:paraId="2A316BA0">
            <w:pPr>
              <w:pStyle w:val="223"/>
              <w:spacing w:before="210" w:line="229" w:lineRule="auto"/>
              <w:ind w:left="1186"/>
              <w:rPr>
                <w:color w:val="auto"/>
                <w:highlight w:val="none"/>
              </w:rPr>
            </w:pPr>
            <w:r>
              <w:rPr>
                <w:color w:val="auto"/>
                <w:spacing w:val="4"/>
                <w:highlight w:val="none"/>
              </w:rPr>
              <w:t>雨刮片</w:t>
            </w:r>
          </w:p>
        </w:tc>
        <w:tc>
          <w:tcPr>
            <w:tcW w:w="2040" w:type="dxa"/>
            <w:noWrap w:val="0"/>
            <w:vAlign w:val="top"/>
          </w:tcPr>
          <w:p w14:paraId="7C648C39">
            <w:pPr>
              <w:pStyle w:val="223"/>
              <w:spacing w:before="54" w:line="260" w:lineRule="auto"/>
              <w:ind w:left="290" w:right="109" w:hanging="171"/>
              <w:rPr>
                <w:color w:val="auto"/>
                <w:highlight w:val="none"/>
              </w:rPr>
            </w:pPr>
            <w:r>
              <w:rPr>
                <w:color w:val="auto"/>
                <w:highlight w:val="none"/>
              </w:rPr>
              <w:t>常规磨损不保修，保</w:t>
            </w:r>
            <w:r>
              <w:rPr>
                <w:color w:val="auto"/>
                <w:spacing w:val="5"/>
                <w:highlight w:val="none"/>
              </w:rPr>
              <w:t xml:space="preserve"> </w:t>
            </w:r>
            <w:r>
              <w:rPr>
                <w:color w:val="auto"/>
                <w:spacing w:val="8"/>
                <w:highlight w:val="none"/>
              </w:rPr>
              <w:t>养周期自行更换</w:t>
            </w:r>
          </w:p>
        </w:tc>
      </w:tr>
      <w:tr w14:paraId="303A2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8" w:type="dxa"/>
            <w:vMerge w:val="continue"/>
            <w:tcBorders>
              <w:top w:val="nil"/>
              <w:bottom w:val="nil"/>
            </w:tcBorders>
            <w:noWrap w:val="0"/>
            <w:vAlign w:val="top"/>
          </w:tcPr>
          <w:p w14:paraId="1C39E27B">
            <w:pPr>
              <w:rPr>
                <w:rFonts w:ascii="Arial"/>
                <w:color w:val="auto"/>
                <w:sz w:val="21"/>
                <w:highlight w:val="none"/>
              </w:rPr>
            </w:pPr>
          </w:p>
        </w:tc>
        <w:tc>
          <w:tcPr>
            <w:tcW w:w="810" w:type="dxa"/>
            <w:vMerge w:val="continue"/>
            <w:noWrap w:val="0"/>
            <w:vAlign w:val="top"/>
          </w:tcPr>
          <w:p w14:paraId="5BB60FD4">
            <w:pPr>
              <w:rPr>
                <w:rFonts w:ascii="Arial"/>
                <w:color w:val="auto"/>
                <w:sz w:val="21"/>
                <w:highlight w:val="none"/>
              </w:rPr>
            </w:pPr>
          </w:p>
        </w:tc>
        <w:tc>
          <w:tcPr>
            <w:tcW w:w="1756" w:type="dxa"/>
            <w:gridSpan w:val="2"/>
            <w:vMerge w:val="continue"/>
            <w:noWrap w:val="0"/>
            <w:vAlign w:val="top"/>
          </w:tcPr>
          <w:p w14:paraId="5E1CF3C5">
            <w:pPr>
              <w:rPr>
                <w:rFonts w:ascii="Arial"/>
                <w:color w:val="auto"/>
                <w:sz w:val="21"/>
                <w:highlight w:val="none"/>
              </w:rPr>
            </w:pPr>
          </w:p>
        </w:tc>
        <w:tc>
          <w:tcPr>
            <w:tcW w:w="2972" w:type="dxa"/>
            <w:noWrap w:val="0"/>
            <w:vAlign w:val="top"/>
          </w:tcPr>
          <w:p w14:paraId="0B162823">
            <w:pPr>
              <w:pStyle w:val="223"/>
              <w:spacing w:before="210" w:line="228" w:lineRule="auto"/>
              <w:ind w:left="759"/>
              <w:rPr>
                <w:color w:val="auto"/>
                <w:highlight w:val="none"/>
              </w:rPr>
            </w:pPr>
            <w:r>
              <w:rPr>
                <w:color w:val="auto"/>
                <w:spacing w:val="8"/>
                <w:highlight w:val="none"/>
              </w:rPr>
              <w:t>压缩空气干燥器</w:t>
            </w:r>
          </w:p>
        </w:tc>
        <w:tc>
          <w:tcPr>
            <w:tcW w:w="2040" w:type="dxa"/>
            <w:noWrap w:val="0"/>
            <w:vAlign w:val="top"/>
          </w:tcPr>
          <w:p w14:paraId="29C7E6B9">
            <w:pPr>
              <w:pStyle w:val="223"/>
              <w:spacing w:before="55" w:line="260" w:lineRule="auto"/>
              <w:ind w:left="290" w:right="109" w:hanging="141"/>
              <w:rPr>
                <w:color w:val="auto"/>
                <w:highlight w:val="none"/>
              </w:rPr>
            </w:pPr>
            <w:r>
              <w:rPr>
                <w:color w:val="auto"/>
                <w:spacing w:val="-3"/>
                <w:highlight w:val="none"/>
              </w:rPr>
              <w:t>自然损耗不保修，保</w:t>
            </w:r>
            <w:r>
              <w:rPr>
                <w:color w:val="auto"/>
                <w:spacing w:val="2"/>
                <w:highlight w:val="none"/>
              </w:rPr>
              <w:t xml:space="preserve"> </w:t>
            </w:r>
            <w:r>
              <w:rPr>
                <w:color w:val="auto"/>
                <w:spacing w:val="8"/>
                <w:highlight w:val="none"/>
              </w:rPr>
              <w:t>养周期自行更换</w:t>
            </w:r>
          </w:p>
        </w:tc>
      </w:tr>
      <w:tr w14:paraId="742B0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8" w:type="dxa"/>
            <w:vMerge w:val="continue"/>
            <w:tcBorders>
              <w:top w:val="nil"/>
              <w:bottom w:val="nil"/>
            </w:tcBorders>
            <w:noWrap w:val="0"/>
            <w:vAlign w:val="top"/>
          </w:tcPr>
          <w:p w14:paraId="1B47AE73">
            <w:pPr>
              <w:rPr>
                <w:rFonts w:ascii="Arial"/>
                <w:color w:val="auto"/>
                <w:sz w:val="21"/>
                <w:highlight w:val="none"/>
              </w:rPr>
            </w:pPr>
          </w:p>
        </w:tc>
        <w:tc>
          <w:tcPr>
            <w:tcW w:w="810" w:type="dxa"/>
            <w:vMerge w:val="continue"/>
            <w:noWrap w:val="0"/>
            <w:vAlign w:val="top"/>
          </w:tcPr>
          <w:p w14:paraId="6AAD7369">
            <w:pPr>
              <w:rPr>
                <w:rFonts w:ascii="Arial"/>
                <w:color w:val="auto"/>
                <w:sz w:val="21"/>
                <w:highlight w:val="none"/>
              </w:rPr>
            </w:pPr>
          </w:p>
        </w:tc>
        <w:tc>
          <w:tcPr>
            <w:tcW w:w="1756" w:type="dxa"/>
            <w:gridSpan w:val="2"/>
            <w:vMerge w:val="continue"/>
            <w:noWrap w:val="0"/>
            <w:vAlign w:val="top"/>
          </w:tcPr>
          <w:p w14:paraId="126DBF1F">
            <w:pPr>
              <w:rPr>
                <w:rFonts w:ascii="Arial"/>
                <w:color w:val="auto"/>
                <w:sz w:val="21"/>
                <w:highlight w:val="none"/>
              </w:rPr>
            </w:pPr>
          </w:p>
        </w:tc>
        <w:tc>
          <w:tcPr>
            <w:tcW w:w="2972" w:type="dxa"/>
            <w:noWrap w:val="0"/>
            <w:vAlign w:val="top"/>
          </w:tcPr>
          <w:p w14:paraId="2C698551">
            <w:pPr>
              <w:pStyle w:val="223"/>
              <w:spacing w:before="210" w:line="229" w:lineRule="auto"/>
              <w:ind w:left="655"/>
              <w:rPr>
                <w:color w:val="auto"/>
                <w:highlight w:val="none"/>
              </w:rPr>
            </w:pPr>
            <w:r>
              <w:rPr>
                <w:color w:val="auto"/>
                <w:spacing w:val="8"/>
                <w:highlight w:val="none"/>
              </w:rPr>
              <w:t>各种油液、润滑脂</w:t>
            </w:r>
          </w:p>
        </w:tc>
        <w:tc>
          <w:tcPr>
            <w:tcW w:w="2040" w:type="dxa"/>
            <w:noWrap w:val="0"/>
            <w:vAlign w:val="top"/>
          </w:tcPr>
          <w:p w14:paraId="3966394A">
            <w:pPr>
              <w:pStyle w:val="223"/>
              <w:spacing w:before="55" w:line="260" w:lineRule="auto"/>
              <w:ind w:left="290" w:right="125" w:hanging="122"/>
              <w:rPr>
                <w:color w:val="auto"/>
                <w:highlight w:val="none"/>
              </w:rPr>
            </w:pPr>
            <w:r>
              <w:rPr>
                <w:color w:val="auto"/>
                <w:spacing w:val="4"/>
                <w:highlight w:val="none"/>
              </w:rPr>
              <w:t>自然损耗不保修,保</w:t>
            </w:r>
            <w:r>
              <w:rPr>
                <w:color w:val="auto"/>
                <w:spacing w:val="3"/>
                <w:highlight w:val="none"/>
              </w:rPr>
              <w:t xml:space="preserve"> </w:t>
            </w:r>
            <w:r>
              <w:rPr>
                <w:color w:val="auto"/>
                <w:spacing w:val="8"/>
                <w:highlight w:val="none"/>
              </w:rPr>
              <w:t>养周期自行更换</w:t>
            </w:r>
          </w:p>
        </w:tc>
      </w:tr>
      <w:tr w14:paraId="03E81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8" w:type="dxa"/>
            <w:vMerge w:val="continue"/>
            <w:tcBorders>
              <w:top w:val="nil"/>
              <w:bottom w:val="nil"/>
            </w:tcBorders>
            <w:noWrap w:val="0"/>
            <w:vAlign w:val="top"/>
          </w:tcPr>
          <w:p w14:paraId="5C43A3CF">
            <w:pPr>
              <w:rPr>
                <w:rFonts w:ascii="Arial"/>
                <w:color w:val="auto"/>
                <w:sz w:val="21"/>
                <w:highlight w:val="none"/>
              </w:rPr>
            </w:pPr>
          </w:p>
        </w:tc>
        <w:tc>
          <w:tcPr>
            <w:tcW w:w="810" w:type="dxa"/>
            <w:vMerge w:val="continue"/>
            <w:noWrap w:val="0"/>
            <w:vAlign w:val="top"/>
          </w:tcPr>
          <w:p w14:paraId="5E7697C4">
            <w:pPr>
              <w:rPr>
                <w:rFonts w:ascii="Arial"/>
                <w:color w:val="auto"/>
                <w:sz w:val="21"/>
                <w:highlight w:val="none"/>
              </w:rPr>
            </w:pPr>
          </w:p>
        </w:tc>
        <w:tc>
          <w:tcPr>
            <w:tcW w:w="1756" w:type="dxa"/>
            <w:gridSpan w:val="2"/>
            <w:vMerge w:val="continue"/>
            <w:noWrap w:val="0"/>
            <w:vAlign w:val="top"/>
          </w:tcPr>
          <w:p w14:paraId="0FC4D400">
            <w:pPr>
              <w:rPr>
                <w:rFonts w:ascii="Arial"/>
                <w:color w:val="auto"/>
                <w:sz w:val="21"/>
                <w:highlight w:val="none"/>
              </w:rPr>
            </w:pPr>
          </w:p>
        </w:tc>
        <w:tc>
          <w:tcPr>
            <w:tcW w:w="2972" w:type="dxa"/>
            <w:noWrap w:val="0"/>
            <w:vAlign w:val="top"/>
          </w:tcPr>
          <w:p w14:paraId="1516792D">
            <w:pPr>
              <w:pStyle w:val="223"/>
              <w:spacing w:before="210" w:line="228" w:lineRule="auto"/>
              <w:ind w:left="1075"/>
              <w:rPr>
                <w:color w:val="auto"/>
                <w:highlight w:val="none"/>
              </w:rPr>
            </w:pPr>
            <w:r>
              <w:rPr>
                <w:color w:val="auto"/>
                <w:spacing w:val="6"/>
                <w:highlight w:val="none"/>
              </w:rPr>
              <w:t>各类油封</w:t>
            </w:r>
          </w:p>
        </w:tc>
        <w:tc>
          <w:tcPr>
            <w:tcW w:w="2040" w:type="dxa"/>
            <w:noWrap w:val="0"/>
            <w:vAlign w:val="top"/>
          </w:tcPr>
          <w:p w14:paraId="193A038A">
            <w:pPr>
              <w:pStyle w:val="223"/>
              <w:spacing w:before="53" w:line="261" w:lineRule="auto"/>
              <w:ind w:left="289" w:right="125" w:hanging="151"/>
              <w:rPr>
                <w:color w:val="auto"/>
                <w:highlight w:val="none"/>
              </w:rPr>
            </w:pPr>
            <w:r>
              <w:rPr>
                <w:color w:val="auto"/>
                <w:spacing w:val="7"/>
                <w:highlight w:val="none"/>
              </w:rPr>
              <w:t>常规磨损不保修,保</w:t>
            </w:r>
            <w:r>
              <w:rPr>
                <w:color w:val="auto"/>
                <w:spacing w:val="6"/>
                <w:highlight w:val="none"/>
              </w:rPr>
              <w:t xml:space="preserve"> </w:t>
            </w:r>
            <w:r>
              <w:rPr>
                <w:color w:val="auto"/>
                <w:spacing w:val="8"/>
                <w:highlight w:val="none"/>
              </w:rPr>
              <w:t>养周期自行更换</w:t>
            </w:r>
          </w:p>
        </w:tc>
      </w:tr>
      <w:tr w14:paraId="61364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38654204">
            <w:pPr>
              <w:rPr>
                <w:rFonts w:ascii="Arial"/>
                <w:color w:val="auto"/>
                <w:sz w:val="21"/>
                <w:highlight w:val="none"/>
              </w:rPr>
            </w:pPr>
          </w:p>
        </w:tc>
        <w:tc>
          <w:tcPr>
            <w:tcW w:w="810" w:type="dxa"/>
            <w:vMerge w:val="continue"/>
            <w:noWrap w:val="0"/>
            <w:vAlign w:val="top"/>
          </w:tcPr>
          <w:p w14:paraId="7E21C06B">
            <w:pPr>
              <w:rPr>
                <w:rFonts w:ascii="Arial"/>
                <w:color w:val="auto"/>
                <w:sz w:val="21"/>
                <w:highlight w:val="none"/>
              </w:rPr>
            </w:pPr>
          </w:p>
        </w:tc>
        <w:tc>
          <w:tcPr>
            <w:tcW w:w="1756" w:type="dxa"/>
            <w:gridSpan w:val="2"/>
            <w:vMerge w:val="continue"/>
            <w:noWrap w:val="0"/>
            <w:vAlign w:val="top"/>
          </w:tcPr>
          <w:p w14:paraId="26128840">
            <w:pPr>
              <w:rPr>
                <w:rFonts w:ascii="Arial"/>
                <w:color w:val="auto"/>
                <w:sz w:val="21"/>
                <w:highlight w:val="none"/>
              </w:rPr>
            </w:pPr>
          </w:p>
        </w:tc>
        <w:tc>
          <w:tcPr>
            <w:tcW w:w="2972" w:type="dxa"/>
            <w:noWrap w:val="0"/>
            <w:vAlign w:val="top"/>
          </w:tcPr>
          <w:p w14:paraId="306DAF86">
            <w:pPr>
              <w:pStyle w:val="223"/>
              <w:spacing w:before="212" w:line="228" w:lineRule="auto"/>
              <w:ind w:right="9"/>
              <w:jc w:val="right"/>
              <w:rPr>
                <w:color w:val="auto"/>
                <w:highlight w:val="none"/>
              </w:rPr>
            </w:pPr>
            <w:r>
              <w:rPr>
                <w:color w:val="auto"/>
                <w:spacing w:val="2"/>
                <w:highlight w:val="none"/>
              </w:rPr>
              <w:t>各类滤芯（含一次性更换总成）</w:t>
            </w:r>
          </w:p>
        </w:tc>
        <w:tc>
          <w:tcPr>
            <w:tcW w:w="2040" w:type="dxa"/>
            <w:noWrap w:val="0"/>
            <w:vAlign w:val="top"/>
          </w:tcPr>
          <w:p w14:paraId="62060503">
            <w:pPr>
              <w:pStyle w:val="223"/>
              <w:spacing w:before="56" w:line="259" w:lineRule="auto"/>
              <w:ind w:left="290" w:right="125" w:hanging="122"/>
              <w:rPr>
                <w:color w:val="auto"/>
                <w:highlight w:val="none"/>
              </w:rPr>
            </w:pPr>
            <w:r>
              <w:rPr>
                <w:color w:val="auto"/>
                <w:spacing w:val="4"/>
                <w:highlight w:val="none"/>
              </w:rPr>
              <w:t>自然损耗不保修,保</w:t>
            </w:r>
            <w:r>
              <w:rPr>
                <w:color w:val="auto"/>
                <w:spacing w:val="3"/>
                <w:highlight w:val="none"/>
              </w:rPr>
              <w:t xml:space="preserve"> </w:t>
            </w:r>
            <w:r>
              <w:rPr>
                <w:color w:val="auto"/>
                <w:spacing w:val="8"/>
                <w:highlight w:val="none"/>
              </w:rPr>
              <w:t>养周期自行更换</w:t>
            </w:r>
          </w:p>
        </w:tc>
      </w:tr>
      <w:tr w14:paraId="0E940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48" w:type="dxa"/>
            <w:vMerge w:val="continue"/>
            <w:tcBorders>
              <w:top w:val="nil"/>
            </w:tcBorders>
            <w:noWrap w:val="0"/>
            <w:vAlign w:val="top"/>
          </w:tcPr>
          <w:p w14:paraId="4BFF9B00">
            <w:pPr>
              <w:rPr>
                <w:rFonts w:ascii="Arial"/>
                <w:color w:val="auto"/>
                <w:sz w:val="21"/>
                <w:highlight w:val="none"/>
              </w:rPr>
            </w:pPr>
          </w:p>
        </w:tc>
        <w:tc>
          <w:tcPr>
            <w:tcW w:w="810" w:type="dxa"/>
            <w:vMerge w:val="continue"/>
            <w:noWrap w:val="0"/>
            <w:vAlign w:val="top"/>
          </w:tcPr>
          <w:p w14:paraId="3ECC16CF">
            <w:pPr>
              <w:rPr>
                <w:rFonts w:ascii="Arial"/>
                <w:color w:val="auto"/>
                <w:sz w:val="21"/>
                <w:highlight w:val="none"/>
              </w:rPr>
            </w:pPr>
          </w:p>
        </w:tc>
        <w:tc>
          <w:tcPr>
            <w:tcW w:w="1756" w:type="dxa"/>
            <w:gridSpan w:val="2"/>
            <w:vMerge w:val="continue"/>
            <w:noWrap w:val="0"/>
            <w:vAlign w:val="top"/>
          </w:tcPr>
          <w:p w14:paraId="2FB26996">
            <w:pPr>
              <w:rPr>
                <w:rFonts w:ascii="Arial"/>
                <w:color w:val="auto"/>
                <w:sz w:val="21"/>
                <w:highlight w:val="none"/>
              </w:rPr>
            </w:pPr>
          </w:p>
        </w:tc>
        <w:tc>
          <w:tcPr>
            <w:tcW w:w="2972" w:type="dxa"/>
            <w:noWrap w:val="0"/>
            <w:vAlign w:val="top"/>
          </w:tcPr>
          <w:p w14:paraId="7A65B1A1">
            <w:pPr>
              <w:pStyle w:val="223"/>
              <w:spacing w:before="111" w:line="228" w:lineRule="auto"/>
              <w:ind w:left="1179"/>
              <w:rPr>
                <w:color w:val="auto"/>
                <w:highlight w:val="none"/>
              </w:rPr>
            </w:pPr>
            <w:r>
              <w:rPr>
                <w:color w:val="auto"/>
                <w:spacing w:val="6"/>
                <w:highlight w:val="none"/>
              </w:rPr>
              <w:t>制冷剂</w:t>
            </w:r>
          </w:p>
        </w:tc>
        <w:tc>
          <w:tcPr>
            <w:tcW w:w="2040" w:type="dxa"/>
            <w:noWrap w:val="0"/>
            <w:vAlign w:val="top"/>
          </w:tcPr>
          <w:p w14:paraId="63309382">
            <w:pPr>
              <w:pStyle w:val="223"/>
              <w:spacing w:before="112" w:line="228" w:lineRule="auto"/>
              <w:ind w:left="324"/>
              <w:rPr>
                <w:color w:val="auto"/>
                <w:highlight w:val="none"/>
              </w:rPr>
            </w:pPr>
            <w:r>
              <w:rPr>
                <w:color w:val="auto"/>
                <w:spacing w:val="3"/>
                <w:highlight w:val="none"/>
              </w:rPr>
              <w:t>自然损耗不保修</w:t>
            </w:r>
          </w:p>
        </w:tc>
      </w:tr>
    </w:tbl>
    <w:p w14:paraId="5E6C7C1B">
      <w:pPr>
        <w:pStyle w:val="17"/>
        <w:tabs>
          <w:tab w:val="left" w:pos="574"/>
        </w:tabs>
        <w:spacing w:line="207" w:lineRule="exact"/>
        <w:rPr>
          <w:color w:val="auto"/>
          <w:sz w:val="18"/>
          <w:highlight w:val="none"/>
        </w:rPr>
      </w:pPr>
    </w:p>
    <w:p w14:paraId="08A3A88B">
      <w:pPr>
        <w:spacing w:line="207" w:lineRule="exact"/>
        <w:rPr>
          <w:color w:val="auto"/>
          <w:sz w:val="18"/>
          <w:szCs w:val="18"/>
          <w:highlight w:val="none"/>
        </w:rPr>
        <w:sectPr>
          <w:footerReference r:id="rId18" w:type="default"/>
          <w:pgSz w:w="11906" w:h="16839"/>
          <w:pgMar w:top="1431" w:right="1687" w:bottom="1231" w:left="1687" w:header="0" w:footer="984" w:gutter="0"/>
          <w:pgNumType w:fmt="decimal"/>
          <w:cols w:space="720" w:num="1"/>
        </w:sectPr>
      </w:pPr>
    </w:p>
    <w:p w14:paraId="7170B2DF">
      <w:pPr>
        <w:spacing w:line="91" w:lineRule="auto"/>
        <w:rPr>
          <w:rFonts w:ascii="Arial"/>
          <w:color w:val="auto"/>
          <w:sz w:val="2"/>
          <w:highlight w:val="none"/>
        </w:rPr>
      </w:pPr>
    </w:p>
    <w:tbl>
      <w:tblPr>
        <w:tblStyle w:val="22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810"/>
        <w:gridCol w:w="1756"/>
        <w:gridCol w:w="2972"/>
        <w:gridCol w:w="2040"/>
      </w:tblGrid>
      <w:tr w14:paraId="550FB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1" w:hRule="atLeast"/>
        </w:trPr>
        <w:tc>
          <w:tcPr>
            <w:tcW w:w="948" w:type="dxa"/>
            <w:vMerge w:val="restart"/>
            <w:tcBorders>
              <w:bottom w:val="nil"/>
            </w:tcBorders>
            <w:noWrap w:val="0"/>
            <w:vAlign w:val="top"/>
          </w:tcPr>
          <w:p w14:paraId="3EEA8362">
            <w:pPr>
              <w:rPr>
                <w:rFonts w:ascii="Arial"/>
                <w:color w:val="auto"/>
                <w:sz w:val="21"/>
                <w:highlight w:val="none"/>
              </w:rPr>
            </w:pPr>
          </w:p>
        </w:tc>
        <w:tc>
          <w:tcPr>
            <w:tcW w:w="810" w:type="dxa"/>
            <w:vMerge w:val="restart"/>
            <w:noWrap w:val="0"/>
            <w:vAlign w:val="top"/>
          </w:tcPr>
          <w:p w14:paraId="533A160D">
            <w:pPr>
              <w:pStyle w:val="223"/>
              <w:spacing w:before="143" w:line="190" w:lineRule="auto"/>
              <w:ind w:left="318"/>
              <w:rPr>
                <w:rFonts w:hint="eastAsia" w:eastAsia="宋体"/>
                <w:color w:val="auto"/>
                <w:highlight w:val="none"/>
                <w:lang w:eastAsia="zh-CN"/>
              </w:rPr>
            </w:pPr>
            <w:r>
              <w:rPr>
                <w:rFonts w:hint="eastAsia"/>
                <w:color w:val="auto"/>
                <w:spacing w:val="-7"/>
                <w:highlight w:val="none"/>
                <w:lang w:val="en-US" w:eastAsia="zh-CN"/>
              </w:rPr>
              <w:t>9</w:t>
            </w:r>
          </w:p>
        </w:tc>
        <w:tc>
          <w:tcPr>
            <w:tcW w:w="1756" w:type="dxa"/>
            <w:vMerge w:val="restart"/>
            <w:noWrap w:val="0"/>
            <w:vAlign w:val="top"/>
          </w:tcPr>
          <w:p w14:paraId="260FB71F">
            <w:pPr>
              <w:pStyle w:val="223"/>
              <w:spacing w:before="112" w:line="228" w:lineRule="auto"/>
              <w:ind w:left="267"/>
              <w:rPr>
                <w:color w:val="auto"/>
                <w:highlight w:val="none"/>
              </w:rPr>
            </w:pPr>
            <w:r>
              <w:rPr>
                <w:color w:val="auto"/>
                <w:spacing w:val="5"/>
                <w:highlight w:val="none"/>
              </w:rPr>
              <w:t>易损、易耗件</w:t>
            </w:r>
          </w:p>
        </w:tc>
        <w:tc>
          <w:tcPr>
            <w:tcW w:w="2972" w:type="dxa"/>
            <w:noWrap w:val="0"/>
            <w:vAlign w:val="top"/>
          </w:tcPr>
          <w:p w14:paraId="2F1DA1E5">
            <w:pPr>
              <w:pStyle w:val="223"/>
              <w:spacing w:before="111" w:line="229" w:lineRule="auto"/>
              <w:ind w:left="1180"/>
              <w:rPr>
                <w:color w:val="auto"/>
                <w:highlight w:val="none"/>
              </w:rPr>
            </w:pPr>
            <w:r>
              <w:rPr>
                <w:color w:val="auto"/>
                <w:spacing w:val="6"/>
                <w:highlight w:val="none"/>
              </w:rPr>
              <w:t>冷却液</w:t>
            </w:r>
          </w:p>
        </w:tc>
        <w:tc>
          <w:tcPr>
            <w:tcW w:w="2040" w:type="dxa"/>
            <w:noWrap w:val="0"/>
            <w:vAlign w:val="top"/>
          </w:tcPr>
          <w:p w14:paraId="1A4967DC">
            <w:pPr>
              <w:pStyle w:val="223"/>
              <w:spacing w:before="112" w:line="228" w:lineRule="auto"/>
              <w:ind w:left="324"/>
              <w:rPr>
                <w:color w:val="auto"/>
                <w:highlight w:val="none"/>
              </w:rPr>
            </w:pPr>
            <w:r>
              <w:rPr>
                <w:color w:val="auto"/>
                <w:spacing w:val="3"/>
                <w:highlight w:val="none"/>
              </w:rPr>
              <w:t>自然损耗不保修</w:t>
            </w:r>
          </w:p>
        </w:tc>
      </w:tr>
      <w:tr w14:paraId="363EC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48" w:type="dxa"/>
            <w:vMerge w:val="continue"/>
            <w:tcBorders>
              <w:top w:val="nil"/>
              <w:bottom w:val="nil"/>
            </w:tcBorders>
            <w:noWrap w:val="0"/>
            <w:vAlign w:val="top"/>
          </w:tcPr>
          <w:p w14:paraId="39BF9942">
            <w:pPr>
              <w:rPr>
                <w:rFonts w:ascii="Arial"/>
                <w:color w:val="auto"/>
                <w:sz w:val="21"/>
                <w:highlight w:val="none"/>
              </w:rPr>
            </w:pPr>
          </w:p>
        </w:tc>
        <w:tc>
          <w:tcPr>
            <w:tcW w:w="810" w:type="dxa"/>
            <w:vMerge w:val="continue"/>
            <w:noWrap w:val="0"/>
            <w:vAlign w:val="top"/>
          </w:tcPr>
          <w:p w14:paraId="035CBB68">
            <w:pPr>
              <w:rPr>
                <w:rFonts w:ascii="Arial"/>
                <w:color w:val="auto"/>
                <w:sz w:val="21"/>
                <w:highlight w:val="none"/>
              </w:rPr>
            </w:pPr>
          </w:p>
        </w:tc>
        <w:tc>
          <w:tcPr>
            <w:tcW w:w="1756" w:type="dxa"/>
            <w:vMerge w:val="continue"/>
            <w:noWrap w:val="0"/>
            <w:vAlign w:val="top"/>
          </w:tcPr>
          <w:p w14:paraId="263B4AED">
            <w:pPr>
              <w:rPr>
                <w:rFonts w:ascii="Arial"/>
                <w:color w:val="auto"/>
                <w:sz w:val="21"/>
                <w:highlight w:val="none"/>
              </w:rPr>
            </w:pPr>
          </w:p>
        </w:tc>
        <w:tc>
          <w:tcPr>
            <w:tcW w:w="2972" w:type="dxa"/>
            <w:noWrap w:val="0"/>
            <w:vAlign w:val="top"/>
          </w:tcPr>
          <w:p w14:paraId="103DB8BE">
            <w:pPr>
              <w:spacing w:line="297" w:lineRule="auto"/>
              <w:rPr>
                <w:rFonts w:ascii="Arial"/>
                <w:color w:val="auto"/>
                <w:sz w:val="21"/>
                <w:highlight w:val="none"/>
              </w:rPr>
            </w:pPr>
          </w:p>
          <w:p w14:paraId="50936B68">
            <w:pPr>
              <w:pStyle w:val="223"/>
              <w:spacing w:before="65" w:line="230" w:lineRule="auto"/>
              <w:ind w:left="1285"/>
              <w:rPr>
                <w:color w:val="auto"/>
                <w:highlight w:val="none"/>
              </w:rPr>
            </w:pPr>
            <w:r>
              <w:rPr>
                <w:color w:val="auto"/>
                <w:spacing w:val="3"/>
                <w:highlight w:val="none"/>
              </w:rPr>
              <w:t>油漆</w:t>
            </w:r>
          </w:p>
        </w:tc>
        <w:tc>
          <w:tcPr>
            <w:tcW w:w="2040" w:type="dxa"/>
            <w:noWrap w:val="0"/>
            <w:vAlign w:val="top"/>
          </w:tcPr>
          <w:p w14:paraId="0B025528">
            <w:pPr>
              <w:pStyle w:val="223"/>
              <w:spacing w:before="52" w:line="229" w:lineRule="auto"/>
              <w:ind w:left="118"/>
              <w:rPr>
                <w:color w:val="auto"/>
                <w:highlight w:val="none"/>
              </w:rPr>
            </w:pPr>
            <w:r>
              <w:rPr>
                <w:color w:val="auto"/>
                <w:highlight w:val="none"/>
              </w:rPr>
              <w:t>正常褪色、老化不保</w:t>
            </w:r>
          </w:p>
          <w:p w14:paraId="133AF720">
            <w:pPr>
              <w:pStyle w:val="223"/>
              <w:spacing w:before="64" w:line="228" w:lineRule="auto"/>
              <w:ind w:left="133"/>
              <w:rPr>
                <w:color w:val="auto"/>
                <w:highlight w:val="none"/>
              </w:rPr>
            </w:pPr>
            <w:r>
              <w:rPr>
                <w:color w:val="auto"/>
                <w:spacing w:val="3"/>
                <w:highlight w:val="none"/>
              </w:rPr>
              <w:t>修</w:t>
            </w:r>
            <w:r>
              <w:rPr>
                <w:color w:val="auto"/>
                <w:spacing w:val="-53"/>
                <w:highlight w:val="none"/>
              </w:rPr>
              <w:t xml:space="preserve"> </w:t>
            </w:r>
            <w:r>
              <w:rPr>
                <w:color w:val="auto"/>
                <w:spacing w:val="3"/>
                <w:highlight w:val="none"/>
              </w:rPr>
              <w:t>;大面积掉漆等异</w:t>
            </w:r>
          </w:p>
          <w:p w14:paraId="27DD4090">
            <w:pPr>
              <w:pStyle w:val="223"/>
              <w:spacing w:before="64" w:line="228" w:lineRule="auto"/>
              <w:ind w:left="714"/>
              <w:rPr>
                <w:color w:val="auto"/>
                <w:highlight w:val="none"/>
              </w:rPr>
            </w:pPr>
            <w:r>
              <w:rPr>
                <w:color w:val="auto"/>
                <w:spacing w:val="5"/>
                <w:highlight w:val="none"/>
              </w:rPr>
              <w:t>常索赔</w:t>
            </w:r>
          </w:p>
        </w:tc>
      </w:tr>
      <w:tr w14:paraId="4A013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948" w:type="dxa"/>
            <w:vMerge w:val="continue"/>
            <w:tcBorders>
              <w:top w:val="nil"/>
              <w:bottom w:val="nil"/>
            </w:tcBorders>
            <w:noWrap w:val="0"/>
            <w:vAlign w:val="top"/>
          </w:tcPr>
          <w:p w14:paraId="3160DD86">
            <w:pPr>
              <w:rPr>
                <w:rFonts w:ascii="Arial"/>
                <w:color w:val="auto"/>
                <w:sz w:val="21"/>
                <w:highlight w:val="none"/>
              </w:rPr>
            </w:pPr>
          </w:p>
        </w:tc>
        <w:tc>
          <w:tcPr>
            <w:tcW w:w="810" w:type="dxa"/>
            <w:vMerge w:val="continue"/>
            <w:noWrap w:val="0"/>
            <w:vAlign w:val="top"/>
          </w:tcPr>
          <w:p w14:paraId="5235DEDF">
            <w:pPr>
              <w:rPr>
                <w:rFonts w:ascii="Arial"/>
                <w:color w:val="auto"/>
                <w:sz w:val="21"/>
                <w:highlight w:val="none"/>
              </w:rPr>
            </w:pPr>
          </w:p>
        </w:tc>
        <w:tc>
          <w:tcPr>
            <w:tcW w:w="1756" w:type="dxa"/>
            <w:vMerge w:val="continue"/>
            <w:noWrap w:val="0"/>
            <w:vAlign w:val="top"/>
          </w:tcPr>
          <w:p w14:paraId="3D692580">
            <w:pPr>
              <w:rPr>
                <w:rFonts w:ascii="Arial"/>
                <w:color w:val="auto"/>
                <w:sz w:val="21"/>
                <w:highlight w:val="none"/>
              </w:rPr>
            </w:pPr>
          </w:p>
        </w:tc>
        <w:tc>
          <w:tcPr>
            <w:tcW w:w="2972" w:type="dxa"/>
            <w:noWrap w:val="0"/>
            <w:vAlign w:val="top"/>
          </w:tcPr>
          <w:p w14:paraId="44840361">
            <w:pPr>
              <w:pStyle w:val="223"/>
              <w:spacing w:before="108" w:line="229" w:lineRule="auto"/>
              <w:ind w:left="1281"/>
              <w:rPr>
                <w:color w:val="auto"/>
                <w:highlight w:val="none"/>
              </w:rPr>
            </w:pPr>
            <w:r>
              <w:rPr>
                <w:color w:val="auto"/>
                <w:spacing w:val="5"/>
                <w:highlight w:val="none"/>
              </w:rPr>
              <w:t>灯泡</w:t>
            </w:r>
          </w:p>
        </w:tc>
        <w:tc>
          <w:tcPr>
            <w:tcW w:w="2040" w:type="dxa"/>
            <w:noWrap w:val="0"/>
            <w:vAlign w:val="top"/>
          </w:tcPr>
          <w:p w14:paraId="1236DD52">
            <w:pPr>
              <w:pStyle w:val="223"/>
              <w:spacing w:before="107" w:line="226" w:lineRule="auto"/>
              <w:ind w:left="240"/>
              <w:rPr>
                <w:color w:val="auto"/>
                <w:highlight w:val="none"/>
              </w:rPr>
            </w:pPr>
            <w:r>
              <w:rPr>
                <w:color w:val="auto"/>
                <w:spacing w:val="2"/>
                <w:highlight w:val="none"/>
              </w:rPr>
              <w:t>不保修,</w:t>
            </w:r>
            <w:r>
              <w:rPr>
                <w:color w:val="auto"/>
                <w:spacing w:val="-54"/>
                <w:highlight w:val="none"/>
              </w:rPr>
              <w:t xml:space="preserve"> </w:t>
            </w:r>
            <w:r>
              <w:rPr>
                <w:color w:val="auto"/>
                <w:spacing w:val="2"/>
                <w:highlight w:val="none"/>
              </w:rPr>
              <w:t>自行更换</w:t>
            </w:r>
          </w:p>
        </w:tc>
      </w:tr>
      <w:tr w14:paraId="35FEA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48" w:type="dxa"/>
            <w:vMerge w:val="continue"/>
            <w:tcBorders>
              <w:top w:val="nil"/>
              <w:bottom w:val="nil"/>
            </w:tcBorders>
            <w:noWrap w:val="0"/>
            <w:vAlign w:val="top"/>
          </w:tcPr>
          <w:p w14:paraId="3DB8DEB7">
            <w:pPr>
              <w:rPr>
                <w:rFonts w:ascii="Arial"/>
                <w:color w:val="auto"/>
                <w:sz w:val="21"/>
                <w:highlight w:val="none"/>
              </w:rPr>
            </w:pPr>
          </w:p>
        </w:tc>
        <w:tc>
          <w:tcPr>
            <w:tcW w:w="810" w:type="dxa"/>
            <w:vMerge w:val="continue"/>
            <w:noWrap w:val="0"/>
            <w:vAlign w:val="top"/>
          </w:tcPr>
          <w:p w14:paraId="153C7D14">
            <w:pPr>
              <w:rPr>
                <w:rFonts w:ascii="Arial"/>
                <w:color w:val="auto"/>
                <w:sz w:val="21"/>
                <w:highlight w:val="none"/>
              </w:rPr>
            </w:pPr>
          </w:p>
        </w:tc>
        <w:tc>
          <w:tcPr>
            <w:tcW w:w="1756" w:type="dxa"/>
            <w:vMerge w:val="continue"/>
            <w:noWrap w:val="0"/>
            <w:vAlign w:val="top"/>
          </w:tcPr>
          <w:p w14:paraId="56246CC8">
            <w:pPr>
              <w:rPr>
                <w:rFonts w:ascii="Arial"/>
                <w:color w:val="auto"/>
                <w:sz w:val="21"/>
                <w:highlight w:val="none"/>
              </w:rPr>
            </w:pPr>
          </w:p>
        </w:tc>
        <w:tc>
          <w:tcPr>
            <w:tcW w:w="2972" w:type="dxa"/>
            <w:noWrap w:val="0"/>
            <w:vAlign w:val="top"/>
          </w:tcPr>
          <w:p w14:paraId="5E02F10B">
            <w:pPr>
              <w:pStyle w:val="223"/>
              <w:spacing w:before="109" w:line="229" w:lineRule="auto"/>
              <w:ind w:left="966"/>
              <w:rPr>
                <w:color w:val="auto"/>
                <w:highlight w:val="none"/>
              </w:rPr>
            </w:pPr>
            <w:r>
              <w:rPr>
                <w:color w:val="auto"/>
                <w:spacing w:val="8"/>
                <w:highlight w:val="none"/>
              </w:rPr>
              <w:t>低压保险丝</w:t>
            </w:r>
          </w:p>
        </w:tc>
        <w:tc>
          <w:tcPr>
            <w:tcW w:w="2040" w:type="dxa"/>
            <w:noWrap w:val="0"/>
            <w:vAlign w:val="top"/>
          </w:tcPr>
          <w:p w14:paraId="39DE9F9D">
            <w:pPr>
              <w:pStyle w:val="223"/>
              <w:spacing w:before="108" w:line="226" w:lineRule="auto"/>
              <w:ind w:left="240"/>
              <w:rPr>
                <w:color w:val="auto"/>
                <w:highlight w:val="none"/>
              </w:rPr>
            </w:pPr>
            <w:r>
              <w:rPr>
                <w:color w:val="auto"/>
                <w:spacing w:val="2"/>
                <w:highlight w:val="none"/>
              </w:rPr>
              <w:t>不保修,</w:t>
            </w:r>
            <w:r>
              <w:rPr>
                <w:color w:val="auto"/>
                <w:spacing w:val="-54"/>
                <w:highlight w:val="none"/>
              </w:rPr>
              <w:t xml:space="preserve"> </w:t>
            </w:r>
            <w:r>
              <w:rPr>
                <w:color w:val="auto"/>
                <w:spacing w:val="2"/>
                <w:highlight w:val="none"/>
              </w:rPr>
              <w:t>自行更换</w:t>
            </w:r>
          </w:p>
        </w:tc>
      </w:tr>
      <w:tr w14:paraId="5F496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7E4CCF04">
            <w:pPr>
              <w:rPr>
                <w:rFonts w:ascii="Arial"/>
                <w:color w:val="auto"/>
                <w:sz w:val="21"/>
                <w:highlight w:val="none"/>
              </w:rPr>
            </w:pPr>
          </w:p>
        </w:tc>
        <w:tc>
          <w:tcPr>
            <w:tcW w:w="810" w:type="dxa"/>
            <w:vMerge w:val="continue"/>
            <w:noWrap w:val="0"/>
            <w:vAlign w:val="top"/>
          </w:tcPr>
          <w:p w14:paraId="2A37E3D6">
            <w:pPr>
              <w:rPr>
                <w:rFonts w:ascii="Arial"/>
                <w:color w:val="auto"/>
                <w:sz w:val="21"/>
                <w:highlight w:val="none"/>
              </w:rPr>
            </w:pPr>
          </w:p>
        </w:tc>
        <w:tc>
          <w:tcPr>
            <w:tcW w:w="1756" w:type="dxa"/>
            <w:vMerge w:val="continue"/>
            <w:noWrap w:val="0"/>
            <w:vAlign w:val="top"/>
          </w:tcPr>
          <w:p w14:paraId="70BA628D">
            <w:pPr>
              <w:rPr>
                <w:rFonts w:ascii="Arial"/>
                <w:color w:val="auto"/>
                <w:sz w:val="21"/>
                <w:highlight w:val="none"/>
              </w:rPr>
            </w:pPr>
          </w:p>
        </w:tc>
        <w:tc>
          <w:tcPr>
            <w:tcW w:w="2972" w:type="dxa"/>
            <w:noWrap w:val="0"/>
            <w:vAlign w:val="top"/>
          </w:tcPr>
          <w:p w14:paraId="053B05AA">
            <w:pPr>
              <w:pStyle w:val="223"/>
              <w:spacing w:before="210" w:line="228" w:lineRule="auto"/>
              <w:ind w:left="966"/>
              <w:rPr>
                <w:color w:val="auto"/>
                <w:highlight w:val="none"/>
              </w:rPr>
            </w:pPr>
            <w:r>
              <w:rPr>
                <w:color w:val="auto"/>
                <w:spacing w:val="8"/>
                <w:highlight w:val="none"/>
              </w:rPr>
              <w:t>低压蓄电池</w:t>
            </w:r>
          </w:p>
        </w:tc>
        <w:tc>
          <w:tcPr>
            <w:tcW w:w="2040" w:type="dxa"/>
            <w:noWrap w:val="0"/>
            <w:vAlign w:val="top"/>
          </w:tcPr>
          <w:p w14:paraId="31F34944">
            <w:pPr>
              <w:pStyle w:val="223"/>
              <w:spacing w:before="54" w:line="260" w:lineRule="auto"/>
              <w:ind w:left="817" w:right="154" w:hanging="644"/>
              <w:rPr>
                <w:color w:val="auto"/>
                <w:highlight w:val="none"/>
              </w:rPr>
            </w:pPr>
            <w:r>
              <w:rPr>
                <w:rFonts w:hint="eastAsia"/>
                <w:color w:val="auto"/>
                <w:spacing w:val="4"/>
                <w:highlight w:val="none"/>
                <w:lang w:val="en-US" w:eastAsia="zh-CN"/>
              </w:rPr>
              <w:t>2</w:t>
            </w:r>
            <w:r>
              <w:rPr>
                <w:color w:val="auto"/>
                <w:spacing w:val="-31"/>
                <w:highlight w:val="none"/>
              </w:rPr>
              <w:t xml:space="preserve"> </w:t>
            </w:r>
            <w:r>
              <w:rPr>
                <w:color w:val="auto"/>
                <w:spacing w:val="4"/>
                <w:highlight w:val="none"/>
              </w:rPr>
              <w:t>年,质保期满自行</w:t>
            </w:r>
            <w:r>
              <w:rPr>
                <w:color w:val="auto"/>
                <w:highlight w:val="none"/>
              </w:rPr>
              <w:t xml:space="preserve"> </w:t>
            </w:r>
            <w:r>
              <w:rPr>
                <w:color w:val="auto"/>
                <w:spacing w:val="3"/>
                <w:highlight w:val="none"/>
              </w:rPr>
              <w:t>更新</w:t>
            </w:r>
          </w:p>
        </w:tc>
      </w:tr>
      <w:tr w14:paraId="15B8D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48" w:type="dxa"/>
            <w:vMerge w:val="continue"/>
            <w:tcBorders>
              <w:top w:val="nil"/>
              <w:bottom w:val="nil"/>
            </w:tcBorders>
            <w:noWrap w:val="0"/>
            <w:vAlign w:val="top"/>
          </w:tcPr>
          <w:p w14:paraId="6BA73DD7">
            <w:pPr>
              <w:rPr>
                <w:rFonts w:ascii="Arial"/>
                <w:color w:val="auto"/>
                <w:sz w:val="21"/>
                <w:highlight w:val="none"/>
              </w:rPr>
            </w:pPr>
          </w:p>
        </w:tc>
        <w:tc>
          <w:tcPr>
            <w:tcW w:w="810" w:type="dxa"/>
            <w:vMerge w:val="continue"/>
            <w:noWrap w:val="0"/>
            <w:vAlign w:val="top"/>
          </w:tcPr>
          <w:p w14:paraId="1B0FDCA8">
            <w:pPr>
              <w:rPr>
                <w:rFonts w:ascii="Arial"/>
                <w:color w:val="auto"/>
                <w:sz w:val="21"/>
                <w:highlight w:val="none"/>
              </w:rPr>
            </w:pPr>
          </w:p>
        </w:tc>
        <w:tc>
          <w:tcPr>
            <w:tcW w:w="1756" w:type="dxa"/>
            <w:vMerge w:val="continue"/>
            <w:noWrap w:val="0"/>
            <w:vAlign w:val="top"/>
          </w:tcPr>
          <w:p w14:paraId="603FF7FA">
            <w:pPr>
              <w:rPr>
                <w:rFonts w:ascii="Arial"/>
                <w:color w:val="auto"/>
                <w:sz w:val="21"/>
                <w:highlight w:val="none"/>
              </w:rPr>
            </w:pPr>
          </w:p>
        </w:tc>
        <w:tc>
          <w:tcPr>
            <w:tcW w:w="2972" w:type="dxa"/>
            <w:noWrap w:val="0"/>
            <w:vAlign w:val="top"/>
          </w:tcPr>
          <w:p w14:paraId="40DB17C1">
            <w:pPr>
              <w:pStyle w:val="223"/>
              <w:spacing w:before="110" w:line="228" w:lineRule="auto"/>
              <w:ind w:left="861"/>
              <w:rPr>
                <w:color w:val="auto"/>
                <w:highlight w:val="none"/>
              </w:rPr>
            </w:pPr>
            <w:r>
              <w:rPr>
                <w:color w:val="auto"/>
                <w:spacing w:val="8"/>
                <w:highlight w:val="none"/>
              </w:rPr>
              <w:t>手提式灭火器</w:t>
            </w:r>
          </w:p>
        </w:tc>
        <w:tc>
          <w:tcPr>
            <w:tcW w:w="2040" w:type="dxa"/>
            <w:noWrap w:val="0"/>
            <w:vAlign w:val="top"/>
          </w:tcPr>
          <w:p w14:paraId="48BD6727">
            <w:pPr>
              <w:pStyle w:val="223"/>
              <w:spacing w:before="110" w:line="228" w:lineRule="auto"/>
              <w:ind w:left="187"/>
              <w:rPr>
                <w:color w:val="auto"/>
                <w:highlight w:val="none"/>
              </w:rPr>
            </w:pPr>
            <w:r>
              <w:rPr>
                <w:color w:val="auto"/>
                <w:spacing w:val="8"/>
                <w:highlight w:val="none"/>
              </w:rPr>
              <w:t>质保期满自行更新</w:t>
            </w:r>
          </w:p>
        </w:tc>
      </w:tr>
      <w:tr w14:paraId="302EC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0CE8CF52">
            <w:pPr>
              <w:rPr>
                <w:rFonts w:ascii="Arial"/>
                <w:color w:val="auto"/>
                <w:sz w:val="21"/>
                <w:highlight w:val="none"/>
              </w:rPr>
            </w:pPr>
          </w:p>
        </w:tc>
        <w:tc>
          <w:tcPr>
            <w:tcW w:w="810" w:type="dxa"/>
            <w:vMerge w:val="continue"/>
            <w:noWrap w:val="0"/>
            <w:vAlign w:val="top"/>
          </w:tcPr>
          <w:p w14:paraId="16DB850A">
            <w:pPr>
              <w:rPr>
                <w:rFonts w:ascii="Arial"/>
                <w:color w:val="auto"/>
                <w:sz w:val="21"/>
                <w:highlight w:val="none"/>
              </w:rPr>
            </w:pPr>
          </w:p>
        </w:tc>
        <w:tc>
          <w:tcPr>
            <w:tcW w:w="1756" w:type="dxa"/>
            <w:vMerge w:val="continue"/>
            <w:noWrap w:val="0"/>
            <w:vAlign w:val="top"/>
          </w:tcPr>
          <w:p w14:paraId="620C1EAE">
            <w:pPr>
              <w:rPr>
                <w:rFonts w:ascii="Arial"/>
                <w:color w:val="auto"/>
                <w:sz w:val="21"/>
                <w:highlight w:val="none"/>
              </w:rPr>
            </w:pPr>
          </w:p>
        </w:tc>
        <w:tc>
          <w:tcPr>
            <w:tcW w:w="2972" w:type="dxa"/>
            <w:noWrap w:val="0"/>
            <w:vAlign w:val="top"/>
          </w:tcPr>
          <w:p w14:paraId="5CC9FE09">
            <w:pPr>
              <w:pStyle w:val="223"/>
              <w:spacing w:before="211" w:line="228" w:lineRule="auto"/>
              <w:ind w:left="1281"/>
              <w:rPr>
                <w:color w:val="auto"/>
                <w:highlight w:val="none"/>
              </w:rPr>
            </w:pPr>
            <w:r>
              <w:rPr>
                <w:color w:val="auto"/>
                <w:spacing w:val="4"/>
                <w:highlight w:val="none"/>
              </w:rPr>
              <w:t>轮胎</w:t>
            </w:r>
          </w:p>
        </w:tc>
        <w:tc>
          <w:tcPr>
            <w:tcW w:w="2040" w:type="dxa"/>
            <w:noWrap w:val="0"/>
            <w:vAlign w:val="top"/>
          </w:tcPr>
          <w:p w14:paraId="64240451">
            <w:pPr>
              <w:pStyle w:val="223"/>
              <w:spacing w:before="54" w:line="260" w:lineRule="auto"/>
              <w:ind w:left="293" w:right="125" w:hanging="155"/>
              <w:rPr>
                <w:color w:val="auto"/>
                <w:highlight w:val="none"/>
              </w:rPr>
            </w:pPr>
            <w:r>
              <w:rPr>
                <w:color w:val="auto"/>
                <w:spacing w:val="3"/>
                <w:highlight w:val="none"/>
              </w:rPr>
              <w:t>常规磨损不保修</w:t>
            </w:r>
            <w:r>
              <w:rPr>
                <w:color w:val="auto"/>
                <w:spacing w:val="-58"/>
                <w:highlight w:val="none"/>
              </w:rPr>
              <w:t xml:space="preserve"> </w:t>
            </w:r>
            <w:r>
              <w:rPr>
                <w:color w:val="auto"/>
                <w:spacing w:val="3"/>
                <w:highlight w:val="none"/>
              </w:rPr>
              <w:t>;异</w:t>
            </w:r>
            <w:r>
              <w:rPr>
                <w:color w:val="auto"/>
                <w:highlight w:val="none"/>
              </w:rPr>
              <w:t xml:space="preserve"> </w:t>
            </w:r>
            <w:r>
              <w:rPr>
                <w:color w:val="auto"/>
                <w:spacing w:val="7"/>
                <w:highlight w:val="none"/>
              </w:rPr>
              <w:t>常损坏质量索赔</w:t>
            </w:r>
          </w:p>
        </w:tc>
      </w:tr>
      <w:tr w14:paraId="38800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948" w:type="dxa"/>
            <w:vMerge w:val="continue"/>
            <w:tcBorders>
              <w:top w:val="nil"/>
            </w:tcBorders>
            <w:noWrap w:val="0"/>
            <w:vAlign w:val="top"/>
          </w:tcPr>
          <w:p w14:paraId="688BFCAC">
            <w:pPr>
              <w:rPr>
                <w:rFonts w:ascii="Arial"/>
                <w:color w:val="auto"/>
                <w:sz w:val="21"/>
                <w:highlight w:val="none"/>
              </w:rPr>
            </w:pPr>
          </w:p>
        </w:tc>
        <w:tc>
          <w:tcPr>
            <w:tcW w:w="810" w:type="dxa"/>
            <w:vMerge w:val="continue"/>
            <w:noWrap w:val="0"/>
            <w:vAlign w:val="top"/>
          </w:tcPr>
          <w:p w14:paraId="450CC8B7">
            <w:pPr>
              <w:rPr>
                <w:rFonts w:ascii="Arial"/>
                <w:color w:val="auto"/>
                <w:sz w:val="21"/>
                <w:highlight w:val="none"/>
              </w:rPr>
            </w:pPr>
          </w:p>
        </w:tc>
        <w:tc>
          <w:tcPr>
            <w:tcW w:w="1756" w:type="dxa"/>
            <w:vMerge w:val="continue"/>
            <w:noWrap w:val="0"/>
            <w:vAlign w:val="top"/>
          </w:tcPr>
          <w:p w14:paraId="211097D9">
            <w:pPr>
              <w:rPr>
                <w:rFonts w:ascii="Arial"/>
                <w:color w:val="auto"/>
                <w:sz w:val="21"/>
                <w:highlight w:val="none"/>
              </w:rPr>
            </w:pPr>
          </w:p>
        </w:tc>
        <w:tc>
          <w:tcPr>
            <w:tcW w:w="2972" w:type="dxa"/>
            <w:noWrap w:val="0"/>
            <w:vAlign w:val="top"/>
          </w:tcPr>
          <w:p w14:paraId="7CA044BC">
            <w:pPr>
              <w:pStyle w:val="223"/>
              <w:spacing w:before="91" w:line="228" w:lineRule="auto"/>
              <w:ind w:left="1177"/>
              <w:rPr>
                <w:color w:val="auto"/>
                <w:highlight w:val="none"/>
              </w:rPr>
            </w:pPr>
            <w:r>
              <w:rPr>
                <w:color w:val="auto"/>
                <w:spacing w:val="7"/>
                <w:highlight w:val="none"/>
              </w:rPr>
              <w:t>橡胶件</w:t>
            </w:r>
          </w:p>
        </w:tc>
        <w:tc>
          <w:tcPr>
            <w:tcW w:w="2040" w:type="dxa"/>
            <w:noWrap w:val="0"/>
            <w:vAlign w:val="top"/>
          </w:tcPr>
          <w:p w14:paraId="1720460B">
            <w:pPr>
              <w:pStyle w:val="223"/>
              <w:spacing w:before="91" w:line="228" w:lineRule="auto"/>
              <w:ind w:left="294"/>
              <w:rPr>
                <w:color w:val="auto"/>
                <w:highlight w:val="none"/>
              </w:rPr>
            </w:pPr>
            <w:r>
              <w:rPr>
                <w:color w:val="auto"/>
                <w:spacing w:val="7"/>
                <w:highlight w:val="none"/>
              </w:rPr>
              <w:t>常规磨损不保修</w:t>
            </w:r>
          </w:p>
        </w:tc>
      </w:tr>
    </w:tbl>
    <w:p w14:paraId="5F1A7AD2">
      <w:pPr>
        <w:spacing w:before="172" w:line="230" w:lineRule="auto"/>
        <w:ind w:left="123"/>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备注</w:t>
      </w:r>
      <w:r>
        <w:rPr>
          <w:rFonts w:ascii="宋体" w:hAnsi="宋体" w:eastAsia="宋体" w:cs="宋体"/>
          <w:color w:val="auto"/>
          <w:spacing w:val="-59"/>
          <w:sz w:val="20"/>
          <w:szCs w:val="20"/>
          <w:highlight w:val="none"/>
        </w:rPr>
        <w:t xml:space="preserve"> </w:t>
      </w:r>
      <w:r>
        <w:rPr>
          <w:rFonts w:ascii="宋体" w:hAnsi="宋体" w:eastAsia="宋体" w:cs="宋体"/>
          <w:color w:val="auto"/>
          <w:spacing w:val="2"/>
          <w:sz w:val="20"/>
          <w:szCs w:val="20"/>
          <w:highlight w:val="none"/>
        </w:rPr>
        <w:t>:</w:t>
      </w:r>
    </w:p>
    <w:p w14:paraId="2C38AB9C">
      <w:pPr>
        <w:spacing w:before="192" w:line="228" w:lineRule="auto"/>
        <w:ind w:left="120"/>
        <w:rPr>
          <w:rFonts w:hint="eastAsia" w:ascii="宋体" w:hAnsi="宋体" w:eastAsia="宋体" w:cs="宋体"/>
          <w:color w:val="auto"/>
          <w:spacing w:val="8"/>
          <w:sz w:val="20"/>
          <w:szCs w:val="20"/>
          <w:highlight w:val="none"/>
          <w:lang w:eastAsia="zh-CN"/>
        </w:rPr>
      </w:pPr>
      <w:r>
        <w:rPr>
          <w:rFonts w:ascii="宋体" w:hAnsi="宋体" w:eastAsia="宋体" w:cs="宋体"/>
          <w:color w:val="auto"/>
          <w:spacing w:val="7"/>
          <w:sz w:val="20"/>
          <w:szCs w:val="20"/>
          <w:highlight w:val="none"/>
        </w:rPr>
        <w:t>1、</w:t>
      </w:r>
      <w:r>
        <w:rPr>
          <w:rFonts w:hint="eastAsia" w:ascii="宋体" w:hAnsi="宋体" w:eastAsia="宋体" w:cs="宋体"/>
          <w:color w:val="auto"/>
          <w:spacing w:val="8"/>
          <w:sz w:val="20"/>
          <w:szCs w:val="20"/>
          <w:highlight w:val="none"/>
        </w:rPr>
        <w:t>质保内容包括总成件</w:t>
      </w:r>
      <w:r>
        <w:rPr>
          <w:rFonts w:hint="eastAsia" w:ascii="宋体" w:hAnsi="宋体" w:cs="宋体"/>
          <w:color w:val="auto"/>
          <w:spacing w:val="8"/>
          <w:sz w:val="20"/>
          <w:szCs w:val="20"/>
          <w:highlight w:val="none"/>
          <w:lang w:eastAsia="zh-CN"/>
        </w:rPr>
        <w:t>（</w:t>
      </w:r>
      <w:r>
        <w:rPr>
          <w:rFonts w:hint="eastAsia" w:ascii="宋体" w:hAnsi="宋体" w:cs="宋体"/>
          <w:color w:val="auto"/>
          <w:spacing w:val="8"/>
          <w:sz w:val="20"/>
          <w:szCs w:val="20"/>
          <w:highlight w:val="none"/>
          <w:lang w:val="en-US" w:eastAsia="zh-CN"/>
        </w:rPr>
        <w:t>包含所有配件</w:t>
      </w:r>
      <w:r>
        <w:rPr>
          <w:rFonts w:hint="eastAsia" w:ascii="宋体" w:hAnsi="宋体" w:cs="宋体"/>
          <w:color w:val="auto"/>
          <w:spacing w:val="8"/>
          <w:sz w:val="20"/>
          <w:szCs w:val="20"/>
          <w:highlight w:val="none"/>
          <w:lang w:eastAsia="zh-CN"/>
        </w:rPr>
        <w:t>）</w:t>
      </w:r>
      <w:r>
        <w:rPr>
          <w:rFonts w:hint="eastAsia" w:ascii="宋体" w:hAnsi="宋体" w:eastAsia="宋体" w:cs="宋体"/>
          <w:color w:val="auto"/>
          <w:spacing w:val="8"/>
          <w:sz w:val="20"/>
          <w:szCs w:val="20"/>
          <w:highlight w:val="none"/>
        </w:rPr>
        <w:t>、所属配件、易损件及工时</w:t>
      </w:r>
      <w:r>
        <w:rPr>
          <w:rFonts w:hint="eastAsia" w:ascii="宋体" w:hAnsi="宋体" w:cs="宋体"/>
          <w:color w:val="auto"/>
          <w:spacing w:val="8"/>
          <w:sz w:val="20"/>
          <w:szCs w:val="20"/>
          <w:highlight w:val="none"/>
          <w:lang w:eastAsia="zh-CN"/>
        </w:rPr>
        <w:t>。</w:t>
      </w:r>
    </w:p>
    <w:p w14:paraId="79FB8379">
      <w:pPr>
        <w:spacing w:before="193" w:line="228" w:lineRule="auto"/>
        <w:ind w:left="136"/>
        <w:rPr>
          <w:rFonts w:ascii="宋体" w:hAnsi="宋体" w:eastAsia="宋体" w:cs="宋体"/>
          <w:color w:val="auto"/>
          <w:sz w:val="20"/>
          <w:szCs w:val="20"/>
          <w:highlight w:val="none"/>
        </w:rPr>
      </w:pPr>
      <w:r>
        <w:rPr>
          <w:rFonts w:hint="eastAsia" w:ascii="宋体" w:hAnsi="宋体" w:cs="宋体"/>
          <w:color w:val="auto"/>
          <w:spacing w:val="7"/>
          <w:sz w:val="20"/>
          <w:szCs w:val="20"/>
          <w:highlight w:val="none"/>
          <w:lang w:val="en-US" w:eastAsia="zh-CN"/>
        </w:rPr>
        <w:t>2、</w:t>
      </w:r>
      <w:r>
        <w:rPr>
          <w:rFonts w:ascii="宋体" w:hAnsi="宋体" w:eastAsia="宋体" w:cs="宋体"/>
          <w:color w:val="auto"/>
          <w:spacing w:val="7"/>
          <w:sz w:val="20"/>
          <w:szCs w:val="20"/>
          <w:highlight w:val="none"/>
        </w:rPr>
        <w:t>表中未列出的车辆其它总成及零件的</w:t>
      </w:r>
      <w:r>
        <w:rPr>
          <w:rFonts w:ascii="宋体" w:hAnsi="宋体" w:eastAsia="宋体" w:cs="宋体"/>
          <w:color w:val="auto"/>
          <w:spacing w:val="6"/>
          <w:sz w:val="20"/>
          <w:szCs w:val="20"/>
          <w:highlight w:val="none"/>
        </w:rPr>
        <w:t>保修期，</w:t>
      </w:r>
      <w:r>
        <w:rPr>
          <w:rFonts w:ascii="宋体" w:hAnsi="宋体" w:eastAsia="宋体" w:cs="宋体"/>
          <w:color w:val="auto"/>
          <w:spacing w:val="-50"/>
          <w:sz w:val="20"/>
          <w:szCs w:val="20"/>
          <w:highlight w:val="none"/>
        </w:rPr>
        <w:t xml:space="preserve"> </w:t>
      </w:r>
      <w:r>
        <w:rPr>
          <w:rFonts w:ascii="宋体" w:hAnsi="宋体" w:eastAsia="宋体" w:cs="宋体"/>
          <w:color w:val="auto"/>
          <w:spacing w:val="6"/>
          <w:sz w:val="20"/>
          <w:szCs w:val="20"/>
          <w:highlight w:val="none"/>
        </w:rPr>
        <w:t>自车辆验收合格之日起</w:t>
      </w:r>
      <w:r>
        <w:rPr>
          <w:rFonts w:ascii="宋体" w:hAnsi="宋体" w:eastAsia="宋体" w:cs="宋体"/>
          <w:color w:val="auto"/>
          <w:spacing w:val="-33"/>
          <w:sz w:val="20"/>
          <w:szCs w:val="20"/>
          <w:highlight w:val="none"/>
        </w:rPr>
        <w:t xml:space="preserve"> </w:t>
      </w:r>
      <w:r>
        <w:rPr>
          <w:rFonts w:ascii="宋体" w:hAnsi="宋体" w:eastAsia="宋体" w:cs="宋体"/>
          <w:color w:val="auto"/>
          <w:spacing w:val="6"/>
          <w:sz w:val="20"/>
          <w:szCs w:val="20"/>
          <w:highlight w:val="none"/>
        </w:rPr>
        <w:t>3</w:t>
      </w:r>
      <w:r>
        <w:rPr>
          <w:rFonts w:ascii="宋体" w:hAnsi="宋体" w:eastAsia="宋体" w:cs="宋体"/>
          <w:color w:val="auto"/>
          <w:spacing w:val="-39"/>
          <w:sz w:val="20"/>
          <w:szCs w:val="20"/>
          <w:highlight w:val="none"/>
        </w:rPr>
        <w:t xml:space="preserve"> </w:t>
      </w:r>
      <w:r>
        <w:rPr>
          <w:rFonts w:ascii="宋体" w:hAnsi="宋体" w:eastAsia="宋体" w:cs="宋体"/>
          <w:color w:val="auto"/>
          <w:spacing w:val="6"/>
          <w:sz w:val="20"/>
          <w:szCs w:val="20"/>
          <w:highlight w:val="none"/>
        </w:rPr>
        <w:t>年。</w:t>
      </w:r>
    </w:p>
    <w:p w14:paraId="1990903F">
      <w:pPr>
        <w:spacing w:before="192" w:line="228" w:lineRule="auto"/>
        <w:ind w:left="120"/>
        <w:rPr>
          <w:rFonts w:ascii="宋体" w:hAnsi="宋体" w:eastAsia="宋体" w:cs="宋体"/>
          <w:color w:val="auto"/>
          <w:spacing w:val="5"/>
          <w:sz w:val="20"/>
          <w:szCs w:val="20"/>
          <w:highlight w:val="none"/>
        </w:rPr>
      </w:pPr>
      <w:r>
        <w:rPr>
          <w:rFonts w:hint="eastAsia" w:ascii="宋体" w:hAnsi="宋体" w:cs="宋体"/>
          <w:color w:val="auto"/>
          <w:spacing w:val="7"/>
          <w:sz w:val="20"/>
          <w:szCs w:val="20"/>
          <w:highlight w:val="none"/>
          <w:lang w:val="en-US" w:eastAsia="zh-CN"/>
        </w:rPr>
        <w:t>3</w:t>
      </w:r>
      <w:r>
        <w:rPr>
          <w:rFonts w:ascii="宋体" w:hAnsi="宋体" w:eastAsia="宋体" w:cs="宋体"/>
          <w:color w:val="auto"/>
          <w:spacing w:val="7"/>
          <w:sz w:val="20"/>
          <w:szCs w:val="20"/>
          <w:highlight w:val="none"/>
        </w:rPr>
        <w:t>、 投标单位响应延长整车</w:t>
      </w:r>
      <w:r>
        <w:rPr>
          <w:rFonts w:hint="eastAsia" w:ascii="宋体" w:hAnsi="宋体" w:cs="宋体"/>
          <w:color w:val="auto"/>
          <w:spacing w:val="7"/>
          <w:sz w:val="20"/>
          <w:szCs w:val="20"/>
          <w:highlight w:val="none"/>
          <w:lang w:val="en-US" w:eastAsia="zh-CN"/>
        </w:rPr>
        <w:t>或部分总成</w:t>
      </w:r>
      <w:r>
        <w:rPr>
          <w:rFonts w:ascii="宋体" w:hAnsi="宋体" w:eastAsia="宋体" w:cs="宋体"/>
          <w:color w:val="auto"/>
          <w:spacing w:val="7"/>
          <w:sz w:val="20"/>
          <w:szCs w:val="20"/>
          <w:highlight w:val="none"/>
        </w:rPr>
        <w:t>质保期的，期按响应</w:t>
      </w:r>
      <w:r>
        <w:rPr>
          <w:rFonts w:ascii="宋体" w:hAnsi="宋体" w:eastAsia="宋体" w:cs="宋体"/>
          <w:color w:val="auto"/>
          <w:spacing w:val="5"/>
          <w:sz w:val="20"/>
          <w:szCs w:val="20"/>
          <w:highlight w:val="none"/>
        </w:rPr>
        <w:t>年限执行。</w:t>
      </w:r>
    </w:p>
    <w:p w14:paraId="454BB4AD">
      <w:pPr>
        <w:spacing w:before="192" w:line="228" w:lineRule="auto"/>
        <w:ind w:left="120"/>
        <w:rPr>
          <w:rFonts w:ascii="宋体" w:hAnsi="宋体" w:eastAsia="宋体" w:cs="宋体"/>
          <w:color w:val="auto"/>
          <w:spacing w:val="8"/>
          <w:sz w:val="20"/>
          <w:szCs w:val="20"/>
          <w:highlight w:val="none"/>
        </w:rPr>
      </w:pPr>
      <w:r>
        <w:rPr>
          <w:rFonts w:hint="eastAsia" w:ascii="宋体" w:hAnsi="宋体" w:cs="宋体"/>
          <w:color w:val="auto"/>
          <w:spacing w:val="8"/>
          <w:sz w:val="20"/>
          <w:szCs w:val="20"/>
          <w:highlight w:val="none"/>
          <w:lang w:val="en-US" w:eastAsia="zh-CN"/>
        </w:rPr>
        <w:t>4</w:t>
      </w:r>
      <w:r>
        <w:rPr>
          <w:rFonts w:ascii="宋体" w:hAnsi="宋体" w:eastAsia="宋体" w:cs="宋体"/>
          <w:color w:val="auto"/>
          <w:spacing w:val="8"/>
          <w:sz w:val="20"/>
          <w:szCs w:val="20"/>
          <w:highlight w:val="none"/>
        </w:rPr>
        <w:t>、</w:t>
      </w:r>
      <w:r>
        <w:rPr>
          <w:rFonts w:ascii="宋体" w:hAnsi="宋体" w:eastAsia="宋体" w:cs="宋体"/>
          <w:color w:val="auto"/>
          <w:spacing w:val="-39"/>
          <w:sz w:val="20"/>
          <w:szCs w:val="20"/>
          <w:highlight w:val="none"/>
        </w:rPr>
        <w:t xml:space="preserve"> </w:t>
      </w:r>
      <w:r>
        <w:rPr>
          <w:rFonts w:ascii="宋体" w:hAnsi="宋体" w:eastAsia="宋体" w:cs="宋体"/>
          <w:color w:val="auto"/>
          <w:spacing w:val="8"/>
          <w:sz w:val="20"/>
          <w:szCs w:val="20"/>
          <w:highlight w:val="none"/>
        </w:rPr>
        <w:t>保修期限自车辆验收合格之日起开始执行。</w:t>
      </w:r>
    </w:p>
    <w:p w14:paraId="2E7AB8AF">
      <w:pPr>
        <w:spacing w:before="191" w:line="317" w:lineRule="auto"/>
        <w:ind w:left="121" w:right="114" w:firstLine="1"/>
        <w:rPr>
          <w:rFonts w:ascii="宋体" w:hAnsi="宋体" w:eastAsia="宋体" w:cs="宋体"/>
          <w:color w:val="auto"/>
          <w:spacing w:val="5"/>
          <w:sz w:val="20"/>
          <w:szCs w:val="20"/>
          <w:highlight w:val="none"/>
        </w:rPr>
      </w:pPr>
    </w:p>
    <w:p w14:paraId="5AF9D42C">
      <w:pPr>
        <w:pStyle w:val="137"/>
        <w:spacing w:line="360" w:lineRule="auto"/>
        <w:ind w:left="450" w:firstLine="0" w:firstLineChars="0"/>
        <w:rPr>
          <w:b/>
          <w:color w:val="auto"/>
          <w:szCs w:val="21"/>
          <w:highlight w:val="none"/>
        </w:rPr>
      </w:pPr>
    </w:p>
    <w:p w14:paraId="412F7373">
      <w:pPr>
        <w:spacing w:line="360" w:lineRule="auto"/>
        <w:rPr>
          <w:rFonts w:hint="eastAsia" w:ascii="宋体" w:hAnsi="宋体" w:cs="宋体"/>
          <w:b/>
          <w:color w:val="auto"/>
          <w:sz w:val="24"/>
          <w:szCs w:val="24"/>
          <w:highlight w:val="none"/>
          <w:lang w:eastAsia="zh-CN"/>
        </w:rPr>
        <w:sectPr>
          <w:pgSz w:w="11907" w:h="16840"/>
          <w:pgMar w:top="1304" w:right="1588" w:bottom="1304" w:left="1588" w:header="720" w:footer="720" w:gutter="0"/>
          <w:pgNumType w:fmt="decimal"/>
          <w:cols w:space="720" w:num="1"/>
          <w:titlePg/>
          <w:docGrid w:linePitch="285" w:charSpace="0"/>
        </w:sectPr>
      </w:pPr>
    </w:p>
    <w:p w14:paraId="7BEC486D">
      <w:pPr>
        <w:numPr>
          <w:ilvl w:val="0"/>
          <w:numId w:val="5"/>
        </w:num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标项（子包）</w:t>
      </w:r>
      <w:r>
        <w:rPr>
          <w:rFonts w:hint="eastAsia" w:ascii="宋体" w:hAnsi="宋体" w:cs="宋体"/>
          <w:b/>
          <w:color w:val="auto"/>
          <w:sz w:val="24"/>
          <w:szCs w:val="24"/>
          <w:highlight w:val="none"/>
        </w:rPr>
        <w:t>三：</w:t>
      </w:r>
      <w:r>
        <w:rPr>
          <w:rFonts w:hint="eastAsia" w:ascii="宋体" w:hAnsi="宋体" w:eastAsia="宋体" w:cs="宋体"/>
          <w:b/>
          <w:color w:val="auto"/>
          <w:sz w:val="24"/>
          <w:szCs w:val="24"/>
          <w:highlight w:val="none"/>
          <w:lang w:val="en-US" w:eastAsia="zh-CN"/>
        </w:rPr>
        <w:t>7米纯电动公路客运车辆</w:t>
      </w:r>
      <w:r>
        <w:rPr>
          <w:rFonts w:hint="eastAsia" w:ascii="宋体" w:hAnsi="宋体" w:eastAsia="宋体" w:cs="宋体"/>
          <w:b/>
          <w:color w:val="auto"/>
          <w:sz w:val="24"/>
          <w:szCs w:val="24"/>
          <w:highlight w:val="none"/>
        </w:rPr>
        <w:t>技术</w:t>
      </w:r>
      <w:r>
        <w:rPr>
          <w:rFonts w:hint="eastAsia" w:ascii="宋体" w:hAnsi="宋体" w:cs="宋体"/>
          <w:b/>
          <w:color w:val="auto"/>
          <w:sz w:val="24"/>
          <w:szCs w:val="24"/>
          <w:highlight w:val="none"/>
        </w:rPr>
        <w:t>参数要求：</w:t>
      </w:r>
    </w:p>
    <w:p w14:paraId="592F3083">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s="黑体"/>
          <w:bCs/>
          <w:color w:val="auto"/>
          <w:szCs w:val="21"/>
          <w:highlight w:val="none"/>
        </w:rPr>
      </w:pPr>
      <w:r>
        <w:rPr>
          <w:rFonts w:hint="eastAsia" w:ascii="宋体" w:hAnsi="宋体" w:eastAsia="宋体" w:cs="黑体"/>
          <w:bCs/>
          <w:color w:val="auto"/>
          <w:szCs w:val="21"/>
          <w:highlight w:val="none"/>
        </w:rPr>
        <w:t>客车整车在功能、结构、强度等方面的技术要求均应符合GB13094－2017《客车结构安全要求》、GB7258—2017《机动车运行安全技术条件》、GB18384-2020《电动汽车安全要求》、GB 38032-2020《电动客车安全要求》、GB38031-2020《电动汽车用动力蓄电池安全要求》、GB/T32</w:t>
      </w:r>
      <w:r>
        <w:rPr>
          <w:rFonts w:hint="eastAsia" w:ascii="宋体" w:hAnsi="宋体" w:cs="黑体"/>
          <w:bCs/>
          <w:color w:val="auto"/>
          <w:szCs w:val="21"/>
          <w:highlight w:val="none"/>
          <w:lang w:eastAsia="zh-CN"/>
        </w:rPr>
        <w:t>976</w:t>
      </w:r>
      <w:r>
        <w:rPr>
          <w:rFonts w:hint="eastAsia" w:ascii="宋体" w:hAnsi="宋体" w:eastAsia="宋体" w:cs="黑体"/>
          <w:bCs/>
          <w:color w:val="auto"/>
          <w:szCs w:val="21"/>
          <w:highlight w:val="none"/>
        </w:rPr>
        <w:t>—2016《电动汽车远程服务与管理系统技术规范》、JT/T:1240-2019《城市公共汽电车车辆专用安全设施技术要求》及国家现行最新有关标准,以及投标人明确达到的各项技术指标要求。车型和各大总成通过“3C”认证等相关机构认证资格证明。客车必须具有国家批准的纯电动客车生产资质，车辆上牌前须具备国家工信部颁发的《道路机动车辆生产企业及产品公告》和《享受车船税减免优惠的节约能源使用新能源汽车车型目录》《</w:t>
      </w:r>
      <w:r>
        <w:rPr>
          <w:rFonts w:hint="eastAsia" w:ascii="宋体" w:hAnsi="宋体" w:eastAsia="宋体" w:cs="黑体"/>
          <w:bCs/>
          <w:color w:val="auto"/>
          <w:szCs w:val="21"/>
          <w:highlight w:val="none"/>
        </w:rPr>
        <w:fldChar w:fldCharType="begin"/>
      </w:r>
      <w:r>
        <w:rPr>
          <w:rFonts w:hint="eastAsia" w:ascii="宋体" w:hAnsi="宋体" w:eastAsia="宋体" w:cs="黑体"/>
          <w:bCs/>
          <w:color w:val="auto"/>
          <w:szCs w:val="21"/>
          <w:highlight w:val="none"/>
        </w:rPr>
        <w:instrText xml:space="preserve"> HYPERLINK "https://www.miit.gov.cn/cms_files/filemanager/1226211233/attach/20244/4aabd4e028a74981be7faf6d7200bae5.doc" </w:instrText>
      </w:r>
      <w:r>
        <w:rPr>
          <w:rFonts w:hint="eastAsia" w:ascii="宋体" w:hAnsi="宋体" w:eastAsia="宋体" w:cs="黑体"/>
          <w:bCs/>
          <w:color w:val="auto"/>
          <w:szCs w:val="21"/>
          <w:highlight w:val="none"/>
        </w:rPr>
        <w:fldChar w:fldCharType="separate"/>
      </w:r>
      <w:r>
        <w:rPr>
          <w:rFonts w:hint="eastAsia" w:ascii="宋体" w:hAnsi="宋体" w:eastAsia="宋体" w:cs="黑体"/>
          <w:bCs/>
          <w:color w:val="auto"/>
          <w:szCs w:val="21"/>
          <w:highlight w:val="none"/>
        </w:rPr>
        <w:t>减免车辆购置税的新能源汽车车型目录》（投标文件中提供公示公告参数页面截图）。</w:t>
      </w:r>
      <w:r>
        <w:rPr>
          <w:rFonts w:hint="eastAsia" w:ascii="宋体" w:hAnsi="宋体" w:eastAsia="宋体" w:cs="黑体"/>
          <w:bCs/>
          <w:color w:val="auto"/>
          <w:szCs w:val="21"/>
          <w:highlight w:val="none"/>
        </w:rPr>
        <w:fldChar w:fldCharType="end"/>
      </w:r>
    </w:p>
    <w:p w14:paraId="37388601">
      <w:pPr>
        <w:spacing w:line="360" w:lineRule="auto"/>
        <w:rPr>
          <w:rFonts w:ascii="宋体" w:hAnsi="宋体" w:eastAsia="宋体"/>
          <w:color w:val="auto"/>
          <w:sz w:val="24"/>
          <w:szCs w:val="24"/>
          <w:highlight w:val="none"/>
        </w:rPr>
      </w:pP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798"/>
        <w:gridCol w:w="5878"/>
      </w:tblGrid>
      <w:tr w14:paraId="33C6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39" w:type="pct"/>
            <w:gridSpan w:val="2"/>
            <w:vAlign w:val="center"/>
          </w:tcPr>
          <w:p w14:paraId="3BF4227D">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bookmarkStart w:id="106" w:name="_Hlk65739572"/>
          </w:p>
        </w:tc>
        <w:tc>
          <w:tcPr>
            <w:tcW w:w="3360" w:type="pct"/>
            <w:vAlign w:val="center"/>
          </w:tcPr>
          <w:p w14:paraId="146B5670">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基本技术参数及要求</w:t>
            </w:r>
          </w:p>
        </w:tc>
      </w:tr>
      <w:tr w14:paraId="17BE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restart"/>
            <w:vAlign w:val="center"/>
          </w:tcPr>
          <w:p w14:paraId="164DA37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整车参数</w:t>
            </w:r>
          </w:p>
        </w:tc>
        <w:tc>
          <w:tcPr>
            <w:tcW w:w="1028" w:type="pct"/>
            <w:vAlign w:val="center"/>
          </w:tcPr>
          <w:p w14:paraId="68C4A67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★总长*总宽*总高</w:t>
            </w:r>
          </w:p>
        </w:tc>
        <w:tc>
          <w:tcPr>
            <w:tcW w:w="3360" w:type="pct"/>
            <w:vAlign w:val="center"/>
          </w:tcPr>
          <w:p w14:paraId="16D771F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6900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长</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7100mm，宽：≥2050mm，高：≤3100mm</w:t>
            </w:r>
          </w:p>
        </w:tc>
      </w:tr>
      <w:tr w14:paraId="1E63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3EDC14A6">
            <w:pPr>
              <w:spacing w:line="360" w:lineRule="auto"/>
              <w:rPr>
                <w:rFonts w:hint="eastAsia" w:ascii="宋体" w:hAnsi="宋体" w:eastAsia="宋体" w:cs="宋体"/>
                <w:color w:val="auto"/>
                <w:sz w:val="21"/>
                <w:szCs w:val="21"/>
                <w:highlight w:val="none"/>
              </w:rPr>
            </w:pPr>
          </w:p>
        </w:tc>
        <w:tc>
          <w:tcPr>
            <w:tcW w:w="1028" w:type="pct"/>
            <w:vAlign w:val="center"/>
          </w:tcPr>
          <w:p w14:paraId="6ED3728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★整体布局</w:t>
            </w:r>
          </w:p>
        </w:tc>
        <w:tc>
          <w:tcPr>
            <w:tcW w:w="3360" w:type="pct"/>
            <w:vAlign w:val="center"/>
          </w:tcPr>
          <w:p w14:paraId="7EB5D74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外型美观大方、新颖。额定座位（人）20-23座。出厂车速设定为≤100km/h，车辆布置及配置应符合国家相关要求。</w:t>
            </w:r>
          </w:p>
        </w:tc>
      </w:tr>
      <w:tr w14:paraId="771C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restart"/>
            <w:vAlign w:val="center"/>
          </w:tcPr>
          <w:p w14:paraId="608CA35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“三电”系统</w:t>
            </w:r>
          </w:p>
        </w:tc>
        <w:tc>
          <w:tcPr>
            <w:tcW w:w="1028" w:type="pct"/>
            <w:vAlign w:val="center"/>
          </w:tcPr>
          <w:p w14:paraId="2C6DC87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★电控系统</w:t>
            </w:r>
          </w:p>
        </w:tc>
        <w:tc>
          <w:tcPr>
            <w:tcW w:w="3360" w:type="pct"/>
            <w:vAlign w:val="center"/>
          </w:tcPr>
          <w:p w14:paraId="744698B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纯电动驱动系统，防护等级≥IP68（质保8年）</w:t>
            </w:r>
          </w:p>
        </w:tc>
      </w:tr>
      <w:tr w14:paraId="56AD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674542A6">
            <w:pPr>
              <w:spacing w:line="360" w:lineRule="auto"/>
              <w:rPr>
                <w:rFonts w:hint="eastAsia" w:ascii="宋体" w:hAnsi="宋体" w:eastAsia="宋体" w:cs="宋体"/>
                <w:color w:val="auto"/>
                <w:sz w:val="21"/>
                <w:szCs w:val="21"/>
                <w:highlight w:val="none"/>
              </w:rPr>
            </w:pPr>
          </w:p>
        </w:tc>
        <w:tc>
          <w:tcPr>
            <w:tcW w:w="1028" w:type="pct"/>
            <w:vAlign w:val="center"/>
          </w:tcPr>
          <w:p w14:paraId="10EC81BA">
            <w:pPr>
              <w:spacing w:line="360" w:lineRule="auto"/>
              <w:rPr>
                <w:rFonts w:hint="eastAsia" w:ascii="宋体" w:hAnsi="宋体" w:eastAsia="宋体" w:cs="宋体"/>
                <w:color w:val="auto"/>
                <w:sz w:val="21"/>
                <w:szCs w:val="21"/>
                <w:highlight w:val="none"/>
              </w:rPr>
            </w:pPr>
            <w:bookmarkStart w:id="107" w:name="_Toc1548"/>
            <w:bookmarkStart w:id="108" w:name="_Toc4153"/>
            <w:r>
              <w:rPr>
                <w:rFonts w:hint="eastAsia" w:ascii="宋体" w:hAnsi="宋体" w:eastAsia="宋体" w:cs="宋体"/>
                <w:color w:val="auto"/>
                <w:sz w:val="21"/>
                <w:szCs w:val="21"/>
                <w:highlight w:val="none"/>
              </w:rPr>
              <w:t>★驱动电机</w:t>
            </w:r>
            <w:bookmarkEnd w:id="107"/>
            <w:bookmarkEnd w:id="108"/>
          </w:p>
        </w:tc>
        <w:tc>
          <w:tcPr>
            <w:tcW w:w="3360" w:type="pct"/>
            <w:vAlign w:val="center"/>
          </w:tcPr>
          <w:p w14:paraId="32DE1B4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永磁同步水冷电机，电机峰值功率≥1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0KW额定功率≥</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0KW；峰值扭矩≥450Nm；防护等级≥IP68（质保8年）</w:t>
            </w:r>
          </w:p>
        </w:tc>
      </w:tr>
      <w:tr w14:paraId="5F86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2D8AADC7">
            <w:pPr>
              <w:spacing w:line="360" w:lineRule="auto"/>
              <w:rPr>
                <w:rFonts w:hint="eastAsia" w:ascii="宋体" w:hAnsi="宋体" w:eastAsia="宋体" w:cs="宋体"/>
                <w:color w:val="auto"/>
                <w:sz w:val="21"/>
                <w:szCs w:val="21"/>
                <w:highlight w:val="none"/>
              </w:rPr>
            </w:pPr>
          </w:p>
        </w:tc>
        <w:tc>
          <w:tcPr>
            <w:tcW w:w="1028" w:type="pct"/>
            <w:vAlign w:val="center"/>
          </w:tcPr>
          <w:p w14:paraId="2DA64A57">
            <w:pPr>
              <w:spacing w:line="360" w:lineRule="auto"/>
              <w:rPr>
                <w:rFonts w:hint="eastAsia" w:ascii="宋体" w:hAnsi="宋体" w:eastAsia="宋体" w:cs="宋体"/>
                <w:color w:val="auto"/>
                <w:sz w:val="21"/>
                <w:szCs w:val="21"/>
                <w:highlight w:val="none"/>
              </w:rPr>
            </w:pPr>
            <w:bookmarkStart w:id="109" w:name="_Toc11173"/>
            <w:bookmarkStart w:id="110" w:name="_Toc28152"/>
            <w:r>
              <w:rPr>
                <w:rFonts w:hint="eastAsia" w:ascii="宋体" w:hAnsi="宋体" w:eastAsia="宋体" w:cs="宋体"/>
                <w:color w:val="auto"/>
                <w:sz w:val="21"/>
                <w:szCs w:val="21"/>
                <w:highlight w:val="none"/>
              </w:rPr>
              <w:t>★储能装置/电池参数</w:t>
            </w:r>
            <w:bookmarkEnd w:id="109"/>
            <w:bookmarkEnd w:id="110"/>
          </w:p>
        </w:tc>
        <w:tc>
          <w:tcPr>
            <w:tcW w:w="3360" w:type="pct"/>
            <w:vAlign w:val="center"/>
          </w:tcPr>
          <w:p w14:paraId="0EAD1AAE">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CATL磷酸铁锂电池， ≥1</w:t>
            </w:r>
            <w:r>
              <w:rPr>
                <w:rFonts w:hint="eastAsia" w:ascii="宋体" w:hAnsi="宋体" w:eastAsia="宋体" w:cs="宋体"/>
                <w:color w:val="auto"/>
                <w:sz w:val="21"/>
                <w:szCs w:val="21"/>
                <w:highlight w:val="none"/>
                <w:lang w:val="en-US" w:eastAsia="zh-CN"/>
              </w:rPr>
              <w:t>57</w:t>
            </w:r>
            <w:r>
              <w:rPr>
                <w:rFonts w:hint="eastAsia" w:ascii="宋体" w:hAnsi="宋体" w:eastAsia="宋体" w:cs="宋体"/>
                <w:color w:val="auto"/>
                <w:sz w:val="21"/>
                <w:szCs w:val="21"/>
                <w:highlight w:val="none"/>
              </w:rPr>
              <w:t>KWH（质保8年）；要求等速情况下续航里程达到400Km，以上具备不小于0.8C的持续充电至80%；soc控制在20%以上；电池若衰减大于30%或续航里程少于80%时，整车厂需免费更换同品牌电池；电池能量密度≥158WH/kg，单位载质量能量消耗量（Ekg）≤0.18KW/Km.Kg，自带远程安全监测系统，安全防护等级达到IP68；投标人需提供国家权威检测机构提供的正规检测报告（电池电量和续航里程须相对应）；电池系统满足GB/T31467.3安全标准，并须提供第三方检测机构出具的检测报告进行佐证。储能装置应以安全阻燃隔热材料与乘客区域隔离并安装高温报警装置。</w:t>
            </w:r>
            <w:r>
              <w:rPr>
                <w:rFonts w:hint="eastAsia" w:ascii="宋体" w:hAnsi="宋体" w:eastAsia="宋体" w:cs="宋体"/>
                <w:color w:val="auto"/>
                <w:spacing w:val="11"/>
                <w:sz w:val="21"/>
                <w:szCs w:val="21"/>
              </w:rPr>
              <w:t>动力电池箱内安装专用灭火装置，要求采用全氟己酮或七氟丙烷灭火剂，</w:t>
            </w:r>
            <w:r>
              <w:rPr>
                <w:rFonts w:hint="eastAsia" w:ascii="宋体" w:hAnsi="宋体" w:eastAsia="宋体" w:cs="宋体"/>
                <w:color w:val="auto"/>
                <w:spacing w:val="7"/>
                <w:sz w:val="21"/>
                <w:szCs w:val="21"/>
              </w:rPr>
              <w:t xml:space="preserve"> </w:t>
            </w:r>
            <w:r>
              <w:rPr>
                <w:rFonts w:hint="eastAsia" w:ascii="宋体" w:hAnsi="宋体" w:cs="宋体"/>
                <w:color w:val="auto"/>
                <w:spacing w:val="8"/>
                <w:sz w:val="21"/>
                <w:szCs w:val="21"/>
                <w:lang w:eastAsia="zh-CN"/>
              </w:rPr>
              <w:t>不小于</w:t>
            </w:r>
            <w:r>
              <w:rPr>
                <w:rFonts w:hint="eastAsia" w:ascii="宋体" w:hAnsi="宋体" w:cs="宋体"/>
                <w:color w:val="auto"/>
                <w:spacing w:val="8"/>
                <w:sz w:val="21"/>
                <w:szCs w:val="21"/>
                <w:lang w:val="en-US" w:eastAsia="zh-CN"/>
              </w:rPr>
              <w:t>3</w:t>
            </w:r>
            <w:r>
              <w:rPr>
                <w:rFonts w:hint="eastAsia" w:ascii="宋体" w:hAnsi="宋体" w:eastAsia="宋体" w:cs="宋体"/>
                <w:color w:val="auto"/>
                <w:sz w:val="21"/>
                <w:szCs w:val="21"/>
              </w:rPr>
              <w:t>KG</w:t>
            </w:r>
            <w:r>
              <w:rPr>
                <w:rFonts w:hint="eastAsia" w:ascii="宋体" w:hAnsi="宋体" w:eastAsia="宋体" w:cs="宋体"/>
                <w:color w:val="auto"/>
                <w:spacing w:val="8"/>
                <w:sz w:val="21"/>
                <w:szCs w:val="21"/>
              </w:rPr>
              <w:t>，具有温度传感器、气体分解传感器、烟雾传感</w:t>
            </w:r>
            <w:r>
              <w:rPr>
                <w:rFonts w:hint="eastAsia" w:ascii="宋体" w:hAnsi="宋体" w:eastAsia="宋体" w:cs="宋体"/>
                <w:color w:val="auto"/>
                <w:spacing w:val="7"/>
                <w:sz w:val="21"/>
                <w:szCs w:val="21"/>
              </w:rPr>
              <w:t>器、电解液漏液自动</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检测和火灾自动探测等检测和报警功能，能实现自动启动和手动启动功能，</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0"/>
                <w:sz w:val="21"/>
                <w:szCs w:val="21"/>
              </w:rPr>
              <w:t>需满足全天侯待机工作状态，探测装置、灭火装置等质保</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10"/>
                <w:sz w:val="21"/>
                <w:szCs w:val="21"/>
              </w:rPr>
              <w:t>8</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10"/>
                <w:sz w:val="21"/>
                <w:szCs w:val="21"/>
              </w:rPr>
              <w:t>年，质保期内系统的检修及更换全部由投标方免费负责</w:t>
            </w:r>
            <w:r>
              <w:rPr>
                <w:rFonts w:hint="eastAsia" w:ascii="宋体" w:hAnsi="宋体" w:eastAsia="宋体" w:cs="宋体"/>
                <w:b/>
                <w:bCs/>
                <w:color w:val="auto"/>
                <w:spacing w:val="10"/>
                <w:sz w:val="21"/>
                <w:szCs w:val="21"/>
              </w:rPr>
              <w:t>（</w:t>
            </w:r>
            <w:r>
              <w:rPr>
                <w:rFonts w:hint="eastAsia" w:ascii="宋体" w:hAnsi="宋体" w:eastAsia="宋体" w:cs="宋体"/>
                <w:color w:val="auto"/>
                <w:spacing w:val="10"/>
                <w:sz w:val="21"/>
                <w:szCs w:val="21"/>
              </w:rPr>
              <w:t>包含总成件、所属配件、易损</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9"/>
                <w:sz w:val="21"/>
                <w:szCs w:val="21"/>
              </w:rPr>
              <w:t>件及工时，合同签订前由配套产品厂家和投标方提供共同书面承诺函</w:t>
            </w:r>
            <w:r>
              <w:rPr>
                <w:rFonts w:hint="eastAsia" w:ascii="宋体" w:hAnsi="宋体" w:eastAsia="宋体" w:cs="宋体"/>
                <w:b/>
                <w:bCs/>
                <w:color w:val="auto"/>
                <w:spacing w:val="9"/>
                <w:sz w:val="21"/>
                <w:szCs w:val="21"/>
              </w:rPr>
              <w:t>）</w:t>
            </w:r>
            <w:r>
              <w:rPr>
                <w:rFonts w:hint="eastAsia" w:ascii="宋体" w:hAnsi="宋体" w:eastAsia="宋体" w:cs="宋体"/>
                <w:bCs/>
                <w:color w:val="auto"/>
                <w:sz w:val="21"/>
                <w:szCs w:val="21"/>
                <w:highlight w:val="none"/>
              </w:rPr>
              <w:t>。</w:t>
            </w:r>
            <w:r>
              <w:rPr>
                <w:rFonts w:hint="eastAsia" w:ascii="宋体" w:hAnsi="宋体" w:eastAsia="宋体" w:cs="宋体"/>
                <w:color w:val="auto"/>
                <w:spacing w:val="11"/>
                <w:sz w:val="21"/>
                <w:szCs w:val="21"/>
              </w:rPr>
              <w:t>灭火装置及部件有国家公安部消防鉴定证书，电池箱</w:t>
            </w:r>
            <w:r>
              <w:rPr>
                <w:rFonts w:hint="eastAsia" w:ascii="宋体" w:hAnsi="宋体" w:eastAsia="宋体" w:cs="宋体"/>
                <w:color w:val="auto"/>
                <w:spacing w:val="10"/>
                <w:sz w:val="21"/>
                <w:szCs w:val="21"/>
              </w:rPr>
              <w:t>及电池舱自动灭火装</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置需有</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9"/>
                <w:sz w:val="21"/>
                <w:szCs w:val="21"/>
              </w:rPr>
              <w:t>8</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9"/>
                <w:sz w:val="21"/>
                <w:szCs w:val="21"/>
              </w:rPr>
              <w:t>年商业保险，电池箱单次事故保额不小于</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9"/>
                <w:sz w:val="21"/>
                <w:szCs w:val="21"/>
              </w:rPr>
              <w:t>20</w:t>
            </w:r>
            <w:r>
              <w:rPr>
                <w:rFonts w:hint="eastAsia" w:ascii="宋体" w:hAnsi="宋体" w:eastAsia="宋体" w:cs="宋体"/>
                <w:color w:val="auto"/>
                <w:spacing w:val="8"/>
                <w:sz w:val="21"/>
                <w:szCs w:val="21"/>
              </w:rPr>
              <w:t>0</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8"/>
                <w:sz w:val="21"/>
                <w:szCs w:val="21"/>
              </w:rPr>
              <w:t>万，电池舱单次事</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故保额不小于</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9"/>
                <w:sz w:val="21"/>
                <w:szCs w:val="21"/>
              </w:rPr>
              <w:t>100</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9"/>
                <w:sz w:val="21"/>
                <w:szCs w:val="21"/>
              </w:rPr>
              <w:t>万，承诺非人为损坏和失效的免费更换。如因装用不合</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格的电池箱或电池仓灭火装置引起的各种损失及责任，</w:t>
            </w:r>
            <w:r>
              <w:rPr>
                <w:rFonts w:hint="eastAsia" w:ascii="宋体" w:hAnsi="宋体" w:eastAsia="宋体" w:cs="宋体"/>
                <w:color w:val="auto"/>
                <w:spacing w:val="-58"/>
                <w:sz w:val="21"/>
                <w:szCs w:val="21"/>
              </w:rPr>
              <w:t xml:space="preserve"> </w:t>
            </w:r>
            <w:r>
              <w:rPr>
                <w:rFonts w:hint="eastAsia" w:ascii="宋体" w:hAnsi="宋体" w:eastAsia="宋体" w:cs="宋体"/>
                <w:color w:val="auto"/>
                <w:spacing w:val="8"/>
                <w:sz w:val="21"/>
                <w:szCs w:val="21"/>
              </w:rPr>
              <w:t>由投标方承担</w:t>
            </w:r>
          </w:p>
          <w:p w14:paraId="7BD282F4">
            <w:pPr>
              <w:spacing w:line="360" w:lineRule="auto"/>
              <w:rPr>
                <w:rFonts w:hint="eastAsia" w:ascii="宋体" w:hAnsi="宋体" w:eastAsia="宋体" w:cs="宋体"/>
                <w:color w:val="auto"/>
                <w:sz w:val="21"/>
                <w:szCs w:val="21"/>
                <w:highlight w:val="none"/>
              </w:rPr>
            </w:pPr>
          </w:p>
        </w:tc>
      </w:tr>
      <w:tr w14:paraId="5AE7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3563F590">
            <w:pPr>
              <w:spacing w:line="360" w:lineRule="auto"/>
              <w:rPr>
                <w:rFonts w:hint="eastAsia" w:ascii="宋体" w:hAnsi="宋体" w:eastAsia="宋体" w:cs="宋体"/>
                <w:color w:val="auto"/>
                <w:sz w:val="21"/>
                <w:szCs w:val="21"/>
                <w:highlight w:val="none"/>
              </w:rPr>
            </w:pPr>
          </w:p>
        </w:tc>
        <w:tc>
          <w:tcPr>
            <w:tcW w:w="1028" w:type="pct"/>
            <w:vAlign w:val="center"/>
          </w:tcPr>
          <w:p w14:paraId="75950D9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◎转向机型式</w:t>
            </w:r>
          </w:p>
        </w:tc>
        <w:tc>
          <w:tcPr>
            <w:tcW w:w="3360" w:type="pct"/>
            <w:vAlign w:val="center"/>
          </w:tcPr>
          <w:p w14:paraId="041CE5A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采用高低压双源转向泵的电动助力转向。</w:t>
            </w:r>
          </w:p>
        </w:tc>
      </w:tr>
      <w:tr w14:paraId="0E23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7DE89C8D">
            <w:pPr>
              <w:spacing w:line="360" w:lineRule="auto"/>
              <w:rPr>
                <w:rFonts w:hint="eastAsia" w:ascii="宋体" w:hAnsi="宋体" w:eastAsia="宋体" w:cs="宋体"/>
                <w:color w:val="auto"/>
                <w:sz w:val="21"/>
                <w:szCs w:val="21"/>
                <w:highlight w:val="none"/>
              </w:rPr>
            </w:pPr>
          </w:p>
        </w:tc>
        <w:tc>
          <w:tcPr>
            <w:tcW w:w="1028" w:type="pct"/>
            <w:vAlign w:val="center"/>
          </w:tcPr>
          <w:p w14:paraId="1FF6B858">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CAN总线模块</w:t>
            </w:r>
          </w:p>
        </w:tc>
        <w:tc>
          <w:tcPr>
            <w:tcW w:w="3360" w:type="pct"/>
            <w:vAlign w:val="center"/>
          </w:tcPr>
          <w:p w14:paraId="6DE5F88B">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厂家标配</w:t>
            </w:r>
          </w:p>
        </w:tc>
      </w:tr>
      <w:tr w14:paraId="5BF0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39B27D28">
            <w:pPr>
              <w:spacing w:line="360" w:lineRule="auto"/>
              <w:rPr>
                <w:rFonts w:hint="eastAsia" w:ascii="宋体" w:hAnsi="宋体" w:eastAsia="宋体" w:cs="宋体"/>
                <w:color w:val="auto"/>
                <w:sz w:val="21"/>
                <w:szCs w:val="21"/>
                <w:highlight w:val="none"/>
              </w:rPr>
            </w:pPr>
          </w:p>
        </w:tc>
        <w:tc>
          <w:tcPr>
            <w:tcW w:w="1028" w:type="pct"/>
            <w:vAlign w:val="center"/>
          </w:tcPr>
          <w:p w14:paraId="1CAF1B8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全液晶仪表</w:t>
            </w:r>
          </w:p>
        </w:tc>
        <w:tc>
          <w:tcPr>
            <w:tcW w:w="3360" w:type="pct"/>
            <w:vAlign w:val="center"/>
          </w:tcPr>
          <w:p w14:paraId="00A6CE8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厂家标配</w:t>
            </w:r>
          </w:p>
        </w:tc>
      </w:tr>
      <w:tr w14:paraId="7BBB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36D4EC59">
            <w:pPr>
              <w:spacing w:line="360" w:lineRule="auto"/>
              <w:rPr>
                <w:rFonts w:hint="eastAsia" w:ascii="宋体" w:hAnsi="宋体" w:eastAsia="宋体" w:cs="宋体"/>
                <w:color w:val="auto"/>
                <w:sz w:val="21"/>
                <w:szCs w:val="21"/>
                <w:highlight w:val="none"/>
              </w:rPr>
            </w:pPr>
          </w:p>
        </w:tc>
        <w:tc>
          <w:tcPr>
            <w:tcW w:w="1028" w:type="pct"/>
            <w:vAlign w:val="center"/>
          </w:tcPr>
          <w:p w14:paraId="40D041A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悬挂型式</w:t>
            </w:r>
          </w:p>
        </w:tc>
        <w:tc>
          <w:tcPr>
            <w:tcW w:w="3360" w:type="pct"/>
            <w:vAlign w:val="center"/>
          </w:tcPr>
          <w:p w14:paraId="7D94156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前独立悬架后少片簧</w:t>
            </w:r>
          </w:p>
        </w:tc>
      </w:tr>
      <w:tr w14:paraId="1FED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restart"/>
            <w:vAlign w:val="center"/>
          </w:tcPr>
          <w:p w14:paraId="7A363E6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底盘配置</w:t>
            </w:r>
          </w:p>
        </w:tc>
        <w:tc>
          <w:tcPr>
            <w:tcW w:w="1028" w:type="pct"/>
            <w:vAlign w:val="center"/>
          </w:tcPr>
          <w:p w14:paraId="075646AB">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空压机</w:t>
            </w:r>
          </w:p>
        </w:tc>
        <w:tc>
          <w:tcPr>
            <w:tcW w:w="3360" w:type="pct"/>
            <w:vAlign w:val="center"/>
          </w:tcPr>
          <w:p w14:paraId="763D625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滑片式空压机 </w:t>
            </w:r>
          </w:p>
        </w:tc>
      </w:tr>
      <w:tr w14:paraId="0234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79AC8899">
            <w:pPr>
              <w:spacing w:line="360" w:lineRule="auto"/>
              <w:rPr>
                <w:rFonts w:hint="eastAsia" w:ascii="宋体" w:hAnsi="宋体" w:eastAsia="宋体" w:cs="宋体"/>
                <w:color w:val="auto"/>
                <w:sz w:val="21"/>
                <w:szCs w:val="21"/>
                <w:highlight w:val="none"/>
              </w:rPr>
            </w:pPr>
          </w:p>
        </w:tc>
        <w:tc>
          <w:tcPr>
            <w:tcW w:w="1028" w:type="pct"/>
            <w:vAlign w:val="center"/>
          </w:tcPr>
          <w:p w14:paraId="3AF1B442">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集中润滑</w:t>
            </w:r>
          </w:p>
        </w:tc>
        <w:tc>
          <w:tcPr>
            <w:tcW w:w="3360" w:type="pct"/>
            <w:vAlign w:val="center"/>
          </w:tcPr>
          <w:p w14:paraId="688071B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厂家标配</w:t>
            </w:r>
          </w:p>
        </w:tc>
      </w:tr>
      <w:tr w14:paraId="5640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44ACC077">
            <w:pPr>
              <w:spacing w:line="360" w:lineRule="auto"/>
              <w:rPr>
                <w:rFonts w:hint="eastAsia" w:ascii="宋体" w:hAnsi="宋体" w:eastAsia="宋体" w:cs="宋体"/>
                <w:color w:val="auto"/>
                <w:sz w:val="21"/>
                <w:szCs w:val="21"/>
                <w:highlight w:val="none"/>
              </w:rPr>
            </w:pPr>
          </w:p>
        </w:tc>
        <w:tc>
          <w:tcPr>
            <w:tcW w:w="1028" w:type="pct"/>
            <w:vAlign w:val="center"/>
          </w:tcPr>
          <w:p w14:paraId="24ADA80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前桥最大轴荷</w:t>
            </w:r>
          </w:p>
        </w:tc>
        <w:tc>
          <w:tcPr>
            <w:tcW w:w="3360" w:type="pct"/>
            <w:vAlign w:val="center"/>
          </w:tcPr>
          <w:p w14:paraId="6BD0547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≥3.5T</w:t>
            </w:r>
            <w:r>
              <w:rPr>
                <w:rFonts w:hint="eastAsia" w:ascii="宋体" w:hAnsi="宋体" w:cs="宋体"/>
                <w:color w:val="auto"/>
                <w:sz w:val="21"/>
                <w:szCs w:val="21"/>
                <w:highlight w:val="none"/>
                <w:lang w:eastAsia="zh-CN"/>
              </w:rPr>
              <w:t>，</w:t>
            </w:r>
            <w:r>
              <w:rPr>
                <w:rFonts w:hint="eastAsia" w:ascii="宋体" w:hAnsi="宋体" w:cs="宋体"/>
                <w:bCs/>
                <w:color w:val="auto"/>
                <w:szCs w:val="21"/>
                <w:highlight w:val="none"/>
              </w:rPr>
              <w:t>前桥使用脂润滑免维护轮毂（质保8年，质保期内故障必须更换总成），</w:t>
            </w:r>
          </w:p>
        </w:tc>
      </w:tr>
      <w:tr w14:paraId="00AA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69F31B77">
            <w:pPr>
              <w:spacing w:line="360" w:lineRule="auto"/>
              <w:rPr>
                <w:rFonts w:hint="eastAsia" w:ascii="宋体" w:hAnsi="宋体" w:eastAsia="宋体" w:cs="宋体"/>
                <w:color w:val="auto"/>
                <w:sz w:val="21"/>
                <w:szCs w:val="21"/>
                <w:highlight w:val="none"/>
              </w:rPr>
            </w:pPr>
          </w:p>
        </w:tc>
        <w:tc>
          <w:tcPr>
            <w:tcW w:w="1028" w:type="pct"/>
            <w:vAlign w:val="center"/>
          </w:tcPr>
          <w:p w14:paraId="651B360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后桥最大轴荷</w:t>
            </w:r>
          </w:p>
        </w:tc>
        <w:tc>
          <w:tcPr>
            <w:tcW w:w="3360" w:type="pct"/>
            <w:vAlign w:val="center"/>
          </w:tcPr>
          <w:p w14:paraId="5577111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≥5.5T</w:t>
            </w:r>
            <w:r>
              <w:rPr>
                <w:rFonts w:hint="eastAsia" w:ascii="宋体" w:hAnsi="宋体" w:cs="宋体"/>
                <w:color w:val="auto"/>
                <w:sz w:val="21"/>
                <w:szCs w:val="21"/>
                <w:highlight w:val="none"/>
                <w:lang w:eastAsia="zh-CN"/>
              </w:rPr>
              <w:t>，</w:t>
            </w:r>
            <w:r>
              <w:rPr>
                <w:rFonts w:hint="eastAsia" w:ascii="宋体" w:hAnsi="宋体" w:cs="宋体"/>
                <w:bCs/>
                <w:color w:val="auto"/>
                <w:szCs w:val="21"/>
                <w:highlight w:val="none"/>
              </w:rPr>
              <w:t>后桥使用脂润滑免维护轮毂（质保8年，质保期内故障必须更换总成），</w:t>
            </w:r>
          </w:p>
        </w:tc>
      </w:tr>
      <w:tr w14:paraId="769D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3A419BD5">
            <w:pPr>
              <w:spacing w:line="360" w:lineRule="auto"/>
              <w:rPr>
                <w:rFonts w:hint="eastAsia" w:ascii="宋体" w:hAnsi="宋体" w:eastAsia="宋体" w:cs="宋体"/>
                <w:color w:val="auto"/>
                <w:sz w:val="21"/>
                <w:szCs w:val="21"/>
                <w:highlight w:val="none"/>
              </w:rPr>
            </w:pPr>
          </w:p>
        </w:tc>
        <w:tc>
          <w:tcPr>
            <w:tcW w:w="1028" w:type="pct"/>
            <w:vAlign w:val="center"/>
          </w:tcPr>
          <w:p w14:paraId="6893D8A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轮胎</w:t>
            </w:r>
          </w:p>
        </w:tc>
        <w:tc>
          <w:tcPr>
            <w:tcW w:w="3360" w:type="pct"/>
            <w:vAlign w:val="center"/>
          </w:tcPr>
          <w:p w14:paraId="41563220">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配备真空轮胎（带备胎）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铝合金轮毂，</w:t>
            </w:r>
            <w:r>
              <w:rPr>
                <w:rFonts w:hint="eastAsia" w:ascii="宋体" w:hAnsi="宋体" w:cs="宋体"/>
                <w:bCs/>
                <w:color w:val="auto"/>
                <w:szCs w:val="21"/>
                <w:highlight w:val="none"/>
              </w:rPr>
              <w:t>安装智能胎压监测系统</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含备胎</w:t>
            </w:r>
            <w:r>
              <w:rPr>
                <w:rFonts w:hint="eastAsia" w:ascii="宋体" w:hAnsi="宋体" w:cs="宋体"/>
                <w:bCs/>
                <w:color w:val="auto"/>
                <w:szCs w:val="21"/>
                <w:highlight w:val="none"/>
                <w:lang w:eastAsia="zh-CN"/>
              </w:rPr>
              <w:t>）</w:t>
            </w:r>
          </w:p>
        </w:tc>
      </w:tr>
      <w:tr w14:paraId="6E42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2BF03B62">
            <w:pPr>
              <w:spacing w:line="360" w:lineRule="auto"/>
              <w:rPr>
                <w:rFonts w:hint="eastAsia" w:ascii="宋体" w:hAnsi="宋体" w:eastAsia="宋体" w:cs="宋体"/>
                <w:color w:val="auto"/>
                <w:sz w:val="21"/>
                <w:szCs w:val="21"/>
                <w:highlight w:val="none"/>
              </w:rPr>
            </w:pPr>
          </w:p>
        </w:tc>
        <w:tc>
          <w:tcPr>
            <w:tcW w:w="1028" w:type="pct"/>
            <w:vAlign w:val="center"/>
          </w:tcPr>
          <w:p w14:paraId="325C8F4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行车制动形式</w:t>
            </w:r>
          </w:p>
        </w:tc>
        <w:tc>
          <w:tcPr>
            <w:tcW w:w="3360" w:type="pct"/>
            <w:vAlign w:val="center"/>
          </w:tcPr>
          <w:p w14:paraId="0A6E26D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前盘后盘双回路气压制动</w:t>
            </w:r>
          </w:p>
        </w:tc>
      </w:tr>
      <w:tr w14:paraId="1FEA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4B9C15DE">
            <w:pPr>
              <w:spacing w:line="360" w:lineRule="auto"/>
              <w:rPr>
                <w:rFonts w:hint="eastAsia" w:ascii="宋体" w:hAnsi="宋体" w:eastAsia="宋体" w:cs="宋体"/>
                <w:color w:val="auto"/>
                <w:sz w:val="21"/>
                <w:szCs w:val="21"/>
                <w:highlight w:val="none"/>
              </w:rPr>
            </w:pPr>
          </w:p>
        </w:tc>
        <w:tc>
          <w:tcPr>
            <w:tcW w:w="1028" w:type="pct"/>
            <w:vAlign w:val="center"/>
          </w:tcPr>
          <w:p w14:paraId="5AB7394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驻车制动形式</w:t>
            </w:r>
          </w:p>
        </w:tc>
        <w:tc>
          <w:tcPr>
            <w:tcW w:w="3360" w:type="pct"/>
            <w:vAlign w:val="center"/>
          </w:tcPr>
          <w:p w14:paraId="30EC9AD9">
            <w:p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电子手刹</w:t>
            </w:r>
          </w:p>
        </w:tc>
      </w:tr>
      <w:tr w14:paraId="0977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711613C7">
            <w:pPr>
              <w:spacing w:line="360" w:lineRule="auto"/>
              <w:rPr>
                <w:rFonts w:hint="eastAsia" w:ascii="宋体" w:hAnsi="宋体" w:eastAsia="宋体" w:cs="宋体"/>
                <w:color w:val="auto"/>
                <w:sz w:val="21"/>
                <w:szCs w:val="21"/>
                <w:highlight w:val="none"/>
              </w:rPr>
            </w:pPr>
          </w:p>
        </w:tc>
        <w:tc>
          <w:tcPr>
            <w:tcW w:w="1028" w:type="pct"/>
            <w:vAlign w:val="center"/>
          </w:tcPr>
          <w:p w14:paraId="5A91D55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ABS+自动调整臂</w:t>
            </w:r>
          </w:p>
        </w:tc>
        <w:tc>
          <w:tcPr>
            <w:tcW w:w="3360" w:type="pct"/>
            <w:vAlign w:val="center"/>
          </w:tcPr>
          <w:p w14:paraId="05DA8D2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配置ABS（质保≥3年）+自动调整臂</w:t>
            </w:r>
          </w:p>
        </w:tc>
      </w:tr>
      <w:tr w14:paraId="0C31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6DE13B3E">
            <w:pPr>
              <w:spacing w:line="360" w:lineRule="auto"/>
              <w:rPr>
                <w:rFonts w:hint="eastAsia" w:ascii="宋体" w:hAnsi="宋体" w:eastAsia="宋体" w:cs="宋体"/>
                <w:color w:val="auto"/>
                <w:sz w:val="21"/>
                <w:szCs w:val="21"/>
                <w:highlight w:val="none"/>
              </w:rPr>
            </w:pPr>
          </w:p>
        </w:tc>
        <w:tc>
          <w:tcPr>
            <w:tcW w:w="1028" w:type="pct"/>
            <w:vAlign w:val="center"/>
          </w:tcPr>
          <w:p w14:paraId="3D9F5F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雨刮</w:t>
            </w:r>
          </w:p>
        </w:tc>
        <w:tc>
          <w:tcPr>
            <w:tcW w:w="3360" w:type="pct"/>
            <w:vAlign w:val="center"/>
          </w:tcPr>
          <w:p w14:paraId="0C1DC77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电机功率和雨刮杆强度要适合</w:t>
            </w:r>
          </w:p>
        </w:tc>
      </w:tr>
      <w:tr w14:paraId="2F8C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restart"/>
            <w:vAlign w:val="center"/>
          </w:tcPr>
          <w:p w14:paraId="1387FA9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电器配置</w:t>
            </w:r>
          </w:p>
        </w:tc>
        <w:tc>
          <w:tcPr>
            <w:tcW w:w="1028" w:type="pct"/>
            <w:vAlign w:val="center"/>
          </w:tcPr>
          <w:p w14:paraId="7F32FC0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蓄电池</w:t>
            </w:r>
          </w:p>
        </w:tc>
        <w:tc>
          <w:tcPr>
            <w:tcW w:w="3360" w:type="pct"/>
            <w:vAlign w:val="center"/>
          </w:tcPr>
          <w:p w14:paraId="5728FBB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配置≥60Ah蓄电池，质保≥2年。</w:t>
            </w:r>
          </w:p>
        </w:tc>
      </w:tr>
      <w:tr w14:paraId="6AD2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1E16588E">
            <w:pPr>
              <w:spacing w:line="360" w:lineRule="auto"/>
              <w:rPr>
                <w:rFonts w:hint="eastAsia" w:ascii="宋体" w:hAnsi="宋体" w:eastAsia="宋体" w:cs="宋体"/>
                <w:color w:val="auto"/>
                <w:sz w:val="21"/>
                <w:szCs w:val="21"/>
                <w:highlight w:val="none"/>
              </w:rPr>
            </w:pPr>
          </w:p>
        </w:tc>
        <w:tc>
          <w:tcPr>
            <w:tcW w:w="1028" w:type="pct"/>
            <w:vAlign w:val="center"/>
          </w:tcPr>
          <w:p w14:paraId="0E71828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配电盒</w:t>
            </w:r>
          </w:p>
        </w:tc>
        <w:tc>
          <w:tcPr>
            <w:tcW w:w="3360" w:type="pct"/>
            <w:vAlign w:val="center"/>
          </w:tcPr>
          <w:p w14:paraId="7AC5CBF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阻燃配电盒，带CAN总线通讯，能够起到过热过流自动保护作用。</w:t>
            </w:r>
          </w:p>
        </w:tc>
      </w:tr>
      <w:tr w14:paraId="6DD0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1F1F8641">
            <w:pPr>
              <w:spacing w:line="360" w:lineRule="auto"/>
              <w:rPr>
                <w:rFonts w:hint="eastAsia" w:ascii="宋体" w:hAnsi="宋体" w:eastAsia="宋体" w:cs="宋体"/>
                <w:color w:val="auto"/>
                <w:sz w:val="21"/>
                <w:szCs w:val="21"/>
                <w:highlight w:val="none"/>
              </w:rPr>
            </w:pPr>
          </w:p>
        </w:tc>
        <w:tc>
          <w:tcPr>
            <w:tcW w:w="1028" w:type="pct"/>
            <w:vAlign w:val="center"/>
          </w:tcPr>
          <w:p w14:paraId="0166C0D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暖风</w:t>
            </w:r>
          </w:p>
        </w:tc>
        <w:tc>
          <w:tcPr>
            <w:tcW w:w="3360" w:type="pct"/>
            <w:vAlign w:val="center"/>
          </w:tcPr>
          <w:p w14:paraId="740BC08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前档配高压电除霜系统</w:t>
            </w:r>
          </w:p>
        </w:tc>
      </w:tr>
      <w:tr w14:paraId="19F4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631B2570">
            <w:pPr>
              <w:spacing w:line="360" w:lineRule="auto"/>
              <w:rPr>
                <w:rFonts w:hint="eastAsia" w:ascii="宋体" w:hAnsi="宋体" w:eastAsia="宋体" w:cs="宋体"/>
                <w:color w:val="auto"/>
                <w:sz w:val="21"/>
                <w:szCs w:val="21"/>
                <w:highlight w:val="none"/>
              </w:rPr>
            </w:pPr>
          </w:p>
        </w:tc>
        <w:tc>
          <w:tcPr>
            <w:tcW w:w="1028" w:type="pct"/>
            <w:vAlign w:val="center"/>
          </w:tcPr>
          <w:p w14:paraId="2100093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倒车影像及中门监视器</w:t>
            </w:r>
          </w:p>
        </w:tc>
        <w:tc>
          <w:tcPr>
            <w:tcW w:w="3360" w:type="pct"/>
            <w:vAlign w:val="center"/>
          </w:tcPr>
          <w:p w14:paraId="7964816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厂家标配</w:t>
            </w:r>
          </w:p>
        </w:tc>
      </w:tr>
      <w:tr w14:paraId="0F72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501030F3">
            <w:pPr>
              <w:spacing w:line="360" w:lineRule="auto"/>
              <w:rPr>
                <w:rFonts w:hint="eastAsia" w:ascii="宋体" w:hAnsi="宋体" w:eastAsia="宋体" w:cs="宋体"/>
                <w:color w:val="auto"/>
                <w:sz w:val="21"/>
                <w:szCs w:val="21"/>
                <w:highlight w:val="none"/>
              </w:rPr>
            </w:pPr>
          </w:p>
        </w:tc>
        <w:tc>
          <w:tcPr>
            <w:tcW w:w="1028" w:type="pct"/>
            <w:vAlign w:val="center"/>
          </w:tcPr>
          <w:p w14:paraId="7EE3F32F">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空调规格</w:t>
            </w:r>
          </w:p>
        </w:tc>
        <w:tc>
          <w:tcPr>
            <w:tcW w:w="3360" w:type="pct"/>
            <w:vAlign w:val="center"/>
          </w:tcPr>
          <w:p w14:paraId="2243E653">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顶置冷暖空调，</w:t>
            </w:r>
            <w:r>
              <w:rPr>
                <w:rFonts w:hint="eastAsia" w:ascii="宋体" w:hAnsi="宋体" w:eastAsia="宋体" w:cs="宋体"/>
                <w:bCs/>
                <w:color w:val="auto"/>
                <w:sz w:val="21"/>
                <w:szCs w:val="21"/>
                <w:highlight w:val="none"/>
                <w:lang w:val="en-US" w:eastAsia="zh-CN"/>
              </w:rPr>
              <w:t>带集成水冷，</w:t>
            </w:r>
            <w:r>
              <w:rPr>
                <w:rFonts w:hint="eastAsia" w:ascii="宋体" w:hAnsi="宋体" w:eastAsia="宋体" w:cs="宋体"/>
                <w:bCs/>
                <w:color w:val="auto"/>
                <w:sz w:val="21"/>
                <w:szCs w:val="21"/>
                <w:highlight w:val="none"/>
              </w:rPr>
              <w:t>制冷量12000Kcal/h</w:t>
            </w:r>
          </w:p>
        </w:tc>
      </w:tr>
      <w:tr w14:paraId="327F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1" w:type="pct"/>
            <w:vMerge w:val="restart"/>
            <w:vAlign w:val="center"/>
          </w:tcPr>
          <w:p w14:paraId="4A25A9F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空调系统配置</w:t>
            </w:r>
          </w:p>
        </w:tc>
        <w:tc>
          <w:tcPr>
            <w:tcW w:w="1028" w:type="pct"/>
            <w:vAlign w:val="center"/>
          </w:tcPr>
          <w:p w14:paraId="34CFF736">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空调风道</w:t>
            </w:r>
          </w:p>
        </w:tc>
        <w:tc>
          <w:tcPr>
            <w:tcW w:w="3360" w:type="pct"/>
            <w:vAlign w:val="center"/>
          </w:tcPr>
          <w:p w14:paraId="67B2D893">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风道及内顶板采用无机复合不燃材料</w:t>
            </w:r>
          </w:p>
        </w:tc>
      </w:tr>
      <w:tr w14:paraId="73A8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1C9B272D">
            <w:pPr>
              <w:spacing w:line="360" w:lineRule="auto"/>
              <w:rPr>
                <w:rFonts w:hint="eastAsia" w:ascii="宋体" w:hAnsi="宋体" w:eastAsia="宋体" w:cs="宋体"/>
                <w:color w:val="auto"/>
                <w:sz w:val="21"/>
                <w:szCs w:val="21"/>
                <w:highlight w:val="none"/>
              </w:rPr>
            </w:pPr>
          </w:p>
        </w:tc>
        <w:tc>
          <w:tcPr>
            <w:tcW w:w="1028" w:type="pct"/>
            <w:vAlign w:val="center"/>
          </w:tcPr>
          <w:p w14:paraId="126B566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侧窗玻璃</w:t>
            </w:r>
          </w:p>
        </w:tc>
        <w:tc>
          <w:tcPr>
            <w:tcW w:w="3360" w:type="pct"/>
            <w:vAlign w:val="center"/>
          </w:tcPr>
          <w:p w14:paraId="63834D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厂家标配</w:t>
            </w:r>
          </w:p>
        </w:tc>
      </w:tr>
      <w:tr w14:paraId="569E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restart"/>
            <w:vAlign w:val="center"/>
          </w:tcPr>
          <w:p w14:paraId="1A2439C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车身配置</w:t>
            </w:r>
          </w:p>
        </w:tc>
        <w:tc>
          <w:tcPr>
            <w:tcW w:w="1028" w:type="pct"/>
            <w:vAlign w:val="center"/>
          </w:tcPr>
          <w:p w14:paraId="03FAD8C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乘客门</w:t>
            </w:r>
          </w:p>
        </w:tc>
        <w:tc>
          <w:tcPr>
            <w:tcW w:w="3360" w:type="pct"/>
            <w:vAlign w:val="center"/>
          </w:tcPr>
          <w:p w14:paraId="72CEEBA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车厢右侧单门（气动外摆乘客门）。</w:t>
            </w:r>
          </w:p>
        </w:tc>
      </w:tr>
      <w:tr w14:paraId="3231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54B426CA">
            <w:pPr>
              <w:spacing w:line="360" w:lineRule="auto"/>
              <w:rPr>
                <w:rFonts w:hint="eastAsia" w:ascii="宋体" w:hAnsi="宋体" w:eastAsia="宋体" w:cs="宋体"/>
                <w:color w:val="auto"/>
                <w:sz w:val="21"/>
                <w:szCs w:val="21"/>
                <w:highlight w:val="none"/>
              </w:rPr>
            </w:pPr>
          </w:p>
        </w:tc>
        <w:tc>
          <w:tcPr>
            <w:tcW w:w="1028" w:type="pct"/>
            <w:vAlign w:val="center"/>
          </w:tcPr>
          <w:p w14:paraId="57665D72">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司机窗、天窗</w:t>
            </w:r>
          </w:p>
        </w:tc>
        <w:tc>
          <w:tcPr>
            <w:tcW w:w="3360" w:type="pct"/>
            <w:vAlign w:val="center"/>
          </w:tcPr>
          <w:p w14:paraId="2F8949B9">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铝合金推拉式司机窗，钢化玻璃；安全逃生窗符合国家标准</w:t>
            </w:r>
          </w:p>
        </w:tc>
      </w:tr>
      <w:tr w14:paraId="4743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1EC56518">
            <w:pPr>
              <w:spacing w:line="360" w:lineRule="auto"/>
              <w:rPr>
                <w:rFonts w:hint="eastAsia" w:ascii="宋体" w:hAnsi="宋体" w:eastAsia="宋体" w:cs="宋体"/>
                <w:color w:val="auto"/>
                <w:sz w:val="21"/>
                <w:szCs w:val="21"/>
                <w:highlight w:val="none"/>
              </w:rPr>
            </w:pPr>
          </w:p>
        </w:tc>
        <w:tc>
          <w:tcPr>
            <w:tcW w:w="1028" w:type="pct"/>
            <w:vAlign w:val="center"/>
          </w:tcPr>
          <w:p w14:paraId="01A0C54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地板革</w:t>
            </w:r>
          </w:p>
        </w:tc>
        <w:tc>
          <w:tcPr>
            <w:tcW w:w="3360" w:type="pct"/>
            <w:vAlign w:val="center"/>
          </w:tcPr>
          <w:p w14:paraId="396D388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w:t>
            </w:r>
            <w:r>
              <w:rPr>
                <w:rFonts w:hint="eastAsia" w:ascii="宋体" w:hAnsi="宋体" w:eastAsia="宋体" w:cs="宋体"/>
                <w:color w:val="auto"/>
                <w:sz w:val="21"/>
                <w:szCs w:val="21"/>
                <w:highlight w:val="none"/>
                <w:lang w:val="en-US" w:eastAsia="zh-CN"/>
              </w:rPr>
              <w:t>实木</w:t>
            </w:r>
            <w:r>
              <w:rPr>
                <w:rFonts w:hint="eastAsia" w:ascii="宋体" w:hAnsi="宋体" w:eastAsia="宋体" w:cs="宋体"/>
                <w:color w:val="auto"/>
                <w:sz w:val="21"/>
                <w:szCs w:val="21"/>
                <w:highlight w:val="none"/>
              </w:rPr>
              <w:t>地板</w:t>
            </w:r>
          </w:p>
        </w:tc>
      </w:tr>
      <w:tr w14:paraId="4D67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66E33B96">
            <w:pPr>
              <w:spacing w:line="360" w:lineRule="auto"/>
              <w:rPr>
                <w:rFonts w:hint="eastAsia" w:ascii="宋体" w:hAnsi="宋体" w:eastAsia="宋体" w:cs="宋体"/>
                <w:color w:val="auto"/>
                <w:sz w:val="21"/>
                <w:szCs w:val="21"/>
                <w:highlight w:val="none"/>
              </w:rPr>
            </w:pPr>
          </w:p>
        </w:tc>
        <w:tc>
          <w:tcPr>
            <w:tcW w:w="1028" w:type="pct"/>
            <w:vAlign w:val="center"/>
          </w:tcPr>
          <w:p w14:paraId="3EF7A36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侧窗及窗帘</w:t>
            </w:r>
          </w:p>
        </w:tc>
        <w:tc>
          <w:tcPr>
            <w:tcW w:w="3360" w:type="pct"/>
            <w:vAlign w:val="center"/>
          </w:tcPr>
          <w:p w14:paraId="2A82825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两侧玻璃配置</w:t>
            </w:r>
            <w:r>
              <w:rPr>
                <w:rFonts w:hint="eastAsia" w:ascii="宋体" w:hAnsi="宋体" w:eastAsia="宋体" w:cs="宋体"/>
                <w:color w:val="auto"/>
                <w:sz w:val="21"/>
                <w:szCs w:val="21"/>
                <w:highlight w:val="none"/>
                <w:lang w:val="en-US" w:eastAsia="zh-CN"/>
              </w:rPr>
              <w:t>动车</w:t>
            </w:r>
            <w:r>
              <w:rPr>
                <w:rFonts w:hint="eastAsia" w:ascii="宋体" w:hAnsi="宋体" w:eastAsia="宋体" w:cs="宋体"/>
                <w:color w:val="auto"/>
                <w:sz w:val="21"/>
                <w:szCs w:val="21"/>
                <w:highlight w:val="none"/>
              </w:rPr>
              <w:t>窗帘，前挡风配置遮阳板</w:t>
            </w:r>
          </w:p>
        </w:tc>
      </w:tr>
      <w:tr w14:paraId="550F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489CF138">
            <w:pPr>
              <w:spacing w:line="360" w:lineRule="auto"/>
              <w:rPr>
                <w:rFonts w:hint="eastAsia" w:ascii="宋体" w:hAnsi="宋体" w:eastAsia="宋体" w:cs="宋体"/>
                <w:color w:val="auto"/>
                <w:sz w:val="21"/>
                <w:szCs w:val="21"/>
                <w:highlight w:val="none"/>
              </w:rPr>
            </w:pPr>
          </w:p>
        </w:tc>
        <w:tc>
          <w:tcPr>
            <w:tcW w:w="1028" w:type="pct"/>
            <w:vAlign w:val="center"/>
          </w:tcPr>
          <w:p w14:paraId="4F32B2C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座椅</w:t>
            </w:r>
          </w:p>
        </w:tc>
        <w:tc>
          <w:tcPr>
            <w:tcW w:w="3360" w:type="pct"/>
            <w:vAlign w:val="center"/>
          </w:tcPr>
          <w:p w14:paraId="4057F0C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采用16+1座椅布置，</w:t>
            </w:r>
            <w:r>
              <w:rPr>
                <w:rFonts w:hint="eastAsia" w:ascii="宋体" w:hAnsi="宋体" w:eastAsia="宋体" w:cs="宋体"/>
                <w:color w:val="auto"/>
                <w:sz w:val="21"/>
                <w:szCs w:val="21"/>
                <w:highlight w:val="none"/>
              </w:rPr>
              <w:t>驾驶员座1个，配减震司机椅，配三点式安全带；乘客</w:t>
            </w:r>
            <w:r>
              <w:rPr>
                <w:rFonts w:hint="eastAsia" w:ascii="宋体" w:hAnsi="宋体" w:cs="宋体"/>
                <w:color w:val="auto"/>
                <w:sz w:val="21"/>
                <w:szCs w:val="21"/>
                <w:highlight w:val="none"/>
                <w:lang w:val="en-US" w:eastAsia="zh-CN"/>
              </w:rPr>
              <w:t>航空座椅（</w:t>
            </w:r>
            <w:r>
              <w:rPr>
                <w:rFonts w:hint="eastAsia" w:ascii="宋体" w:hAnsi="宋体" w:eastAsia="宋体" w:cs="宋体"/>
                <w:color w:val="auto"/>
                <w:sz w:val="21"/>
                <w:szCs w:val="21"/>
                <w:highlight w:val="none"/>
              </w:rPr>
              <w:t>仿皮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，通道侧配置扶手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前排配办公桌</w:t>
            </w:r>
            <w:r>
              <w:rPr>
                <w:rFonts w:hint="eastAsia" w:ascii="宋体" w:hAnsi="宋体" w:eastAsia="宋体" w:cs="宋体"/>
                <w:color w:val="auto"/>
                <w:sz w:val="21"/>
                <w:szCs w:val="21"/>
                <w:highlight w:val="none"/>
              </w:rPr>
              <w:t>；伸缩式安全带，乘客佩戴提醒装置。</w:t>
            </w:r>
          </w:p>
        </w:tc>
      </w:tr>
      <w:tr w14:paraId="6B8D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2E553A85">
            <w:pPr>
              <w:spacing w:line="360" w:lineRule="auto"/>
              <w:rPr>
                <w:rFonts w:hint="eastAsia" w:ascii="宋体" w:hAnsi="宋体" w:eastAsia="宋体" w:cs="宋体"/>
                <w:color w:val="auto"/>
                <w:sz w:val="21"/>
                <w:szCs w:val="21"/>
                <w:highlight w:val="none"/>
              </w:rPr>
            </w:pPr>
          </w:p>
        </w:tc>
        <w:tc>
          <w:tcPr>
            <w:tcW w:w="1028" w:type="pct"/>
            <w:vAlign w:val="center"/>
          </w:tcPr>
          <w:p w14:paraId="7A2A783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内饰件</w:t>
            </w:r>
          </w:p>
        </w:tc>
        <w:tc>
          <w:tcPr>
            <w:tcW w:w="3360" w:type="pct"/>
          </w:tcPr>
          <w:p w14:paraId="613ED99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车厢内成型内饰必须整洁、美观，阻燃材料。其阻燃性符合国家的规定。设置一个安全天窗</w:t>
            </w:r>
          </w:p>
        </w:tc>
      </w:tr>
      <w:tr w14:paraId="3EF8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567C3A18">
            <w:pPr>
              <w:spacing w:line="360" w:lineRule="auto"/>
              <w:rPr>
                <w:rFonts w:hint="eastAsia" w:ascii="宋体" w:hAnsi="宋体" w:eastAsia="宋体" w:cs="宋体"/>
                <w:color w:val="auto"/>
                <w:sz w:val="21"/>
                <w:szCs w:val="21"/>
                <w:highlight w:val="none"/>
              </w:rPr>
            </w:pPr>
          </w:p>
        </w:tc>
        <w:tc>
          <w:tcPr>
            <w:tcW w:w="1028" w:type="pct"/>
            <w:vAlign w:val="center"/>
          </w:tcPr>
          <w:p w14:paraId="3131B92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车身骨架</w:t>
            </w:r>
          </w:p>
        </w:tc>
        <w:tc>
          <w:tcPr>
            <w:tcW w:w="3360" w:type="pct"/>
            <w:vAlign w:val="center"/>
          </w:tcPr>
          <w:p w14:paraId="75759766">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采用承载式</w:t>
            </w:r>
            <w:r>
              <w:rPr>
                <w:rFonts w:hint="eastAsia" w:ascii="宋体" w:hAnsi="宋体" w:eastAsia="宋体" w:cs="宋体"/>
                <w:color w:val="auto"/>
                <w:sz w:val="21"/>
                <w:szCs w:val="21"/>
                <w:highlight w:val="none"/>
              </w:rPr>
              <w:t>车身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骨架必须采用封闭环20#或20#以上矩形型钢焊接而成的桁架结构，焊接后采用的防腐防锈处理方法是：整车阴极电泳，车门蒙皮的厚度≥1mm，车身骨架质保8年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提供公告页</w:t>
            </w:r>
            <w:r>
              <w:rPr>
                <w:rFonts w:hint="eastAsia" w:ascii="宋体" w:hAnsi="宋体" w:eastAsia="宋体" w:cs="宋体"/>
                <w:color w:val="auto"/>
                <w:sz w:val="21"/>
                <w:szCs w:val="21"/>
                <w:highlight w:val="none"/>
                <w:lang w:eastAsia="zh-CN"/>
              </w:rPr>
              <w:t>）</w:t>
            </w:r>
          </w:p>
        </w:tc>
      </w:tr>
      <w:tr w14:paraId="69FB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6C1095AD">
            <w:pPr>
              <w:spacing w:line="360" w:lineRule="auto"/>
              <w:rPr>
                <w:rFonts w:hint="eastAsia" w:ascii="宋体" w:hAnsi="宋体" w:eastAsia="宋体" w:cs="宋体"/>
                <w:color w:val="auto"/>
                <w:sz w:val="21"/>
                <w:szCs w:val="21"/>
                <w:highlight w:val="none"/>
              </w:rPr>
            </w:pPr>
          </w:p>
        </w:tc>
        <w:tc>
          <w:tcPr>
            <w:tcW w:w="1028" w:type="pct"/>
            <w:vAlign w:val="center"/>
          </w:tcPr>
          <w:p w14:paraId="617CFD9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喇叭</w:t>
            </w:r>
          </w:p>
        </w:tc>
        <w:tc>
          <w:tcPr>
            <w:tcW w:w="3360" w:type="pct"/>
            <w:vAlign w:val="center"/>
          </w:tcPr>
          <w:p w14:paraId="09A974A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配置电喇叭</w:t>
            </w:r>
          </w:p>
        </w:tc>
      </w:tr>
      <w:tr w14:paraId="0321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3A7F7780">
            <w:pPr>
              <w:spacing w:line="360" w:lineRule="auto"/>
              <w:rPr>
                <w:rFonts w:hint="eastAsia" w:ascii="宋体" w:hAnsi="宋体" w:eastAsia="宋体" w:cs="宋体"/>
                <w:color w:val="auto"/>
                <w:sz w:val="21"/>
                <w:szCs w:val="21"/>
                <w:highlight w:val="none"/>
              </w:rPr>
            </w:pPr>
          </w:p>
        </w:tc>
        <w:tc>
          <w:tcPr>
            <w:tcW w:w="1028" w:type="pct"/>
            <w:vAlign w:val="center"/>
          </w:tcPr>
          <w:p w14:paraId="4AB5BA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车厢应急逃生装置及标志</w:t>
            </w:r>
          </w:p>
        </w:tc>
        <w:tc>
          <w:tcPr>
            <w:tcW w:w="3360" w:type="pct"/>
            <w:vAlign w:val="center"/>
          </w:tcPr>
          <w:p w14:paraId="459D23F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应急标志按核载人数配置，逃生锤5把（驾驶员1把，左右侧窗各2把）；</w:t>
            </w:r>
          </w:p>
        </w:tc>
      </w:tr>
      <w:tr w14:paraId="1AA9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67BF99FD">
            <w:pPr>
              <w:spacing w:line="360" w:lineRule="auto"/>
              <w:rPr>
                <w:rFonts w:hint="eastAsia" w:ascii="宋体" w:hAnsi="宋体" w:eastAsia="宋体" w:cs="宋体"/>
                <w:color w:val="auto"/>
                <w:sz w:val="21"/>
                <w:szCs w:val="21"/>
                <w:highlight w:val="none"/>
              </w:rPr>
            </w:pPr>
          </w:p>
        </w:tc>
        <w:tc>
          <w:tcPr>
            <w:tcW w:w="1028" w:type="pct"/>
            <w:vAlign w:val="center"/>
          </w:tcPr>
          <w:p w14:paraId="7EB73E9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车厢灭火器</w:t>
            </w:r>
          </w:p>
        </w:tc>
        <w:tc>
          <w:tcPr>
            <w:tcW w:w="3360" w:type="pct"/>
            <w:vAlign w:val="center"/>
          </w:tcPr>
          <w:p w14:paraId="002CA63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干粉型（4kg）2只，（车厢内：一只安装在驾驶员座傍，另一只安装在下车门处），干粉灭火器质保≥5年</w:t>
            </w:r>
          </w:p>
        </w:tc>
      </w:tr>
      <w:tr w14:paraId="76D0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restart"/>
            <w:vAlign w:val="center"/>
          </w:tcPr>
          <w:p w14:paraId="3EB3600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其他配置及要求</w:t>
            </w:r>
          </w:p>
        </w:tc>
        <w:tc>
          <w:tcPr>
            <w:tcW w:w="1028" w:type="pct"/>
            <w:vAlign w:val="center"/>
          </w:tcPr>
          <w:p w14:paraId="5C3F99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停车楔</w:t>
            </w:r>
          </w:p>
        </w:tc>
        <w:tc>
          <w:tcPr>
            <w:tcW w:w="3360" w:type="pct"/>
            <w:vAlign w:val="center"/>
          </w:tcPr>
          <w:p w14:paraId="772E64C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配置2只停车楔</w:t>
            </w:r>
          </w:p>
        </w:tc>
      </w:tr>
      <w:tr w14:paraId="784F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1E954DCF">
            <w:pPr>
              <w:spacing w:line="360" w:lineRule="auto"/>
              <w:rPr>
                <w:rFonts w:hint="eastAsia" w:ascii="宋体" w:hAnsi="宋体" w:eastAsia="宋体" w:cs="宋体"/>
                <w:color w:val="auto"/>
                <w:sz w:val="21"/>
                <w:szCs w:val="21"/>
                <w:highlight w:val="none"/>
              </w:rPr>
            </w:pPr>
          </w:p>
        </w:tc>
        <w:tc>
          <w:tcPr>
            <w:tcW w:w="1028" w:type="pct"/>
            <w:vAlign w:val="center"/>
          </w:tcPr>
          <w:p w14:paraId="680114B7">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动力电池舱灭火系统</w:t>
            </w:r>
          </w:p>
        </w:tc>
        <w:tc>
          <w:tcPr>
            <w:tcW w:w="3360" w:type="pct"/>
            <w:vAlign w:val="center"/>
          </w:tcPr>
          <w:p w14:paraId="18A0148C">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厂家标配</w:t>
            </w:r>
          </w:p>
        </w:tc>
      </w:tr>
      <w:tr w14:paraId="4467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66C68F80">
            <w:pPr>
              <w:spacing w:line="360" w:lineRule="auto"/>
              <w:rPr>
                <w:rFonts w:hint="eastAsia" w:ascii="宋体" w:hAnsi="宋体" w:eastAsia="宋体" w:cs="宋体"/>
                <w:color w:val="auto"/>
                <w:sz w:val="21"/>
                <w:szCs w:val="21"/>
                <w:highlight w:val="none"/>
              </w:rPr>
            </w:pPr>
          </w:p>
        </w:tc>
        <w:tc>
          <w:tcPr>
            <w:tcW w:w="1028" w:type="pct"/>
            <w:vAlign w:val="center"/>
          </w:tcPr>
          <w:p w14:paraId="158CCDD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油漆</w:t>
            </w:r>
          </w:p>
        </w:tc>
        <w:tc>
          <w:tcPr>
            <w:tcW w:w="3360" w:type="pct"/>
            <w:vAlign w:val="center"/>
          </w:tcPr>
          <w:p w14:paraId="061CFE9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国产金属漆</w:t>
            </w:r>
          </w:p>
        </w:tc>
      </w:tr>
      <w:tr w14:paraId="457D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7217DB8A">
            <w:pPr>
              <w:spacing w:line="360" w:lineRule="auto"/>
              <w:rPr>
                <w:rFonts w:hint="eastAsia" w:ascii="宋体" w:hAnsi="宋体" w:eastAsia="宋体" w:cs="宋体"/>
                <w:color w:val="auto"/>
                <w:sz w:val="21"/>
                <w:szCs w:val="21"/>
                <w:highlight w:val="none"/>
              </w:rPr>
            </w:pPr>
          </w:p>
        </w:tc>
        <w:tc>
          <w:tcPr>
            <w:tcW w:w="4388" w:type="pct"/>
            <w:gridSpan w:val="2"/>
            <w:vAlign w:val="center"/>
          </w:tcPr>
          <w:p w14:paraId="5406C1C5">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整车说明书、保修手册、其他说明书根据选配情况提供（含电子版）。</w:t>
            </w:r>
          </w:p>
        </w:tc>
      </w:tr>
      <w:tr w14:paraId="2275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Merge w:val="continue"/>
            <w:vAlign w:val="center"/>
          </w:tcPr>
          <w:p w14:paraId="3B47FF84">
            <w:pPr>
              <w:spacing w:line="360" w:lineRule="auto"/>
              <w:rPr>
                <w:rFonts w:hint="eastAsia" w:ascii="宋体" w:hAnsi="宋体" w:eastAsia="宋体" w:cs="宋体"/>
                <w:color w:val="auto"/>
                <w:sz w:val="21"/>
                <w:szCs w:val="21"/>
                <w:highlight w:val="none"/>
              </w:rPr>
            </w:pPr>
          </w:p>
        </w:tc>
        <w:tc>
          <w:tcPr>
            <w:tcW w:w="4388" w:type="pct"/>
            <w:gridSpan w:val="2"/>
            <w:vAlign w:val="center"/>
          </w:tcPr>
          <w:p w14:paraId="066FC19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提供上牌照片四张、拓印号（车架、动力机）各四份；车架号及动力机号码需打深。</w:t>
            </w:r>
          </w:p>
        </w:tc>
      </w:tr>
      <w:tr w14:paraId="2C96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pct"/>
            <w:vAlign w:val="center"/>
          </w:tcPr>
          <w:p w14:paraId="4D12067F">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服务系统</w:t>
            </w:r>
          </w:p>
        </w:tc>
        <w:tc>
          <w:tcPr>
            <w:tcW w:w="4388" w:type="pct"/>
            <w:gridSpan w:val="2"/>
            <w:vAlign w:val="center"/>
          </w:tcPr>
          <w:p w14:paraId="699EFA86">
            <w:pPr>
              <w:keepNext w:val="0"/>
              <w:keepLines w:val="0"/>
              <w:pageBreakBefore w:val="0"/>
              <w:widowControl w:val="0"/>
              <w:kinsoku/>
              <w:wordWrap/>
              <w:overflowPunct/>
              <w:topLinePunct w:val="0"/>
              <w:autoSpaceDE/>
              <w:autoSpaceDN/>
              <w:bidi w:val="0"/>
              <w:adjustRightInd/>
              <w:snapToGrid w:val="0"/>
              <w:spacing w:line="540" w:lineRule="exact"/>
              <w:textAlignment w:val="auto"/>
              <w:outlineLvl w:val="0"/>
              <w:rPr>
                <w:rFonts w:hint="eastAsia" w:ascii="宋体" w:hAnsi="宋体" w:eastAsia="宋体" w:cs="宋体"/>
                <w:bCs/>
                <w:color w:val="auto"/>
                <w:szCs w:val="21"/>
                <w:highlight w:val="none"/>
                <w:lang w:eastAsia="zh-CN"/>
              </w:rPr>
            </w:pPr>
            <w:r>
              <w:rPr>
                <w:rFonts w:ascii="宋体" w:hAnsi="宋体" w:cs="宋体"/>
                <w:bCs/>
                <w:color w:val="auto"/>
                <w:szCs w:val="21"/>
                <w:highlight w:val="none"/>
              </w:rPr>
              <w:t>选用</w:t>
            </w:r>
            <w:r>
              <w:rPr>
                <w:rFonts w:hint="eastAsia" w:ascii="宋体" w:hAnsi="宋体" w:cs="宋体"/>
                <w:bCs/>
                <w:color w:val="auto"/>
                <w:szCs w:val="21"/>
                <w:highlight w:val="none"/>
                <w:lang w:val="en-US" w:eastAsia="zh-CN"/>
              </w:rPr>
              <w:t>安徽中科中涣信息技术有限公司FC10系列智能终端</w:t>
            </w:r>
            <w:r>
              <w:rPr>
                <w:rFonts w:hint="eastAsia" w:ascii="宋体" w:hAnsi="宋体" w:cs="宋体"/>
                <w:bCs/>
                <w:color w:val="auto"/>
                <w:szCs w:val="21"/>
                <w:highlight w:val="none"/>
              </w:rPr>
              <w:t>，要确保一个通道只安装一个摄像头，</w:t>
            </w:r>
            <w:r>
              <w:rPr>
                <w:rFonts w:ascii="宋体" w:hAnsi="宋体" w:cs="宋体"/>
                <w:bCs/>
                <w:color w:val="auto"/>
                <w:szCs w:val="21"/>
                <w:highlight w:val="none"/>
              </w:rPr>
              <w:t>安装位置合理、防水</w:t>
            </w:r>
            <w:r>
              <w:rPr>
                <w:rFonts w:hint="eastAsia" w:ascii="宋体" w:hAnsi="宋体" w:cs="宋体"/>
                <w:bCs/>
                <w:color w:val="auto"/>
                <w:szCs w:val="21"/>
                <w:highlight w:val="none"/>
                <w:lang w:eastAsia="zh-CN"/>
              </w:rPr>
              <w:t>。</w:t>
            </w:r>
          </w:p>
          <w:p w14:paraId="17D97DEE">
            <w:pPr>
              <w:spacing w:line="360" w:lineRule="auto"/>
              <w:rPr>
                <w:rFonts w:hint="eastAsia" w:ascii="宋体" w:hAnsi="宋体" w:eastAsia="宋体" w:cs="宋体"/>
                <w:color w:val="auto"/>
                <w:sz w:val="21"/>
                <w:szCs w:val="21"/>
                <w:highlight w:val="none"/>
              </w:rPr>
            </w:pPr>
          </w:p>
        </w:tc>
      </w:tr>
      <w:bookmarkEnd w:id="106"/>
    </w:tbl>
    <w:p w14:paraId="240AC76D">
      <w:pPr>
        <w:spacing w:line="360" w:lineRule="auto"/>
        <w:rPr>
          <w:rFonts w:ascii="宋体" w:hAnsi="宋体" w:eastAsia="宋体"/>
          <w:color w:val="auto"/>
          <w:sz w:val="24"/>
          <w:szCs w:val="24"/>
          <w:highlight w:val="none"/>
        </w:rPr>
      </w:pPr>
    </w:p>
    <w:p w14:paraId="0395229C">
      <w:pPr>
        <w:spacing w:before="143" w:line="228" w:lineRule="auto"/>
        <w:ind w:left="541"/>
        <w:rPr>
          <w:rFonts w:hint="default" w:ascii="宋体" w:hAnsi="宋体" w:eastAsia="宋体" w:cs="宋体"/>
          <w:color w:val="auto"/>
          <w:sz w:val="20"/>
          <w:szCs w:val="20"/>
          <w:highlight w:val="none"/>
          <w:lang w:val="en-US" w:eastAsia="zh-CN"/>
        </w:rPr>
      </w:pPr>
      <w:r>
        <w:rPr>
          <w:rFonts w:ascii="宋体" w:hAnsi="宋体" w:eastAsia="宋体" w:cs="宋体"/>
          <w:b/>
          <w:bCs/>
          <w:color w:val="auto"/>
          <w:spacing w:val="6"/>
          <w:sz w:val="20"/>
          <w:szCs w:val="20"/>
          <w:highlight w:val="none"/>
        </w:rPr>
        <w:t>技术附件</w:t>
      </w:r>
      <w:r>
        <w:rPr>
          <w:rFonts w:ascii="宋体" w:hAnsi="宋体" w:eastAsia="宋体" w:cs="宋体"/>
          <w:color w:val="auto"/>
          <w:spacing w:val="-38"/>
          <w:sz w:val="20"/>
          <w:szCs w:val="20"/>
          <w:highlight w:val="none"/>
        </w:rPr>
        <w:t xml:space="preserve"> </w:t>
      </w:r>
      <w:r>
        <w:rPr>
          <w:rFonts w:hint="eastAsia" w:ascii="宋体" w:hAnsi="宋体" w:cs="宋体"/>
          <w:b/>
          <w:bCs/>
          <w:color w:val="auto"/>
          <w:spacing w:val="6"/>
          <w:sz w:val="20"/>
          <w:szCs w:val="20"/>
          <w:highlight w:val="none"/>
          <w:lang w:val="en-US" w:eastAsia="zh-CN"/>
        </w:rPr>
        <w:t>3</w:t>
      </w:r>
    </w:p>
    <w:p w14:paraId="266D4FF3">
      <w:pPr>
        <w:spacing w:line="140" w:lineRule="auto"/>
        <w:rPr>
          <w:rFonts w:ascii="Arial"/>
          <w:color w:val="auto"/>
          <w:sz w:val="2"/>
          <w:highlight w:val="none"/>
        </w:rPr>
      </w:pPr>
    </w:p>
    <w:tbl>
      <w:tblPr>
        <w:tblStyle w:val="224"/>
        <w:tblW w:w="852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8"/>
        <w:gridCol w:w="810"/>
        <w:gridCol w:w="675"/>
        <w:gridCol w:w="1081"/>
        <w:gridCol w:w="2972"/>
        <w:gridCol w:w="2040"/>
      </w:tblGrid>
      <w:tr w14:paraId="3608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8526" w:type="dxa"/>
            <w:gridSpan w:val="6"/>
            <w:noWrap w:val="0"/>
            <w:vAlign w:val="top"/>
          </w:tcPr>
          <w:p w14:paraId="4106C7F3">
            <w:pPr>
              <w:pStyle w:val="223"/>
              <w:spacing w:before="97" w:line="228" w:lineRule="auto"/>
              <w:ind w:left="3004"/>
              <w:rPr>
                <w:color w:val="auto"/>
                <w:highlight w:val="none"/>
              </w:rPr>
            </w:pPr>
            <w:r>
              <w:rPr>
                <w:b/>
                <w:bCs/>
                <w:color w:val="auto"/>
                <w:spacing w:val="7"/>
                <w:highlight w:val="none"/>
              </w:rPr>
              <w:t>车辆零部件质量保修期限表</w:t>
            </w:r>
          </w:p>
        </w:tc>
      </w:tr>
      <w:tr w14:paraId="184B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948" w:type="dxa"/>
            <w:noWrap w:val="0"/>
            <w:vAlign w:val="top"/>
          </w:tcPr>
          <w:p w14:paraId="30C58E60">
            <w:pPr>
              <w:pStyle w:val="223"/>
              <w:spacing w:before="52" w:line="261" w:lineRule="auto"/>
              <w:ind w:left="168" w:right="158" w:hanging="4"/>
              <w:rPr>
                <w:color w:val="auto"/>
                <w:highlight w:val="none"/>
              </w:rPr>
            </w:pPr>
            <w:r>
              <w:rPr>
                <w:color w:val="auto"/>
                <w:spacing w:val="6"/>
                <w:highlight w:val="none"/>
              </w:rPr>
              <w:t>整车系</w:t>
            </w:r>
            <w:r>
              <w:rPr>
                <w:color w:val="auto"/>
                <w:highlight w:val="none"/>
              </w:rPr>
              <w:t xml:space="preserve"> </w:t>
            </w:r>
            <w:r>
              <w:rPr>
                <w:color w:val="auto"/>
                <w:spacing w:val="5"/>
                <w:highlight w:val="none"/>
              </w:rPr>
              <w:t>统分类</w:t>
            </w:r>
          </w:p>
        </w:tc>
        <w:tc>
          <w:tcPr>
            <w:tcW w:w="810" w:type="dxa"/>
            <w:noWrap w:val="0"/>
            <w:vAlign w:val="top"/>
          </w:tcPr>
          <w:p w14:paraId="48F177DC">
            <w:pPr>
              <w:pStyle w:val="223"/>
              <w:spacing w:before="208" w:line="230" w:lineRule="auto"/>
              <w:ind w:left="199"/>
              <w:rPr>
                <w:color w:val="auto"/>
                <w:highlight w:val="none"/>
              </w:rPr>
            </w:pPr>
            <w:r>
              <w:rPr>
                <w:color w:val="auto"/>
                <w:spacing w:val="5"/>
                <w:highlight w:val="none"/>
              </w:rPr>
              <w:t>序号</w:t>
            </w:r>
          </w:p>
        </w:tc>
        <w:tc>
          <w:tcPr>
            <w:tcW w:w="1756" w:type="dxa"/>
            <w:gridSpan w:val="2"/>
            <w:noWrap w:val="0"/>
            <w:vAlign w:val="top"/>
          </w:tcPr>
          <w:p w14:paraId="42CF463C">
            <w:pPr>
              <w:pStyle w:val="223"/>
              <w:spacing w:before="209" w:line="228" w:lineRule="auto"/>
              <w:ind w:left="466"/>
              <w:rPr>
                <w:color w:val="auto"/>
                <w:highlight w:val="none"/>
              </w:rPr>
            </w:pPr>
            <w:r>
              <w:rPr>
                <w:color w:val="auto"/>
                <w:spacing w:val="6"/>
                <w:highlight w:val="none"/>
              </w:rPr>
              <w:t>项目分类</w:t>
            </w:r>
          </w:p>
        </w:tc>
        <w:tc>
          <w:tcPr>
            <w:tcW w:w="2972" w:type="dxa"/>
            <w:noWrap w:val="0"/>
            <w:vAlign w:val="top"/>
          </w:tcPr>
          <w:p w14:paraId="6E5F0F04">
            <w:pPr>
              <w:pStyle w:val="223"/>
              <w:spacing w:before="209" w:line="228" w:lineRule="auto"/>
              <w:ind w:left="1073"/>
              <w:rPr>
                <w:color w:val="auto"/>
                <w:highlight w:val="none"/>
              </w:rPr>
            </w:pPr>
            <w:r>
              <w:rPr>
                <w:color w:val="auto"/>
                <w:spacing w:val="7"/>
                <w:highlight w:val="none"/>
              </w:rPr>
              <w:t>保修内容</w:t>
            </w:r>
          </w:p>
        </w:tc>
        <w:tc>
          <w:tcPr>
            <w:tcW w:w="2040" w:type="dxa"/>
            <w:noWrap w:val="0"/>
            <w:vAlign w:val="top"/>
          </w:tcPr>
          <w:p w14:paraId="0766CFF6">
            <w:pPr>
              <w:pStyle w:val="223"/>
              <w:spacing w:before="209" w:line="229" w:lineRule="auto"/>
              <w:ind w:left="396"/>
              <w:rPr>
                <w:color w:val="auto"/>
                <w:highlight w:val="none"/>
              </w:rPr>
            </w:pPr>
            <w:r>
              <w:rPr>
                <w:color w:val="auto"/>
                <w:spacing w:val="8"/>
                <w:highlight w:val="none"/>
              </w:rPr>
              <w:t>质保期限要求</w:t>
            </w:r>
          </w:p>
        </w:tc>
      </w:tr>
      <w:tr w14:paraId="66BF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948" w:type="dxa"/>
            <w:noWrap w:val="0"/>
            <w:vAlign w:val="top"/>
          </w:tcPr>
          <w:p w14:paraId="0A349FF4">
            <w:pPr>
              <w:pStyle w:val="223"/>
              <w:spacing w:before="54" w:line="260" w:lineRule="auto"/>
              <w:ind w:left="270" w:right="158" w:hanging="106"/>
              <w:rPr>
                <w:color w:val="auto"/>
                <w:highlight w:val="none"/>
              </w:rPr>
            </w:pPr>
            <w:r>
              <w:rPr>
                <w:color w:val="auto"/>
                <w:spacing w:val="6"/>
                <w:highlight w:val="none"/>
              </w:rPr>
              <w:t>新能源</w:t>
            </w:r>
            <w:r>
              <w:rPr>
                <w:color w:val="auto"/>
                <w:highlight w:val="none"/>
              </w:rPr>
              <w:t xml:space="preserve"> </w:t>
            </w:r>
            <w:r>
              <w:rPr>
                <w:color w:val="auto"/>
                <w:spacing w:val="3"/>
                <w:highlight w:val="none"/>
              </w:rPr>
              <w:t>客车</w:t>
            </w:r>
          </w:p>
        </w:tc>
        <w:tc>
          <w:tcPr>
            <w:tcW w:w="810" w:type="dxa"/>
            <w:noWrap w:val="0"/>
            <w:vAlign w:val="top"/>
          </w:tcPr>
          <w:p w14:paraId="52EC520E">
            <w:pPr>
              <w:pStyle w:val="223"/>
              <w:spacing w:before="242" w:line="189" w:lineRule="auto"/>
              <w:ind w:left="371"/>
              <w:rPr>
                <w:color w:val="auto"/>
                <w:highlight w:val="none"/>
              </w:rPr>
            </w:pPr>
            <w:r>
              <w:rPr>
                <w:color w:val="auto"/>
                <w:highlight w:val="none"/>
              </w:rPr>
              <w:t>1</w:t>
            </w:r>
          </w:p>
        </w:tc>
        <w:tc>
          <w:tcPr>
            <w:tcW w:w="1756" w:type="dxa"/>
            <w:gridSpan w:val="2"/>
            <w:noWrap w:val="0"/>
            <w:vAlign w:val="top"/>
          </w:tcPr>
          <w:p w14:paraId="3D5CEFCC">
            <w:pPr>
              <w:pStyle w:val="223"/>
              <w:spacing w:before="210" w:line="228" w:lineRule="auto"/>
              <w:ind w:left="674"/>
              <w:rPr>
                <w:color w:val="auto"/>
                <w:highlight w:val="none"/>
              </w:rPr>
            </w:pPr>
            <w:r>
              <w:rPr>
                <w:color w:val="auto"/>
                <w:spacing w:val="4"/>
                <w:highlight w:val="none"/>
              </w:rPr>
              <w:t>整车</w:t>
            </w:r>
          </w:p>
        </w:tc>
        <w:tc>
          <w:tcPr>
            <w:tcW w:w="2972" w:type="dxa"/>
            <w:noWrap w:val="0"/>
            <w:vAlign w:val="top"/>
          </w:tcPr>
          <w:p w14:paraId="4CB3D08A">
            <w:pPr>
              <w:pStyle w:val="223"/>
              <w:spacing w:before="210" w:line="228" w:lineRule="auto"/>
              <w:ind w:left="666"/>
              <w:rPr>
                <w:color w:val="auto"/>
                <w:highlight w:val="none"/>
              </w:rPr>
            </w:pPr>
            <w:r>
              <w:rPr>
                <w:color w:val="auto"/>
                <w:spacing w:val="6"/>
                <w:highlight w:val="none"/>
              </w:rPr>
              <w:t>易损、易耗件除外</w:t>
            </w:r>
          </w:p>
        </w:tc>
        <w:tc>
          <w:tcPr>
            <w:tcW w:w="2040" w:type="dxa"/>
            <w:noWrap w:val="0"/>
            <w:vAlign w:val="top"/>
          </w:tcPr>
          <w:p w14:paraId="0D0A9EB7">
            <w:pPr>
              <w:pStyle w:val="223"/>
              <w:spacing w:before="210"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7F7B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4" w:hRule="atLeast"/>
        </w:trPr>
        <w:tc>
          <w:tcPr>
            <w:tcW w:w="948" w:type="dxa"/>
            <w:vMerge w:val="restart"/>
            <w:noWrap w:val="0"/>
            <w:vAlign w:val="top"/>
          </w:tcPr>
          <w:p w14:paraId="1948889A">
            <w:pPr>
              <w:spacing w:line="246" w:lineRule="auto"/>
              <w:rPr>
                <w:rFonts w:ascii="Arial"/>
                <w:color w:val="auto"/>
                <w:sz w:val="21"/>
                <w:highlight w:val="none"/>
              </w:rPr>
            </w:pPr>
          </w:p>
          <w:p w14:paraId="0151FCF2">
            <w:pPr>
              <w:spacing w:line="246" w:lineRule="auto"/>
              <w:rPr>
                <w:rFonts w:ascii="Arial"/>
                <w:color w:val="auto"/>
                <w:sz w:val="21"/>
                <w:highlight w:val="none"/>
              </w:rPr>
            </w:pPr>
          </w:p>
          <w:p w14:paraId="7CFE62D9">
            <w:pPr>
              <w:spacing w:line="246" w:lineRule="auto"/>
              <w:rPr>
                <w:rFonts w:ascii="Arial"/>
                <w:color w:val="auto"/>
                <w:sz w:val="21"/>
                <w:highlight w:val="none"/>
              </w:rPr>
            </w:pPr>
          </w:p>
          <w:p w14:paraId="46C1F6B9">
            <w:pPr>
              <w:spacing w:line="246" w:lineRule="auto"/>
              <w:rPr>
                <w:rFonts w:ascii="Arial"/>
                <w:color w:val="auto"/>
                <w:sz w:val="21"/>
                <w:highlight w:val="none"/>
              </w:rPr>
            </w:pPr>
          </w:p>
          <w:p w14:paraId="5995C095">
            <w:pPr>
              <w:spacing w:line="246" w:lineRule="auto"/>
              <w:rPr>
                <w:rFonts w:ascii="Arial"/>
                <w:color w:val="auto"/>
                <w:sz w:val="21"/>
                <w:highlight w:val="none"/>
              </w:rPr>
            </w:pPr>
          </w:p>
          <w:p w14:paraId="071D8EAD">
            <w:pPr>
              <w:spacing w:line="246" w:lineRule="auto"/>
              <w:rPr>
                <w:rFonts w:ascii="Arial"/>
                <w:color w:val="auto"/>
                <w:sz w:val="21"/>
                <w:highlight w:val="none"/>
              </w:rPr>
            </w:pPr>
          </w:p>
          <w:p w14:paraId="398B8676">
            <w:pPr>
              <w:spacing w:line="246" w:lineRule="auto"/>
              <w:rPr>
                <w:rFonts w:ascii="Arial"/>
                <w:color w:val="auto"/>
                <w:sz w:val="21"/>
                <w:highlight w:val="none"/>
              </w:rPr>
            </w:pPr>
          </w:p>
          <w:p w14:paraId="07DD5BD5">
            <w:pPr>
              <w:spacing w:line="246" w:lineRule="auto"/>
              <w:rPr>
                <w:rFonts w:ascii="Arial"/>
                <w:color w:val="auto"/>
                <w:sz w:val="21"/>
                <w:highlight w:val="none"/>
              </w:rPr>
            </w:pPr>
          </w:p>
          <w:p w14:paraId="1C054E4D">
            <w:pPr>
              <w:spacing w:line="246" w:lineRule="auto"/>
              <w:rPr>
                <w:rFonts w:ascii="Arial"/>
                <w:color w:val="auto"/>
                <w:sz w:val="21"/>
                <w:highlight w:val="none"/>
              </w:rPr>
            </w:pPr>
          </w:p>
          <w:p w14:paraId="56D91403">
            <w:pPr>
              <w:spacing w:line="246" w:lineRule="auto"/>
              <w:rPr>
                <w:rFonts w:ascii="Arial"/>
                <w:color w:val="auto"/>
                <w:sz w:val="21"/>
                <w:highlight w:val="none"/>
              </w:rPr>
            </w:pPr>
          </w:p>
          <w:p w14:paraId="3FA56BEA">
            <w:pPr>
              <w:spacing w:line="246" w:lineRule="auto"/>
              <w:rPr>
                <w:rFonts w:ascii="Arial"/>
                <w:color w:val="auto"/>
                <w:sz w:val="21"/>
                <w:highlight w:val="none"/>
              </w:rPr>
            </w:pPr>
          </w:p>
          <w:p w14:paraId="3B2BDFFB">
            <w:pPr>
              <w:spacing w:line="246" w:lineRule="auto"/>
              <w:rPr>
                <w:rFonts w:ascii="Arial"/>
                <w:color w:val="auto"/>
                <w:sz w:val="21"/>
                <w:highlight w:val="none"/>
              </w:rPr>
            </w:pPr>
          </w:p>
          <w:p w14:paraId="2D142979">
            <w:pPr>
              <w:spacing w:line="247" w:lineRule="auto"/>
              <w:rPr>
                <w:rFonts w:ascii="Arial"/>
                <w:color w:val="auto"/>
                <w:sz w:val="21"/>
                <w:highlight w:val="none"/>
              </w:rPr>
            </w:pPr>
          </w:p>
          <w:p w14:paraId="439A5138">
            <w:pPr>
              <w:spacing w:line="247" w:lineRule="auto"/>
              <w:rPr>
                <w:rFonts w:ascii="Arial"/>
                <w:color w:val="auto"/>
                <w:sz w:val="21"/>
                <w:highlight w:val="none"/>
              </w:rPr>
            </w:pPr>
          </w:p>
          <w:p w14:paraId="39E15B52">
            <w:pPr>
              <w:spacing w:line="247" w:lineRule="auto"/>
              <w:rPr>
                <w:rFonts w:ascii="Arial"/>
                <w:color w:val="auto"/>
                <w:sz w:val="21"/>
                <w:highlight w:val="none"/>
              </w:rPr>
            </w:pPr>
          </w:p>
          <w:p w14:paraId="082789C2">
            <w:pPr>
              <w:pStyle w:val="223"/>
              <w:spacing w:before="65" w:line="229" w:lineRule="auto"/>
              <w:ind w:left="164"/>
              <w:rPr>
                <w:color w:val="auto"/>
                <w:highlight w:val="none"/>
              </w:rPr>
            </w:pPr>
            <w:r>
              <w:rPr>
                <w:color w:val="auto"/>
                <w:spacing w:val="6"/>
                <w:highlight w:val="none"/>
              </w:rPr>
              <w:t>新能源</w:t>
            </w:r>
          </w:p>
          <w:p w14:paraId="3E35D82C">
            <w:pPr>
              <w:pStyle w:val="223"/>
              <w:spacing w:before="64" w:line="228" w:lineRule="auto"/>
              <w:ind w:left="166"/>
              <w:rPr>
                <w:color w:val="auto"/>
                <w:highlight w:val="none"/>
              </w:rPr>
            </w:pPr>
            <w:r>
              <w:rPr>
                <w:color w:val="auto"/>
                <w:spacing w:val="6"/>
                <w:highlight w:val="none"/>
              </w:rPr>
              <w:t>部分主</w:t>
            </w:r>
          </w:p>
          <w:p w14:paraId="1AB21B9E">
            <w:pPr>
              <w:pStyle w:val="223"/>
              <w:spacing w:before="64" w:line="228" w:lineRule="auto"/>
              <w:ind w:left="164"/>
              <w:rPr>
                <w:color w:val="auto"/>
                <w:highlight w:val="none"/>
              </w:rPr>
            </w:pPr>
            <w:r>
              <w:rPr>
                <w:color w:val="auto"/>
                <w:spacing w:val="6"/>
                <w:highlight w:val="none"/>
              </w:rPr>
              <w:t>要零部</w:t>
            </w:r>
          </w:p>
          <w:p w14:paraId="282DC230">
            <w:pPr>
              <w:pStyle w:val="223"/>
              <w:spacing w:before="65" w:line="228" w:lineRule="auto"/>
              <w:ind w:left="374"/>
              <w:rPr>
                <w:color w:val="auto"/>
                <w:highlight w:val="none"/>
              </w:rPr>
            </w:pPr>
            <w:r>
              <w:rPr>
                <w:color w:val="auto"/>
                <w:spacing w:val="1"/>
                <w:highlight w:val="none"/>
              </w:rPr>
              <w:t>件</w:t>
            </w:r>
          </w:p>
        </w:tc>
        <w:tc>
          <w:tcPr>
            <w:tcW w:w="810" w:type="dxa"/>
            <w:vMerge w:val="restart"/>
            <w:noWrap w:val="0"/>
            <w:vAlign w:val="top"/>
          </w:tcPr>
          <w:p w14:paraId="7A223BF0">
            <w:pPr>
              <w:spacing w:line="244" w:lineRule="auto"/>
              <w:rPr>
                <w:rFonts w:ascii="Arial"/>
                <w:color w:val="auto"/>
                <w:sz w:val="21"/>
                <w:highlight w:val="none"/>
              </w:rPr>
            </w:pPr>
          </w:p>
          <w:p w14:paraId="49A6E09D">
            <w:pPr>
              <w:spacing w:line="244" w:lineRule="auto"/>
              <w:rPr>
                <w:rFonts w:ascii="Arial"/>
                <w:color w:val="auto"/>
                <w:sz w:val="21"/>
                <w:highlight w:val="none"/>
              </w:rPr>
            </w:pPr>
          </w:p>
          <w:p w14:paraId="2686C5B6">
            <w:pPr>
              <w:spacing w:line="244" w:lineRule="auto"/>
              <w:rPr>
                <w:rFonts w:ascii="Arial"/>
                <w:color w:val="auto"/>
                <w:sz w:val="21"/>
                <w:highlight w:val="none"/>
              </w:rPr>
            </w:pPr>
          </w:p>
          <w:p w14:paraId="440CF605">
            <w:pPr>
              <w:spacing w:line="244" w:lineRule="auto"/>
              <w:rPr>
                <w:rFonts w:ascii="Arial"/>
                <w:color w:val="auto"/>
                <w:sz w:val="21"/>
                <w:highlight w:val="none"/>
              </w:rPr>
            </w:pPr>
          </w:p>
          <w:p w14:paraId="02228D69">
            <w:pPr>
              <w:spacing w:line="244" w:lineRule="auto"/>
              <w:rPr>
                <w:rFonts w:ascii="Arial"/>
                <w:color w:val="auto"/>
                <w:sz w:val="21"/>
                <w:highlight w:val="none"/>
              </w:rPr>
            </w:pPr>
          </w:p>
          <w:p w14:paraId="6C1E9021">
            <w:pPr>
              <w:spacing w:line="244" w:lineRule="auto"/>
              <w:rPr>
                <w:rFonts w:ascii="Arial"/>
                <w:color w:val="auto"/>
                <w:sz w:val="21"/>
                <w:highlight w:val="none"/>
              </w:rPr>
            </w:pPr>
          </w:p>
          <w:p w14:paraId="2C5C0C0F">
            <w:pPr>
              <w:spacing w:line="244" w:lineRule="auto"/>
              <w:rPr>
                <w:rFonts w:ascii="Arial"/>
                <w:color w:val="auto"/>
                <w:sz w:val="21"/>
                <w:highlight w:val="none"/>
              </w:rPr>
            </w:pPr>
          </w:p>
          <w:p w14:paraId="17B108A9">
            <w:pPr>
              <w:spacing w:line="245" w:lineRule="auto"/>
              <w:rPr>
                <w:rFonts w:ascii="Arial"/>
                <w:color w:val="auto"/>
                <w:sz w:val="21"/>
                <w:highlight w:val="none"/>
              </w:rPr>
            </w:pPr>
          </w:p>
          <w:p w14:paraId="3FD42055">
            <w:pPr>
              <w:spacing w:line="245" w:lineRule="auto"/>
              <w:rPr>
                <w:rFonts w:ascii="Arial"/>
                <w:color w:val="auto"/>
                <w:sz w:val="21"/>
                <w:highlight w:val="none"/>
              </w:rPr>
            </w:pPr>
          </w:p>
          <w:p w14:paraId="3720AB7D">
            <w:pPr>
              <w:spacing w:line="245" w:lineRule="auto"/>
              <w:rPr>
                <w:rFonts w:ascii="Arial"/>
                <w:color w:val="auto"/>
                <w:sz w:val="21"/>
                <w:highlight w:val="none"/>
              </w:rPr>
            </w:pPr>
          </w:p>
          <w:p w14:paraId="770FF922">
            <w:pPr>
              <w:spacing w:line="245" w:lineRule="auto"/>
              <w:rPr>
                <w:rFonts w:ascii="Arial"/>
                <w:color w:val="auto"/>
                <w:sz w:val="21"/>
                <w:highlight w:val="none"/>
              </w:rPr>
            </w:pPr>
          </w:p>
          <w:p w14:paraId="2E17DD41">
            <w:pPr>
              <w:spacing w:line="245" w:lineRule="auto"/>
              <w:rPr>
                <w:rFonts w:ascii="Arial"/>
                <w:color w:val="auto"/>
                <w:sz w:val="21"/>
                <w:highlight w:val="none"/>
              </w:rPr>
            </w:pPr>
          </w:p>
          <w:p w14:paraId="6AA405D3">
            <w:pPr>
              <w:spacing w:line="245" w:lineRule="auto"/>
              <w:rPr>
                <w:rFonts w:ascii="Arial"/>
                <w:color w:val="auto"/>
                <w:sz w:val="21"/>
                <w:highlight w:val="none"/>
              </w:rPr>
            </w:pPr>
          </w:p>
          <w:p w14:paraId="264D422B">
            <w:pPr>
              <w:spacing w:line="245" w:lineRule="auto"/>
              <w:rPr>
                <w:rFonts w:ascii="Arial"/>
                <w:color w:val="auto"/>
                <w:sz w:val="21"/>
                <w:highlight w:val="none"/>
              </w:rPr>
            </w:pPr>
          </w:p>
          <w:p w14:paraId="0C1D52E6">
            <w:pPr>
              <w:spacing w:line="245" w:lineRule="auto"/>
              <w:rPr>
                <w:rFonts w:ascii="Arial"/>
                <w:color w:val="auto"/>
                <w:sz w:val="21"/>
                <w:highlight w:val="none"/>
              </w:rPr>
            </w:pPr>
          </w:p>
          <w:p w14:paraId="3B504466">
            <w:pPr>
              <w:pStyle w:val="223"/>
              <w:spacing w:before="65" w:line="189" w:lineRule="auto"/>
              <w:ind w:left="358"/>
              <w:rPr>
                <w:color w:val="auto"/>
                <w:highlight w:val="none"/>
              </w:rPr>
            </w:pPr>
            <w:r>
              <w:rPr>
                <w:color w:val="auto"/>
                <w:highlight w:val="none"/>
              </w:rPr>
              <w:t>2</w:t>
            </w:r>
          </w:p>
        </w:tc>
        <w:tc>
          <w:tcPr>
            <w:tcW w:w="675" w:type="dxa"/>
            <w:vMerge w:val="restart"/>
            <w:noWrap w:val="0"/>
            <w:vAlign w:val="top"/>
          </w:tcPr>
          <w:p w14:paraId="0794EDC5">
            <w:pPr>
              <w:spacing w:line="248" w:lineRule="auto"/>
              <w:rPr>
                <w:rFonts w:ascii="Arial"/>
                <w:color w:val="auto"/>
                <w:sz w:val="21"/>
                <w:highlight w:val="none"/>
              </w:rPr>
            </w:pPr>
          </w:p>
          <w:p w14:paraId="37EF2B0D">
            <w:pPr>
              <w:spacing w:line="248" w:lineRule="auto"/>
              <w:rPr>
                <w:rFonts w:ascii="Arial"/>
                <w:color w:val="auto"/>
                <w:sz w:val="21"/>
                <w:highlight w:val="none"/>
              </w:rPr>
            </w:pPr>
          </w:p>
          <w:p w14:paraId="3BA4179F">
            <w:pPr>
              <w:spacing w:line="248" w:lineRule="auto"/>
              <w:rPr>
                <w:rFonts w:ascii="Arial"/>
                <w:color w:val="auto"/>
                <w:sz w:val="21"/>
                <w:highlight w:val="none"/>
              </w:rPr>
            </w:pPr>
          </w:p>
          <w:p w14:paraId="032E2977">
            <w:pPr>
              <w:spacing w:line="248" w:lineRule="auto"/>
              <w:rPr>
                <w:rFonts w:ascii="Arial"/>
                <w:color w:val="auto"/>
                <w:sz w:val="21"/>
                <w:highlight w:val="none"/>
              </w:rPr>
            </w:pPr>
          </w:p>
          <w:p w14:paraId="6A370574">
            <w:pPr>
              <w:spacing w:line="248" w:lineRule="auto"/>
              <w:rPr>
                <w:rFonts w:ascii="Arial"/>
                <w:color w:val="auto"/>
                <w:sz w:val="21"/>
                <w:highlight w:val="none"/>
              </w:rPr>
            </w:pPr>
          </w:p>
          <w:p w14:paraId="1D3EEE52">
            <w:pPr>
              <w:spacing w:line="249" w:lineRule="auto"/>
              <w:rPr>
                <w:rFonts w:ascii="Arial"/>
                <w:color w:val="auto"/>
                <w:sz w:val="21"/>
                <w:highlight w:val="none"/>
              </w:rPr>
            </w:pPr>
          </w:p>
          <w:p w14:paraId="7F9098EF">
            <w:pPr>
              <w:spacing w:line="249" w:lineRule="auto"/>
              <w:rPr>
                <w:rFonts w:ascii="Arial"/>
                <w:color w:val="auto"/>
                <w:sz w:val="21"/>
                <w:highlight w:val="none"/>
              </w:rPr>
            </w:pPr>
          </w:p>
          <w:p w14:paraId="44254DD6">
            <w:pPr>
              <w:spacing w:line="249" w:lineRule="auto"/>
              <w:rPr>
                <w:rFonts w:ascii="Arial"/>
                <w:color w:val="auto"/>
                <w:sz w:val="21"/>
                <w:highlight w:val="none"/>
              </w:rPr>
            </w:pPr>
          </w:p>
          <w:p w14:paraId="3FA38AA9">
            <w:pPr>
              <w:spacing w:line="249" w:lineRule="auto"/>
              <w:rPr>
                <w:rFonts w:ascii="Arial"/>
                <w:color w:val="auto"/>
                <w:sz w:val="21"/>
                <w:highlight w:val="none"/>
              </w:rPr>
            </w:pPr>
          </w:p>
          <w:p w14:paraId="5646D055">
            <w:pPr>
              <w:spacing w:line="249" w:lineRule="auto"/>
              <w:rPr>
                <w:rFonts w:ascii="Arial"/>
                <w:color w:val="auto"/>
                <w:sz w:val="21"/>
                <w:highlight w:val="none"/>
              </w:rPr>
            </w:pPr>
          </w:p>
          <w:p w14:paraId="76B706CD">
            <w:pPr>
              <w:spacing w:line="249" w:lineRule="auto"/>
              <w:rPr>
                <w:rFonts w:ascii="Arial"/>
                <w:color w:val="auto"/>
                <w:sz w:val="21"/>
                <w:highlight w:val="none"/>
              </w:rPr>
            </w:pPr>
          </w:p>
          <w:p w14:paraId="5C627862">
            <w:pPr>
              <w:spacing w:line="249" w:lineRule="auto"/>
              <w:rPr>
                <w:rFonts w:ascii="Arial"/>
                <w:color w:val="auto"/>
                <w:sz w:val="21"/>
                <w:highlight w:val="none"/>
              </w:rPr>
            </w:pPr>
          </w:p>
          <w:p w14:paraId="00D1597A">
            <w:pPr>
              <w:spacing w:line="249" w:lineRule="auto"/>
              <w:rPr>
                <w:rFonts w:ascii="Arial"/>
                <w:color w:val="auto"/>
                <w:sz w:val="21"/>
                <w:highlight w:val="none"/>
              </w:rPr>
            </w:pPr>
          </w:p>
          <w:p w14:paraId="3562A1A0">
            <w:pPr>
              <w:spacing w:line="249" w:lineRule="auto"/>
              <w:rPr>
                <w:rFonts w:ascii="Arial"/>
                <w:color w:val="auto"/>
                <w:sz w:val="21"/>
                <w:highlight w:val="none"/>
              </w:rPr>
            </w:pPr>
          </w:p>
          <w:p w14:paraId="43AF9FB6">
            <w:pPr>
              <w:pStyle w:val="223"/>
              <w:spacing w:before="65" w:line="274" w:lineRule="auto"/>
              <w:ind w:left="135" w:right="128" w:hanging="4"/>
              <w:rPr>
                <w:color w:val="auto"/>
                <w:highlight w:val="none"/>
              </w:rPr>
            </w:pPr>
            <w:r>
              <w:rPr>
                <w:color w:val="auto"/>
                <w:spacing w:val="4"/>
                <w:highlight w:val="none"/>
              </w:rPr>
              <w:t>三电</w:t>
            </w:r>
            <w:r>
              <w:rPr>
                <w:color w:val="auto"/>
                <w:highlight w:val="none"/>
              </w:rPr>
              <w:t xml:space="preserve"> </w:t>
            </w:r>
            <w:r>
              <w:rPr>
                <w:color w:val="auto"/>
                <w:spacing w:val="2"/>
                <w:highlight w:val="none"/>
              </w:rPr>
              <w:t>系统</w:t>
            </w:r>
          </w:p>
        </w:tc>
        <w:tc>
          <w:tcPr>
            <w:tcW w:w="1081" w:type="dxa"/>
            <w:noWrap w:val="0"/>
            <w:vAlign w:val="top"/>
          </w:tcPr>
          <w:p w14:paraId="36F2FBCD">
            <w:pPr>
              <w:spacing w:line="304" w:lineRule="auto"/>
              <w:rPr>
                <w:rFonts w:ascii="Arial"/>
                <w:color w:val="auto"/>
                <w:sz w:val="21"/>
                <w:highlight w:val="none"/>
              </w:rPr>
            </w:pPr>
          </w:p>
          <w:p w14:paraId="5558E298">
            <w:pPr>
              <w:spacing w:line="305" w:lineRule="auto"/>
              <w:rPr>
                <w:rFonts w:ascii="Arial"/>
                <w:color w:val="auto"/>
                <w:sz w:val="21"/>
                <w:highlight w:val="none"/>
              </w:rPr>
            </w:pPr>
          </w:p>
          <w:p w14:paraId="56FA6872">
            <w:pPr>
              <w:pStyle w:val="223"/>
              <w:spacing w:before="65" w:line="228" w:lineRule="auto"/>
              <w:ind w:left="126"/>
              <w:rPr>
                <w:color w:val="auto"/>
                <w:highlight w:val="none"/>
              </w:rPr>
            </w:pPr>
            <w:r>
              <w:rPr>
                <w:color w:val="auto"/>
                <w:spacing w:val="7"/>
                <w:highlight w:val="none"/>
              </w:rPr>
              <w:t>动力电池</w:t>
            </w:r>
          </w:p>
        </w:tc>
        <w:tc>
          <w:tcPr>
            <w:tcW w:w="2972" w:type="dxa"/>
            <w:noWrap w:val="0"/>
            <w:vAlign w:val="top"/>
          </w:tcPr>
          <w:p w14:paraId="4122AC60">
            <w:pPr>
              <w:pStyle w:val="223"/>
              <w:spacing w:before="54" w:line="273" w:lineRule="auto"/>
              <w:ind w:left="652" w:right="147" w:hanging="474"/>
              <w:rPr>
                <w:color w:val="auto"/>
                <w:highlight w:val="none"/>
              </w:rPr>
            </w:pPr>
            <w:r>
              <w:rPr>
                <w:color w:val="auto"/>
                <w:spacing w:val="5"/>
                <w:highlight w:val="none"/>
              </w:rPr>
              <w:t>电池容量衰减不超过</w:t>
            </w:r>
            <w:r>
              <w:rPr>
                <w:color w:val="auto"/>
                <w:spacing w:val="-30"/>
                <w:highlight w:val="none"/>
              </w:rPr>
              <w:t xml:space="preserve"> </w:t>
            </w:r>
            <w:r>
              <w:rPr>
                <w:color w:val="auto"/>
                <w:spacing w:val="5"/>
                <w:highlight w:val="none"/>
              </w:rPr>
              <w:t>20%，安</w:t>
            </w:r>
            <w:r>
              <w:rPr>
                <w:color w:val="auto"/>
                <w:highlight w:val="none"/>
              </w:rPr>
              <w:t xml:space="preserve"> </w:t>
            </w:r>
            <w:r>
              <w:rPr>
                <w:color w:val="auto"/>
                <w:spacing w:val="7"/>
                <w:highlight w:val="none"/>
              </w:rPr>
              <w:t>全检测数值达标。</w:t>
            </w:r>
          </w:p>
          <w:p w14:paraId="3BA140A1">
            <w:pPr>
              <w:pStyle w:val="223"/>
              <w:spacing w:before="32" w:line="228" w:lineRule="auto"/>
              <w:ind w:left="137"/>
              <w:rPr>
                <w:color w:val="auto"/>
                <w:highlight w:val="none"/>
              </w:rPr>
            </w:pPr>
            <w:r>
              <w:rPr>
                <w:color w:val="auto"/>
                <w:spacing w:val="2"/>
                <w:highlight w:val="none"/>
              </w:rPr>
              <w:t>电池包总成（含电芯、</w:t>
            </w:r>
            <w:r>
              <w:rPr>
                <w:color w:val="auto"/>
                <w:highlight w:val="none"/>
              </w:rPr>
              <w:t>BMS</w:t>
            </w:r>
            <w:r>
              <w:rPr>
                <w:color w:val="auto"/>
                <w:spacing w:val="2"/>
                <w:highlight w:val="none"/>
              </w:rPr>
              <w:t>、高</w:t>
            </w:r>
          </w:p>
          <w:p w14:paraId="3E26E623">
            <w:pPr>
              <w:pStyle w:val="223"/>
              <w:spacing w:before="64" w:line="260" w:lineRule="auto"/>
              <w:ind w:left="1075" w:right="118" w:hanging="947"/>
              <w:rPr>
                <w:color w:val="auto"/>
                <w:highlight w:val="none"/>
              </w:rPr>
            </w:pPr>
            <w:r>
              <w:rPr>
                <w:color w:val="auto"/>
                <w:spacing w:val="9"/>
                <w:highlight w:val="none"/>
              </w:rPr>
              <w:t>压接触器、高低压插件、连接</w:t>
            </w:r>
            <w:r>
              <w:rPr>
                <w:color w:val="auto"/>
                <w:spacing w:val="1"/>
                <w:highlight w:val="none"/>
              </w:rPr>
              <w:t xml:space="preserve"> </w:t>
            </w:r>
            <w:r>
              <w:rPr>
                <w:color w:val="auto"/>
                <w:spacing w:val="4"/>
                <w:highlight w:val="none"/>
              </w:rPr>
              <w:t>线束等）</w:t>
            </w:r>
          </w:p>
        </w:tc>
        <w:tc>
          <w:tcPr>
            <w:tcW w:w="2040" w:type="dxa"/>
            <w:noWrap w:val="0"/>
            <w:vAlign w:val="top"/>
          </w:tcPr>
          <w:p w14:paraId="71660922">
            <w:pPr>
              <w:spacing w:line="304" w:lineRule="auto"/>
              <w:rPr>
                <w:rFonts w:ascii="Arial"/>
                <w:color w:val="auto"/>
                <w:sz w:val="21"/>
                <w:highlight w:val="none"/>
              </w:rPr>
            </w:pPr>
          </w:p>
          <w:p w14:paraId="0F3C5D76">
            <w:pPr>
              <w:spacing w:line="305" w:lineRule="auto"/>
              <w:rPr>
                <w:rFonts w:ascii="Arial"/>
                <w:color w:val="auto"/>
                <w:sz w:val="21"/>
                <w:highlight w:val="none"/>
              </w:rPr>
            </w:pPr>
          </w:p>
          <w:p w14:paraId="19B5E654">
            <w:pPr>
              <w:pStyle w:val="223"/>
              <w:spacing w:before="65" w:line="228" w:lineRule="auto"/>
              <w:ind w:left="317" w:firstLine="420" w:firstLineChars="200"/>
              <w:rPr>
                <w:color w:val="auto"/>
                <w:highlight w:val="none"/>
              </w:rPr>
            </w:pPr>
            <w:r>
              <w:rPr>
                <w:color w:val="auto"/>
                <w:spacing w:val="5"/>
                <w:highlight w:val="none"/>
              </w:rPr>
              <w:t>8</w:t>
            </w:r>
            <w:r>
              <w:rPr>
                <w:color w:val="auto"/>
                <w:spacing w:val="-38"/>
                <w:highlight w:val="none"/>
              </w:rPr>
              <w:t xml:space="preserve"> </w:t>
            </w:r>
            <w:r>
              <w:rPr>
                <w:color w:val="auto"/>
                <w:spacing w:val="5"/>
                <w:highlight w:val="none"/>
              </w:rPr>
              <w:t>年</w:t>
            </w:r>
          </w:p>
        </w:tc>
      </w:tr>
      <w:tr w14:paraId="5343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48" w:type="dxa"/>
            <w:vMerge w:val="continue"/>
            <w:noWrap w:val="0"/>
            <w:vAlign w:val="top"/>
          </w:tcPr>
          <w:p w14:paraId="469B078A">
            <w:pPr>
              <w:rPr>
                <w:rFonts w:ascii="Arial"/>
                <w:color w:val="auto"/>
                <w:sz w:val="21"/>
                <w:highlight w:val="none"/>
              </w:rPr>
            </w:pPr>
          </w:p>
        </w:tc>
        <w:tc>
          <w:tcPr>
            <w:tcW w:w="810" w:type="dxa"/>
            <w:vMerge w:val="continue"/>
            <w:noWrap w:val="0"/>
            <w:vAlign w:val="top"/>
          </w:tcPr>
          <w:p w14:paraId="2C127D86">
            <w:pPr>
              <w:rPr>
                <w:rFonts w:ascii="Arial"/>
                <w:color w:val="auto"/>
                <w:sz w:val="21"/>
                <w:highlight w:val="none"/>
              </w:rPr>
            </w:pPr>
          </w:p>
        </w:tc>
        <w:tc>
          <w:tcPr>
            <w:tcW w:w="675" w:type="dxa"/>
            <w:vMerge w:val="continue"/>
            <w:noWrap w:val="0"/>
            <w:vAlign w:val="top"/>
          </w:tcPr>
          <w:p w14:paraId="2C887C93">
            <w:pPr>
              <w:rPr>
                <w:rFonts w:ascii="Arial"/>
                <w:color w:val="auto"/>
                <w:sz w:val="21"/>
                <w:highlight w:val="none"/>
              </w:rPr>
            </w:pPr>
          </w:p>
        </w:tc>
        <w:tc>
          <w:tcPr>
            <w:tcW w:w="1081" w:type="dxa"/>
            <w:noWrap w:val="0"/>
            <w:vAlign w:val="top"/>
          </w:tcPr>
          <w:p w14:paraId="09FF321D">
            <w:pPr>
              <w:pStyle w:val="223"/>
              <w:spacing w:before="68" w:line="228" w:lineRule="auto"/>
              <w:ind w:left="128"/>
              <w:rPr>
                <w:color w:val="auto"/>
                <w:highlight w:val="none"/>
              </w:rPr>
            </w:pPr>
            <w:r>
              <w:rPr>
                <w:color w:val="auto"/>
                <w:spacing w:val="6"/>
                <w:highlight w:val="none"/>
              </w:rPr>
              <w:t>驱动电机</w:t>
            </w:r>
          </w:p>
        </w:tc>
        <w:tc>
          <w:tcPr>
            <w:tcW w:w="2972" w:type="dxa"/>
            <w:noWrap w:val="0"/>
            <w:vAlign w:val="top"/>
          </w:tcPr>
          <w:p w14:paraId="38488557">
            <w:pPr>
              <w:pStyle w:val="223"/>
              <w:spacing w:before="68" w:line="228" w:lineRule="auto"/>
              <w:ind w:left="341"/>
              <w:rPr>
                <w:color w:val="auto"/>
                <w:highlight w:val="none"/>
              </w:rPr>
            </w:pPr>
            <w:r>
              <w:rPr>
                <w:color w:val="auto"/>
                <w:spacing w:val="7"/>
                <w:highlight w:val="none"/>
              </w:rPr>
              <w:t>驱动电机总成</w:t>
            </w:r>
          </w:p>
        </w:tc>
        <w:tc>
          <w:tcPr>
            <w:tcW w:w="2040" w:type="dxa"/>
            <w:noWrap w:val="0"/>
            <w:vAlign w:val="top"/>
          </w:tcPr>
          <w:p w14:paraId="4C3EF80C">
            <w:pPr>
              <w:pStyle w:val="223"/>
              <w:spacing w:before="69"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3FF7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48" w:type="dxa"/>
            <w:vMerge w:val="continue"/>
            <w:noWrap w:val="0"/>
            <w:vAlign w:val="top"/>
          </w:tcPr>
          <w:p w14:paraId="037F297C">
            <w:pPr>
              <w:rPr>
                <w:rFonts w:ascii="Arial"/>
                <w:color w:val="auto"/>
                <w:sz w:val="21"/>
                <w:highlight w:val="none"/>
              </w:rPr>
            </w:pPr>
          </w:p>
        </w:tc>
        <w:tc>
          <w:tcPr>
            <w:tcW w:w="810" w:type="dxa"/>
            <w:vMerge w:val="continue"/>
            <w:noWrap w:val="0"/>
            <w:vAlign w:val="top"/>
          </w:tcPr>
          <w:p w14:paraId="2D5520DA">
            <w:pPr>
              <w:rPr>
                <w:rFonts w:ascii="Arial"/>
                <w:color w:val="auto"/>
                <w:sz w:val="21"/>
                <w:highlight w:val="none"/>
              </w:rPr>
            </w:pPr>
          </w:p>
        </w:tc>
        <w:tc>
          <w:tcPr>
            <w:tcW w:w="675" w:type="dxa"/>
            <w:vMerge w:val="continue"/>
            <w:noWrap w:val="0"/>
            <w:vAlign w:val="top"/>
          </w:tcPr>
          <w:p w14:paraId="68CACB4D">
            <w:pPr>
              <w:rPr>
                <w:rFonts w:ascii="Arial"/>
                <w:color w:val="auto"/>
                <w:sz w:val="21"/>
                <w:highlight w:val="none"/>
              </w:rPr>
            </w:pPr>
          </w:p>
        </w:tc>
        <w:tc>
          <w:tcPr>
            <w:tcW w:w="1081" w:type="dxa"/>
            <w:vMerge w:val="restart"/>
            <w:noWrap w:val="0"/>
            <w:vAlign w:val="top"/>
          </w:tcPr>
          <w:p w14:paraId="57E03F42">
            <w:pPr>
              <w:spacing w:line="243" w:lineRule="auto"/>
              <w:rPr>
                <w:rFonts w:ascii="Arial"/>
                <w:color w:val="auto"/>
                <w:sz w:val="21"/>
                <w:highlight w:val="none"/>
              </w:rPr>
            </w:pPr>
          </w:p>
          <w:p w14:paraId="0BEC3356">
            <w:pPr>
              <w:spacing w:line="244" w:lineRule="auto"/>
              <w:rPr>
                <w:rFonts w:ascii="Arial"/>
                <w:color w:val="auto"/>
                <w:sz w:val="21"/>
                <w:highlight w:val="none"/>
              </w:rPr>
            </w:pPr>
          </w:p>
          <w:p w14:paraId="79F34610">
            <w:pPr>
              <w:spacing w:line="244" w:lineRule="auto"/>
              <w:rPr>
                <w:rFonts w:ascii="Arial"/>
                <w:color w:val="auto"/>
                <w:sz w:val="21"/>
                <w:highlight w:val="none"/>
              </w:rPr>
            </w:pPr>
          </w:p>
          <w:p w14:paraId="0D6DDF69">
            <w:pPr>
              <w:spacing w:line="244" w:lineRule="auto"/>
              <w:rPr>
                <w:rFonts w:ascii="Arial"/>
                <w:color w:val="auto"/>
                <w:sz w:val="21"/>
                <w:highlight w:val="none"/>
              </w:rPr>
            </w:pPr>
          </w:p>
          <w:p w14:paraId="05D668DD">
            <w:pPr>
              <w:spacing w:line="244" w:lineRule="auto"/>
              <w:rPr>
                <w:rFonts w:ascii="Arial"/>
                <w:color w:val="auto"/>
                <w:sz w:val="21"/>
                <w:highlight w:val="none"/>
              </w:rPr>
            </w:pPr>
          </w:p>
          <w:p w14:paraId="277DAB7A">
            <w:pPr>
              <w:spacing w:line="244" w:lineRule="auto"/>
              <w:rPr>
                <w:rFonts w:ascii="Arial"/>
                <w:color w:val="auto"/>
                <w:sz w:val="21"/>
                <w:highlight w:val="none"/>
              </w:rPr>
            </w:pPr>
          </w:p>
          <w:p w14:paraId="6AC91F21">
            <w:pPr>
              <w:pStyle w:val="223"/>
              <w:spacing w:before="65" w:line="229" w:lineRule="auto"/>
              <w:ind w:left="150"/>
              <w:rPr>
                <w:color w:val="auto"/>
                <w:highlight w:val="none"/>
              </w:rPr>
            </w:pPr>
            <w:r>
              <w:rPr>
                <w:color w:val="auto"/>
                <w:spacing w:val="1"/>
                <w:highlight w:val="none"/>
              </w:rPr>
              <w:t>电控系统</w:t>
            </w:r>
          </w:p>
        </w:tc>
        <w:tc>
          <w:tcPr>
            <w:tcW w:w="2972" w:type="dxa"/>
            <w:noWrap w:val="0"/>
            <w:vAlign w:val="top"/>
          </w:tcPr>
          <w:p w14:paraId="75675A09">
            <w:pPr>
              <w:pStyle w:val="223"/>
              <w:spacing w:before="69" w:line="228" w:lineRule="auto"/>
              <w:ind w:left="235"/>
              <w:rPr>
                <w:color w:val="auto"/>
                <w:highlight w:val="none"/>
              </w:rPr>
            </w:pPr>
            <w:r>
              <w:rPr>
                <w:color w:val="auto"/>
                <w:spacing w:val="8"/>
                <w:highlight w:val="none"/>
              </w:rPr>
              <w:t>驱动电机控制器</w:t>
            </w:r>
          </w:p>
        </w:tc>
        <w:tc>
          <w:tcPr>
            <w:tcW w:w="2040" w:type="dxa"/>
            <w:noWrap w:val="0"/>
            <w:vAlign w:val="top"/>
          </w:tcPr>
          <w:p w14:paraId="4899CBF1">
            <w:pPr>
              <w:pStyle w:val="223"/>
              <w:spacing w:before="7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8C8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948" w:type="dxa"/>
            <w:vMerge w:val="continue"/>
            <w:noWrap w:val="0"/>
            <w:vAlign w:val="top"/>
          </w:tcPr>
          <w:p w14:paraId="3E8B0901">
            <w:pPr>
              <w:rPr>
                <w:rFonts w:ascii="Arial"/>
                <w:color w:val="auto"/>
                <w:sz w:val="21"/>
                <w:highlight w:val="none"/>
              </w:rPr>
            </w:pPr>
          </w:p>
        </w:tc>
        <w:tc>
          <w:tcPr>
            <w:tcW w:w="810" w:type="dxa"/>
            <w:vMerge w:val="continue"/>
            <w:noWrap w:val="0"/>
            <w:vAlign w:val="top"/>
          </w:tcPr>
          <w:p w14:paraId="2C282A20">
            <w:pPr>
              <w:rPr>
                <w:rFonts w:ascii="Arial"/>
                <w:color w:val="auto"/>
                <w:sz w:val="21"/>
                <w:highlight w:val="none"/>
              </w:rPr>
            </w:pPr>
          </w:p>
        </w:tc>
        <w:tc>
          <w:tcPr>
            <w:tcW w:w="675" w:type="dxa"/>
            <w:vMerge w:val="continue"/>
            <w:noWrap w:val="0"/>
            <w:vAlign w:val="top"/>
          </w:tcPr>
          <w:p w14:paraId="33FC9658">
            <w:pPr>
              <w:rPr>
                <w:rFonts w:ascii="Arial"/>
                <w:color w:val="auto"/>
                <w:sz w:val="21"/>
                <w:highlight w:val="none"/>
              </w:rPr>
            </w:pPr>
          </w:p>
        </w:tc>
        <w:tc>
          <w:tcPr>
            <w:tcW w:w="1081" w:type="dxa"/>
            <w:vMerge w:val="continue"/>
            <w:noWrap w:val="0"/>
            <w:vAlign w:val="top"/>
          </w:tcPr>
          <w:p w14:paraId="1572614F">
            <w:pPr>
              <w:rPr>
                <w:rFonts w:ascii="Arial"/>
                <w:color w:val="auto"/>
                <w:sz w:val="21"/>
                <w:highlight w:val="none"/>
              </w:rPr>
            </w:pPr>
          </w:p>
        </w:tc>
        <w:tc>
          <w:tcPr>
            <w:tcW w:w="2972" w:type="dxa"/>
            <w:noWrap w:val="0"/>
            <w:vAlign w:val="top"/>
          </w:tcPr>
          <w:p w14:paraId="2E3ADF6A">
            <w:pPr>
              <w:pStyle w:val="223"/>
              <w:spacing w:before="96" w:line="228" w:lineRule="auto"/>
              <w:ind w:left="1076"/>
              <w:rPr>
                <w:color w:val="auto"/>
                <w:highlight w:val="none"/>
              </w:rPr>
            </w:pPr>
            <w:r>
              <w:rPr>
                <w:color w:val="auto"/>
                <w:spacing w:val="6"/>
                <w:highlight w:val="none"/>
              </w:rPr>
              <w:t>维修开关</w:t>
            </w:r>
          </w:p>
        </w:tc>
        <w:tc>
          <w:tcPr>
            <w:tcW w:w="2040" w:type="dxa"/>
            <w:noWrap w:val="0"/>
            <w:vAlign w:val="top"/>
          </w:tcPr>
          <w:p w14:paraId="0686ABC5">
            <w:pPr>
              <w:pStyle w:val="223"/>
              <w:spacing w:before="96"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98E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948" w:type="dxa"/>
            <w:vMerge w:val="continue"/>
            <w:noWrap w:val="0"/>
            <w:vAlign w:val="top"/>
          </w:tcPr>
          <w:p w14:paraId="6386E68F">
            <w:pPr>
              <w:rPr>
                <w:rFonts w:ascii="Arial"/>
                <w:color w:val="auto"/>
                <w:sz w:val="21"/>
                <w:highlight w:val="none"/>
              </w:rPr>
            </w:pPr>
          </w:p>
        </w:tc>
        <w:tc>
          <w:tcPr>
            <w:tcW w:w="810" w:type="dxa"/>
            <w:vMerge w:val="continue"/>
            <w:noWrap w:val="0"/>
            <w:vAlign w:val="top"/>
          </w:tcPr>
          <w:p w14:paraId="1F49C657">
            <w:pPr>
              <w:rPr>
                <w:rFonts w:ascii="Arial"/>
                <w:color w:val="auto"/>
                <w:sz w:val="21"/>
                <w:highlight w:val="none"/>
              </w:rPr>
            </w:pPr>
          </w:p>
        </w:tc>
        <w:tc>
          <w:tcPr>
            <w:tcW w:w="675" w:type="dxa"/>
            <w:vMerge w:val="continue"/>
            <w:noWrap w:val="0"/>
            <w:vAlign w:val="top"/>
          </w:tcPr>
          <w:p w14:paraId="712B1458">
            <w:pPr>
              <w:rPr>
                <w:rFonts w:ascii="Arial"/>
                <w:color w:val="auto"/>
                <w:sz w:val="21"/>
                <w:highlight w:val="none"/>
              </w:rPr>
            </w:pPr>
          </w:p>
        </w:tc>
        <w:tc>
          <w:tcPr>
            <w:tcW w:w="1081" w:type="dxa"/>
            <w:vMerge w:val="continue"/>
            <w:noWrap w:val="0"/>
            <w:vAlign w:val="top"/>
          </w:tcPr>
          <w:p w14:paraId="08AE02CB">
            <w:pPr>
              <w:rPr>
                <w:rFonts w:ascii="Arial"/>
                <w:color w:val="auto"/>
                <w:sz w:val="21"/>
                <w:highlight w:val="none"/>
              </w:rPr>
            </w:pPr>
          </w:p>
        </w:tc>
        <w:tc>
          <w:tcPr>
            <w:tcW w:w="2972" w:type="dxa"/>
            <w:noWrap w:val="0"/>
            <w:vAlign w:val="top"/>
          </w:tcPr>
          <w:p w14:paraId="2FD7EAE6">
            <w:pPr>
              <w:pStyle w:val="223"/>
              <w:spacing w:before="104" w:line="228" w:lineRule="auto"/>
              <w:ind w:left="341"/>
              <w:rPr>
                <w:color w:val="auto"/>
                <w:highlight w:val="none"/>
              </w:rPr>
            </w:pPr>
            <w:r>
              <w:rPr>
                <w:color w:val="auto"/>
                <w:spacing w:val="7"/>
                <w:highlight w:val="none"/>
              </w:rPr>
              <w:t>充电口（含线束及附件）</w:t>
            </w:r>
          </w:p>
        </w:tc>
        <w:tc>
          <w:tcPr>
            <w:tcW w:w="2040" w:type="dxa"/>
            <w:noWrap w:val="0"/>
            <w:vAlign w:val="top"/>
          </w:tcPr>
          <w:p w14:paraId="3669D449">
            <w:pPr>
              <w:pStyle w:val="223"/>
              <w:spacing w:before="105"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4B3F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trPr>
        <w:tc>
          <w:tcPr>
            <w:tcW w:w="948" w:type="dxa"/>
            <w:vMerge w:val="continue"/>
            <w:noWrap w:val="0"/>
            <w:vAlign w:val="top"/>
          </w:tcPr>
          <w:p w14:paraId="1539DD9D">
            <w:pPr>
              <w:rPr>
                <w:rFonts w:ascii="Arial"/>
                <w:color w:val="auto"/>
                <w:sz w:val="21"/>
                <w:highlight w:val="none"/>
              </w:rPr>
            </w:pPr>
          </w:p>
        </w:tc>
        <w:tc>
          <w:tcPr>
            <w:tcW w:w="810" w:type="dxa"/>
            <w:vMerge w:val="continue"/>
            <w:noWrap w:val="0"/>
            <w:vAlign w:val="top"/>
          </w:tcPr>
          <w:p w14:paraId="2A73ADF7">
            <w:pPr>
              <w:rPr>
                <w:rFonts w:ascii="Arial"/>
                <w:color w:val="auto"/>
                <w:sz w:val="21"/>
                <w:highlight w:val="none"/>
              </w:rPr>
            </w:pPr>
          </w:p>
        </w:tc>
        <w:tc>
          <w:tcPr>
            <w:tcW w:w="675" w:type="dxa"/>
            <w:vMerge w:val="continue"/>
            <w:noWrap w:val="0"/>
            <w:vAlign w:val="top"/>
          </w:tcPr>
          <w:p w14:paraId="007886B3">
            <w:pPr>
              <w:rPr>
                <w:rFonts w:ascii="Arial"/>
                <w:color w:val="auto"/>
                <w:sz w:val="21"/>
                <w:highlight w:val="none"/>
              </w:rPr>
            </w:pPr>
          </w:p>
        </w:tc>
        <w:tc>
          <w:tcPr>
            <w:tcW w:w="1081" w:type="dxa"/>
            <w:vMerge w:val="continue"/>
            <w:noWrap w:val="0"/>
            <w:vAlign w:val="top"/>
          </w:tcPr>
          <w:p w14:paraId="30FB8DA7">
            <w:pPr>
              <w:rPr>
                <w:rFonts w:ascii="Arial"/>
                <w:color w:val="auto"/>
                <w:sz w:val="21"/>
                <w:highlight w:val="none"/>
              </w:rPr>
            </w:pPr>
          </w:p>
        </w:tc>
        <w:tc>
          <w:tcPr>
            <w:tcW w:w="2972" w:type="dxa"/>
            <w:noWrap w:val="0"/>
            <w:vAlign w:val="top"/>
          </w:tcPr>
          <w:p w14:paraId="46CA0508">
            <w:pPr>
              <w:pStyle w:val="223"/>
              <w:spacing w:before="108" w:line="228" w:lineRule="auto"/>
              <w:ind w:left="236"/>
              <w:rPr>
                <w:color w:val="auto"/>
                <w:highlight w:val="none"/>
              </w:rPr>
            </w:pPr>
            <w:r>
              <w:rPr>
                <w:color w:val="auto"/>
                <w:spacing w:val="8"/>
                <w:highlight w:val="none"/>
              </w:rPr>
              <w:t>前后辅助控制器（含附件）</w:t>
            </w:r>
          </w:p>
        </w:tc>
        <w:tc>
          <w:tcPr>
            <w:tcW w:w="2040" w:type="dxa"/>
            <w:noWrap w:val="0"/>
            <w:vAlign w:val="top"/>
          </w:tcPr>
          <w:p w14:paraId="0F06B50C">
            <w:pPr>
              <w:pStyle w:val="223"/>
              <w:spacing w:before="109"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5632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948" w:type="dxa"/>
            <w:vMerge w:val="continue"/>
            <w:noWrap w:val="0"/>
            <w:vAlign w:val="top"/>
          </w:tcPr>
          <w:p w14:paraId="08185D1F">
            <w:pPr>
              <w:rPr>
                <w:rFonts w:ascii="Arial"/>
                <w:color w:val="auto"/>
                <w:sz w:val="21"/>
                <w:highlight w:val="none"/>
              </w:rPr>
            </w:pPr>
          </w:p>
        </w:tc>
        <w:tc>
          <w:tcPr>
            <w:tcW w:w="810" w:type="dxa"/>
            <w:vMerge w:val="continue"/>
            <w:noWrap w:val="0"/>
            <w:vAlign w:val="top"/>
          </w:tcPr>
          <w:p w14:paraId="42F47A1A">
            <w:pPr>
              <w:rPr>
                <w:rFonts w:ascii="Arial"/>
                <w:color w:val="auto"/>
                <w:sz w:val="21"/>
                <w:highlight w:val="none"/>
              </w:rPr>
            </w:pPr>
          </w:p>
        </w:tc>
        <w:tc>
          <w:tcPr>
            <w:tcW w:w="675" w:type="dxa"/>
            <w:vMerge w:val="continue"/>
            <w:noWrap w:val="0"/>
            <w:vAlign w:val="top"/>
          </w:tcPr>
          <w:p w14:paraId="053FCA84">
            <w:pPr>
              <w:rPr>
                <w:rFonts w:ascii="Arial"/>
                <w:color w:val="auto"/>
                <w:sz w:val="21"/>
                <w:highlight w:val="none"/>
              </w:rPr>
            </w:pPr>
          </w:p>
        </w:tc>
        <w:tc>
          <w:tcPr>
            <w:tcW w:w="1081" w:type="dxa"/>
            <w:vMerge w:val="continue"/>
            <w:noWrap w:val="0"/>
            <w:vAlign w:val="top"/>
          </w:tcPr>
          <w:p w14:paraId="48933F97">
            <w:pPr>
              <w:rPr>
                <w:rFonts w:ascii="Arial"/>
                <w:color w:val="auto"/>
                <w:sz w:val="21"/>
                <w:highlight w:val="none"/>
              </w:rPr>
            </w:pPr>
          </w:p>
        </w:tc>
        <w:tc>
          <w:tcPr>
            <w:tcW w:w="2972" w:type="dxa"/>
            <w:noWrap w:val="0"/>
            <w:vAlign w:val="top"/>
          </w:tcPr>
          <w:p w14:paraId="33B3136D">
            <w:pPr>
              <w:pStyle w:val="223"/>
              <w:spacing w:before="105" w:line="228" w:lineRule="auto"/>
              <w:ind w:left="975"/>
              <w:rPr>
                <w:color w:val="auto"/>
                <w:highlight w:val="none"/>
              </w:rPr>
            </w:pPr>
            <w:r>
              <w:rPr>
                <w:color w:val="auto"/>
                <w:spacing w:val="6"/>
                <w:highlight w:val="none"/>
              </w:rPr>
              <w:t>负极保险盒</w:t>
            </w:r>
          </w:p>
        </w:tc>
        <w:tc>
          <w:tcPr>
            <w:tcW w:w="2040" w:type="dxa"/>
            <w:noWrap w:val="0"/>
            <w:vAlign w:val="top"/>
          </w:tcPr>
          <w:p w14:paraId="382A63E2">
            <w:pPr>
              <w:pStyle w:val="223"/>
              <w:spacing w:before="105"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4D6F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948" w:type="dxa"/>
            <w:vMerge w:val="continue"/>
            <w:noWrap w:val="0"/>
            <w:vAlign w:val="top"/>
          </w:tcPr>
          <w:p w14:paraId="791BA438">
            <w:pPr>
              <w:rPr>
                <w:rFonts w:ascii="Arial"/>
                <w:color w:val="auto"/>
                <w:sz w:val="21"/>
                <w:highlight w:val="none"/>
              </w:rPr>
            </w:pPr>
          </w:p>
        </w:tc>
        <w:tc>
          <w:tcPr>
            <w:tcW w:w="810" w:type="dxa"/>
            <w:vMerge w:val="continue"/>
            <w:noWrap w:val="0"/>
            <w:vAlign w:val="top"/>
          </w:tcPr>
          <w:p w14:paraId="3E1973AA">
            <w:pPr>
              <w:rPr>
                <w:rFonts w:ascii="Arial"/>
                <w:color w:val="auto"/>
                <w:sz w:val="21"/>
                <w:highlight w:val="none"/>
              </w:rPr>
            </w:pPr>
          </w:p>
        </w:tc>
        <w:tc>
          <w:tcPr>
            <w:tcW w:w="675" w:type="dxa"/>
            <w:vMerge w:val="continue"/>
            <w:noWrap w:val="0"/>
            <w:vAlign w:val="top"/>
          </w:tcPr>
          <w:p w14:paraId="2775EA73">
            <w:pPr>
              <w:rPr>
                <w:rFonts w:ascii="Arial"/>
                <w:color w:val="auto"/>
                <w:sz w:val="21"/>
                <w:highlight w:val="none"/>
              </w:rPr>
            </w:pPr>
          </w:p>
        </w:tc>
        <w:tc>
          <w:tcPr>
            <w:tcW w:w="1081" w:type="dxa"/>
            <w:vMerge w:val="continue"/>
            <w:noWrap w:val="0"/>
            <w:vAlign w:val="top"/>
          </w:tcPr>
          <w:p w14:paraId="47F93A7F">
            <w:pPr>
              <w:rPr>
                <w:rFonts w:ascii="Arial"/>
                <w:color w:val="auto"/>
                <w:sz w:val="21"/>
                <w:highlight w:val="none"/>
              </w:rPr>
            </w:pPr>
          </w:p>
        </w:tc>
        <w:tc>
          <w:tcPr>
            <w:tcW w:w="2972" w:type="dxa"/>
            <w:noWrap w:val="0"/>
            <w:vAlign w:val="top"/>
          </w:tcPr>
          <w:p w14:paraId="53A23CCD">
            <w:pPr>
              <w:pStyle w:val="223"/>
              <w:spacing w:before="107" w:line="228" w:lineRule="auto"/>
              <w:ind w:left="149"/>
              <w:rPr>
                <w:color w:val="auto"/>
                <w:highlight w:val="none"/>
              </w:rPr>
            </w:pPr>
            <w:r>
              <w:rPr>
                <w:color w:val="auto"/>
                <w:highlight w:val="none"/>
              </w:rPr>
              <w:t>DC</w:t>
            </w:r>
            <w:r>
              <w:rPr>
                <w:color w:val="auto"/>
                <w:spacing w:val="9"/>
                <w:highlight w:val="none"/>
              </w:rPr>
              <w:t>-</w:t>
            </w:r>
            <w:r>
              <w:rPr>
                <w:color w:val="auto"/>
                <w:highlight w:val="none"/>
              </w:rPr>
              <w:t>DC</w:t>
            </w:r>
            <w:r>
              <w:rPr>
                <w:color w:val="auto"/>
                <w:spacing w:val="-40"/>
                <w:highlight w:val="none"/>
              </w:rPr>
              <w:t xml:space="preserve"> </w:t>
            </w:r>
            <w:r>
              <w:rPr>
                <w:color w:val="auto"/>
                <w:spacing w:val="9"/>
                <w:highlight w:val="none"/>
              </w:rPr>
              <w:t>变换器总成</w:t>
            </w:r>
          </w:p>
        </w:tc>
        <w:tc>
          <w:tcPr>
            <w:tcW w:w="2040" w:type="dxa"/>
            <w:noWrap w:val="0"/>
            <w:vAlign w:val="top"/>
          </w:tcPr>
          <w:p w14:paraId="4842DF01">
            <w:pPr>
              <w:pStyle w:val="223"/>
              <w:spacing w:before="108"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6459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948" w:type="dxa"/>
            <w:vMerge w:val="continue"/>
            <w:noWrap w:val="0"/>
            <w:vAlign w:val="top"/>
          </w:tcPr>
          <w:p w14:paraId="72FA4C3B">
            <w:pPr>
              <w:rPr>
                <w:rFonts w:ascii="Arial"/>
                <w:color w:val="auto"/>
                <w:sz w:val="21"/>
                <w:highlight w:val="none"/>
              </w:rPr>
            </w:pPr>
          </w:p>
        </w:tc>
        <w:tc>
          <w:tcPr>
            <w:tcW w:w="810" w:type="dxa"/>
            <w:vMerge w:val="continue"/>
            <w:noWrap w:val="0"/>
            <w:vAlign w:val="top"/>
          </w:tcPr>
          <w:p w14:paraId="329A07BE">
            <w:pPr>
              <w:rPr>
                <w:rFonts w:ascii="Arial"/>
                <w:color w:val="auto"/>
                <w:sz w:val="21"/>
                <w:highlight w:val="none"/>
              </w:rPr>
            </w:pPr>
          </w:p>
        </w:tc>
        <w:tc>
          <w:tcPr>
            <w:tcW w:w="675" w:type="dxa"/>
            <w:vMerge w:val="continue"/>
            <w:noWrap w:val="0"/>
            <w:vAlign w:val="top"/>
          </w:tcPr>
          <w:p w14:paraId="1132DEBC">
            <w:pPr>
              <w:rPr>
                <w:rFonts w:ascii="Arial"/>
                <w:color w:val="auto"/>
                <w:sz w:val="21"/>
                <w:highlight w:val="none"/>
              </w:rPr>
            </w:pPr>
          </w:p>
        </w:tc>
        <w:tc>
          <w:tcPr>
            <w:tcW w:w="1081" w:type="dxa"/>
            <w:vMerge w:val="continue"/>
            <w:noWrap w:val="0"/>
            <w:vAlign w:val="top"/>
          </w:tcPr>
          <w:p w14:paraId="59541070">
            <w:pPr>
              <w:rPr>
                <w:rFonts w:ascii="Arial"/>
                <w:color w:val="auto"/>
                <w:sz w:val="21"/>
                <w:highlight w:val="none"/>
              </w:rPr>
            </w:pPr>
          </w:p>
        </w:tc>
        <w:tc>
          <w:tcPr>
            <w:tcW w:w="2972" w:type="dxa"/>
            <w:noWrap w:val="0"/>
            <w:vAlign w:val="top"/>
          </w:tcPr>
          <w:p w14:paraId="2554917C">
            <w:pPr>
              <w:pStyle w:val="223"/>
              <w:spacing w:before="100" w:line="228" w:lineRule="auto"/>
              <w:ind w:left="442"/>
              <w:rPr>
                <w:color w:val="auto"/>
                <w:highlight w:val="none"/>
              </w:rPr>
            </w:pPr>
            <w:r>
              <w:rPr>
                <w:color w:val="auto"/>
                <w:spacing w:val="7"/>
                <w:highlight w:val="none"/>
              </w:rPr>
              <w:t>整车控制器</w:t>
            </w:r>
          </w:p>
        </w:tc>
        <w:tc>
          <w:tcPr>
            <w:tcW w:w="2040" w:type="dxa"/>
            <w:noWrap w:val="0"/>
            <w:vAlign w:val="top"/>
          </w:tcPr>
          <w:p w14:paraId="0F8ABBBD">
            <w:pPr>
              <w:pStyle w:val="223"/>
              <w:spacing w:before="10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2190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948" w:type="dxa"/>
            <w:vMerge w:val="continue"/>
            <w:noWrap w:val="0"/>
            <w:vAlign w:val="top"/>
          </w:tcPr>
          <w:p w14:paraId="7B3D7092">
            <w:pPr>
              <w:rPr>
                <w:rFonts w:ascii="Arial"/>
                <w:color w:val="auto"/>
                <w:sz w:val="21"/>
                <w:highlight w:val="none"/>
              </w:rPr>
            </w:pPr>
          </w:p>
        </w:tc>
        <w:tc>
          <w:tcPr>
            <w:tcW w:w="810" w:type="dxa"/>
            <w:vMerge w:val="continue"/>
            <w:noWrap w:val="0"/>
            <w:vAlign w:val="top"/>
          </w:tcPr>
          <w:p w14:paraId="3645CD97">
            <w:pPr>
              <w:rPr>
                <w:rFonts w:ascii="Arial"/>
                <w:color w:val="auto"/>
                <w:sz w:val="21"/>
                <w:highlight w:val="none"/>
              </w:rPr>
            </w:pPr>
          </w:p>
        </w:tc>
        <w:tc>
          <w:tcPr>
            <w:tcW w:w="675" w:type="dxa"/>
            <w:vMerge w:val="continue"/>
            <w:noWrap w:val="0"/>
            <w:vAlign w:val="top"/>
          </w:tcPr>
          <w:p w14:paraId="776608D7">
            <w:pPr>
              <w:rPr>
                <w:rFonts w:ascii="Arial"/>
                <w:color w:val="auto"/>
                <w:sz w:val="21"/>
                <w:highlight w:val="none"/>
              </w:rPr>
            </w:pPr>
          </w:p>
        </w:tc>
        <w:tc>
          <w:tcPr>
            <w:tcW w:w="1081" w:type="dxa"/>
            <w:vMerge w:val="continue"/>
            <w:noWrap w:val="0"/>
            <w:vAlign w:val="top"/>
          </w:tcPr>
          <w:p w14:paraId="4A0F365B">
            <w:pPr>
              <w:rPr>
                <w:rFonts w:ascii="Arial"/>
                <w:color w:val="auto"/>
                <w:sz w:val="21"/>
                <w:highlight w:val="none"/>
              </w:rPr>
            </w:pPr>
          </w:p>
        </w:tc>
        <w:tc>
          <w:tcPr>
            <w:tcW w:w="2972" w:type="dxa"/>
            <w:noWrap w:val="0"/>
            <w:vAlign w:val="top"/>
          </w:tcPr>
          <w:p w14:paraId="1B380BBD">
            <w:pPr>
              <w:pStyle w:val="223"/>
              <w:spacing w:before="110" w:line="228" w:lineRule="auto"/>
              <w:ind w:left="447"/>
              <w:rPr>
                <w:color w:val="auto"/>
                <w:highlight w:val="none"/>
              </w:rPr>
            </w:pPr>
            <w:r>
              <w:rPr>
                <w:color w:val="auto"/>
                <w:spacing w:val="7"/>
                <w:highlight w:val="none"/>
              </w:rPr>
              <w:t>高压配电箱</w:t>
            </w:r>
          </w:p>
        </w:tc>
        <w:tc>
          <w:tcPr>
            <w:tcW w:w="2040" w:type="dxa"/>
            <w:noWrap w:val="0"/>
            <w:vAlign w:val="top"/>
          </w:tcPr>
          <w:p w14:paraId="67F4CB86">
            <w:pPr>
              <w:pStyle w:val="223"/>
              <w:spacing w:before="11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4284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948" w:type="dxa"/>
            <w:vMerge w:val="continue"/>
            <w:noWrap w:val="0"/>
            <w:vAlign w:val="top"/>
          </w:tcPr>
          <w:p w14:paraId="1013F9A9">
            <w:pPr>
              <w:rPr>
                <w:rFonts w:ascii="Arial"/>
                <w:color w:val="auto"/>
                <w:sz w:val="21"/>
                <w:highlight w:val="none"/>
              </w:rPr>
            </w:pPr>
          </w:p>
        </w:tc>
        <w:tc>
          <w:tcPr>
            <w:tcW w:w="810" w:type="dxa"/>
            <w:vMerge w:val="continue"/>
            <w:noWrap w:val="0"/>
            <w:vAlign w:val="top"/>
          </w:tcPr>
          <w:p w14:paraId="5780DC12">
            <w:pPr>
              <w:rPr>
                <w:rFonts w:ascii="Arial"/>
                <w:color w:val="auto"/>
                <w:sz w:val="21"/>
                <w:highlight w:val="none"/>
              </w:rPr>
            </w:pPr>
          </w:p>
        </w:tc>
        <w:tc>
          <w:tcPr>
            <w:tcW w:w="675" w:type="dxa"/>
            <w:vMerge w:val="continue"/>
            <w:noWrap w:val="0"/>
            <w:vAlign w:val="top"/>
          </w:tcPr>
          <w:p w14:paraId="144E84EB">
            <w:pPr>
              <w:rPr>
                <w:rFonts w:ascii="Arial"/>
                <w:color w:val="auto"/>
                <w:sz w:val="21"/>
                <w:highlight w:val="none"/>
              </w:rPr>
            </w:pPr>
          </w:p>
        </w:tc>
        <w:tc>
          <w:tcPr>
            <w:tcW w:w="1081" w:type="dxa"/>
            <w:vMerge w:val="continue"/>
            <w:noWrap w:val="0"/>
            <w:vAlign w:val="top"/>
          </w:tcPr>
          <w:p w14:paraId="15A7BFFB">
            <w:pPr>
              <w:rPr>
                <w:rFonts w:ascii="Arial"/>
                <w:color w:val="auto"/>
                <w:sz w:val="21"/>
                <w:highlight w:val="none"/>
              </w:rPr>
            </w:pPr>
          </w:p>
        </w:tc>
        <w:tc>
          <w:tcPr>
            <w:tcW w:w="2972" w:type="dxa"/>
            <w:noWrap w:val="0"/>
            <w:vAlign w:val="top"/>
          </w:tcPr>
          <w:p w14:paraId="67F90460">
            <w:pPr>
              <w:pStyle w:val="223"/>
              <w:spacing w:before="104" w:line="228" w:lineRule="auto"/>
              <w:ind w:left="233"/>
              <w:rPr>
                <w:color w:val="auto"/>
                <w:highlight w:val="none"/>
              </w:rPr>
            </w:pPr>
            <w:r>
              <w:rPr>
                <w:color w:val="auto"/>
                <w:spacing w:val="8"/>
                <w:highlight w:val="none"/>
              </w:rPr>
              <w:t>转向电机控制器</w:t>
            </w:r>
          </w:p>
        </w:tc>
        <w:tc>
          <w:tcPr>
            <w:tcW w:w="2040" w:type="dxa"/>
            <w:noWrap w:val="0"/>
            <w:vAlign w:val="top"/>
          </w:tcPr>
          <w:p w14:paraId="0E3B39D4">
            <w:pPr>
              <w:pStyle w:val="223"/>
              <w:spacing w:before="105"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1CC0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948" w:type="dxa"/>
            <w:vMerge w:val="continue"/>
            <w:noWrap w:val="0"/>
            <w:vAlign w:val="top"/>
          </w:tcPr>
          <w:p w14:paraId="17D527EB">
            <w:pPr>
              <w:rPr>
                <w:rFonts w:ascii="Arial"/>
                <w:color w:val="auto"/>
                <w:sz w:val="21"/>
                <w:highlight w:val="none"/>
              </w:rPr>
            </w:pPr>
          </w:p>
        </w:tc>
        <w:tc>
          <w:tcPr>
            <w:tcW w:w="810" w:type="dxa"/>
            <w:vMerge w:val="continue"/>
            <w:noWrap w:val="0"/>
            <w:vAlign w:val="top"/>
          </w:tcPr>
          <w:p w14:paraId="623E8060">
            <w:pPr>
              <w:rPr>
                <w:rFonts w:ascii="Arial"/>
                <w:color w:val="auto"/>
                <w:sz w:val="21"/>
                <w:highlight w:val="none"/>
              </w:rPr>
            </w:pPr>
          </w:p>
        </w:tc>
        <w:tc>
          <w:tcPr>
            <w:tcW w:w="675" w:type="dxa"/>
            <w:vMerge w:val="continue"/>
            <w:noWrap w:val="0"/>
            <w:vAlign w:val="top"/>
          </w:tcPr>
          <w:p w14:paraId="6815C581">
            <w:pPr>
              <w:rPr>
                <w:rFonts w:ascii="Arial"/>
                <w:color w:val="auto"/>
                <w:sz w:val="21"/>
                <w:highlight w:val="none"/>
              </w:rPr>
            </w:pPr>
          </w:p>
        </w:tc>
        <w:tc>
          <w:tcPr>
            <w:tcW w:w="1081" w:type="dxa"/>
            <w:vMerge w:val="continue"/>
            <w:noWrap w:val="0"/>
            <w:vAlign w:val="top"/>
          </w:tcPr>
          <w:p w14:paraId="1C070DF2">
            <w:pPr>
              <w:rPr>
                <w:rFonts w:ascii="Arial"/>
                <w:color w:val="auto"/>
                <w:sz w:val="21"/>
                <w:highlight w:val="none"/>
              </w:rPr>
            </w:pPr>
          </w:p>
        </w:tc>
        <w:tc>
          <w:tcPr>
            <w:tcW w:w="2972" w:type="dxa"/>
            <w:noWrap w:val="0"/>
            <w:vAlign w:val="top"/>
          </w:tcPr>
          <w:p w14:paraId="61A1A1C5">
            <w:pPr>
              <w:pStyle w:val="223"/>
              <w:spacing w:before="54" w:line="228" w:lineRule="auto"/>
              <w:ind w:left="345"/>
              <w:rPr>
                <w:color w:val="auto"/>
                <w:highlight w:val="none"/>
              </w:rPr>
            </w:pPr>
            <w:r>
              <w:rPr>
                <w:color w:val="auto"/>
                <w:spacing w:val="7"/>
                <w:highlight w:val="none"/>
              </w:rPr>
              <w:t>空压机控制器</w:t>
            </w:r>
          </w:p>
        </w:tc>
        <w:tc>
          <w:tcPr>
            <w:tcW w:w="2040" w:type="dxa"/>
            <w:noWrap w:val="0"/>
            <w:vAlign w:val="top"/>
          </w:tcPr>
          <w:p w14:paraId="77CB0A87">
            <w:pPr>
              <w:pStyle w:val="223"/>
              <w:spacing w:before="55"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479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948" w:type="dxa"/>
            <w:vMerge w:val="continue"/>
            <w:noWrap w:val="0"/>
            <w:vAlign w:val="top"/>
          </w:tcPr>
          <w:p w14:paraId="2FE96B80">
            <w:pPr>
              <w:rPr>
                <w:rFonts w:ascii="Arial"/>
                <w:color w:val="auto"/>
                <w:sz w:val="21"/>
                <w:highlight w:val="none"/>
              </w:rPr>
            </w:pPr>
          </w:p>
        </w:tc>
        <w:tc>
          <w:tcPr>
            <w:tcW w:w="810" w:type="dxa"/>
            <w:vMerge w:val="continue"/>
            <w:noWrap w:val="0"/>
            <w:vAlign w:val="top"/>
          </w:tcPr>
          <w:p w14:paraId="508E2C99">
            <w:pPr>
              <w:rPr>
                <w:rFonts w:ascii="Arial"/>
                <w:color w:val="auto"/>
                <w:sz w:val="21"/>
                <w:highlight w:val="none"/>
              </w:rPr>
            </w:pPr>
          </w:p>
        </w:tc>
        <w:tc>
          <w:tcPr>
            <w:tcW w:w="675" w:type="dxa"/>
            <w:vMerge w:val="continue"/>
            <w:noWrap w:val="0"/>
            <w:vAlign w:val="top"/>
          </w:tcPr>
          <w:p w14:paraId="7CEAD50A">
            <w:pPr>
              <w:rPr>
                <w:rFonts w:ascii="Arial"/>
                <w:color w:val="auto"/>
                <w:sz w:val="21"/>
                <w:highlight w:val="none"/>
              </w:rPr>
            </w:pPr>
          </w:p>
        </w:tc>
        <w:tc>
          <w:tcPr>
            <w:tcW w:w="1081" w:type="dxa"/>
            <w:vMerge w:val="continue"/>
            <w:noWrap w:val="0"/>
            <w:vAlign w:val="top"/>
          </w:tcPr>
          <w:p w14:paraId="3D145FE0">
            <w:pPr>
              <w:rPr>
                <w:rFonts w:ascii="Arial"/>
                <w:color w:val="auto"/>
                <w:sz w:val="21"/>
                <w:highlight w:val="none"/>
              </w:rPr>
            </w:pPr>
          </w:p>
        </w:tc>
        <w:tc>
          <w:tcPr>
            <w:tcW w:w="2972" w:type="dxa"/>
            <w:noWrap w:val="0"/>
            <w:vAlign w:val="top"/>
          </w:tcPr>
          <w:p w14:paraId="58B6EDD6">
            <w:pPr>
              <w:pStyle w:val="223"/>
              <w:spacing w:before="104" w:line="228" w:lineRule="auto"/>
              <w:ind w:left="363"/>
              <w:rPr>
                <w:color w:val="auto"/>
                <w:highlight w:val="none"/>
              </w:rPr>
            </w:pPr>
            <w:r>
              <w:rPr>
                <w:color w:val="auto"/>
                <w:spacing w:val="5"/>
                <w:highlight w:val="none"/>
              </w:rPr>
              <w:t>电动转向电机</w:t>
            </w:r>
          </w:p>
        </w:tc>
        <w:tc>
          <w:tcPr>
            <w:tcW w:w="2040" w:type="dxa"/>
            <w:noWrap w:val="0"/>
            <w:vAlign w:val="top"/>
          </w:tcPr>
          <w:p w14:paraId="4304F3E2">
            <w:pPr>
              <w:pStyle w:val="223"/>
              <w:spacing w:before="105"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78B0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948" w:type="dxa"/>
            <w:vMerge w:val="continue"/>
            <w:noWrap w:val="0"/>
            <w:vAlign w:val="top"/>
          </w:tcPr>
          <w:p w14:paraId="5A90AF36">
            <w:pPr>
              <w:rPr>
                <w:rFonts w:ascii="Arial"/>
                <w:color w:val="auto"/>
                <w:sz w:val="21"/>
                <w:highlight w:val="none"/>
              </w:rPr>
            </w:pPr>
          </w:p>
        </w:tc>
        <w:tc>
          <w:tcPr>
            <w:tcW w:w="810" w:type="dxa"/>
            <w:vMerge w:val="continue"/>
            <w:noWrap w:val="0"/>
            <w:vAlign w:val="top"/>
          </w:tcPr>
          <w:p w14:paraId="3249E1B1">
            <w:pPr>
              <w:rPr>
                <w:rFonts w:ascii="Arial"/>
                <w:color w:val="auto"/>
                <w:sz w:val="21"/>
                <w:highlight w:val="none"/>
              </w:rPr>
            </w:pPr>
          </w:p>
        </w:tc>
        <w:tc>
          <w:tcPr>
            <w:tcW w:w="675" w:type="dxa"/>
            <w:vMerge w:val="continue"/>
            <w:noWrap w:val="0"/>
            <w:vAlign w:val="top"/>
          </w:tcPr>
          <w:p w14:paraId="2FE3AB81">
            <w:pPr>
              <w:rPr>
                <w:rFonts w:ascii="Arial"/>
                <w:color w:val="auto"/>
                <w:sz w:val="21"/>
                <w:highlight w:val="none"/>
              </w:rPr>
            </w:pPr>
          </w:p>
        </w:tc>
        <w:tc>
          <w:tcPr>
            <w:tcW w:w="1081" w:type="dxa"/>
            <w:vMerge w:val="continue"/>
            <w:noWrap w:val="0"/>
            <w:vAlign w:val="top"/>
          </w:tcPr>
          <w:p w14:paraId="3115AFD3">
            <w:pPr>
              <w:rPr>
                <w:rFonts w:ascii="Arial"/>
                <w:color w:val="auto"/>
                <w:sz w:val="21"/>
                <w:highlight w:val="none"/>
              </w:rPr>
            </w:pPr>
          </w:p>
        </w:tc>
        <w:tc>
          <w:tcPr>
            <w:tcW w:w="2972" w:type="dxa"/>
            <w:noWrap w:val="0"/>
            <w:vAlign w:val="top"/>
          </w:tcPr>
          <w:p w14:paraId="0C11F0C5">
            <w:pPr>
              <w:pStyle w:val="223"/>
              <w:spacing w:before="107" w:line="229" w:lineRule="auto"/>
              <w:ind w:left="458"/>
              <w:rPr>
                <w:color w:val="auto"/>
                <w:highlight w:val="none"/>
              </w:rPr>
            </w:pPr>
            <w:r>
              <w:rPr>
                <w:color w:val="auto"/>
                <w:spacing w:val="7"/>
                <w:highlight w:val="none"/>
              </w:rPr>
              <w:t>网关控制器及支架总成</w:t>
            </w:r>
          </w:p>
        </w:tc>
        <w:tc>
          <w:tcPr>
            <w:tcW w:w="2040" w:type="dxa"/>
            <w:noWrap w:val="0"/>
            <w:vAlign w:val="top"/>
          </w:tcPr>
          <w:p w14:paraId="2DA57EBC">
            <w:pPr>
              <w:pStyle w:val="223"/>
              <w:spacing w:before="108"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3DAA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948" w:type="dxa"/>
            <w:vMerge w:val="continue"/>
            <w:noWrap w:val="0"/>
            <w:vAlign w:val="top"/>
          </w:tcPr>
          <w:p w14:paraId="7A8D00A3">
            <w:pPr>
              <w:rPr>
                <w:rFonts w:ascii="Arial"/>
                <w:color w:val="auto"/>
                <w:sz w:val="21"/>
                <w:highlight w:val="none"/>
              </w:rPr>
            </w:pPr>
          </w:p>
        </w:tc>
        <w:tc>
          <w:tcPr>
            <w:tcW w:w="810" w:type="dxa"/>
            <w:vMerge w:val="continue"/>
            <w:noWrap w:val="0"/>
            <w:vAlign w:val="top"/>
          </w:tcPr>
          <w:p w14:paraId="3C6AFEE6">
            <w:pPr>
              <w:rPr>
                <w:rFonts w:ascii="Arial"/>
                <w:color w:val="auto"/>
                <w:sz w:val="21"/>
                <w:highlight w:val="none"/>
              </w:rPr>
            </w:pPr>
          </w:p>
        </w:tc>
        <w:tc>
          <w:tcPr>
            <w:tcW w:w="675" w:type="dxa"/>
            <w:vMerge w:val="continue"/>
            <w:noWrap w:val="0"/>
            <w:vAlign w:val="top"/>
          </w:tcPr>
          <w:p w14:paraId="1C7C2971">
            <w:pPr>
              <w:rPr>
                <w:rFonts w:ascii="Arial"/>
                <w:color w:val="auto"/>
                <w:sz w:val="21"/>
                <w:highlight w:val="none"/>
              </w:rPr>
            </w:pPr>
          </w:p>
        </w:tc>
        <w:tc>
          <w:tcPr>
            <w:tcW w:w="1081" w:type="dxa"/>
            <w:vMerge w:val="continue"/>
            <w:noWrap w:val="0"/>
            <w:vAlign w:val="top"/>
          </w:tcPr>
          <w:p w14:paraId="5BF61B13">
            <w:pPr>
              <w:rPr>
                <w:rFonts w:ascii="Arial"/>
                <w:color w:val="auto"/>
                <w:sz w:val="21"/>
                <w:highlight w:val="none"/>
              </w:rPr>
            </w:pPr>
          </w:p>
        </w:tc>
        <w:tc>
          <w:tcPr>
            <w:tcW w:w="2972" w:type="dxa"/>
            <w:noWrap w:val="0"/>
            <w:vAlign w:val="top"/>
          </w:tcPr>
          <w:p w14:paraId="145A173E">
            <w:pPr>
              <w:pStyle w:val="223"/>
              <w:spacing w:before="111" w:line="228" w:lineRule="auto"/>
              <w:ind w:left="658"/>
              <w:rPr>
                <w:color w:val="auto"/>
                <w:highlight w:val="none"/>
              </w:rPr>
            </w:pPr>
            <w:r>
              <w:rPr>
                <w:color w:val="auto"/>
                <w:spacing w:val="7"/>
                <w:highlight w:val="none"/>
              </w:rPr>
              <w:t>高压线束及连接器</w:t>
            </w:r>
          </w:p>
        </w:tc>
        <w:tc>
          <w:tcPr>
            <w:tcW w:w="2040" w:type="dxa"/>
            <w:noWrap w:val="0"/>
            <w:vAlign w:val="top"/>
          </w:tcPr>
          <w:p w14:paraId="5B971B84">
            <w:pPr>
              <w:pStyle w:val="223"/>
              <w:spacing w:before="111"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4B03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48" w:type="dxa"/>
            <w:vMerge w:val="continue"/>
            <w:noWrap w:val="0"/>
            <w:vAlign w:val="top"/>
          </w:tcPr>
          <w:p w14:paraId="3DA3C0C2">
            <w:pPr>
              <w:rPr>
                <w:rFonts w:ascii="Arial"/>
                <w:color w:val="auto"/>
                <w:sz w:val="21"/>
                <w:highlight w:val="none"/>
              </w:rPr>
            </w:pPr>
          </w:p>
        </w:tc>
        <w:tc>
          <w:tcPr>
            <w:tcW w:w="810" w:type="dxa"/>
            <w:vMerge w:val="restart"/>
            <w:noWrap w:val="0"/>
            <w:vAlign w:val="top"/>
          </w:tcPr>
          <w:p w14:paraId="1334DE81">
            <w:pPr>
              <w:spacing w:line="384" w:lineRule="auto"/>
              <w:rPr>
                <w:rFonts w:ascii="Arial"/>
                <w:color w:val="auto"/>
                <w:sz w:val="21"/>
                <w:highlight w:val="none"/>
              </w:rPr>
            </w:pPr>
          </w:p>
          <w:p w14:paraId="63558413">
            <w:pPr>
              <w:pStyle w:val="223"/>
              <w:spacing w:before="65" w:line="189" w:lineRule="auto"/>
              <w:ind w:left="360"/>
              <w:rPr>
                <w:color w:val="auto"/>
                <w:highlight w:val="none"/>
              </w:rPr>
            </w:pPr>
            <w:r>
              <w:rPr>
                <w:color w:val="auto"/>
                <w:highlight w:val="none"/>
              </w:rPr>
              <w:t>3</w:t>
            </w:r>
          </w:p>
        </w:tc>
        <w:tc>
          <w:tcPr>
            <w:tcW w:w="1756" w:type="dxa"/>
            <w:gridSpan w:val="2"/>
            <w:vMerge w:val="restart"/>
            <w:noWrap w:val="0"/>
            <w:vAlign w:val="top"/>
          </w:tcPr>
          <w:p w14:paraId="64F477F9">
            <w:pPr>
              <w:spacing w:line="352" w:lineRule="auto"/>
              <w:rPr>
                <w:rFonts w:ascii="Arial"/>
                <w:color w:val="auto"/>
                <w:sz w:val="21"/>
                <w:highlight w:val="none"/>
              </w:rPr>
            </w:pPr>
          </w:p>
          <w:p w14:paraId="2B957E1D">
            <w:pPr>
              <w:pStyle w:val="223"/>
              <w:spacing w:before="65" w:line="228" w:lineRule="auto"/>
              <w:ind w:left="463"/>
              <w:rPr>
                <w:color w:val="auto"/>
                <w:highlight w:val="none"/>
              </w:rPr>
            </w:pPr>
            <w:r>
              <w:rPr>
                <w:color w:val="auto"/>
                <w:spacing w:val="7"/>
                <w:highlight w:val="none"/>
              </w:rPr>
              <w:t>动力总成</w:t>
            </w:r>
          </w:p>
        </w:tc>
        <w:tc>
          <w:tcPr>
            <w:tcW w:w="2972" w:type="dxa"/>
            <w:noWrap w:val="0"/>
            <w:vAlign w:val="top"/>
          </w:tcPr>
          <w:p w14:paraId="4EE7DE4D">
            <w:pPr>
              <w:pStyle w:val="223"/>
              <w:spacing w:before="71" w:line="228" w:lineRule="auto"/>
              <w:ind w:left="338"/>
              <w:rPr>
                <w:color w:val="auto"/>
                <w:highlight w:val="none"/>
              </w:rPr>
            </w:pPr>
            <w:r>
              <w:rPr>
                <w:color w:val="auto"/>
                <w:spacing w:val="8"/>
                <w:highlight w:val="none"/>
              </w:rPr>
              <w:t>减速器总成</w:t>
            </w:r>
          </w:p>
        </w:tc>
        <w:tc>
          <w:tcPr>
            <w:tcW w:w="2040" w:type="dxa"/>
            <w:noWrap w:val="0"/>
            <w:vAlign w:val="top"/>
          </w:tcPr>
          <w:p w14:paraId="7A7A4651">
            <w:pPr>
              <w:pStyle w:val="223"/>
              <w:spacing w:before="71" w:line="228" w:lineRule="auto"/>
              <w:ind w:left="264"/>
              <w:rPr>
                <w:color w:val="auto"/>
                <w:highlight w:val="none"/>
              </w:rPr>
            </w:pPr>
            <w:r>
              <w:rPr>
                <w:color w:val="auto"/>
                <w:spacing w:val="2"/>
                <w:highlight w:val="none"/>
              </w:rPr>
              <w:t>8</w:t>
            </w:r>
            <w:r>
              <w:rPr>
                <w:color w:val="auto"/>
                <w:spacing w:val="-37"/>
                <w:highlight w:val="none"/>
              </w:rPr>
              <w:t xml:space="preserve"> </w:t>
            </w:r>
            <w:r>
              <w:rPr>
                <w:color w:val="auto"/>
                <w:spacing w:val="2"/>
                <w:highlight w:val="none"/>
              </w:rPr>
              <w:t>年或</w:t>
            </w:r>
            <w:r>
              <w:rPr>
                <w:color w:val="auto"/>
                <w:spacing w:val="-32"/>
                <w:highlight w:val="none"/>
              </w:rPr>
              <w:t xml:space="preserve"> </w:t>
            </w:r>
            <w:r>
              <w:rPr>
                <w:color w:val="auto"/>
                <w:spacing w:val="2"/>
                <w:highlight w:val="none"/>
              </w:rPr>
              <w:t>50</w:t>
            </w:r>
            <w:r>
              <w:rPr>
                <w:color w:val="auto"/>
                <w:spacing w:val="-36"/>
                <w:highlight w:val="none"/>
              </w:rPr>
              <w:t xml:space="preserve"> </w:t>
            </w:r>
            <w:r>
              <w:rPr>
                <w:color w:val="auto"/>
                <w:spacing w:val="2"/>
                <w:highlight w:val="none"/>
              </w:rPr>
              <w:t>万公里</w:t>
            </w:r>
          </w:p>
        </w:tc>
      </w:tr>
      <w:tr w14:paraId="491E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48" w:type="dxa"/>
            <w:vMerge w:val="continue"/>
            <w:noWrap w:val="0"/>
            <w:vAlign w:val="top"/>
          </w:tcPr>
          <w:p w14:paraId="494FD616">
            <w:pPr>
              <w:rPr>
                <w:rFonts w:ascii="Arial"/>
                <w:color w:val="auto"/>
                <w:sz w:val="21"/>
                <w:highlight w:val="none"/>
              </w:rPr>
            </w:pPr>
          </w:p>
        </w:tc>
        <w:tc>
          <w:tcPr>
            <w:tcW w:w="810" w:type="dxa"/>
            <w:vMerge w:val="continue"/>
            <w:noWrap w:val="0"/>
            <w:vAlign w:val="top"/>
          </w:tcPr>
          <w:p w14:paraId="5C8ABC6C">
            <w:pPr>
              <w:rPr>
                <w:rFonts w:ascii="Arial"/>
                <w:color w:val="auto"/>
                <w:sz w:val="21"/>
                <w:highlight w:val="none"/>
              </w:rPr>
            </w:pPr>
          </w:p>
        </w:tc>
        <w:tc>
          <w:tcPr>
            <w:tcW w:w="1756" w:type="dxa"/>
            <w:gridSpan w:val="2"/>
            <w:vMerge w:val="continue"/>
            <w:noWrap w:val="0"/>
            <w:vAlign w:val="top"/>
          </w:tcPr>
          <w:p w14:paraId="01E8E5F6">
            <w:pPr>
              <w:rPr>
                <w:rFonts w:ascii="Arial"/>
                <w:color w:val="auto"/>
                <w:sz w:val="21"/>
                <w:highlight w:val="none"/>
              </w:rPr>
            </w:pPr>
          </w:p>
        </w:tc>
        <w:tc>
          <w:tcPr>
            <w:tcW w:w="2972" w:type="dxa"/>
            <w:noWrap w:val="0"/>
            <w:vAlign w:val="top"/>
          </w:tcPr>
          <w:p w14:paraId="79B289D7">
            <w:pPr>
              <w:pStyle w:val="223"/>
              <w:spacing w:before="69" w:line="228" w:lineRule="auto"/>
              <w:ind w:left="758"/>
              <w:rPr>
                <w:color w:val="auto"/>
                <w:highlight w:val="none"/>
              </w:rPr>
            </w:pPr>
            <w:r>
              <w:rPr>
                <w:color w:val="auto"/>
                <w:spacing w:val="8"/>
                <w:highlight w:val="none"/>
              </w:rPr>
              <w:t>减速器壳体组件</w:t>
            </w:r>
          </w:p>
        </w:tc>
        <w:tc>
          <w:tcPr>
            <w:tcW w:w="2040" w:type="dxa"/>
            <w:noWrap w:val="0"/>
            <w:vAlign w:val="top"/>
          </w:tcPr>
          <w:p w14:paraId="67A87BF2">
            <w:pPr>
              <w:pStyle w:val="223"/>
              <w:spacing w:before="69" w:line="228" w:lineRule="auto"/>
              <w:ind w:left="264"/>
              <w:rPr>
                <w:color w:val="auto"/>
                <w:highlight w:val="none"/>
              </w:rPr>
            </w:pPr>
            <w:r>
              <w:rPr>
                <w:color w:val="auto"/>
                <w:spacing w:val="2"/>
                <w:highlight w:val="none"/>
              </w:rPr>
              <w:t>8</w:t>
            </w:r>
            <w:r>
              <w:rPr>
                <w:color w:val="auto"/>
                <w:spacing w:val="-37"/>
                <w:highlight w:val="none"/>
              </w:rPr>
              <w:t xml:space="preserve"> </w:t>
            </w:r>
            <w:r>
              <w:rPr>
                <w:color w:val="auto"/>
                <w:spacing w:val="2"/>
                <w:highlight w:val="none"/>
              </w:rPr>
              <w:t>年或</w:t>
            </w:r>
            <w:r>
              <w:rPr>
                <w:color w:val="auto"/>
                <w:spacing w:val="-32"/>
                <w:highlight w:val="none"/>
              </w:rPr>
              <w:t xml:space="preserve"> </w:t>
            </w:r>
            <w:r>
              <w:rPr>
                <w:color w:val="auto"/>
                <w:spacing w:val="2"/>
                <w:highlight w:val="none"/>
              </w:rPr>
              <w:t>50</w:t>
            </w:r>
            <w:r>
              <w:rPr>
                <w:color w:val="auto"/>
                <w:spacing w:val="-36"/>
                <w:highlight w:val="none"/>
              </w:rPr>
              <w:t xml:space="preserve"> </w:t>
            </w:r>
            <w:r>
              <w:rPr>
                <w:color w:val="auto"/>
                <w:spacing w:val="2"/>
                <w:highlight w:val="none"/>
              </w:rPr>
              <w:t>万公里</w:t>
            </w:r>
          </w:p>
        </w:tc>
      </w:tr>
      <w:tr w14:paraId="3D41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48" w:type="dxa"/>
            <w:vMerge w:val="continue"/>
            <w:noWrap w:val="0"/>
            <w:vAlign w:val="top"/>
          </w:tcPr>
          <w:p w14:paraId="16231D7F">
            <w:pPr>
              <w:rPr>
                <w:rFonts w:ascii="Arial"/>
                <w:color w:val="auto"/>
                <w:sz w:val="21"/>
                <w:highlight w:val="none"/>
              </w:rPr>
            </w:pPr>
          </w:p>
        </w:tc>
        <w:tc>
          <w:tcPr>
            <w:tcW w:w="810" w:type="dxa"/>
            <w:vMerge w:val="continue"/>
            <w:noWrap w:val="0"/>
            <w:vAlign w:val="top"/>
          </w:tcPr>
          <w:p w14:paraId="793AE05B">
            <w:pPr>
              <w:rPr>
                <w:rFonts w:ascii="Arial"/>
                <w:color w:val="auto"/>
                <w:sz w:val="21"/>
                <w:highlight w:val="none"/>
              </w:rPr>
            </w:pPr>
          </w:p>
        </w:tc>
        <w:tc>
          <w:tcPr>
            <w:tcW w:w="1756" w:type="dxa"/>
            <w:gridSpan w:val="2"/>
            <w:vMerge w:val="continue"/>
            <w:noWrap w:val="0"/>
            <w:vAlign w:val="top"/>
          </w:tcPr>
          <w:p w14:paraId="4B91C3E7">
            <w:pPr>
              <w:rPr>
                <w:rFonts w:ascii="Arial"/>
                <w:color w:val="auto"/>
                <w:sz w:val="21"/>
                <w:highlight w:val="none"/>
              </w:rPr>
            </w:pPr>
          </w:p>
        </w:tc>
        <w:tc>
          <w:tcPr>
            <w:tcW w:w="2972" w:type="dxa"/>
            <w:noWrap w:val="0"/>
            <w:vAlign w:val="top"/>
          </w:tcPr>
          <w:p w14:paraId="38392B96">
            <w:pPr>
              <w:pStyle w:val="223"/>
              <w:spacing w:before="69" w:line="228" w:lineRule="auto"/>
              <w:ind w:left="1177"/>
              <w:rPr>
                <w:color w:val="auto"/>
                <w:highlight w:val="none"/>
              </w:rPr>
            </w:pPr>
            <w:r>
              <w:rPr>
                <w:color w:val="auto"/>
                <w:spacing w:val="7"/>
                <w:highlight w:val="none"/>
              </w:rPr>
              <w:t>传动轴</w:t>
            </w:r>
          </w:p>
        </w:tc>
        <w:tc>
          <w:tcPr>
            <w:tcW w:w="2040" w:type="dxa"/>
            <w:noWrap w:val="0"/>
            <w:vAlign w:val="top"/>
          </w:tcPr>
          <w:p w14:paraId="1BE72EA2">
            <w:pPr>
              <w:pStyle w:val="223"/>
              <w:spacing w:before="7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1870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48" w:type="dxa"/>
            <w:vMerge w:val="restart"/>
            <w:noWrap w:val="0"/>
            <w:vAlign w:val="top"/>
          </w:tcPr>
          <w:p w14:paraId="73CFFBD3">
            <w:pPr>
              <w:pStyle w:val="223"/>
              <w:spacing w:before="89" w:line="273" w:lineRule="auto"/>
              <w:ind w:left="162" w:right="158"/>
              <w:rPr>
                <w:color w:val="auto"/>
                <w:highlight w:val="none"/>
              </w:rPr>
            </w:pPr>
            <w:r>
              <w:rPr>
                <w:color w:val="auto"/>
                <w:spacing w:val="7"/>
                <w:highlight w:val="none"/>
              </w:rPr>
              <w:t>传统车</w:t>
            </w:r>
            <w:r>
              <w:rPr>
                <w:color w:val="auto"/>
                <w:highlight w:val="none"/>
              </w:rPr>
              <w:t xml:space="preserve"> </w:t>
            </w:r>
            <w:r>
              <w:rPr>
                <w:color w:val="auto"/>
                <w:spacing w:val="7"/>
                <w:highlight w:val="none"/>
              </w:rPr>
              <w:t>辆部分</w:t>
            </w:r>
          </w:p>
        </w:tc>
        <w:tc>
          <w:tcPr>
            <w:tcW w:w="810" w:type="dxa"/>
            <w:vMerge w:val="restart"/>
            <w:noWrap w:val="0"/>
            <w:vAlign w:val="top"/>
          </w:tcPr>
          <w:p w14:paraId="68B49942">
            <w:pPr>
              <w:pStyle w:val="223"/>
              <w:spacing w:before="278" w:line="189" w:lineRule="auto"/>
              <w:ind w:left="355"/>
              <w:rPr>
                <w:color w:val="auto"/>
                <w:highlight w:val="none"/>
              </w:rPr>
            </w:pPr>
            <w:r>
              <w:rPr>
                <w:color w:val="auto"/>
                <w:highlight w:val="none"/>
              </w:rPr>
              <w:t>4</w:t>
            </w:r>
          </w:p>
        </w:tc>
        <w:tc>
          <w:tcPr>
            <w:tcW w:w="675" w:type="dxa"/>
            <w:vMerge w:val="restart"/>
            <w:noWrap w:val="0"/>
            <w:vAlign w:val="top"/>
          </w:tcPr>
          <w:p w14:paraId="45C8CD1F">
            <w:pPr>
              <w:pStyle w:val="223"/>
              <w:spacing w:before="245" w:line="228" w:lineRule="auto"/>
              <w:ind w:left="133"/>
              <w:rPr>
                <w:color w:val="auto"/>
                <w:highlight w:val="none"/>
              </w:rPr>
            </w:pPr>
            <w:r>
              <w:rPr>
                <w:color w:val="auto"/>
                <w:spacing w:val="3"/>
                <w:highlight w:val="none"/>
              </w:rPr>
              <w:t>车身</w:t>
            </w:r>
          </w:p>
        </w:tc>
        <w:tc>
          <w:tcPr>
            <w:tcW w:w="1081" w:type="dxa"/>
            <w:noWrap w:val="0"/>
            <w:vAlign w:val="top"/>
          </w:tcPr>
          <w:p w14:paraId="5DE32C64">
            <w:pPr>
              <w:pStyle w:val="223"/>
              <w:spacing w:before="70" w:line="228" w:lineRule="auto"/>
              <w:ind w:left="334"/>
              <w:rPr>
                <w:color w:val="auto"/>
                <w:highlight w:val="none"/>
              </w:rPr>
            </w:pPr>
            <w:r>
              <w:rPr>
                <w:color w:val="auto"/>
                <w:spacing w:val="5"/>
                <w:highlight w:val="none"/>
              </w:rPr>
              <w:t>骨架</w:t>
            </w:r>
          </w:p>
        </w:tc>
        <w:tc>
          <w:tcPr>
            <w:tcW w:w="2972" w:type="dxa"/>
            <w:noWrap w:val="0"/>
            <w:vAlign w:val="top"/>
          </w:tcPr>
          <w:p w14:paraId="1859B068">
            <w:pPr>
              <w:pStyle w:val="223"/>
              <w:spacing w:before="70" w:line="228" w:lineRule="auto"/>
              <w:ind w:left="1074"/>
              <w:rPr>
                <w:color w:val="auto"/>
                <w:highlight w:val="none"/>
              </w:rPr>
            </w:pPr>
            <w:r>
              <w:rPr>
                <w:color w:val="auto"/>
                <w:spacing w:val="6"/>
                <w:highlight w:val="none"/>
              </w:rPr>
              <w:t>车身骨架</w:t>
            </w:r>
          </w:p>
        </w:tc>
        <w:tc>
          <w:tcPr>
            <w:tcW w:w="2040" w:type="dxa"/>
            <w:noWrap w:val="0"/>
            <w:vAlign w:val="top"/>
          </w:tcPr>
          <w:p w14:paraId="23B7FDC9">
            <w:pPr>
              <w:pStyle w:val="223"/>
              <w:spacing w:before="7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61D3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rPr>
        <w:tc>
          <w:tcPr>
            <w:tcW w:w="948" w:type="dxa"/>
            <w:vMerge w:val="continue"/>
            <w:noWrap w:val="0"/>
            <w:vAlign w:val="top"/>
          </w:tcPr>
          <w:p w14:paraId="19F03085">
            <w:pPr>
              <w:rPr>
                <w:rFonts w:ascii="Arial"/>
                <w:color w:val="auto"/>
                <w:sz w:val="21"/>
                <w:highlight w:val="none"/>
              </w:rPr>
            </w:pPr>
          </w:p>
        </w:tc>
        <w:tc>
          <w:tcPr>
            <w:tcW w:w="810" w:type="dxa"/>
            <w:vMerge w:val="continue"/>
            <w:noWrap w:val="0"/>
            <w:vAlign w:val="top"/>
          </w:tcPr>
          <w:p w14:paraId="52397AA6">
            <w:pPr>
              <w:rPr>
                <w:rFonts w:ascii="Arial"/>
                <w:color w:val="auto"/>
                <w:sz w:val="21"/>
                <w:highlight w:val="none"/>
              </w:rPr>
            </w:pPr>
          </w:p>
        </w:tc>
        <w:tc>
          <w:tcPr>
            <w:tcW w:w="675" w:type="dxa"/>
            <w:vMerge w:val="continue"/>
            <w:noWrap w:val="0"/>
            <w:vAlign w:val="top"/>
          </w:tcPr>
          <w:p w14:paraId="63384E48">
            <w:pPr>
              <w:rPr>
                <w:rFonts w:ascii="Arial"/>
                <w:color w:val="auto"/>
                <w:sz w:val="21"/>
                <w:highlight w:val="none"/>
              </w:rPr>
            </w:pPr>
          </w:p>
        </w:tc>
        <w:tc>
          <w:tcPr>
            <w:tcW w:w="1081" w:type="dxa"/>
            <w:noWrap w:val="0"/>
            <w:vAlign w:val="top"/>
          </w:tcPr>
          <w:p w14:paraId="4BF1D9B3">
            <w:pPr>
              <w:rPr>
                <w:rFonts w:ascii="Arial"/>
                <w:color w:val="auto"/>
                <w:sz w:val="21"/>
                <w:highlight w:val="none"/>
              </w:rPr>
            </w:pPr>
          </w:p>
        </w:tc>
        <w:tc>
          <w:tcPr>
            <w:tcW w:w="2972" w:type="dxa"/>
            <w:noWrap w:val="0"/>
            <w:vAlign w:val="top"/>
          </w:tcPr>
          <w:p w14:paraId="200C499F">
            <w:pPr>
              <w:pStyle w:val="223"/>
              <w:spacing w:before="71" w:line="228" w:lineRule="auto"/>
              <w:ind w:left="342"/>
              <w:rPr>
                <w:color w:val="auto"/>
                <w:highlight w:val="none"/>
              </w:rPr>
            </w:pPr>
            <w:r>
              <w:rPr>
                <w:color w:val="auto"/>
                <w:spacing w:val="8"/>
                <w:highlight w:val="none"/>
              </w:rPr>
              <w:t>前后保险杠、车身覆盖件</w:t>
            </w:r>
          </w:p>
        </w:tc>
        <w:tc>
          <w:tcPr>
            <w:tcW w:w="2040" w:type="dxa"/>
            <w:noWrap w:val="0"/>
            <w:vAlign w:val="top"/>
          </w:tcPr>
          <w:p w14:paraId="2EF4388B">
            <w:pPr>
              <w:pStyle w:val="223"/>
              <w:spacing w:before="71"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bl>
    <w:p w14:paraId="5F0767FA">
      <w:pPr>
        <w:pStyle w:val="17"/>
        <w:tabs>
          <w:tab w:val="left" w:pos="574"/>
        </w:tabs>
        <w:rPr>
          <w:color w:val="auto"/>
          <w:highlight w:val="none"/>
        </w:rPr>
      </w:pPr>
    </w:p>
    <w:p w14:paraId="11B36274">
      <w:pPr>
        <w:rPr>
          <w:color w:val="auto"/>
          <w:highlight w:val="none"/>
        </w:rPr>
        <w:sectPr>
          <w:footerReference r:id="rId19" w:type="default"/>
          <w:pgSz w:w="11906" w:h="16839"/>
          <w:pgMar w:top="1431" w:right="1687" w:bottom="1231" w:left="1687" w:header="0" w:footer="984" w:gutter="0"/>
          <w:pgNumType w:fmt="decimal"/>
          <w:cols w:space="720" w:num="1"/>
        </w:sectPr>
      </w:pPr>
    </w:p>
    <w:p w14:paraId="5527C1C6">
      <w:pPr>
        <w:spacing w:line="91" w:lineRule="auto"/>
        <w:rPr>
          <w:rFonts w:ascii="Arial"/>
          <w:color w:val="auto"/>
          <w:sz w:val="2"/>
          <w:highlight w:val="none"/>
        </w:rPr>
      </w:pPr>
    </w:p>
    <w:tbl>
      <w:tblPr>
        <w:tblStyle w:val="22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810"/>
        <w:gridCol w:w="675"/>
        <w:gridCol w:w="1081"/>
        <w:gridCol w:w="2972"/>
        <w:gridCol w:w="2040"/>
      </w:tblGrid>
      <w:tr w14:paraId="33259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48" w:type="dxa"/>
            <w:vMerge w:val="restart"/>
            <w:tcBorders>
              <w:bottom w:val="nil"/>
            </w:tcBorders>
            <w:noWrap w:val="0"/>
            <w:vAlign w:val="top"/>
          </w:tcPr>
          <w:p w14:paraId="4AF1CC00">
            <w:pPr>
              <w:pStyle w:val="223"/>
              <w:spacing w:before="56" w:line="273" w:lineRule="auto"/>
              <w:ind w:left="271" w:right="158" w:hanging="106"/>
              <w:rPr>
                <w:color w:val="auto"/>
                <w:highlight w:val="none"/>
              </w:rPr>
            </w:pPr>
            <w:r>
              <w:rPr>
                <w:color w:val="auto"/>
                <w:spacing w:val="6"/>
                <w:highlight w:val="none"/>
              </w:rPr>
              <w:t>主要零</w:t>
            </w:r>
            <w:r>
              <w:rPr>
                <w:color w:val="auto"/>
                <w:highlight w:val="none"/>
              </w:rPr>
              <w:t xml:space="preserve"> </w:t>
            </w:r>
            <w:r>
              <w:rPr>
                <w:color w:val="auto"/>
                <w:spacing w:val="3"/>
                <w:highlight w:val="none"/>
              </w:rPr>
              <w:t>部件</w:t>
            </w:r>
          </w:p>
        </w:tc>
        <w:tc>
          <w:tcPr>
            <w:tcW w:w="810" w:type="dxa"/>
            <w:vMerge w:val="restart"/>
            <w:tcBorders>
              <w:bottom w:val="nil"/>
            </w:tcBorders>
            <w:noWrap w:val="0"/>
            <w:vAlign w:val="top"/>
          </w:tcPr>
          <w:p w14:paraId="625C6790">
            <w:pPr>
              <w:rPr>
                <w:rFonts w:ascii="Arial"/>
                <w:color w:val="auto"/>
                <w:sz w:val="21"/>
                <w:highlight w:val="none"/>
              </w:rPr>
            </w:pPr>
          </w:p>
        </w:tc>
        <w:tc>
          <w:tcPr>
            <w:tcW w:w="675" w:type="dxa"/>
            <w:vMerge w:val="restart"/>
            <w:tcBorders>
              <w:bottom w:val="nil"/>
            </w:tcBorders>
            <w:noWrap w:val="0"/>
            <w:vAlign w:val="top"/>
          </w:tcPr>
          <w:p w14:paraId="0C821BAC">
            <w:pPr>
              <w:rPr>
                <w:rFonts w:ascii="Arial"/>
                <w:color w:val="auto"/>
                <w:sz w:val="21"/>
                <w:highlight w:val="none"/>
              </w:rPr>
            </w:pPr>
          </w:p>
        </w:tc>
        <w:tc>
          <w:tcPr>
            <w:tcW w:w="1081" w:type="dxa"/>
            <w:noWrap w:val="0"/>
            <w:vAlign w:val="top"/>
          </w:tcPr>
          <w:p w14:paraId="3806567C">
            <w:pPr>
              <w:rPr>
                <w:rFonts w:ascii="Arial"/>
                <w:color w:val="auto"/>
                <w:sz w:val="21"/>
                <w:highlight w:val="none"/>
              </w:rPr>
            </w:pPr>
          </w:p>
        </w:tc>
        <w:tc>
          <w:tcPr>
            <w:tcW w:w="2972" w:type="dxa"/>
            <w:noWrap w:val="0"/>
            <w:vAlign w:val="top"/>
          </w:tcPr>
          <w:p w14:paraId="7B9724DB">
            <w:pPr>
              <w:pStyle w:val="223"/>
              <w:spacing w:before="71" w:line="228" w:lineRule="auto"/>
              <w:ind w:left="465"/>
              <w:rPr>
                <w:color w:val="auto"/>
                <w:highlight w:val="none"/>
              </w:rPr>
            </w:pPr>
            <w:r>
              <w:rPr>
                <w:color w:val="auto"/>
                <w:spacing w:val="5"/>
                <w:highlight w:val="none"/>
              </w:rPr>
              <w:t>门系统（易损件除外）</w:t>
            </w:r>
          </w:p>
        </w:tc>
        <w:tc>
          <w:tcPr>
            <w:tcW w:w="2040" w:type="dxa"/>
            <w:noWrap w:val="0"/>
            <w:vAlign w:val="top"/>
          </w:tcPr>
          <w:p w14:paraId="3A719810">
            <w:pPr>
              <w:pStyle w:val="223"/>
              <w:spacing w:before="71"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7DC82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10B6F28B">
            <w:pPr>
              <w:rPr>
                <w:rFonts w:ascii="Arial"/>
                <w:color w:val="auto"/>
                <w:sz w:val="21"/>
                <w:highlight w:val="none"/>
              </w:rPr>
            </w:pPr>
          </w:p>
        </w:tc>
        <w:tc>
          <w:tcPr>
            <w:tcW w:w="810" w:type="dxa"/>
            <w:vMerge w:val="continue"/>
            <w:tcBorders>
              <w:top w:val="nil"/>
              <w:bottom w:val="nil"/>
            </w:tcBorders>
            <w:noWrap w:val="0"/>
            <w:vAlign w:val="top"/>
          </w:tcPr>
          <w:p w14:paraId="3CAFAE10">
            <w:pPr>
              <w:rPr>
                <w:rFonts w:ascii="Arial"/>
                <w:color w:val="auto"/>
                <w:sz w:val="21"/>
                <w:highlight w:val="none"/>
              </w:rPr>
            </w:pPr>
          </w:p>
        </w:tc>
        <w:tc>
          <w:tcPr>
            <w:tcW w:w="675" w:type="dxa"/>
            <w:vMerge w:val="continue"/>
            <w:tcBorders>
              <w:top w:val="nil"/>
              <w:bottom w:val="nil"/>
            </w:tcBorders>
            <w:noWrap w:val="0"/>
            <w:vAlign w:val="top"/>
          </w:tcPr>
          <w:p w14:paraId="21EE32F5">
            <w:pPr>
              <w:rPr>
                <w:rFonts w:ascii="Arial"/>
                <w:color w:val="auto"/>
                <w:sz w:val="21"/>
                <w:highlight w:val="none"/>
              </w:rPr>
            </w:pPr>
          </w:p>
        </w:tc>
        <w:tc>
          <w:tcPr>
            <w:tcW w:w="1081" w:type="dxa"/>
            <w:noWrap w:val="0"/>
            <w:vAlign w:val="top"/>
          </w:tcPr>
          <w:p w14:paraId="3DC1979D">
            <w:pPr>
              <w:rPr>
                <w:rFonts w:ascii="Arial"/>
                <w:color w:val="auto"/>
                <w:sz w:val="21"/>
                <w:highlight w:val="none"/>
              </w:rPr>
            </w:pPr>
          </w:p>
        </w:tc>
        <w:tc>
          <w:tcPr>
            <w:tcW w:w="2972" w:type="dxa"/>
            <w:noWrap w:val="0"/>
            <w:vAlign w:val="top"/>
          </w:tcPr>
          <w:p w14:paraId="42CDDF27">
            <w:pPr>
              <w:pStyle w:val="223"/>
              <w:spacing w:before="67" w:line="229" w:lineRule="auto"/>
              <w:ind w:left="971"/>
              <w:rPr>
                <w:color w:val="auto"/>
                <w:highlight w:val="none"/>
              </w:rPr>
            </w:pPr>
            <w:r>
              <w:rPr>
                <w:color w:val="auto"/>
                <w:spacing w:val="7"/>
                <w:highlight w:val="none"/>
              </w:rPr>
              <w:t>安全逃生窗</w:t>
            </w:r>
          </w:p>
        </w:tc>
        <w:tc>
          <w:tcPr>
            <w:tcW w:w="2040" w:type="dxa"/>
            <w:noWrap w:val="0"/>
            <w:vAlign w:val="top"/>
          </w:tcPr>
          <w:p w14:paraId="558B8FF7">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6A16A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1A9A946F">
            <w:pPr>
              <w:rPr>
                <w:rFonts w:ascii="Arial"/>
                <w:color w:val="auto"/>
                <w:sz w:val="21"/>
                <w:highlight w:val="none"/>
              </w:rPr>
            </w:pPr>
          </w:p>
        </w:tc>
        <w:tc>
          <w:tcPr>
            <w:tcW w:w="810" w:type="dxa"/>
            <w:vMerge w:val="continue"/>
            <w:tcBorders>
              <w:top w:val="nil"/>
              <w:bottom w:val="nil"/>
            </w:tcBorders>
            <w:noWrap w:val="0"/>
            <w:vAlign w:val="top"/>
          </w:tcPr>
          <w:p w14:paraId="549E6EAC">
            <w:pPr>
              <w:rPr>
                <w:rFonts w:ascii="Arial"/>
                <w:color w:val="auto"/>
                <w:sz w:val="21"/>
                <w:highlight w:val="none"/>
              </w:rPr>
            </w:pPr>
          </w:p>
        </w:tc>
        <w:tc>
          <w:tcPr>
            <w:tcW w:w="675" w:type="dxa"/>
            <w:vMerge w:val="continue"/>
            <w:tcBorders>
              <w:top w:val="nil"/>
              <w:bottom w:val="nil"/>
            </w:tcBorders>
            <w:noWrap w:val="0"/>
            <w:vAlign w:val="top"/>
          </w:tcPr>
          <w:p w14:paraId="18B61142">
            <w:pPr>
              <w:rPr>
                <w:rFonts w:ascii="Arial"/>
                <w:color w:val="auto"/>
                <w:sz w:val="21"/>
                <w:highlight w:val="none"/>
              </w:rPr>
            </w:pPr>
          </w:p>
        </w:tc>
        <w:tc>
          <w:tcPr>
            <w:tcW w:w="1081" w:type="dxa"/>
            <w:noWrap w:val="0"/>
            <w:vAlign w:val="top"/>
          </w:tcPr>
          <w:p w14:paraId="61E51B89">
            <w:pPr>
              <w:rPr>
                <w:rFonts w:ascii="Arial"/>
                <w:color w:val="auto"/>
                <w:sz w:val="21"/>
                <w:highlight w:val="none"/>
              </w:rPr>
            </w:pPr>
          </w:p>
        </w:tc>
        <w:tc>
          <w:tcPr>
            <w:tcW w:w="2972" w:type="dxa"/>
            <w:noWrap w:val="0"/>
            <w:vAlign w:val="top"/>
          </w:tcPr>
          <w:p w14:paraId="752DC081">
            <w:pPr>
              <w:pStyle w:val="223"/>
              <w:spacing w:before="65" w:line="228" w:lineRule="auto"/>
              <w:ind w:left="1075"/>
              <w:rPr>
                <w:color w:val="auto"/>
                <w:highlight w:val="none"/>
              </w:rPr>
            </w:pPr>
            <w:r>
              <w:rPr>
                <w:color w:val="auto"/>
                <w:spacing w:val="6"/>
                <w:highlight w:val="none"/>
              </w:rPr>
              <w:t>各类舱门</w:t>
            </w:r>
          </w:p>
        </w:tc>
        <w:tc>
          <w:tcPr>
            <w:tcW w:w="2040" w:type="dxa"/>
            <w:noWrap w:val="0"/>
            <w:vAlign w:val="top"/>
          </w:tcPr>
          <w:p w14:paraId="524C6AD1">
            <w:pPr>
              <w:pStyle w:val="223"/>
              <w:spacing w:before="65"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5D173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58CFA0C7">
            <w:pPr>
              <w:rPr>
                <w:rFonts w:ascii="Arial"/>
                <w:color w:val="auto"/>
                <w:sz w:val="21"/>
                <w:highlight w:val="none"/>
              </w:rPr>
            </w:pPr>
          </w:p>
        </w:tc>
        <w:tc>
          <w:tcPr>
            <w:tcW w:w="810" w:type="dxa"/>
            <w:vMerge w:val="continue"/>
            <w:tcBorders>
              <w:top w:val="nil"/>
              <w:bottom w:val="nil"/>
            </w:tcBorders>
            <w:noWrap w:val="0"/>
            <w:vAlign w:val="top"/>
          </w:tcPr>
          <w:p w14:paraId="4A58429B">
            <w:pPr>
              <w:rPr>
                <w:rFonts w:ascii="Arial"/>
                <w:color w:val="auto"/>
                <w:sz w:val="21"/>
                <w:highlight w:val="none"/>
              </w:rPr>
            </w:pPr>
          </w:p>
        </w:tc>
        <w:tc>
          <w:tcPr>
            <w:tcW w:w="675" w:type="dxa"/>
            <w:vMerge w:val="continue"/>
            <w:tcBorders>
              <w:top w:val="nil"/>
              <w:bottom w:val="nil"/>
            </w:tcBorders>
            <w:noWrap w:val="0"/>
            <w:vAlign w:val="top"/>
          </w:tcPr>
          <w:p w14:paraId="3B69E2D7">
            <w:pPr>
              <w:rPr>
                <w:rFonts w:ascii="Arial"/>
                <w:color w:val="auto"/>
                <w:sz w:val="21"/>
                <w:highlight w:val="none"/>
              </w:rPr>
            </w:pPr>
          </w:p>
        </w:tc>
        <w:tc>
          <w:tcPr>
            <w:tcW w:w="1081" w:type="dxa"/>
            <w:noWrap w:val="0"/>
            <w:vAlign w:val="top"/>
          </w:tcPr>
          <w:p w14:paraId="7EAA642B">
            <w:pPr>
              <w:rPr>
                <w:rFonts w:ascii="Arial"/>
                <w:color w:val="auto"/>
                <w:sz w:val="21"/>
                <w:highlight w:val="none"/>
              </w:rPr>
            </w:pPr>
          </w:p>
        </w:tc>
        <w:tc>
          <w:tcPr>
            <w:tcW w:w="2972" w:type="dxa"/>
            <w:vMerge w:val="restart"/>
            <w:tcBorders>
              <w:bottom w:val="nil"/>
            </w:tcBorders>
            <w:noWrap w:val="0"/>
            <w:vAlign w:val="top"/>
          </w:tcPr>
          <w:p w14:paraId="7B446130">
            <w:pPr>
              <w:pStyle w:val="223"/>
              <w:spacing w:before="226" w:line="228" w:lineRule="auto"/>
              <w:ind w:left="1073"/>
              <w:rPr>
                <w:color w:val="auto"/>
                <w:highlight w:val="none"/>
              </w:rPr>
            </w:pPr>
            <w:r>
              <w:rPr>
                <w:color w:val="auto"/>
                <w:spacing w:val="7"/>
                <w:highlight w:val="none"/>
              </w:rPr>
              <w:t>整车玻璃</w:t>
            </w:r>
          </w:p>
        </w:tc>
        <w:tc>
          <w:tcPr>
            <w:tcW w:w="2040" w:type="dxa"/>
            <w:vMerge w:val="restart"/>
            <w:tcBorders>
              <w:bottom w:val="nil"/>
            </w:tcBorders>
            <w:noWrap w:val="0"/>
            <w:vAlign w:val="top"/>
          </w:tcPr>
          <w:p w14:paraId="271F86BA">
            <w:pPr>
              <w:pStyle w:val="223"/>
              <w:spacing w:before="226"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4F0C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78C8747E">
            <w:pPr>
              <w:rPr>
                <w:rFonts w:ascii="Arial"/>
                <w:color w:val="auto"/>
                <w:sz w:val="21"/>
                <w:highlight w:val="none"/>
              </w:rPr>
            </w:pPr>
          </w:p>
        </w:tc>
        <w:tc>
          <w:tcPr>
            <w:tcW w:w="810" w:type="dxa"/>
            <w:vMerge w:val="continue"/>
            <w:tcBorders>
              <w:top w:val="nil"/>
              <w:bottom w:val="nil"/>
            </w:tcBorders>
            <w:noWrap w:val="0"/>
            <w:vAlign w:val="top"/>
          </w:tcPr>
          <w:p w14:paraId="5B3C5F9F">
            <w:pPr>
              <w:rPr>
                <w:rFonts w:ascii="Arial"/>
                <w:color w:val="auto"/>
                <w:sz w:val="21"/>
                <w:highlight w:val="none"/>
              </w:rPr>
            </w:pPr>
          </w:p>
        </w:tc>
        <w:tc>
          <w:tcPr>
            <w:tcW w:w="675" w:type="dxa"/>
            <w:vMerge w:val="continue"/>
            <w:tcBorders>
              <w:top w:val="nil"/>
              <w:bottom w:val="nil"/>
            </w:tcBorders>
            <w:noWrap w:val="0"/>
            <w:vAlign w:val="top"/>
          </w:tcPr>
          <w:p w14:paraId="690FFF8D">
            <w:pPr>
              <w:rPr>
                <w:rFonts w:ascii="Arial"/>
                <w:color w:val="auto"/>
                <w:sz w:val="21"/>
                <w:highlight w:val="none"/>
              </w:rPr>
            </w:pPr>
          </w:p>
        </w:tc>
        <w:tc>
          <w:tcPr>
            <w:tcW w:w="1081" w:type="dxa"/>
            <w:noWrap w:val="0"/>
            <w:vAlign w:val="top"/>
          </w:tcPr>
          <w:p w14:paraId="56C3BA67">
            <w:pPr>
              <w:rPr>
                <w:rFonts w:ascii="Arial"/>
                <w:color w:val="auto"/>
                <w:sz w:val="21"/>
                <w:highlight w:val="none"/>
              </w:rPr>
            </w:pPr>
          </w:p>
        </w:tc>
        <w:tc>
          <w:tcPr>
            <w:tcW w:w="2972" w:type="dxa"/>
            <w:vMerge w:val="continue"/>
            <w:tcBorders>
              <w:top w:val="nil"/>
            </w:tcBorders>
            <w:noWrap w:val="0"/>
            <w:vAlign w:val="top"/>
          </w:tcPr>
          <w:p w14:paraId="291A872E">
            <w:pPr>
              <w:rPr>
                <w:rFonts w:ascii="Arial"/>
                <w:color w:val="auto"/>
                <w:sz w:val="21"/>
                <w:highlight w:val="none"/>
              </w:rPr>
            </w:pPr>
          </w:p>
        </w:tc>
        <w:tc>
          <w:tcPr>
            <w:tcW w:w="2040" w:type="dxa"/>
            <w:vMerge w:val="continue"/>
            <w:tcBorders>
              <w:top w:val="nil"/>
            </w:tcBorders>
            <w:noWrap w:val="0"/>
            <w:vAlign w:val="top"/>
          </w:tcPr>
          <w:p w14:paraId="733D5E1B">
            <w:pPr>
              <w:rPr>
                <w:rFonts w:ascii="Arial"/>
                <w:color w:val="auto"/>
                <w:sz w:val="21"/>
                <w:highlight w:val="none"/>
              </w:rPr>
            </w:pPr>
          </w:p>
        </w:tc>
      </w:tr>
      <w:tr w14:paraId="2B904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760170DE">
            <w:pPr>
              <w:rPr>
                <w:rFonts w:ascii="Arial"/>
                <w:color w:val="auto"/>
                <w:sz w:val="21"/>
                <w:highlight w:val="none"/>
              </w:rPr>
            </w:pPr>
          </w:p>
        </w:tc>
        <w:tc>
          <w:tcPr>
            <w:tcW w:w="810" w:type="dxa"/>
            <w:vMerge w:val="continue"/>
            <w:tcBorders>
              <w:top w:val="nil"/>
              <w:bottom w:val="nil"/>
            </w:tcBorders>
            <w:noWrap w:val="0"/>
            <w:vAlign w:val="top"/>
          </w:tcPr>
          <w:p w14:paraId="47D296AA">
            <w:pPr>
              <w:rPr>
                <w:rFonts w:ascii="Arial"/>
                <w:color w:val="auto"/>
                <w:sz w:val="21"/>
                <w:highlight w:val="none"/>
              </w:rPr>
            </w:pPr>
          </w:p>
        </w:tc>
        <w:tc>
          <w:tcPr>
            <w:tcW w:w="675" w:type="dxa"/>
            <w:vMerge w:val="continue"/>
            <w:tcBorders>
              <w:top w:val="nil"/>
              <w:bottom w:val="nil"/>
            </w:tcBorders>
            <w:noWrap w:val="0"/>
            <w:vAlign w:val="top"/>
          </w:tcPr>
          <w:p w14:paraId="03B8E2D3">
            <w:pPr>
              <w:rPr>
                <w:rFonts w:ascii="Arial"/>
                <w:color w:val="auto"/>
                <w:sz w:val="21"/>
                <w:highlight w:val="none"/>
              </w:rPr>
            </w:pPr>
          </w:p>
        </w:tc>
        <w:tc>
          <w:tcPr>
            <w:tcW w:w="1081" w:type="dxa"/>
            <w:noWrap w:val="0"/>
            <w:vAlign w:val="top"/>
          </w:tcPr>
          <w:p w14:paraId="6D18FCB4">
            <w:pPr>
              <w:rPr>
                <w:rFonts w:ascii="Arial"/>
                <w:color w:val="auto"/>
                <w:sz w:val="21"/>
                <w:highlight w:val="none"/>
              </w:rPr>
            </w:pPr>
          </w:p>
        </w:tc>
        <w:tc>
          <w:tcPr>
            <w:tcW w:w="2972" w:type="dxa"/>
            <w:noWrap w:val="0"/>
            <w:vAlign w:val="top"/>
          </w:tcPr>
          <w:p w14:paraId="79FF9B04">
            <w:pPr>
              <w:pStyle w:val="223"/>
              <w:spacing w:before="50" w:line="262" w:lineRule="auto"/>
              <w:ind w:left="967" w:right="118" w:hanging="840"/>
              <w:rPr>
                <w:color w:val="auto"/>
                <w:highlight w:val="none"/>
              </w:rPr>
            </w:pPr>
            <w:r>
              <w:rPr>
                <w:color w:val="auto"/>
                <w:spacing w:val="9"/>
                <w:highlight w:val="none"/>
              </w:rPr>
              <w:t>地板及地板革（含各类地板检</w:t>
            </w:r>
            <w:r>
              <w:rPr>
                <w:color w:val="auto"/>
                <w:spacing w:val="2"/>
                <w:highlight w:val="none"/>
              </w:rPr>
              <w:t xml:space="preserve"> </w:t>
            </w:r>
            <w:r>
              <w:rPr>
                <w:color w:val="auto"/>
                <w:spacing w:val="5"/>
                <w:highlight w:val="none"/>
              </w:rPr>
              <w:t>修孔盖板）</w:t>
            </w:r>
          </w:p>
        </w:tc>
        <w:tc>
          <w:tcPr>
            <w:tcW w:w="2040" w:type="dxa"/>
            <w:noWrap w:val="0"/>
            <w:vAlign w:val="top"/>
          </w:tcPr>
          <w:p w14:paraId="0684A1D3">
            <w:pPr>
              <w:pStyle w:val="223"/>
              <w:spacing w:before="20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2788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32EEE17A">
            <w:pPr>
              <w:rPr>
                <w:rFonts w:ascii="Arial"/>
                <w:color w:val="auto"/>
                <w:sz w:val="21"/>
                <w:highlight w:val="none"/>
              </w:rPr>
            </w:pPr>
          </w:p>
        </w:tc>
        <w:tc>
          <w:tcPr>
            <w:tcW w:w="810" w:type="dxa"/>
            <w:vMerge w:val="continue"/>
            <w:tcBorders>
              <w:top w:val="nil"/>
              <w:bottom w:val="nil"/>
            </w:tcBorders>
            <w:noWrap w:val="0"/>
            <w:vAlign w:val="top"/>
          </w:tcPr>
          <w:p w14:paraId="619C688D">
            <w:pPr>
              <w:rPr>
                <w:rFonts w:ascii="Arial"/>
                <w:color w:val="auto"/>
                <w:sz w:val="21"/>
                <w:highlight w:val="none"/>
              </w:rPr>
            </w:pPr>
          </w:p>
        </w:tc>
        <w:tc>
          <w:tcPr>
            <w:tcW w:w="675" w:type="dxa"/>
            <w:vMerge w:val="continue"/>
            <w:tcBorders>
              <w:top w:val="nil"/>
              <w:bottom w:val="nil"/>
            </w:tcBorders>
            <w:noWrap w:val="0"/>
            <w:vAlign w:val="top"/>
          </w:tcPr>
          <w:p w14:paraId="68680238">
            <w:pPr>
              <w:rPr>
                <w:rFonts w:ascii="Arial"/>
                <w:color w:val="auto"/>
                <w:sz w:val="21"/>
                <w:highlight w:val="none"/>
              </w:rPr>
            </w:pPr>
          </w:p>
        </w:tc>
        <w:tc>
          <w:tcPr>
            <w:tcW w:w="1081" w:type="dxa"/>
            <w:vMerge w:val="restart"/>
            <w:tcBorders>
              <w:bottom w:val="nil"/>
            </w:tcBorders>
            <w:noWrap w:val="0"/>
            <w:vAlign w:val="top"/>
          </w:tcPr>
          <w:p w14:paraId="7CCEEB98">
            <w:pPr>
              <w:spacing w:line="243" w:lineRule="auto"/>
              <w:rPr>
                <w:rFonts w:ascii="Arial"/>
                <w:color w:val="auto"/>
                <w:sz w:val="21"/>
                <w:highlight w:val="none"/>
              </w:rPr>
            </w:pPr>
          </w:p>
          <w:p w14:paraId="24E59185">
            <w:pPr>
              <w:spacing w:line="243" w:lineRule="auto"/>
              <w:rPr>
                <w:rFonts w:ascii="Arial"/>
                <w:color w:val="auto"/>
                <w:sz w:val="21"/>
                <w:highlight w:val="none"/>
              </w:rPr>
            </w:pPr>
          </w:p>
          <w:p w14:paraId="31AFACA4">
            <w:pPr>
              <w:spacing w:line="243" w:lineRule="auto"/>
              <w:rPr>
                <w:rFonts w:ascii="Arial"/>
                <w:color w:val="auto"/>
                <w:sz w:val="21"/>
                <w:highlight w:val="none"/>
              </w:rPr>
            </w:pPr>
          </w:p>
          <w:p w14:paraId="1A174E83">
            <w:pPr>
              <w:spacing w:line="243" w:lineRule="auto"/>
              <w:rPr>
                <w:rFonts w:ascii="Arial"/>
                <w:color w:val="auto"/>
                <w:sz w:val="21"/>
                <w:highlight w:val="none"/>
              </w:rPr>
            </w:pPr>
          </w:p>
          <w:p w14:paraId="5A95D585">
            <w:pPr>
              <w:spacing w:line="244" w:lineRule="auto"/>
              <w:rPr>
                <w:rFonts w:ascii="Arial"/>
                <w:color w:val="auto"/>
                <w:sz w:val="21"/>
                <w:highlight w:val="none"/>
              </w:rPr>
            </w:pPr>
          </w:p>
          <w:p w14:paraId="3D0DB2AD">
            <w:pPr>
              <w:spacing w:line="244" w:lineRule="auto"/>
              <w:rPr>
                <w:rFonts w:ascii="Arial"/>
                <w:color w:val="auto"/>
                <w:sz w:val="21"/>
                <w:highlight w:val="none"/>
              </w:rPr>
            </w:pPr>
          </w:p>
          <w:p w14:paraId="7C5CC44A">
            <w:pPr>
              <w:spacing w:line="244" w:lineRule="auto"/>
              <w:rPr>
                <w:rFonts w:ascii="Arial"/>
                <w:color w:val="auto"/>
                <w:sz w:val="21"/>
                <w:highlight w:val="none"/>
              </w:rPr>
            </w:pPr>
          </w:p>
          <w:p w14:paraId="5CA3DB75">
            <w:pPr>
              <w:spacing w:line="244" w:lineRule="auto"/>
              <w:rPr>
                <w:rFonts w:ascii="Arial"/>
                <w:color w:val="auto"/>
                <w:sz w:val="21"/>
                <w:highlight w:val="none"/>
              </w:rPr>
            </w:pPr>
          </w:p>
          <w:p w14:paraId="590577BD">
            <w:pPr>
              <w:spacing w:line="244" w:lineRule="auto"/>
              <w:rPr>
                <w:rFonts w:ascii="Arial"/>
                <w:color w:val="auto"/>
                <w:sz w:val="21"/>
                <w:highlight w:val="none"/>
              </w:rPr>
            </w:pPr>
          </w:p>
          <w:p w14:paraId="000A3EC2">
            <w:pPr>
              <w:spacing w:line="244" w:lineRule="auto"/>
              <w:rPr>
                <w:rFonts w:ascii="Arial"/>
                <w:color w:val="auto"/>
                <w:sz w:val="21"/>
                <w:highlight w:val="none"/>
              </w:rPr>
            </w:pPr>
          </w:p>
          <w:p w14:paraId="047C4F51">
            <w:pPr>
              <w:pStyle w:val="223"/>
              <w:spacing w:before="65" w:line="228" w:lineRule="auto"/>
              <w:ind w:left="113"/>
              <w:rPr>
                <w:color w:val="auto"/>
                <w:highlight w:val="none"/>
              </w:rPr>
            </w:pPr>
            <w:r>
              <w:rPr>
                <w:color w:val="auto"/>
                <w:spacing w:val="6"/>
                <w:highlight w:val="none"/>
              </w:rPr>
              <w:t>车身附件</w:t>
            </w:r>
          </w:p>
        </w:tc>
        <w:tc>
          <w:tcPr>
            <w:tcW w:w="2972" w:type="dxa"/>
            <w:noWrap w:val="0"/>
            <w:vAlign w:val="top"/>
          </w:tcPr>
          <w:p w14:paraId="4E64925F">
            <w:pPr>
              <w:pStyle w:val="223"/>
              <w:spacing w:before="66" w:line="228" w:lineRule="auto"/>
              <w:ind w:left="1286"/>
              <w:rPr>
                <w:color w:val="auto"/>
                <w:highlight w:val="none"/>
              </w:rPr>
            </w:pPr>
            <w:r>
              <w:rPr>
                <w:color w:val="auto"/>
                <w:spacing w:val="2"/>
                <w:highlight w:val="none"/>
              </w:rPr>
              <w:t>蒙皮</w:t>
            </w:r>
          </w:p>
        </w:tc>
        <w:tc>
          <w:tcPr>
            <w:tcW w:w="2040" w:type="dxa"/>
            <w:noWrap w:val="0"/>
            <w:vAlign w:val="top"/>
          </w:tcPr>
          <w:p w14:paraId="516ACD32">
            <w:pPr>
              <w:pStyle w:val="223"/>
              <w:spacing w:before="66"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36537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79A05C7C">
            <w:pPr>
              <w:rPr>
                <w:rFonts w:ascii="Arial"/>
                <w:color w:val="auto"/>
                <w:sz w:val="21"/>
                <w:highlight w:val="none"/>
              </w:rPr>
            </w:pPr>
          </w:p>
        </w:tc>
        <w:tc>
          <w:tcPr>
            <w:tcW w:w="810" w:type="dxa"/>
            <w:vMerge w:val="continue"/>
            <w:tcBorders>
              <w:top w:val="nil"/>
              <w:bottom w:val="nil"/>
            </w:tcBorders>
            <w:noWrap w:val="0"/>
            <w:vAlign w:val="top"/>
          </w:tcPr>
          <w:p w14:paraId="5ADE664B">
            <w:pPr>
              <w:rPr>
                <w:rFonts w:ascii="Arial"/>
                <w:color w:val="auto"/>
                <w:sz w:val="21"/>
                <w:highlight w:val="none"/>
              </w:rPr>
            </w:pPr>
          </w:p>
        </w:tc>
        <w:tc>
          <w:tcPr>
            <w:tcW w:w="675" w:type="dxa"/>
            <w:vMerge w:val="continue"/>
            <w:tcBorders>
              <w:top w:val="nil"/>
              <w:bottom w:val="nil"/>
            </w:tcBorders>
            <w:noWrap w:val="0"/>
            <w:vAlign w:val="top"/>
          </w:tcPr>
          <w:p w14:paraId="4ACE42CA">
            <w:pPr>
              <w:rPr>
                <w:rFonts w:ascii="Arial"/>
                <w:color w:val="auto"/>
                <w:sz w:val="21"/>
                <w:highlight w:val="none"/>
              </w:rPr>
            </w:pPr>
          </w:p>
        </w:tc>
        <w:tc>
          <w:tcPr>
            <w:tcW w:w="1081" w:type="dxa"/>
            <w:vMerge w:val="continue"/>
            <w:tcBorders>
              <w:top w:val="nil"/>
              <w:bottom w:val="nil"/>
            </w:tcBorders>
            <w:noWrap w:val="0"/>
            <w:vAlign w:val="top"/>
          </w:tcPr>
          <w:p w14:paraId="50EDEB8D">
            <w:pPr>
              <w:rPr>
                <w:rFonts w:ascii="Arial"/>
                <w:color w:val="auto"/>
                <w:sz w:val="21"/>
                <w:highlight w:val="none"/>
              </w:rPr>
            </w:pPr>
          </w:p>
        </w:tc>
        <w:tc>
          <w:tcPr>
            <w:tcW w:w="2972" w:type="dxa"/>
            <w:noWrap w:val="0"/>
            <w:vAlign w:val="top"/>
          </w:tcPr>
          <w:p w14:paraId="6625D9D2">
            <w:pPr>
              <w:pStyle w:val="223"/>
              <w:spacing w:before="66" w:line="228" w:lineRule="auto"/>
              <w:ind w:left="968"/>
              <w:rPr>
                <w:color w:val="auto"/>
                <w:highlight w:val="none"/>
              </w:rPr>
            </w:pPr>
            <w:r>
              <w:rPr>
                <w:color w:val="auto"/>
                <w:spacing w:val="7"/>
                <w:highlight w:val="none"/>
              </w:rPr>
              <w:t>风道及附件</w:t>
            </w:r>
          </w:p>
        </w:tc>
        <w:tc>
          <w:tcPr>
            <w:tcW w:w="2040" w:type="dxa"/>
            <w:noWrap w:val="0"/>
            <w:vAlign w:val="top"/>
          </w:tcPr>
          <w:p w14:paraId="766EBB94">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1AA7B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11C391A2">
            <w:pPr>
              <w:rPr>
                <w:rFonts w:ascii="Arial"/>
                <w:color w:val="auto"/>
                <w:sz w:val="21"/>
                <w:highlight w:val="none"/>
              </w:rPr>
            </w:pPr>
          </w:p>
        </w:tc>
        <w:tc>
          <w:tcPr>
            <w:tcW w:w="810" w:type="dxa"/>
            <w:vMerge w:val="continue"/>
            <w:tcBorders>
              <w:top w:val="nil"/>
              <w:bottom w:val="nil"/>
            </w:tcBorders>
            <w:noWrap w:val="0"/>
            <w:vAlign w:val="top"/>
          </w:tcPr>
          <w:p w14:paraId="4388B684">
            <w:pPr>
              <w:rPr>
                <w:rFonts w:ascii="Arial"/>
                <w:color w:val="auto"/>
                <w:sz w:val="21"/>
                <w:highlight w:val="none"/>
              </w:rPr>
            </w:pPr>
          </w:p>
        </w:tc>
        <w:tc>
          <w:tcPr>
            <w:tcW w:w="675" w:type="dxa"/>
            <w:vMerge w:val="continue"/>
            <w:tcBorders>
              <w:top w:val="nil"/>
              <w:bottom w:val="nil"/>
            </w:tcBorders>
            <w:noWrap w:val="0"/>
            <w:vAlign w:val="top"/>
          </w:tcPr>
          <w:p w14:paraId="014F493B">
            <w:pPr>
              <w:rPr>
                <w:rFonts w:ascii="Arial"/>
                <w:color w:val="auto"/>
                <w:sz w:val="21"/>
                <w:highlight w:val="none"/>
              </w:rPr>
            </w:pPr>
          </w:p>
        </w:tc>
        <w:tc>
          <w:tcPr>
            <w:tcW w:w="1081" w:type="dxa"/>
            <w:vMerge w:val="continue"/>
            <w:tcBorders>
              <w:top w:val="nil"/>
              <w:bottom w:val="nil"/>
            </w:tcBorders>
            <w:noWrap w:val="0"/>
            <w:vAlign w:val="top"/>
          </w:tcPr>
          <w:p w14:paraId="2EFAF963">
            <w:pPr>
              <w:rPr>
                <w:rFonts w:ascii="Arial"/>
                <w:color w:val="auto"/>
                <w:sz w:val="21"/>
                <w:highlight w:val="none"/>
              </w:rPr>
            </w:pPr>
          </w:p>
        </w:tc>
        <w:tc>
          <w:tcPr>
            <w:tcW w:w="2972" w:type="dxa"/>
            <w:noWrap w:val="0"/>
            <w:vAlign w:val="top"/>
          </w:tcPr>
          <w:p w14:paraId="2229DCA5">
            <w:pPr>
              <w:pStyle w:val="223"/>
              <w:spacing w:before="67" w:line="232" w:lineRule="auto"/>
              <w:ind w:left="1178"/>
              <w:rPr>
                <w:color w:val="auto"/>
                <w:highlight w:val="none"/>
              </w:rPr>
            </w:pPr>
            <w:r>
              <w:rPr>
                <w:color w:val="auto"/>
                <w:spacing w:val="6"/>
                <w:highlight w:val="none"/>
              </w:rPr>
              <w:t>配电盒</w:t>
            </w:r>
          </w:p>
        </w:tc>
        <w:tc>
          <w:tcPr>
            <w:tcW w:w="2040" w:type="dxa"/>
            <w:noWrap w:val="0"/>
            <w:vAlign w:val="top"/>
          </w:tcPr>
          <w:p w14:paraId="1E565286">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2530C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948" w:type="dxa"/>
            <w:vMerge w:val="continue"/>
            <w:tcBorders>
              <w:top w:val="nil"/>
              <w:bottom w:val="nil"/>
            </w:tcBorders>
            <w:noWrap w:val="0"/>
            <w:vAlign w:val="top"/>
          </w:tcPr>
          <w:p w14:paraId="18E35D78">
            <w:pPr>
              <w:rPr>
                <w:rFonts w:ascii="Arial"/>
                <w:color w:val="auto"/>
                <w:sz w:val="21"/>
                <w:highlight w:val="none"/>
              </w:rPr>
            </w:pPr>
          </w:p>
        </w:tc>
        <w:tc>
          <w:tcPr>
            <w:tcW w:w="810" w:type="dxa"/>
            <w:vMerge w:val="continue"/>
            <w:tcBorders>
              <w:top w:val="nil"/>
              <w:bottom w:val="nil"/>
            </w:tcBorders>
            <w:noWrap w:val="0"/>
            <w:vAlign w:val="top"/>
          </w:tcPr>
          <w:p w14:paraId="2F628791">
            <w:pPr>
              <w:rPr>
                <w:rFonts w:ascii="Arial"/>
                <w:color w:val="auto"/>
                <w:sz w:val="21"/>
                <w:highlight w:val="none"/>
              </w:rPr>
            </w:pPr>
          </w:p>
        </w:tc>
        <w:tc>
          <w:tcPr>
            <w:tcW w:w="675" w:type="dxa"/>
            <w:vMerge w:val="continue"/>
            <w:tcBorders>
              <w:top w:val="nil"/>
              <w:bottom w:val="nil"/>
            </w:tcBorders>
            <w:noWrap w:val="0"/>
            <w:vAlign w:val="top"/>
          </w:tcPr>
          <w:p w14:paraId="30C2EF43">
            <w:pPr>
              <w:rPr>
                <w:rFonts w:ascii="Arial"/>
                <w:color w:val="auto"/>
                <w:sz w:val="21"/>
                <w:highlight w:val="none"/>
              </w:rPr>
            </w:pPr>
          </w:p>
        </w:tc>
        <w:tc>
          <w:tcPr>
            <w:tcW w:w="1081" w:type="dxa"/>
            <w:vMerge w:val="continue"/>
            <w:tcBorders>
              <w:top w:val="nil"/>
              <w:bottom w:val="nil"/>
            </w:tcBorders>
            <w:noWrap w:val="0"/>
            <w:vAlign w:val="top"/>
          </w:tcPr>
          <w:p w14:paraId="1B8F4E58">
            <w:pPr>
              <w:rPr>
                <w:rFonts w:ascii="Arial"/>
                <w:color w:val="auto"/>
                <w:sz w:val="21"/>
                <w:highlight w:val="none"/>
              </w:rPr>
            </w:pPr>
          </w:p>
        </w:tc>
        <w:tc>
          <w:tcPr>
            <w:tcW w:w="2972" w:type="dxa"/>
            <w:noWrap w:val="0"/>
            <w:vAlign w:val="top"/>
          </w:tcPr>
          <w:p w14:paraId="57FA4F69">
            <w:pPr>
              <w:pStyle w:val="223"/>
              <w:spacing w:before="67" w:line="228" w:lineRule="auto"/>
              <w:ind w:left="1072"/>
              <w:rPr>
                <w:color w:val="auto"/>
                <w:highlight w:val="none"/>
              </w:rPr>
            </w:pPr>
            <w:r>
              <w:rPr>
                <w:color w:val="auto"/>
                <w:spacing w:val="7"/>
                <w:highlight w:val="none"/>
              </w:rPr>
              <w:t>低压线束</w:t>
            </w:r>
          </w:p>
        </w:tc>
        <w:tc>
          <w:tcPr>
            <w:tcW w:w="2040" w:type="dxa"/>
            <w:noWrap w:val="0"/>
            <w:vAlign w:val="top"/>
          </w:tcPr>
          <w:p w14:paraId="66CF1DAB">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19EC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3CC2558A">
            <w:pPr>
              <w:rPr>
                <w:rFonts w:ascii="Arial"/>
                <w:color w:val="auto"/>
                <w:sz w:val="21"/>
                <w:highlight w:val="none"/>
              </w:rPr>
            </w:pPr>
          </w:p>
        </w:tc>
        <w:tc>
          <w:tcPr>
            <w:tcW w:w="810" w:type="dxa"/>
            <w:vMerge w:val="continue"/>
            <w:tcBorders>
              <w:top w:val="nil"/>
              <w:bottom w:val="nil"/>
            </w:tcBorders>
            <w:noWrap w:val="0"/>
            <w:vAlign w:val="top"/>
          </w:tcPr>
          <w:p w14:paraId="03121EF5">
            <w:pPr>
              <w:rPr>
                <w:rFonts w:ascii="Arial"/>
                <w:color w:val="auto"/>
                <w:sz w:val="21"/>
                <w:highlight w:val="none"/>
              </w:rPr>
            </w:pPr>
          </w:p>
        </w:tc>
        <w:tc>
          <w:tcPr>
            <w:tcW w:w="675" w:type="dxa"/>
            <w:vMerge w:val="continue"/>
            <w:tcBorders>
              <w:top w:val="nil"/>
              <w:bottom w:val="nil"/>
            </w:tcBorders>
            <w:noWrap w:val="0"/>
            <w:vAlign w:val="top"/>
          </w:tcPr>
          <w:p w14:paraId="65C0A2D7">
            <w:pPr>
              <w:rPr>
                <w:rFonts w:ascii="Arial"/>
                <w:color w:val="auto"/>
                <w:sz w:val="21"/>
                <w:highlight w:val="none"/>
              </w:rPr>
            </w:pPr>
          </w:p>
        </w:tc>
        <w:tc>
          <w:tcPr>
            <w:tcW w:w="1081" w:type="dxa"/>
            <w:vMerge w:val="continue"/>
            <w:tcBorders>
              <w:top w:val="nil"/>
              <w:bottom w:val="nil"/>
            </w:tcBorders>
            <w:noWrap w:val="0"/>
            <w:vAlign w:val="top"/>
          </w:tcPr>
          <w:p w14:paraId="649CE19B">
            <w:pPr>
              <w:rPr>
                <w:rFonts w:ascii="Arial"/>
                <w:color w:val="auto"/>
                <w:sz w:val="21"/>
                <w:highlight w:val="none"/>
              </w:rPr>
            </w:pPr>
          </w:p>
        </w:tc>
        <w:tc>
          <w:tcPr>
            <w:tcW w:w="2972" w:type="dxa"/>
            <w:noWrap w:val="0"/>
            <w:vAlign w:val="top"/>
          </w:tcPr>
          <w:p w14:paraId="05893B25">
            <w:pPr>
              <w:pStyle w:val="223"/>
              <w:spacing w:before="67" w:line="228" w:lineRule="auto"/>
              <w:ind w:left="757"/>
              <w:rPr>
                <w:color w:val="auto"/>
                <w:highlight w:val="none"/>
              </w:rPr>
            </w:pPr>
            <w:r>
              <w:rPr>
                <w:color w:val="auto"/>
                <w:spacing w:val="8"/>
                <w:highlight w:val="none"/>
              </w:rPr>
              <w:t>扶手杆及连接器</w:t>
            </w:r>
          </w:p>
        </w:tc>
        <w:tc>
          <w:tcPr>
            <w:tcW w:w="2040" w:type="dxa"/>
            <w:noWrap w:val="0"/>
            <w:vAlign w:val="top"/>
          </w:tcPr>
          <w:p w14:paraId="13ED45B6">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0EAF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7CA6BFAD">
            <w:pPr>
              <w:rPr>
                <w:rFonts w:ascii="Arial"/>
                <w:color w:val="auto"/>
                <w:sz w:val="21"/>
                <w:highlight w:val="none"/>
              </w:rPr>
            </w:pPr>
          </w:p>
        </w:tc>
        <w:tc>
          <w:tcPr>
            <w:tcW w:w="810" w:type="dxa"/>
            <w:vMerge w:val="continue"/>
            <w:tcBorders>
              <w:top w:val="nil"/>
              <w:bottom w:val="nil"/>
            </w:tcBorders>
            <w:noWrap w:val="0"/>
            <w:vAlign w:val="top"/>
          </w:tcPr>
          <w:p w14:paraId="58643E33">
            <w:pPr>
              <w:rPr>
                <w:rFonts w:ascii="Arial"/>
                <w:color w:val="auto"/>
                <w:sz w:val="21"/>
                <w:highlight w:val="none"/>
              </w:rPr>
            </w:pPr>
          </w:p>
        </w:tc>
        <w:tc>
          <w:tcPr>
            <w:tcW w:w="675" w:type="dxa"/>
            <w:vMerge w:val="continue"/>
            <w:tcBorders>
              <w:top w:val="nil"/>
              <w:bottom w:val="nil"/>
            </w:tcBorders>
            <w:noWrap w:val="0"/>
            <w:vAlign w:val="top"/>
          </w:tcPr>
          <w:p w14:paraId="798E567A">
            <w:pPr>
              <w:rPr>
                <w:rFonts w:ascii="Arial"/>
                <w:color w:val="auto"/>
                <w:sz w:val="21"/>
                <w:highlight w:val="none"/>
              </w:rPr>
            </w:pPr>
          </w:p>
        </w:tc>
        <w:tc>
          <w:tcPr>
            <w:tcW w:w="1081" w:type="dxa"/>
            <w:vMerge w:val="continue"/>
            <w:tcBorders>
              <w:top w:val="nil"/>
              <w:bottom w:val="nil"/>
            </w:tcBorders>
            <w:noWrap w:val="0"/>
            <w:vAlign w:val="top"/>
          </w:tcPr>
          <w:p w14:paraId="0396D660">
            <w:pPr>
              <w:rPr>
                <w:rFonts w:ascii="Arial"/>
                <w:color w:val="auto"/>
                <w:sz w:val="21"/>
                <w:highlight w:val="none"/>
              </w:rPr>
            </w:pPr>
          </w:p>
        </w:tc>
        <w:tc>
          <w:tcPr>
            <w:tcW w:w="2972" w:type="dxa"/>
            <w:noWrap w:val="0"/>
            <w:vAlign w:val="top"/>
          </w:tcPr>
          <w:p w14:paraId="2FB6F3C6">
            <w:pPr>
              <w:pStyle w:val="223"/>
              <w:spacing w:before="68" w:line="229" w:lineRule="auto"/>
              <w:ind w:left="969"/>
              <w:rPr>
                <w:color w:val="auto"/>
                <w:highlight w:val="none"/>
              </w:rPr>
            </w:pPr>
            <w:r>
              <w:rPr>
                <w:color w:val="auto"/>
                <w:spacing w:val="7"/>
                <w:highlight w:val="none"/>
              </w:rPr>
              <w:t>座椅及支架</w:t>
            </w:r>
          </w:p>
        </w:tc>
        <w:tc>
          <w:tcPr>
            <w:tcW w:w="2040" w:type="dxa"/>
            <w:noWrap w:val="0"/>
            <w:vAlign w:val="top"/>
          </w:tcPr>
          <w:p w14:paraId="28C2A742">
            <w:pPr>
              <w:pStyle w:val="223"/>
              <w:spacing w:before="68"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7614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7EF07571">
            <w:pPr>
              <w:rPr>
                <w:rFonts w:ascii="Arial"/>
                <w:color w:val="auto"/>
                <w:sz w:val="21"/>
                <w:highlight w:val="none"/>
              </w:rPr>
            </w:pPr>
          </w:p>
        </w:tc>
        <w:tc>
          <w:tcPr>
            <w:tcW w:w="810" w:type="dxa"/>
            <w:vMerge w:val="continue"/>
            <w:tcBorders>
              <w:top w:val="nil"/>
              <w:bottom w:val="nil"/>
            </w:tcBorders>
            <w:noWrap w:val="0"/>
            <w:vAlign w:val="top"/>
          </w:tcPr>
          <w:p w14:paraId="0A20A915">
            <w:pPr>
              <w:rPr>
                <w:rFonts w:ascii="Arial"/>
                <w:color w:val="auto"/>
                <w:sz w:val="21"/>
                <w:highlight w:val="none"/>
              </w:rPr>
            </w:pPr>
          </w:p>
        </w:tc>
        <w:tc>
          <w:tcPr>
            <w:tcW w:w="675" w:type="dxa"/>
            <w:vMerge w:val="continue"/>
            <w:tcBorders>
              <w:top w:val="nil"/>
              <w:bottom w:val="nil"/>
            </w:tcBorders>
            <w:noWrap w:val="0"/>
            <w:vAlign w:val="top"/>
          </w:tcPr>
          <w:p w14:paraId="6B63735D">
            <w:pPr>
              <w:rPr>
                <w:rFonts w:ascii="Arial"/>
                <w:color w:val="auto"/>
                <w:sz w:val="21"/>
                <w:highlight w:val="none"/>
              </w:rPr>
            </w:pPr>
          </w:p>
        </w:tc>
        <w:tc>
          <w:tcPr>
            <w:tcW w:w="1081" w:type="dxa"/>
            <w:vMerge w:val="continue"/>
            <w:tcBorders>
              <w:top w:val="nil"/>
              <w:bottom w:val="nil"/>
            </w:tcBorders>
            <w:noWrap w:val="0"/>
            <w:vAlign w:val="top"/>
          </w:tcPr>
          <w:p w14:paraId="7FAC3EC5">
            <w:pPr>
              <w:rPr>
                <w:rFonts w:ascii="Arial"/>
                <w:color w:val="auto"/>
                <w:sz w:val="21"/>
                <w:highlight w:val="none"/>
              </w:rPr>
            </w:pPr>
          </w:p>
        </w:tc>
        <w:tc>
          <w:tcPr>
            <w:tcW w:w="2972" w:type="dxa"/>
            <w:noWrap w:val="0"/>
            <w:vAlign w:val="top"/>
          </w:tcPr>
          <w:p w14:paraId="5BBC51EB">
            <w:pPr>
              <w:pStyle w:val="223"/>
              <w:spacing w:before="66" w:line="228" w:lineRule="auto"/>
              <w:ind w:left="759"/>
              <w:rPr>
                <w:color w:val="auto"/>
                <w:highlight w:val="none"/>
              </w:rPr>
            </w:pPr>
            <w:r>
              <w:rPr>
                <w:color w:val="auto"/>
                <w:spacing w:val="8"/>
                <w:highlight w:val="none"/>
              </w:rPr>
              <w:t>仪表台及包围件</w:t>
            </w:r>
          </w:p>
        </w:tc>
        <w:tc>
          <w:tcPr>
            <w:tcW w:w="2040" w:type="dxa"/>
            <w:noWrap w:val="0"/>
            <w:vAlign w:val="top"/>
          </w:tcPr>
          <w:p w14:paraId="59B52D07">
            <w:pPr>
              <w:pStyle w:val="223"/>
              <w:spacing w:before="66"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6B3C8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110732BD">
            <w:pPr>
              <w:rPr>
                <w:rFonts w:ascii="Arial"/>
                <w:color w:val="auto"/>
                <w:sz w:val="21"/>
                <w:highlight w:val="none"/>
              </w:rPr>
            </w:pPr>
          </w:p>
        </w:tc>
        <w:tc>
          <w:tcPr>
            <w:tcW w:w="810" w:type="dxa"/>
            <w:vMerge w:val="continue"/>
            <w:tcBorders>
              <w:top w:val="nil"/>
              <w:bottom w:val="nil"/>
            </w:tcBorders>
            <w:noWrap w:val="0"/>
            <w:vAlign w:val="top"/>
          </w:tcPr>
          <w:p w14:paraId="2CD3E2B5">
            <w:pPr>
              <w:rPr>
                <w:rFonts w:ascii="Arial"/>
                <w:color w:val="auto"/>
                <w:sz w:val="21"/>
                <w:highlight w:val="none"/>
              </w:rPr>
            </w:pPr>
          </w:p>
        </w:tc>
        <w:tc>
          <w:tcPr>
            <w:tcW w:w="675" w:type="dxa"/>
            <w:vMerge w:val="continue"/>
            <w:tcBorders>
              <w:top w:val="nil"/>
              <w:bottom w:val="nil"/>
            </w:tcBorders>
            <w:noWrap w:val="0"/>
            <w:vAlign w:val="top"/>
          </w:tcPr>
          <w:p w14:paraId="255F50AE">
            <w:pPr>
              <w:rPr>
                <w:rFonts w:ascii="Arial"/>
                <w:color w:val="auto"/>
                <w:sz w:val="21"/>
                <w:highlight w:val="none"/>
              </w:rPr>
            </w:pPr>
          </w:p>
        </w:tc>
        <w:tc>
          <w:tcPr>
            <w:tcW w:w="1081" w:type="dxa"/>
            <w:vMerge w:val="continue"/>
            <w:tcBorders>
              <w:top w:val="nil"/>
              <w:bottom w:val="nil"/>
            </w:tcBorders>
            <w:noWrap w:val="0"/>
            <w:vAlign w:val="top"/>
          </w:tcPr>
          <w:p w14:paraId="615F72EA">
            <w:pPr>
              <w:rPr>
                <w:rFonts w:ascii="Arial"/>
                <w:color w:val="auto"/>
                <w:sz w:val="21"/>
                <w:highlight w:val="none"/>
              </w:rPr>
            </w:pPr>
          </w:p>
        </w:tc>
        <w:tc>
          <w:tcPr>
            <w:tcW w:w="2972" w:type="dxa"/>
            <w:noWrap w:val="0"/>
            <w:vAlign w:val="top"/>
          </w:tcPr>
          <w:p w14:paraId="7FE79371">
            <w:pPr>
              <w:pStyle w:val="223"/>
              <w:spacing w:before="66" w:line="229" w:lineRule="auto"/>
              <w:ind w:left="1075"/>
              <w:rPr>
                <w:color w:val="auto"/>
                <w:highlight w:val="none"/>
              </w:rPr>
            </w:pPr>
            <w:r>
              <w:rPr>
                <w:color w:val="auto"/>
                <w:spacing w:val="6"/>
                <w:highlight w:val="none"/>
              </w:rPr>
              <w:t>大灯总成</w:t>
            </w:r>
          </w:p>
        </w:tc>
        <w:tc>
          <w:tcPr>
            <w:tcW w:w="2040" w:type="dxa"/>
            <w:noWrap w:val="0"/>
            <w:vAlign w:val="top"/>
          </w:tcPr>
          <w:p w14:paraId="666FD6DB">
            <w:pPr>
              <w:pStyle w:val="223"/>
              <w:spacing w:before="67"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07C98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099D1C58">
            <w:pPr>
              <w:rPr>
                <w:rFonts w:ascii="Arial"/>
                <w:color w:val="auto"/>
                <w:sz w:val="21"/>
                <w:highlight w:val="none"/>
              </w:rPr>
            </w:pPr>
          </w:p>
        </w:tc>
        <w:tc>
          <w:tcPr>
            <w:tcW w:w="810" w:type="dxa"/>
            <w:vMerge w:val="continue"/>
            <w:tcBorders>
              <w:top w:val="nil"/>
              <w:bottom w:val="nil"/>
            </w:tcBorders>
            <w:noWrap w:val="0"/>
            <w:vAlign w:val="top"/>
          </w:tcPr>
          <w:p w14:paraId="17B1C0AA">
            <w:pPr>
              <w:rPr>
                <w:rFonts w:ascii="Arial"/>
                <w:color w:val="auto"/>
                <w:sz w:val="21"/>
                <w:highlight w:val="none"/>
              </w:rPr>
            </w:pPr>
          </w:p>
        </w:tc>
        <w:tc>
          <w:tcPr>
            <w:tcW w:w="675" w:type="dxa"/>
            <w:vMerge w:val="continue"/>
            <w:tcBorders>
              <w:top w:val="nil"/>
              <w:bottom w:val="nil"/>
            </w:tcBorders>
            <w:noWrap w:val="0"/>
            <w:vAlign w:val="top"/>
          </w:tcPr>
          <w:p w14:paraId="22167853">
            <w:pPr>
              <w:rPr>
                <w:rFonts w:ascii="Arial"/>
                <w:color w:val="auto"/>
                <w:sz w:val="21"/>
                <w:highlight w:val="none"/>
              </w:rPr>
            </w:pPr>
          </w:p>
        </w:tc>
        <w:tc>
          <w:tcPr>
            <w:tcW w:w="1081" w:type="dxa"/>
            <w:vMerge w:val="continue"/>
            <w:tcBorders>
              <w:top w:val="nil"/>
              <w:bottom w:val="nil"/>
            </w:tcBorders>
            <w:noWrap w:val="0"/>
            <w:vAlign w:val="top"/>
          </w:tcPr>
          <w:p w14:paraId="15F11D60">
            <w:pPr>
              <w:rPr>
                <w:rFonts w:ascii="Arial"/>
                <w:color w:val="auto"/>
                <w:sz w:val="21"/>
                <w:highlight w:val="none"/>
              </w:rPr>
            </w:pPr>
          </w:p>
        </w:tc>
        <w:tc>
          <w:tcPr>
            <w:tcW w:w="2972" w:type="dxa"/>
            <w:noWrap w:val="0"/>
            <w:vAlign w:val="top"/>
          </w:tcPr>
          <w:p w14:paraId="23C3FEB4">
            <w:pPr>
              <w:pStyle w:val="223"/>
              <w:spacing w:before="67" w:line="229" w:lineRule="auto"/>
              <w:ind w:left="1073"/>
              <w:rPr>
                <w:color w:val="auto"/>
                <w:highlight w:val="none"/>
              </w:rPr>
            </w:pPr>
            <w:r>
              <w:rPr>
                <w:color w:val="auto"/>
                <w:spacing w:val="7"/>
                <w:highlight w:val="none"/>
              </w:rPr>
              <w:t>尾灯总成</w:t>
            </w:r>
          </w:p>
        </w:tc>
        <w:tc>
          <w:tcPr>
            <w:tcW w:w="2040" w:type="dxa"/>
            <w:noWrap w:val="0"/>
            <w:vAlign w:val="top"/>
          </w:tcPr>
          <w:p w14:paraId="593E91EA">
            <w:pPr>
              <w:pStyle w:val="223"/>
              <w:spacing w:before="67"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37736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09368DA7">
            <w:pPr>
              <w:rPr>
                <w:rFonts w:ascii="Arial"/>
                <w:color w:val="auto"/>
                <w:sz w:val="21"/>
                <w:highlight w:val="none"/>
              </w:rPr>
            </w:pPr>
          </w:p>
        </w:tc>
        <w:tc>
          <w:tcPr>
            <w:tcW w:w="810" w:type="dxa"/>
            <w:vMerge w:val="continue"/>
            <w:tcBorders>
              <w:top w:val="nil"/>
              <w:bottom w:val="nil"/>
            </w:tcBorders>
            <w:noWrap w:val="0"/>
            <w:vAlign w:val="top"/>
          </w:tcPr>
          <w:p w14:paraId="63DDCCD9">
            <w:pPr>
              <w:rPr>
                <w:rFonts w:ascii="Arial"/>
                <w:color w:val="auto"/>
                <w:sz w:val="21"/>
                <w:highlight w:val="none"/>
              </w:rPr>
            </w:pPr>
          </w:p>
        </w:tc>
        <w:tc>
          <w:tcPr>
            <w:tcW w:w="675" w:type="dxa"/>
            <w:vMerge w:val="continue"/>
            <w:tcBorders>
              <w:top w:val="nil"/>
              <w:bottom w:val="nil"/>
            </w:tcBorders>
            <w:noWrap w:val="0"/>
            <w:vAlign w:val="top"/>
          </w:tcPr>
          <w:p w14:paraId="2BF8420A">
            <w:pPr>
              <w:rPr>
                <w:rFonts w:ascii="Arial"/>
                <w:color w:val="auto"/>
                <w:sz w:val="21"/>
                <w:highlight w:val="none"/>
              </w:rPr>
            </w:pPr>
          </w:p>
        </w:tc>
        <w:tc>
          <w:tcPr>
            <w:tcW w:w="1081" w:type="dxa"/>
            <w:vMerge w:val="continue"/>
            <w:tcBorders>
              <w:top w:val="nil"/>
              <w:bottom w:val="nil"/>
            </w:tcBorders>
            <w:noWrap w:val="0"/>
            <w:vAlign w:val="top"/>
          </w:tcPr>
          <w:p w14:paraId="115A0267">
            <w:pPr>
              <w:rPr>
                <w:rFonts w:ascii="Arial"/>
                <w:color w:val="auto"/>
                <w:sz w:val="21"/>
                <w:highlight w:val="none"/>
              </w:rPr>
            </w:pPr>
          </w:p>
        </w:tc>
        <w:tc>
          <w:tcPr>
            <w:tcW w:w="2972" w:type="dxa"/>
            <w:noWrap w:val="0"/>
            <w:vAlign w:val="top"/>
          </w:tcPr>
          <w:p w14:paraId="3BFEB60E">
            <w:pPr>
              <w:pStyle w:val="223"/>
              <w:spacing w:before="67" w:line="228" w:lineRule="auto"/>
              <w:ind w:left="968"/>
              <w:rPr>
                <w:color w:val="auto"/>
                <w:highlight w:val="none"/>
              </w:rPr>
            </w:pPr>
            <w:r>
              <w:rPr>
                <w:color w:val="auto"/>
                <w:spacing w:val="7"/>
                <w:highlight w:val="none"/>
              </w:rPr>
              <w:t>铝合金轮辋</w:t>
            </w:r>
          </w:p>
        </w:tc>
        <w:tc>
          <w:tcPr>
            <w:tcW w:w="2040" w:type="dxa"/>
            <w:noWrap w:val="0"/>
            <w:vAlign w:val="top"/>
          </w:tcPr>
          <w:p w14:paraId="6A575FDC">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79595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4119590A">
            <w:pPr>
              <w:rPr>
                <w:rFonts w:ascii="Arial"/>
                <w:color w:val="auto"/>
                <w:sz w:val="21"/>
                <w:highlight w:val="none"/>
              </w:rPr>
            </w:pPr>
          </w:p>
        </w:tc>
        <w:tc>
          <w:tcPr>
            <w:tcW w:w="810" w:type="dxa"/>
            <w:vMerge w:val="continue"/>
            <w:tcBorders>
              <w:top w:val="nil"/>
              <w:bottom w:val="nil"/>
            </w:tcBorders>
            <w:noWrap w:val="0"/>
            <w:vAlign w:val="top"/>
          </w:tcPr>
          <w:p w14:paraId="4C20D777">
            <w:pPr>
              <w:rPr>
                <w:rFonts w:ascii="Arial"/>
                <w:color w:val="auto"/>
                <w:sz w:val="21"/>
                <w:highlight w:val="none"/>
              </w:rPr>
            </w:pPr>
          </w:p>
        </w:tc>
        <w:tc>
          <w:tcPr>
            <w:tcW w:w="675" w:type="dxa"/>
            <w:vMerge w:val="continue"/>
            <w:tcBorders>
              <w:top w:val="nil"/>
              <w:bottom w:val="nil"/>
            </w:tcBorders>
            <w:noWrap w:val="0"/>
            <w:vAlign w:val="top"/>
          </w:tcPr>
          <w:p w14:paraId="610AD372">
            <w:pPr>
              <w:rPr>
                <w:rFonts w:ascii="Arial"/>
                <w:color w:val="auto"/>
                <w:sz w:val="21"/>
                <w:highlight w:val="none"/>
              </w:rPr>
            </w:pPr>
          </w:p>
        </w:tc>
        <w:tc>
          <w:tcPr>
            <w:tcW w:w="1081" w:type="dxa"/>
            <w:vMerge w:val="continue"/>
            <w:tcBorders>
              <w:top w:val="nil"/>
              <w:bottom w:val="nil"/>
            </w:tcBorders>
            <w:noWrap w:val="0"/>
            <w:vAlign w:val="top"/>
          </w:tcPr>
          <w:p w14:paraId="5A1F5D83">
            <w:pPr>
              <w:rPr>
                <w:rFonts w:ascii="Arial"/>
                <w:color w:val="auto"/>
                <w:sz w:val="21"/>
                <w:highlight w:val="none"/>
              </w:rPr>
            </w:pPr>
          </w:p>
        </w:tc>
        <w:tc>
          <w:tcPr>
            <w:tcW w:w="2972" w:type="dxa"/>
            <w:noWrap w:val="0"/>
            <w:vAlign w:val="top"/>
          </w:tcPr>
          <w:p w14:paraId="3F23069A">
            <w:pPr>
              <w:pStyle w:val="223"/>
              <w:spacing w:before="68" w:line="228" w:lineRule="auto"/>
              <w:ind w:left="974"/>
              <w:rPr>
                <w:color w:val="auto"/>
                <w:highlight w:val="none"/>
              </w:rPr>
            </w:pPr>
            <w:r>
              <w:rPr>
                <w:color w:val="auto"/>
                <w:spacing w:val="6"/>
                <w:highlight w:val="none"/>
              </w:rPr>
              <w:t>驾驶员座椅</w:t>
            </w:r>
          </w:p>
        </w:tc>
        <w:tc>
          <w:tcPr>
            <w:tcW w:w="2040" w:type="dxa"/>
            <w:noWrap w:val="0"/>
            <w:vAlign w:val="top"/>
          </w:tcPr>
          <w:p w14:paraId="30288C04">
            <w:pPr>
              <w:pStyle w:val="223"/>
              <w:spacing w:before="68"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0C39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6979E79A">
            <w:pPr>
              <w:rPr>
                <w:rFonts w:ascii="Arial"/>
                <w:color w:val="auto"/>
                <w:sz w:val="21"/>
                <w:highlight w:val="none"/>
              </w:rPr>
            </w:pPr>
          </w:p>
        </w:tc>
        <w:tc>
          <w:tcPr>
            <w:tcW w:w="810" w:type="dxa"/>
            <w:vMerge w:val="continue"/>
            <w:tcBorders>
              <w:top w:val="nil"/>
              <w:bottom w:val="nil"/>
            </w:tcBorders>
            <w:noWrap w:val="0"/>
            <w:vAlign w:val="top"/>
          </w:tcPr>
          <w:p w14:paraId="53F82291">
            <w:pPr>
              <w:rPr>
                <w:rFonts w:ascii="Arial"/>
                <w:color w:val="auto"/>
                <w:sz w:val="21"/>
                <w:highlight w:val="none"/>
              </w:rPr>
            </w:pPr>
          </w:p>
        </w:tc>
        <w:tc>
          <w:tcPr>
            <w:tcW w:w="675" w:type="dxa"/>
            <w:vMerge w:val="continue"/>
            <w:tcBorders>
              <w:top w:val="nil"/>
              <w:bottom w:val="nil"/>
            </w:tcBorders>
            <w:noWrap w:val="0"/>
            <w:vAlign w:val="top"/>
          </w:tcPr>
          <w:p w14:paraId="0E72EA1F">
            <w:pPr>
              <w:rPr>
                <w:rFonts w:ascii="Arial"/>
                <w:color w:val="auto"/>
                <w:sz w:val="21"/>
                <w:highlight w:val="none"/>
              </w:rPr>
            </w:pPr>
          </w:p>
        </w:tc>
        <w:tc>
          <w:tcPr>
            <w:tcW w:w="1081" w:type="dxa"/>
            <w:vMerge w:val="continue"/>
            <w:tcBorders>
              <w:top w:val="nil"/>
              <w:bottom w:val="nil"/>
            </w:tcBorders>
            <w:noWrap w:val="0"/>
            <w:vAlign w:val="top"/>
          </w:tcPr>
          <w:p w14:paraId="1EE62BC4">
            <w:pPr>
              <w:rPr>
                <w:rFonts w:ascii="Arial"/>
                <w:color w:val="auto"/>
                <w:sz w:val="21"/>
                <w:highlight w:val="none"/>
              </w:rPr>
            </w:pPr>
          </w:p>
        </w:tc>
        <w:tc>
          <w:tcPr>
            <w:tcW w:w="2972" w:type="dxa"/>
            <w:noWrap w:val="0"/>
            <w:vAlign w:val="top"/>
          </w:tcPr>
          <w:p w14:paraId="4FBE465F">
            <w:pPr>
              <w:pStyle w:val="223"/>
              <w:spacing w:before="68" w:line="228" w:lineRule="auto"/>
              <w:ind w:left="1098"/>
              <w:rPr>
                <w:color w:val="auto"/>
                <w:highlight w:val="none"/>
              </w:rPr>
            </w:pPr>
            <w:r>
              <w:rPr>
                <w:color w:val="auto"/>
                <w:spacing w:val="1"/>
                <w:highlight w:val="none"/>
              </w:rPr>
              <w:t>内后视镜</w:t>
            </w:r>
          </w:p>
        </w:tc>
        <w:tc>
          <w:tcPr>
            <w:tcW w:w="2040" w:type="dxa"/>
            <w:noWrap w:val="0"/>
            <w:vAlign w:val="top"/>
          </w:tcPr>
          <w:p w14:paraId="30CC5F22">
            <w:pPr>
              <w:pStyle w:val="223"/>
              <w:spacing w:before="68"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5035A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38B4E78B">
            <w:pPr>
              <w:rPr>
                <w:rFonts w:ascii="Arial"/>
                <w:color w:val="auto"/>
                <w:sz w:val="21"/>
                <w:highlight w:val="none"/>
              </w:rPr>
            </w:pPr>
          </w:p>
        </w:tc>
        <w:tc>
          <w:tcPr>
            <w:tcW w:w="810" w:type="dxa"/>
            <w:vMerge w:val="continue"/>
            <w:tcBorders>
              <w:top w:val="nil"/>
              <w:bottom w:val="nil"/>
            </w:tcBorders>
            <w:noWrap w:val="0"/>
            <w:vAlign w:val="top"/>
          </w:tcPr>
          <w:p w14:paraId="2CCF6180">
            <w:pPr>
              <w:rPr>
                <w:rFonts w:ascii="Arial"/>
                <w:color w:val="auto"/>
                <w:sz w:val="21"/>
                <w:highlight w:val="none"/>
              </w:rPr>
            </w:pPr>
          </w:p>
        </w:tc>
        <w:tc>
          <w:tcPr>
            <w:tcW w:w="675" w:type="dxa"/>
            <w:vMerge w:val="continue"/>
            <w:tcBorders>
              <w:top w:val="nil"/>
              <w:bottom w:val="nil"/>
            </w:tcBorders>
            <w:noWrap w:val="0"/>
            <w:vAlign w:val="top"/>
          </w:tcPr>
          <w:p w14:paraId="1B117BD1">
            <w:pPr>
              <w:rPr>
                <w:rFonts w:ascii="Arial"/>
                <w:color w:val="auto"/>
                <w:sz w:val="21"/>
                <w:highlight w:val="none"/>
              </w:rPr>
            </w:pPr>
          </w:p>
        </w:tc>
        <w:tc>
          <w:tcPr>
            <w:tcW w:w="1081" w:type="dxa"/>
            <w:vMerge w:val="continue"/>
            <w:tcBorders>
              <w:top w:val="nil"/>
              <w:bottom w:val="nil"/>
            </w:tcBorders>
            <w:noWrap w:val="0"/>
            <w:vAlign w:val="top"/>
          </w:tcPr>
          <w:p w14:paraId="56839D42">
            <w:pPr>
              <w:rPr>
                <w:rFonts w:ascii="Arial"/>
                <w:color w:val="auto"/>
                <w:sz w:val="21"/>
                <w:highlight w:val="none"/>
              </w:rPr>
            </w:pPr>
          </w:p>
        </w:tc>
        <w:tc>
          <w:tcPr>
            <w:tcW w:w="2972" w:type="dxa"/>
            <w:noWrap w:val="0"/>
            <w:vAlign w:val="top"/>
          </w:tcPr>
          <w:p w14:paraId="09E81ACD">
            <w:pPr>
              <w:pStyle w:val="223"/>
              <w:spacing w:before="66" w:line="228" w:lineRule="auto"/>
              <w:ind w:left="1073"/>
              <w:rPr>
                <w:color w:val="auto"/>
                <w:highlight w:val="none"/>
              </w:rPr>
            </w:pPr>
            <w:r>
              <w:rPr>
                <w:color w:val="auto"/>
                <w:spacing w:val="7"/>
                <w:highlight w:val="none"/>
              </w:rPr>
              <w:t>全车锁体</w:t>
            </w:r>
          </w:p>
        </w:tc>
        <w:tc>
          <w:tcPr>
            <w:tcW w:w="2040" w:type="dxa"/>
            <w:noWrap w:val="0"/>
            <w:vAlign w:val="top"/>
          </w:tcPr>
          <w:p w14:paraId="74103303">
            <w:pPr>
              <w:pStyle w:val="223"/>
              <w:spacing w:before="66"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446D8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176C19EC">
            <w:pPr>
              <w:rPr>
                <w:rFonts w:ascii="Arial"/>
                <w:color w:val="auto"/>
                <w:sz w:val="21"/>
                <w:highlight w:val="none"/>
              </w:rPr>
            </w:pPr>
          </w:p>
        </w:tc>
        <w:tc>
          <w:tcPr>
            <w:tcW w:w="810" w:type="dxa"/>
            <w:vMerge w:val="continue"/>
            <w:tcBorders>
              <w:top w:val="nil"/>
              <w:bottom w:val="nil"/>
            </w:tcBorders>
            <w:noWrap w:val="0"/>
            <w:vAlign w:val="top"/>
          </w:tcPr>
          <w:p w14:paraId="30E96D83">
            <w:pPr>
              <w:rPr>
                <w:rFonts w:ascii="Arial"/>
                <w:color w:val="auto"/>
                <w:sz w:val="21"/>
                <w:highlight w:val="none"/>
              </w:rPr>
            </w:pPr>
          </w:p>
        </w:tc>
        <w:tc>
          <w:tcPr>
            <w:tcW w:w="675" w:type="dxa"/>
            <w:vMerge w:val="continue"/>
            <w:tcBorders>
              <w:top w:val="nil"/>
            </w:tcBorders>
            <w:noWrap w:val="0"/>
            <w:vAlign w:val="top"/>
          </w:tcPr>
          <w:p w14:paraId="1FC19329">
            <w:pPr>
              <w:rPr>
                <w:rFonts w:ascii="Arial"/>
                <w:color w:val="auto"/>
                <w:sz w:val="21"/>
                <w:highlight w:val="none"/>
              </w:rPr>
            </w:pPr>
          </w:p>
        </w:tc>
        <w:tc>
          <w:tcPr>
            <w:tcW w:w="1081" w:type="dxa"/>
            <w:vMerge w:val="continue"/>
            <w:tcBorders>
              <w:top w:val="nil"/>
            </w:tcBorders>
            <w:noWrap w:val="0"/>
            <w:vAlign w:val="top"/>
          </w:tcPr>
          <w:p w14:paraId="5C7F3CD5">
            <w:pPr>
              <w:rPr>
                <w:rFonts w:ascii="Arial"/>
                <w:color w:val="auto"/>
                <w:sz w:val="21"/>
                <w:highlight w:val="none"/>
              </w:rPr>
            </w:pPr>
          </w:p>
        </w:tc>
        <w:tc>
          <w:tcPr>
            <w:tcW w:w="2972" w:type="dxa"/>
            <w:noWrap w:val="0"/>
            <w:vAlign w:val="top"/>
          </w:tcPr>
          <w:p w14:paraId="74D3E05F">
            <w:pPr>
              <w:pStyle w:val="223"/>
              <w:spacing w:before="66" w:line="229" w:lineRule="auto"/>
              <w:ind w:left="1077"/>
              <w:rPr>
                <w:color w:val="auto"/>
                <w:highlight w:val="none"/>
              </w:rPr>
            </w:pPr>
            <w:r>
              <w:rPr>
                <w:color w:val="auto"/>
                <w:spacing w:val="6"/>
                <w:highlight w:val="none"/>
              </w:rPr>
              <w:t>外后视镜</w:t>
            </w:r>
          </w:p>
        </w:tc>
        <w:tc>
          <w:tcPr>
            <w:tcW w:w="2040" w:type="dxa"/>
            <w:noWrap w:val="0"/>
            <w:vAlign w:val="top"/>
          </w:tcPr>
          <w:p w14:paraId="617DA34C">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4B447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48" w:type="dxa"/>
            <w:vMerge w:val="continue"/>
            <w:tcBorders>
              <w:top w:val="nil"/>
              <w:bottom w:val="nil"/>
            </w:tcBorders>
            <w:noWrap w:val="0"/>
            <w:vAlign w:val="top"/>
          </w:tcPr>
          <w:p w14:paraId="64371D41">
            <w:pPr>
              <w:rPr>
                <w:rFonts w:ascii="Arial"/>
                <w:color w:val="auto"/>
                <w:sz w:val="21"/>
                <w:highlight w:val="none"/>
              </w:rPr>
            </w:pPr>
          </w:p>
        </w:tc>
        <w:tc>
          <w:tcPr>
            <w:tcW w:w="810" w:type="dxa"/>
            <w:vMerge w:val="continue"/>
            <w:tcBorders>
              <w:top w:val="nil"/>
              <w:bottom w:val="nil"/>
            </w:tcBorders>
            <w:noWrap w:val="0"/>
            <w:vAlign w:val="top"/>
          </w:tcPr>
          <w:p w14:paraId="3C7CA397">
            <w:pPr>
              <w:rPr>
                <w:rFonts w:ascii="Arial"/>
                <w:color w:val="auto"/>
                <w:sz w:val="21"/>
                <w:highlight w:val="none"/>
              </w:rPr>
            </w:pPr>
          </w:p>
        </w:tc>
        <w:tc>
          <w:tcPr>
            <w:tcW w:w="675" w:type="dxa"/>
            <w:vMerge w:val="restart"/>
            <w:tcBorders>
              <w:bottom w:val="nil"/>
            </w:tcBorders>
            <w:noWrap w:val="0"/>
            <w:vAlign w:val="top"/>
          </w:tcPr>
          <w:p w14:paraId="20CD18EB">
            <w:pPr>
              <w:rPr>
                <w:rFonts w:ascii="Arial"/>
                <w:color w:val="auto"/>
                <w:sz w:val="21"/>
                <w:highlight w:val="none"/>
              </w:rPr>
            </w:pPr>
          </w:p>
        </w:tc>
        <w:tc>
          <w:tcPr>
            <w:tcW w:w="1081" w:type="dxa"/>
            <w:noWrap w:val="0"/>
            <w:vAlign w:val="top"/>
          </w:tcPr>
          <w:p w14:paraId="475E7CFC">
            <w:pPr>
              <w:rPr>
                <w:rFonts w:ascii="Arial"/>
                <w:color w:val="auto"/>
                <w:sz w:val="21"/>
                <w:highlight w:val="none"/>
              </w:rPr>
            </w:pPr>
          </w:p>
        </w:tc>
        <w:tc>
          <w:tcPr>
            <w:tcW w:w="2972" w:type="dxa"/>
            <w:noWrap w:val="0"/>
            <w:vAlign w:val="top"/>
          </w:tcPr>
          <w:p w14:paraId="68475A3D">
            <w:pPr>
              <w:pStyle w:val="223"/>
              <w:spacing w:before="59" w:line="229" w:lineRule="auto"/>
              <w:ind w:left="1286"/>
              <w:rPr>
                <w:color w:val="auto"/>
                <w:highlight w:val="none"/>
              </w:rPr>
            </w:pPr>
            <w:r>
              <w:rPr>
                <w:color w:val="auto"/>
                <w:spacing w:val="2"/>
                <w:highlight w:val="none"/>
              </w:rPr>
              <w:t>天窗</w:t>
            </w:r>
          </w:p>
        </w:tc>
        <w:tc>
          <w:tcPr>
            <w:tcW w:w="2040" w:type="dxa"/>
            <w:noWrap w:val="0"/>
            <w:vAlign w:val="top"/>
          </w:tcPr>
          <w:p w14:paraId="23A3F832">
            <w:pPr>
              <w:pStyle w:val="223"/>
              <w:spacing w:before="6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1E647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775E0F2C">
            <w:pPr>
              <w:rPr>
                <w:rFonts w:ascii="Arial"/>
                <w:color w:val="auto"/>
                <w:sz w:val="21"/>
                <w:highlight w:val="none"/>
              </w:rPr>
            </w:pPr>
          </w:p>
        </w:tc>
        <w:tc>
          <w:tcPr>
            <w:tcW w:w="810" w:type="dxa"/>
            <w:vMerge w:val="continue"/>
            <w:tcBorders>
              <w:top w:val="nil"/>
            </w:tcBorders>
            <w:noWrap w:val="0"/>
            <w:vAlign w:val="top"/>
          </w:tcPr>
          <w:p w14:paraId="5FC714BE">
            <w:pPr>
              <w:rPr>
                <w:rFonts w:ascii="Arial"/>
                <w:color w:val="auto"/>
                <w:sz w:val="21"/>
                <w:highlight w:val="none"/>
              </w:rPr>
            </w:pPr>
          </w:p>
        </w:tc>
        <w:tc>
          <w:tcPr>
            <w:tcW w:w="675" w:type="dxa"/>
            <w:vMerge w:val="continue"/>
            <w:tcBorders>
              <w:top w:val="nil"/>
            </w:tcBorders>
            <w:noWrap w:val="0"/>
            <w:vAlign w:val="top"/>
          </w:tcPr>
          <w:p w14:paraId="24307E39">
            <w:pPr>
              <w:rPr>
                <w:rFonts w:ascii="Arial"/>
                <w:color w:val="auto"/>
                <w:sz w:val="21"/>
                <w:highlight w:val="none"/>
              </w:rPr>
            </w:pPr>
          </w:p>
        </w:tc>
        <w:tc>
          <w:tcPr>
            <w:tcW w:w="1081" w:type="dxa"/>
            <w:noWrap w:val="0"/>
            <w:vAlign w:val="top"/>
          </w:tcPr>
          <w:p w14:paraId="1EA211DC">
            <w:pPr>
              <w:pStyle w:val="223"/>
              <w:spacing w:before="67" w:line="228" w:lineRule="auto"/>
              <w:ind w:left="336"/>
              <w:rPr>
                <w:color w:val="auto"/>
                <w:highlight w:val="none"/>
              </w:rPr>
            </w:pPr>
            <w:r>
              <w:rPr>
                <w:color w:val="auto"/>
                <w:spacing w:val="3"/>
                <w:highlight w:val="none"/>
              </w:rPr>
              <w:t>车架</w:t>
            </w:r>
          </w:p>
        </w:tc>
        <w:tc>
          <w:tcPr>
            <w:tcW w:w="2972" w:type="dxa"/>
            <w:noWrap w:val="0"/>
            <w:vAlign w:val="top"/>
          </w:tcPr>
          <w:p w14:paraId="311FF88D">
            <w:pPr>
              <w:pStyle w:val="223"/>
              <w:spacing w:before="67" w:line="228" w:lineRule="auto"/>
              <w:ind w:left="863"/>
              <w:rPr>
                <w:color w:val="auto"/>
                <w:highlight w:val="none"/>
              </w:rPr>
            </w:pPr>
            <w:r>
              <w:rPr>
                <w:color w:val="auto"/>
                <w:spacing w:val="6"/>
                <w:highlight w:val="none"/>
              </w:rPr>
              <w:t>车架（底盘）</w:t>
            </w:r>
          </w:p>
        </w:tc>
        <w:tc>
          <w:tcPr>
            <w:tcW w:w="2040" w:type="dxa"/>
            <w:noWrap w:val="0"/>
            <w:vAlign w:val="top"/>
          </w:tcPr>
          <w:p w14:paraId="022DD0BE">
            <w:pPr>
              <w:pStyle w:val="223"/>
              <w:spacing w:before="67" w:line="228" w:lineRule="auto"/>
              <w:ind w:left="804"/>
              <w:rPr>
                <w:color w:val="auto"/>
                <w:highlight w:val="none"/>
              </w:rPr>
            </w:pPr>
            <w:r>
              <w:rPr>
                <w:color w:val="auto"/>
                <w:spacing w:val="-5"/>
                <w:highlight w:val="none"/>
              </w:rPr>
              <w:t>10</w:t>
            </w:r>
            <w:r>
              <w:rPr>
                <w:color w:val="auto"/>
                <w:spacing w:val="-39"/>
                <w:highlight w:val="none"/>
              </w:rPr>
              <w:t xml:space="preserve"> </w:t>
            </w:r>
            <w:r>
              <w:rPr>
                <w:color w:val="auto"/>
                <w:spacing w:val="-5"/>
                <w:highlight w:val="none"/>
              </w:rPr>
              <w:t>年</w:t>
            </w:r>
          </w:p>
        </w:tc>
      </w:tr>
      <w:tr w14:paraId="7C97A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755F00FC">
            <w:pPr>
              <w:rPr>
                <w:rFonts w:ascii="Arial"/>
                <w:color w:val="auto"/>
                <w:sz w:val="21"/>
                <w:highlight w:val="none"/>
              </w:rPr>
            </w:pPr>
          </w:p>
        </w:tc>
        <w:tc>
          <w:tcPr>
            <w:tcW w:w="810" w:type="dxa"/>
            <w:vMerge w:val="restart"/>
            <w:tcBorders>
              <w:bottom w:val="nil"/>
            </w:tcBorders>
            <w:noWrap w:val="0"/>
            <w:vAlign w:val="top"/>
          </w:tcPr>
          <w:p w14:paraId="268C7212">
            <w:pPr>
              <w:spacing w:line="263" w:lineRule="auto"/>
              <w:rPr>
                <w:rFonts w:ascii="Arial"/>
                <w:color w:val="auto"/>
                <w:sz w:val="21"/>
                <w:highlight w:val="none"/>
              </w:rPr>
            </w:pPr>
          </w:p>
          <w:p w14:paraId="3929E48B">
            <w:pPr>
              <w:spacing w:line="263" w:lineRule="auto"/>
              <w:rPr>
                <w:rFonts w:ascii="Arial"/>
                <w:color w:val="auto"/>
                <w:sz w:val="21"/>
                <w:highlight w:val="none"/>
              </w:rPr>
            </w:pPr>
          </w:p>
          <w:p w14:paraId="514B724C">
            <w:pPr>
              <w:spacing w:line="263" w:lineRule="auto"/>
              <w:rPr>
                <w:rFonts w:ascii="Arial"/>
                <w:color w:val="auto"/>
                <w:sz w:val="21"/>
                <w:highlight w:val="none"/>
              </w:rPr>
            </w:pPr>
          </w:p>
          <w:p w14:paraId="3593D30C">
            <w:pPr>
              <w:spacing w:line="264" w:lineRule="auto"/>
              <w:rPr>
                <w:rFonts w:ascii="Arial"/>
                <w:color w:val="auto"/>
                <w:sz w:val="21"/>
                <w:highlight w:val="none"/>
              </w:rPr>
            </w:pPr>
          </w:p>
          <w:p w14:paraId="1DC7E65F">
            <w:pPr>
              <w:spacing w:line="264" w:lineRule="auto"/>
              <w:rPr>
                <w:rFonts w:ascii="Arial"/>
                <w:color w:val="auto"/>
                <w:sz w:val="21"/>
                <w:highlight w:val="none"/>
              </w:rPr>
            </w:pPr>
          </w:p>
          <w:p w14:paraId="28E24F84">
            <w:pPr>
              <w:spacing w:line="264" w:lineRule="auto"/>
              <w:rPr>
                <w:rFonts w:ascii="Arial"/>
                <w:color w:val="auto"/>
                <w:sz w:val="21"/>
                <w:highlight w:val="none"/>
              </w:rPr>
            </w:pPr>
          </w:p>
          <w:p w14:paraId="2516F661">
            <w:pPr>
              <w:spacing w:line="264" w:lineRule="auto"/>
              <w:rPr>
                <w:rFonts w:ascii="Arial"/>
                <w:color w:val="auto"/>
                <w:sz w:val="21"/>
                <w:highlight w:val="none"/>
              </w:rPr>
            </w:pPr>
          </w:p>
          <w:p w14:paraId="41B92A3F">
            <w:pPr>
              <w:pStyle w:val="223"/>
              <w:spacing w:before="65" w:line="187" w:lineRule="auto"/>
              <w:ind w:left="360"/>
              <w:rPr>
                <w:color w:val="auto"/>
                <w:highlight w:val="none"/>
              </w:rPr>
            </w:pPr>
            <w:r>
              <w:rPr>
                <w:color w:val="auto"/>
                <w:highlight w:val="none"/>
              </w:rPr>
              <w:t>5</w:t>
            </w:r>
          </w:p>
        </w:tc>
        <w:tc>
          <w:tcPr>
            <w:tcW w:w="675" w:type="dxa"/>
            <w:vMerge w:val="restart"/>
            <w:tcBorders>
              <w:bottom w:val="nil"/>
            </w:tcBorders>
            <w:noWrap w:val="0"/>
            <w:vAlign w:val="top"/>
          </w:tcPr>
          <w:p w14:paraId="40FB5964">
            <w:pPr>
              <w:spacing w:line="245" w:lineRule="auto"/>
              <w:rPr>
                <w:rFonts w:ascii="Arial"/>
                <w:color w:val="auto"/>
                <w:sz w:val="21"/>
                <w:highlight w:val="none"/>
              </w:rPr>
            </w:pPr>
          </w:p>
          <w:p w14:paraId="73658932">
            <w:pPr>
              <w:spacing w:line="245" w:lineRule="auto"/>
              <w:rPr>
                <w:rFonts w:ascii="Arial"/>
                <w:color w:val="auto"/>
                <w:sz w:val="21"/>
                <w:highlight w:val="none"/>
              </w:rPr>
            </w:pPr>
          </w:p>
          <w:p w14:paraId="609C039A">
            <w:pPr>
              <w:spacing w:line="245" w:lineRule="auto"/>
              <w:rPr>
                <w:rFonts w:ascii="Arial"/>
                <w:color w:val="auto"/>
                <w:sz w:val="21"/>
                <w:highlight w:val="none"/>
              </w:rPr>
            </w:pPr>
          </w:p>
          <w:p w14:paraId="5E303473">
            <w:pPr>
              <w:spacing w:line="245" w:lineRule="auto"/>
              <w:rPr>
                <w:rFonts w:ascii="Arial"/>
                <w:color w:val="auto"/>
                <w:sz w:val="21"/>
                <w:highlight w:val="none"/>
              </w:rPr>
            </w:pPr>
          </w:p>
          <w:p w14:paraId="48321FF3">
            <w:pPr>
              <w:spacing w:line="246" w:lineRule="auto"/>
              <w:rPr>
                <w:rFonts w:ascii="Arial"/>
                <w:color w:val="auto"/>
                <w:sz w:val="21"/>
                <w:highlight w:val="none"/>
              </w:rPr>
            </w:pPr>
          </w:p>
          <w:p w14:paraId="4EE38F63">
            <w:pPr>
              <w:spacing w:line="246" w:lineRule="auto"/>
              <w:rPr>
                <w:rFonts w:ascii="Arial"/>
                <w:color w:val="auto"/>
                <w:sz w:val="21"/>
                <w:highlight w:val="none"/>
              </w:rPr>
            </w:pPr>
          </w:p>
          <w:p w14:paraId="68B7C17E">
            <w:pPr>
              <w:spacing w:line="246" w:lineRule="auto"/>
              <w:rPr>
                <w:rFonts w:ascii="Arial"/>
                <w:color w:val="auto"/>
                <w:sz w:val="21"/>
                <w:highlight w:val="none"/>
              </w:rPr>
            </w:pPr>
          </w:p>
          <w:p w14:paraId="23A8FA8C">
            <w:pPr>
              <w:spacing w:line="246" w:lineRule="auto"/>
              <w:rPr>
                <w:rFonts w:ascii="Arial"/>
                <w:color w:val="auto"/>
                <w:sz w:val="21"/>
                <w:highlight w:val="none"/>
              </w:rPr>
            </w:pPr>
          </w:p>
          <w:p w14:paraId="2A142273">
            <w:pPr>
              <w:spacing w:line="246" w:lineRule="auto"/>
              <w:rPr>
                <w:rFonts w:ascii="Arial"/>
                <w:color w:val="auto"/>
                <w:sz w:val="21"/>
                <w:highlight w:val="none"/>
              </w:rPr>
            </w:pPr>
          </w:p>
          <w:p w14:paraId="4130851D">
            <w:pPr>
              <w:spacing w:line="246" w:lineRule="auto"/>
              <w:rPr>
                <w:rFonts w:ascii="Arial"/>
                <w:color w:val="auto"/>
                <w:sz w:val="21"/>
                <w:highlight w:val="none"/>
              </w:rPr>
            </w:pPr>
          </w:p>
          <w:p w14:paraId="2E7DBA52">
            <w:pPr>
              <w:spacing w:line="246" w:lineRule="auto"/>
              <w:rPr>
                <w:rFonts w:ascii="Arial"/>
                <w:color w:val="auto"/>
                <w:sz w:val="21"/>
                <w:highlight w:val="none"/>
              </w:rPr>
            </w:pPr>
          </w:p>
          <w:p w14:paraId="5CB10D63">
            <w:pPr>
              <w:pStyle w:val="223"/>
              <w:spacing w:before="65" w:line="230" w:lineRule="auto"/>
              <w:ind w:left="130"/>
              <w:rPr>
                <w:color w:val="auto"/>
                <w:highlight w:val="none"/>
              </w:rPr>
            </w:pPr>
            <w:r>
              <w:rPr>
                <w:color w:val="auto"/>
                <w:spacing w:val="5"/>
                <w:highlight w:val="none"/>
              </w:rPr>
              <w:t>底盘</w:t>
            </w:r>
          </w:p>
        </w:tc>
        <w:tc>
          <w:tcPr>
            <w:tcW w:w="1081" w:type="dxa"/>
            <w:vMerge w:val="restart"/>
            <w:tcBorders>
              <w:bottom w:val="nil"/>
            </w:tcBorders>
            <w:noWrap w:val="0"/>
            <w:vAlign w:val="top"/>
          </w:tcPr>
          <w:p w14:paraId="3EC6EB87">
            <w:pPr>
              <w:spacing w:line="322" w:lineRule="auto"/>
              <w:rPr>
                <w:rFonts w:ascii="Arial"/>
                <w:color w:val="auto"/>
                <w:sz w:val="21"/>
                <w:highlight w:val="none"/>
              </w:rPr>
            </w:pPr>
          </w:p>
          <w:p w14:paraId="16F57265">
            <w:pPr>
              <w:pStyle w:val="223"/>
              <w:spacing w:before="65" w:line="228" w:lineRule="auto"/>
              <w:ind w:left="336"/>
              <w:rPr>
                <w:color w:val="auto"/>
                <w:highlight w:val="none"/>
              </w:rPr>
            </w:pPr>
            <w:r>
              <w:rPr>
                <w:color w:val="auto"/>
                <w:spacing w:val="3"/>
                <w:highlight w:val="none"/>
              </w:rPr>
              <w:t>车桥</w:t>
            </w:r>
          </w:p>
        </w:tc>
        <w:tc>
          <w:tcPr>
            <w:tcW w:w="2972" w:type="dxa"/>
            <w:noWrap w:val="0"/>
            <w:vAlign w:val="top"/>
          </w:tcPr>
          <w:p w14:paraId="580097DC">
            <w:pPr>
              <w:pStyle w:val="223"/>
              <w:spacing w:before="67" w:line="229" w:lineRule="auto"/>
              <w:ind w:left="1285"/>
              <w:rPr>
                <w:color w:val="auto"/>
                <w:highlight w:val="none"/>
              </w:rPr>
            </w:pPr>
            <w:r>
              <w:rPr>
                <w:color w:val="auto"/>
                <w:spacing w:val="3"/>
                <w:highlight w:val="none"/>
              </w:rPr>
              <w:t>前桥</w:t>
            </w:r>
          </w:p>
        </w:tc>
        <w:tc>
          <w:tcPr>
            <w:tcW w:w="2040" w:type="dxa"/>
            <w:noWrap w:val="0"/>
            <w:vAlign w:val="top"/>
          </w:tcPr>
          <w:p w14:paraId="49BB8F33">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77996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0F81EFAC">
            <w:pPr>
              <w:rPr>
                <w:rFonts w:ascii="Arial"/>
                <w:color w:val="auto"/>
                <w:sz w:val="21"/>
                <w:highlight w:val="none"/>
              </w:rPr>
            </w:pPr>
          </w:p>
        </w:tc>
        <w:tc>
          <w:tcPr>
            <w:tcW w:w="810" w:type="dxa"/>
            <w:vMerge w:val="continue"/>
            <w:tcBorders>
              <w:top w:val="nil"/>
              <w:bottom w:val="nil"/>
            </w:tcBorders>
            <w:noWrap w:val="0"/>
            <w:vAlign w:val="top"/>
          </w:tcPr>
          <w:p w14:paraId="515FF9DC">
            <w:pPr>
              <w:rPr>
                <w:rFonts w:ascii="Arial"/>
                <w:color w:val="auto"/>
                <w:sz w:val="21"/>
                <w:highlight w:val="none"/>
              </w:rPr>
            </w:pPr>
          </w:p>
        </w:tc>
        <w:tc>
          <w:tcPr>
            <w:tcW w:w="675" w:type="dxa"/>
            <w:vMerge w:val="continue"/>
            <w:tcBorders>
              <w:top w:val="nil"/>
              <w:bottom w:val="nil"/>
            </w:tcBorders>
            <w:noWrap w:val="0"/>
            <w:vAlign w:val="top"/>
          </w:tcPr>
          <w:p w14:paraId="601ED0C4">
            <w:pPr>
              <w:rPr>
                <w:rFonts w:ascii="Arial"/>
                <w:color w:val="auto"/>
                <w:sz w:val="21"/>
                <w:highlight w:val="none"/>
              </w:rPr>
            </w:pPr>
          </w:p>
        </w:tc>
        <w:tc>
          <w:tcPr>
            <w:tcW w:w="1081" w:type="dxa"/>
            <w:vMerge w:val="continue"/>
            <w:tcBorders>
              <w:top w:val="nil"/>
              <w:bottom w:val="nil"/>
            </w:tcBorders>
            <w:noWrap w:val="0"/>
            <w:vAlign w:val="top"/>
          </w:tcPr>
          <w:p w14:paraId="78C923AD">
            <w:pPr>
              <w:rPr>
                <w:rFonts w:ascii="Arial"/>
                <w:color w:val="auto"/>
                <w:sz w:val="21"/>
                <w:highlight w:val="none"/>
              </w:rPr>
            </w:pPr>
          </w:p>
        </w:tc>
        <w:tc>
          <w:tcPr>
            <w:tcW w:w="2972" w:type="dxa"/>
            <w:noWrap w:val="0"/>
            <w:vAlign w:val="top"/>
          </w:tcPr>
          <w:p w14:paraId="400587E7">
            <w:pPr>
              <w:pStyle w:val="223"/>
              <w:spacing w:before="53" w:line="228" w:lineRule="auto"/>
              <w:ind w:left="549"/>
              <w:rPr>
                <w:color w:val="auto"/>
                <w:highlight w:val="none"/>
              </w:rPr>
            </w:pPr>
            <w:r>
              <w:rPr>
                <w:color w:val="auto"/>
                <w:spacing w:val="7"/>
                <w:highlight w:val="none"/>
              </w:rPr>
              <w:t>后桥（含主减速器）</w:t>
            </w:r>
          </w:p>
        </w:tc>
        <w:tc>
          <w:tcPr>
            <w:tcW w:w="2040" w:type="dxa"/>
            <w:noWrap w:val="0"/>
            <w:vAlign w:val="top"/>
          </w:tcPr>
          <w:p w14:paraId="7FCE02D9">
            <w:pPr>
              <w:pStyle w:val="223"/>
              <w:spacing w:before="53"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378FC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08E60CC7">
            <w:pPr>
              <w:rPr>
                <w:rFonts w:ascii="Arial"/>
                <w:color w:val="auto"/>
                <w:sz w:val="21"/>
                <w:highlight w:val="none"/>
              </w:rPr>
            </w:pPr>
          </w:p>
        </w:tc>
        <w:tc>
          <w:tcPr>
            <w:tcW w:w="810" w:type="dxa"/>
            <w:vMerge w:val="continue"/>
            <w:tcBorders>
              <w:top w:val="nil"/>
              <w:bottom w:val="nil"/>
            </w:tcBorders>
            <w:noWrap w:val="0"/>
            <w:vAlign w:val="top"/>
          </w:tcPr>
          <w:p w14:paraId="4DA7A33F">
            <w:pPr>
              <w:rPr>
                <w:rFonts w:ascii="Arial"/>
                <w:color w:val="auto"/>
                <w:sz w:val="21"/>
                <w:highlight w:val="none"/>
              </w:rPr>
            </w:pPr>
          </w:p>
        </w:tc>
        <w:tc>
          <w:tcPr>
            <w:tcW w:w="675" w:type="dxa"/>
            <w:vMerge w:val="continue"/>
            <w:tcBorders>
              <w:top w:val="nil"/>
              <w:bottom w:val="nil"/>
            </w:tcBorders>
            <w:noWrap w:val="0"/>
            <w:vAlign w:val="top"/>
          </w:tcPr>
          <w:p w14:paraId="5A59DDDB">
            <w:pPr>
              <w:rPr>
                <w:rFonts w:ascii="Arial"/>
                <w:color w:val="auto"/>
                <w:sz w:val="21"/>
                <w:highlight w:val="none"/>
              </w:rPr>
            </w:pPr>
          </w:p>
        </w:tc>
        <w:tc>
          <w:tcPr>
            <w:tcW w:w="1081" w:type="dxa"/>
            <w:vMerge w:val="continue"/>
            <w:tcBorders>
              <w:top w:val="nil"/>
            </w:tcBorders>
            <w:noWrap w:val="0"/>
            <w:vAlign w:val="top"/>
          </w:tcPr>
          <w:p w14:paraId="33D1FE47">
            <w:pPr>
              <w:rPr>
                <w:rFonts w:ascii="Arial"/>
                <w:color w:val="auto"/>
                <w:sz w:val="21"/>
                <w:highlight w:val="none"/>
              </w:rPr>
            </w:pPr>
          </w:p>
        </w:tc>
        <w:tc>
          <w:tcPr>
            <w:tcW w:w="2972" w:type="dxa"/>
            <w:noWrap w:val="0"/>
            <w:vAlign w:val="top"/>
          </w:tcPr>
          <w:p w14:paraId="7C67D572">
            <w:pPr>
              <w:pStyle w:val="223"/>
              <w:spacing w:before="53" w:line="229" w:lineRule="auto"/>
              <w:ind w:left="972"/>
              <w:rPr>
                <w:color w:val="auto"/>
                <w:highlight w:val="none"/>
              </w:rPr>
            </w:pPr>
            <w:r>
              <w:rPr>
                <w:color w:val="auto"/>
                <w:spacing w:val="7"/>
                <w:highlight w:val="none"/>
              </w:rPr>
              <w:t>免维护轮毂</w:t>
            </w:r>
          </w:p>
        </w:tc>
        <w:tc>
          <w:tcPr>
            <w:tcW w:w="2040" w:type="dxa"/>
            <w:noWrap w:val="0"/>
            <w:vAlign w:val="top"/>
          </w:tcPr>
          <w:p w14:paraId="5190FDD4">
            <w:pPr>
              <w:pStyle w:val="223"/>
              <w:spacing w:before="53"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50344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948" w:type="dxa"/>
            <w:vMerge w:val="continue"/>
            <w:tcBorders>
              <w:top w:val="nil"/>
              <w:bottom w:val="nil"/>
            </w:tcBorders>
            <w:noWrap w:val="0"/>
            <w:vAlign w:val="top"/>
          </w:tcPr>
          <w:p w14:paraId="0821143E">
            <w:pPr>
              <w:rPr>
                <w:rFonts w:ascii="Arial"/>
                <w:color w:val="auto"/>
                <w:sz w:val="21"/>
                <w:highlight w:val="none"/>
              </w:rPr>
            </w:pPr>
          </w:p>
        </w:tc>
        <w:tc>
          <w:tcPr>
            <w:tcW w:w="810" w:type="dxa"/>
            <w:vMerge w:val="continue"/>
            <w:tcBorders>
              <w:top w:val="nil"/>
              <w:bottom w:val="nil"/>
            </w:tcBorders>
            <w:noWrap w:val="0"/>
            <w:vAlign w:val="top"/>
          </w:tcPr>
          <w:p w14:paraId="242E89DD">
            <w:pPr>
              <w:rPr>
                <w:rFonts w:ascii="Arial"/>
                <w:color w:val="auto"/>
                <w:sz w:val="21"/>
                <w:highlight w:val="none"/>
              </w:rPr>
            </w:pPr>
          </w:p>
        </w:tc>
        <w:tc>
          <w:tcPr>
            <w:tcW w:w="675" w:type="dxa"/>
            <w:vMerge w:val="continue"/>
            <w:tcBorders>
              <w:top w:val="nil"/>
              <w:bottom w:val="nil"/>
            </w:tcBorders>
            <w:noWrap w:val="0"/>
            <w:vAlign w:val="top"/>
          </w:tcPr>
          <w:p w14:paraId="36E0AF3F">
            <w:pPr>
              <w:rPr>
                <w:rFonts w:ascii="Arial"/>
                <w:color w:val="auto"/>
                <w:sz w:val="21"/>
                <w:highlight w:val="none"/>
              </w:rPr>
            </w:pPr>
          </w:p>
        </w:tc>
        <w:tc>
          <w:tcPr>
            <w:tcW w:w="1081" w:type="dxa"/>
            <w:vMerge w:val="restart"/>
            <w:tcBorders>
              <w:bottom w:val="nil"/>
            </w:tcBorders>
            <w:noWrap w:val="0"/>
            <w:vAlign w:val="top"/>
          </w:tcPr>
          <w:p w14:paraId="568E7B71">
            <w:pPr>
              <w:spacing w:line="258" w:lineRule="auto"/>
              <w:rPr>
                <w:rFonts w:ascii="Arial"/>
                <w:color w:val="auto"/>
                <w:sz w:val="21"/>
                <w:highlight w:val="none"/>
              </w:rPr>
            </w:pPr>
          </w:p>
          <w:p w14:paraId="50A21EC8">
            <w:pPr>
              <w:spacing w:line="259" w:lineRule="auto"/>
              <w:rPr>
                <w:rFonts w:ascii="Arial"/>
                <w:color w:val="auto"/>
                <w:sz w:val="21"/>
                <w:highlight w:val="none"/>
              </w:rPr>
            </w:pPr>
          </w:p>
          <w:p w14:paraId="7F1F272F">
            <w:pPr>
              <w:pStyle w:val="223"/>
              <w:spacing w:before="65" w:line="274" w:lineRule="auto"/>
              <w:ind w:left="338" w:right="331" w:hanging="1"/>
              <w:rPr>
                <w:color w:val="auto"/>
                <w:highlight w:val="none"/>
              </w:rPr>
            </w:pPr>
            <w:r>
              <w:rPr>
                <w:color w:val="auto"/>
                <w:spacing w:val="3"/>
                <w:highlight w:val="none"/>
              </w:rPr>
              <w:t>悬挂</w:t>
            </w:r>
            <w:r>
              <w:rPr>
                <w:color w:val="auto"/>
                <w:highlight w:val="none"/>
              </w:rPr>
              <w:t xml:space="preserve"> </w:t>
            </w:r>
            <w:r>
              <w:rPr>
                <w:color w:val="auto"/>
                <w:spacing w:val="2"/>
                <w:highlight w:val="none"/>
              </w:rPr>
              <w:t>系统</w:t>
            </w:r>
          </w:p>
        </w:tc>
        <w:tc>
          <w:tcPr>
            <w:tcW w:w="2972" w:type="dxa"/>
            <w:noWrap w:val="0"/>
            <w:vAlign w:val="top"/>
          </w:tcPr>
          <w:p w14:paraId="5DFD397B">
            <w:pPr>
              <w:pStyle w:val="223"/>
              <w:spacing w:before="108" w:line="228" w:lineRule="auto"/>
              <w:ind w:left="1179"/>
              <w:rPr>
                <w:color w:val="auto"/>
                <w:highlight w:val="none"/>
              </w:rPr>
            </w:pPr>
            <w:r>
              <w:rPr>
                <w:color w:val="auto"/>
                <w:spacing w:val="6"/>
                <w:highlight w:val="none"/>
              </w:rPr>
              <w:t>稳定杆</w:t>
            </w:r>
          </w:p>
        </w:tc>
        <w:tc>
          <w:tcPr>
            <w:tcW w:w="2040" w:type="dxa"/>
            <w:noWrap w:val="0"/>
            <w:vAlign w:val="top"/>
          </w:tcPr>
          <w:p w14:paraId="703A8271">
            <w:pPr>
              <w:pStyle w:val="223"/>
              <w:spacing w:before="108"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68A99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48" w:type="dxa"/>
            <w:vMerge w:val="continue"/>
            <w:tcBorders>
              <w:top w:val="nil"/>
              <w:bottom w:val="nil"/>
            </w:tcBorders>
            <w:noWrap w:val="0"/>
            <w:vAlign w:val="top"/>
          </w:tcPr>
          <w:p w14:paraId="058822A0">
            <w:pPr>
              <w:rPr>
                <w:rFonts w:ascii="Arial"/>
                <w:color w:val="auto"/>
                <w:sz w:val="21"/>
                <w:highlight w:val="none"/>
              </w:rPr>
            </w:pPr>
          </w:p>
        </w:tc>
        <w:tc>
          <w:tcPr>
            <w:tcW w:w="810" w:type="dxa"/>
            <w:vMerge w:val="continue"/>
            <w:tcBorders>
              <w:top w:val="nil"/>
              <w:bottom w:val="nil"/>
            </w:tcBorders>
            <w:noWrap w:val="0"/>
            <w:vAlign w:val="top"/>
          </w:tcPr>
          <w:p w14:paraId="0A45ABAF">
            <w:pPr>
              <w:rPr>
                <w:rFonts w:ascii="Arial"/>
                <w:color w:val="auto"/>
                <w:sz w:val="21"/>
                <w:highlight w:val="none"/>
              </w:rPr>
            </w:pPr>
          </w:p>
        </w:tc>
        <w:tc>
          <w:tcPr>
            <w:tcW w:w="675" w:type="dxa"/>
            <w:vMerge w:val="continue"/>
            <w:tcBorders>
              <w:top w:val="nil"/>
              <w:bottom w:val="nil"/>
            </w:tcBorders>
            <w:noWrap w:val="0"/>
            <w:vAlign w:val="top"/>
          </w:tcPr>
          <w:p w14:paraId="44BF9719">
            <w:pPr>
              <w:rPr>
                <w:rFonts w:ascii="Arial"/>
                <w:color w:val="auto"/>
                <w:sz w:val="21"/>
                <w:highlight w:val="none"/>
              </w:rPr>
            </w:pPr>
          </w:p>
        </w:tc>
        <w:tc>
          <w:tcPr>
            <w:tcW w:w="1081" w:type="dxa"/>
            <w:vMerge w:val="continue"/>
            <w:tcBorders>
              <w:top w:val="nil"/>
              <w:bottom w:val="nil"/>
            </w:tcBorders>
            <w:noWrap w:val="0"/>
            <w:vAlign w:val="top"/>
          </w:tcPr>
          <w:p w14:paraId="7CCC8574">
            <w:pPr>
              <w:rPr>
                <w:rFonts w:ascii="Arial"/>
                <w:color w:val="auto"/>
                <w:sz w:val="21"/>
                <w:highlight w:val="none"/>
              </w:rPr>
            </w:pPr>
          </w:p>
        </w:tc>
        <w:tc>
          <w:tcPr>
            <w:tcW w:w="2972" w:type="dxa"/>
            <w:noWrap w:val="0"/>
            <w:vAlign w:val="top"/>
          </w:tcPr>
          <w:p w14:paraId="35EEC991">
            <w:pPr>
              <w:pStyle w:val="223"/>
              <w:spacing w:before="104" w:line="228" w:lineRule="auto"/>
              <w:ind w:left="1178"/>
              <w:rPr>
                <w:color w:val="auto"/>
                <w:highlight w:val="none"/>
              </w:rPr>
            </w:pPr>
            <w:r>
              <w:rPr>
                <w:color w:val="auto"/>
                <w:spacing w:val="6"/>
                <w:highlight w:val="none"/>
              </w:rPr>
              <w:t>推力杆</w:t>
            </w:r>
          </w:p>
        </w:tc>
        <w:tc>
          <w:tcPr>
            <w:tcW w:w="2040" w:type="dxa"/>
            <w:noWrap w:val="0"/>
            <w:vAlign w:val="top"/>
          </w:tcPr>
          <w:p w14:paraId="69D0C4B1">
            <w:pPr>
              <w:pStyle w:val="223"/>
              <w:spacing w:before="104"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E8CA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48" w:type="dxa"/>
            <w:vMerge w:val="continue"/>
            <w:tcBorders>
              <w:top w:val="nil"/>
              <w:bottom w:val="nil"/>
            </w:tcBorders>
            <w:noWrap w:val="0"/>
            <w:vAlign w:val="top"/>
          </w:tcPr>
          <w:p w14:paraId="6BD41225">
            <w:pPr>
              <w:rPr>
                <w:rFonts w:ascii="Arial"/>
                <w:color w:val="auto"/>
                <w:sz w:val="21"/>
                <w:highlight w:val="none"/>
              </w:rPr>
            </w:pPr>
          </w:p>
        </w:tc>
        <w:tc>
          <w:tcPr>
            <w:tcW w:w="810" w:type="dxa"/>
            <w:vMerge w:val="continue"/>
            <w:tcBorders>
              <w:top w:val="nil"/>
              <w:bottom w:val="nil"/>
            </w:tcBorders>
            <w:noWrap w:val="0"/>
            <w:vAlign w:val="top"/>
          </w:tcPr>
          <w:p w14:paraId="7B11BD30">
            <w:pPr>
              <w:rPr>
                <w:rFonts w:ascii="Arial"/>
                <w:color w:val="auto"/>
                <w:sz w:val="21"/>
                <w:highlight w:val="none"/>
              </w:rPr>
            </w:pPr>
          </w:p>
        </w:tc>
        <w:tc>
          <w:tcPr>
            <w:tcW w:w="675" w:type="dxa"/>
            <w:vMerge w:val="continue"/>
            <w:tcBorders>
              <w:top w:val="nil"/>
              <w:bottom w:val="nil"/>
            </w:tcBorders>
            <w:noWrap w:val="0"/>
            <w:vAlign w:val="top"/>
          </w:tcPr>
          <w:p w14:paraId="2F3046F9">
            <w:pPr>
              <w:rPr>
                <w:rFonts w:ascii="Arial"/>
                <w:color w:val="auto"/>
                <w:sz w:val="21"/>
                <w:highlight w:val="none"/>
              </w:rPr>
            </w:pPr>
          </w:p>
        </w:tc>
        <w:tc>
          <w:tcPr>
            <w:tcW w:w="1081" w:type="dxa"/>
            <w:vMerge w:val="continue"/>
            <w:tcBorders>
              <w:top w:val="nil"/>
              <w:bottom w:val="nil"/>
            </w:tcBorders>
            <w:noWrap w:val="0"/>
            <w:vAlign w:val="top"/>
          </w:tcPr>
          <w:p w14:paraId="09C0FC0A">
            <w:pPr>
              <w:rPr>
                <w:rFonts w:ascii="Arial"/>
                <w:color w:val="auto"/>
                <w:sz w:val="21"/>
                <w:highlight w:val="none"/>
              </w:rPr>
            </w:pPr>
          </w:p>
        </w:tc>
        <w:tc>
          <w:tcPr>
            <w:tcW w:w="2972" w:type="dxa"/>
            <w:noWrap w:val="0"/>
            <w:vAlign w:val="top"/>
          </w:tcPr>
          <w:p w14:paraId="4E50AB8F">
            <w:pPr>
              <w:pStyle w:val="223"/>
              <w:spacing w:before="103" w:line="228" w:lineRule="auto"/>
              <w:ind w:left="1079"/>
              <w:rPr>
                <w:color w:val="auto"/>
                <w:highlight w:val="none"/>
              </w:rPr>
            </w:pPr>
            <w:r>
              <w:rPr>
                <w:color w:val="auto"/>
                <w:spacing w:val="5"/>
                <w:highlight w:val="none"/>
              </w:rPr>
              <w:t>空气弹簧</w:t>
            </w:r>
          </w:p>
        </w:tc>
        <w:tc>
          <w:tcPr>
            <w:tcW w:w="2040" w:type="dxa"/>
            <w:noWrap w:val="0"/>
            <w:vAlign w:val="top"/>
          </w:tcPr>
          <w:p w14:paraId="3E2F2868">
            <w:pPr>
              <w:pStyle w:val="223"/>
              <w:spacing w:before="103"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3D0FD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48" w:type="dxa"/>
            <w:vMerge w:val="continue"/>
            <w:tcBorders>
              <w:top w:val="nil"/>
              <w:bottom w:val="nil"/>
            </w:tcBorders>
            <w:noWrap w:val="0"/>
            <w:vAlign w:val="top"/>
          </w:tcPr>
          <w:p w14:paraId="0FFCA7F9">
            <w:pPr>
              <w:rPr>
                <w:rFonts w:ascii="Arial"/>
                <w:color w:val="auto"/>
                <w:sz w:val="21"/>
                <w:highlight w:val="none"/>
              </w:rPr>
            </w:pPr>
          </w:p>
        </w:tc>
        <w:tc>
          <w:tcPr>
            <w:tcW w:w="810" w:type="dxa"/>
            <w:vMerge w:val="continue"/>
            <w:tcBorders>
              <w:top w:val="nil"/>
              <w:bottom w:val="nil"/>
            </w:tcBorders>
            <w:noWrap w:val="0"/>
            <w:vAlign w:val="top"/>
          </w:tcPr>
          <w:p w14:paraId="2E5796B6">
            <w:pPr>
              <w:rPr>
                <w:rFonts w:ascii="Arial"/>
                <w:color w:val="auto"/>
                <w:sz w:val="21"/>
                <w:highlight w:val="none"/>
              </w:rPr>
            </w:pPr>
          </w:p>
        </w:tc>
        <w:tc>
          <w:tcPr>
            <w:tcW w:w="675" w:type="dxa"/>
            <w:vMerge w:val="continue"/>
            <w:tcBorders>
              <w:top w:val="nil"/>
              <w:bottom w:val="nil"/>
            </w:tcBorders>
            <w:noWrap w:val="0"/>
            <w:vAlign w:val="top"/>
          </w:tcPr>
          <w:p w14:paraId="1B85A762">
            <w:pPr>
              <w:rPr>
                <w:rFonts w:ascii="Arial"/>
                <w:color w:val="auto"/>
                <w:sz w:val="21"/>
                <w:highlight w:val="none"/>
              </w:rPr>
            </w:pPr>
          </w:p>
        </w:tc>
        <w:tc>
          <w:tcPr>
            <w:tcW w:w="1081" w:type="dxa"/>
            <w:vMerge w:val="continue"/>
            <w:tcBorders>
              <w:top w:val="nil"/>
            </w:tcBorders>
            <w:noWrap w:val="0"/>
            <w:vAlign w:val="top"/>
          </w:tcPr>
          <w:p w14:paraId="2F5DBB26">
            <w:pPr>
              <w:rPr>
                <w:rFonts w:ascii="Arial"/>
                <w:color w:val="auto"/>
                <w:sz w:val="21"/>
                <w:highlight w:val="none"/>
              </w:rPr>
            </w:pPr>
          </w:p>
        </w:tc>
        <w:tc>
          <w:tcPr>
            <w:tcW w:w="2972" w:type="dxa"/>
            <w:noWrap w:val="0"/>
            <w:vAlign w:val="top"/>
          </w:tcPr>
          <w:p w14:paraId="1C6BCB27">
            <w:pPr>
              <w:pStyle w:val="223"/>
              <w:spacing w:before="105" w:line="229" w:lineRule="auto"/>
              <w:ind w:left="967"/>
              <w:rPr>
                <w:color w:val="auto"/>
                <w:highlight w:val="none"/>
              </w:rPr>
            </w:pPr>
            <w:r>
              <w:rPr>
                <w:color w:val="auto"/>
                <w:spacing w:val="8"/>
                <w:highlight w:val="none"/>
              </w:rPr>
              <w:t>减振器总成</w:t>
            </w:r>
          </w:p>
        </w:tc>
        <w:tc>
          <w:tcPr>
            <w:tcW w:w="2040" w:type="dxa"/>
            <w:noWrap w:val="0"/>
            <w:vAlign w:val="top"/>
          </w:tcPr>
          <w:p w14:paraId="7513BE9D">
            <w:pPr>
              <w:pStyle w:val="223"/>
              <w:spacing w:before="105"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1A6ED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948" w:type="dxa"/>
            <w:vMerge w:val="continue"/>
            <w:tcBorders>
              <w:top w:val="nil"/>
              <w:bottom w:val="nil"/>
            </w:tcBorders>
            <w:noWrap w:val="0"/>
            <w:vAlign w:val="top"/>
          </w:tcPr>
          <w:p w14:paraId="1A940318">
            <w:pPr>
              <w:rPr>
                <w:rFonts w:ascii="Arial"/>
                <w:color w:val="auto"/>
                <w:sz w:val="21"/>
                <w:highlight w:val="none"/>
              </w:rPr>
            </w:pPr>
          </w:p>
        </w:tc>
        <w:tc>
          <w:tcPr>
            <w:tcW w:w="810" w:type="dxa"/>
            <w:vMerge w:val="continue"/>
            <w:tcBorders>
              <w:top w:val="nil"/>
              <w:bottom w:val="nil"/>
            </w:tcBorders>
            <w:noWrap w:val="0"/>
            <w:vAlign w:val="top"/>
          </w:tcPr>
          <w:p w14:paraId="1E9BED03">
            <w:pPr>
              <w:rPr>
                <w:rFonts w:ascii="Arial"/>
                <w:color w:val="auto"/>
                <w:sz w:val="21"/>
                <w:highlight w:val="none"/>
              </w:rPr>
            </w:pPr>
          </w:p>
        </w:tc>
        <w:tc>
          <w:tcPr>
            <w:tcW w:w="675" w:type="dxa"/>
            <w:vMerge w:val="continue"/>
            <w:tcBorders>
              <w:top w:val="nil"/>
              <w:bottom w:val="nil"/>
            </w:tcBorders>
            <w:noWrap w:val="0"/>
            <w:vAlign w:val="top"/>
          </w:tcPr>
          <w:p w14:paraId="7A8E5E44">
            <w:pPr>
              <w:rPr>
                <w:rFonts w:ascii="Arial"/>
                <w:color w:val="auto"/>
                <w:sz w:val="21"/>
                <w:highlight w:val="none"/>
              </w:rPr>
            </w:pPr>
          </w:p>
        </w:tc>
        <w:tc>
          <w:tcPr>
            <w:tcW w:w="1081" w:type="dxa"/>
            <w:vMerge w:val="restart"/>
            <w:tcBorders>
              <w:bottom w:val="nil"/>
            </w:tcBorders>
            <w:noWrap w:val="0"/>
            <w:vAlign w:val="top"/>
          </w:tcPr>
          <w:p w14:paraId="7867B1EE">
            <w:pPr>
              <w:spacing w:line="300" w:lineRule="auto"/>
              <w:rPr>
                <w:rFonts w:ascii="Arial"/>
                <w:color w:val="auto"/>
                <w:sz w:val="21"/>
                <w:highlight w:val="none"/>
              </w:rPr>
            </w:pPr>
          </w:p>
          <w:p w14:paraId="6972F46A">
            <w:pPr>
              <w:spacing w:line="300" w:lineRule="auto"/>
              <w:rPr>
                <w:rFonts w:ascii="Arial"/>
                <w:color w:val="auto"/>
                <w:sz w:val="21"/>
                <w:highlight w:val="none"/>
              </w:rPr>
            </w:pPr>
          </w:p>
          <w:p w14:paraId="02ABBA92">
            <w:pPr>
              <w:spacing w:line="300" w:lineRule="auto"/>
              <w:rPr>
                <w:rFonts w:ascii="Arial"/>
                <w:color w:val="auto"/>
                <w:sz w:val="21"/>
                <w:highlight w:val="none"/>
              </w:rPr>
            </w:pPr>
          </w:p>
          <w:p w14:paraId="4A639899">
            <w:pPr>
              <w:pStyle w:val="223"/>
              <w:spacing w:before="65" w:line="229" w:lineRule="auto"/>
              <w:ind w:left="126"/>
              <w:rPr>
                <w:color w:val="auto"/>
                <w:highlight w:val="none"/>
              </w:rPr>
            </w:pPr>
            <w:r>
              <w:rPr>
                <w:color w:val="auto"/>
                <w:spacing w:val="7"/>
                <w:highlight w:val="none"/>
              </w:rPr>
              <w:t>制动系统</w:t>
            </w:r>
          </w:p>
        </w:tc>
        <w:tc>
          <w:tcPr>
            <w:tcW w:w="2972" w:type="dxa"/>
            <w:noWrap w:val="0"/>
            <w:vAlign w:val="top"/>
          </w:tcPr>
          <w:p w14:paraId="3972352E">
            <w:pPr>
              <w:pStyle w:val="223"/>
              <w:spacing w:before="83" w:line="229" w:lineRule="auto"/>
              <w:ind w:left="968"/>
              <w:rPr>
                <w:color w:val="auto"/>
                <w:highlight w:val="none"/>
              </w:rPr>
            </w:pPr>
            <w:r>
              <w:rPr>
                <w:color w:val="auto"/>
                <w:spacing w:val="7"/>
                <w:highlight w:val="none"/>
              </w:rPr>
              <w:t>制动器总成</w:t>
            </w:r>
          </w:p>
        </w:tc>
        <w:tc>
          <w:tcPr>
            <w:tcW w:w="2040" w:type="dxa"/>
            <w:noWrap w:val="0"/>
            <w:vAlign w:val="top"/>
          </w:tcPr>
          <w:p w14:paraId="1977A391">
            <w:pPr>
              <w:pStyle w:val="223"/>
              <w:spacing w:before="83"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30367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948" w:type="dxa"/>
            <w:vMerge w:val="continue"/>
            <w:tcBorders>
              <w:top w:val="nil"/>
              <w:bottom w:val="nil"/>
            </w:tcBorders>
            <w:noWrap w:val="0"/>
            <w:vAlign w:val="top"/>
          </w:tcPr>
          <w:p w14:paraId="78B1A5AC">
            <w:pPr>
              <w:rPr>
                <w:rFonts w:ascii="Arial"/>
                <w:color w:val="auto"/>
                <w:sz w:val="21"/>
                <w:highlight w:val="none"/>
              </w:rPr>
            </w:pPr>
          </w:p>
        </w:tc>
        <w:tc>
          <w:tcPr>
            <w:tcW w:w="810" w:type="dxa"/>
            <w:vMerge w:val="continue"/>
            <w:tcBorders>
              <w:top w:val="nil"/>
              <w:bottom w:val="nil"/>
            </w:tcBorders>
            <w:noWrap w:val="0"/>
            <w:vAlign w:val="top"/>
          </w:tcPr>
          <w:p w14:paraId="40C57C23">
            <w:pPr>
              <w:rPr>
                <w:rFonts w:ascii="Arial"/>
                <w:color w:val="auto"/>
                <w:sz w:val="21"/>
                <w:highlight w:val="none"/>
              </w:rPr>
            </w:pPr>
          </w:p>
        </w:tc>
        <w:tc>
          <w:tcPr>
            <w:tcW w:w="675" w:type="dxa"/>
            <w:vMerge w:val="continue"/>
            <w:tcBorders>
              <w:top w:val="nil"/>
              <w:bottom w:val="nil"/>
            </w:tcBorders>
            <w:noWrap w:val="0"/>
            <w:vAlign w:val="top"/>
          </w:tcPr>
          <w:p w14:paraId="10D3322F">
            <w:pPr>
              <w:rPr>
                <w:rFonts w:ascii="Arial"/>
                <w:color w:val="auto"/>
                <w:sz w:val="21"/>
                <w:highlight w:val="none"/>
              </w:rPr>
            </w:pPr>
          </w:p>
        </w:tc>
        <w:tc>
          <w:tcPr>
            <w:tcW w:w="1081" w:type="dxa"/>
            <w:vMerge w:val="continue"/>
            <w:tcBorders>
              <w:top w:val="nil"/>
              <w:bottom w:val="nil"/>
            </w:tcBorders>
            <w:noWrap w:val="0"/>
            <w:vAlign w:val="top"/>
          </w:tcPr>
          <w:p w14:paraId="72994C78">
            <w:pPr>
              <w:rPr>
                <w:rFonts w:ascii="Arial"/>
                <w:color w:val="auto"/>
                <w:sz w:val="21"/>
                <w:highlight w:val="none"/>
              </w:rPr>
            </w:pPr>
          </w:p>
        </w:tc>
        <w:tc>
          <w:tcPr>
            <w:tcW w:w="2972" w:type="dxa"/>
            <w:noWrap w:val="0"/>
            <w:vAlign w:val="top"/>
          </w:tcPr>
          <w:p w14:paraId="7A522562">
            <w:pPr>
              <w:pStyle w:val="223"/>
              <w:spacing w:before="111" w:line="228" w:lineRule="auto"/>
              <w:ind w:left="514"/>
              <w:rPr>
                <w:color w:val="auto"/>
                <w:highlight w:val="none"/>
              </w:rPr>
            </w:pPr>
            <w:r>
              <w:rPr>
                <w:color w:val="auto"/>
                <w:highlight w:val="none"/>
              </w:rPr>
              <w:t>ABS</w:t>
            </w:r>
            <w:r>
              <w:rPr>
                <w:color w:val="auto"/>
                <w:spacing w:val="13"/>
                <w:highlight w:val="none"/>
              </w:rPr>
              <w:t>、</w:t>
            </w:r>
            <w:r>
              <w:rPr>
                <w:color w:val="auto"/>
                <w:highlight w:val="none"/>
              </w:rPr>
              <w:t>EBS</w:t>
            </w:r>
            <w:r>
              <w:rPr>
                <w:color w:val="auto"/>
                <w:spacing w:val="-39"/>
                <w:highlight w:val="none"/>
              </w:rPr>
              <w:t xml:space="preserve"> </w:t>
            </w:r>
            <w:r>
              <w:rPr>
                <w:color w:val="auto"/>
                <w:spacing w:val="13"/>
                <w:highlight w:val="none"/>
              </w:rPr>
              <w:t>等电控单元</w:t>
            </w:r>
          </w:p>
        </w:tc>
        <w:tc>
          <w:tcPr>
            <w:tcW w:w="2040" w:type="dxa"/>
            <w:noWrap w:val="0"/>
            <w:vAlign w:val="top"/>
          </w:tcPr>
          <w:p w14:paraId="24DE8C7C">
            <w:pPr>
              <w:pStyle w:val="223"/>
              <w:spacing w:before="111"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3CBE6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48" w:type="dxa"/>
            <w:vMerge w:val="continue"/>
            <w:tcBorders>
              <w:top w:val="nil"/>
              <w:bottom w:val="nil"/>
            </w:tcBorders>
            <w:noWrap w:val="0"/>
            <w:vAlign w:val="top"/>
          </w:tcPr>
          <w:p w14:paraId="06F0485E">
            <w:pPr>
              <w:rPr>
                <w:rFonts w:ascii="Arial"/>
                <w:color w:val="auto"/>
                <w:sz w:val="21"/>
                <w:highlight w:val="none"/>
              </w:rPr>
            </w:pPr>
          </w:p>
        </w:tc>
        <w:tc>
          <w:tcPr>
            <w:tcW w:w="810" w:type="dxa"/>
            <w:vMerge w:val="continue"/>
            <w:tcBorders>
              <w:top w:val="nil"/>
              <w:bottom w:val="nil"/>
            </w:tcBorders>
            <w:noWrap w:val="0"/>
            <w:vAlign w:val="top"/>
          </w:tcPr>
          <w:p w14:paraId="5E913AC3">
            <w:pPr>
              <w:rPr>
                <w:rFonts w:ascii="Arial"/>
                <w:color w:val="auto"/>
                <w:sz w:val="21"/>
                <w:highlight w:val="none"/>
              </w:rPr>
            </w:pPr>
          </w:p>
        </w:tc>
        <w:tc>
          <w:tcPr>
            <w:tcW w:w="675" w:type="dxa"/>
            <w:vMerge w:val="continue"/>
            <w:tcBorders>
              <w:top w:val="nil"/>
              <w:bottom w:val="nil"/>
            </w:tcBorders>
            <w:noWrap w:val="0"/>
            <w:vAlign w:val="top"/>
          </w:tcPr>
          <w:p w14:paraId="3B51BF95">
            <w:pPr>
              <w:rPr>
                <w:rFonts w:ascii="Arial"/>
                <w:color w:val="auto"/>
                <w:sz w:val="21"/>
                <w:highlight w:val="none"/>
              </w:rPr>
            </w:pPr>
          </w:p>
        </w:tc>
        <w:tc>
          <w:tcPr>
            <w:tcW w:w="1081" w:type="dxa"/>
            <w:vMerge w:val="continue"/>
            <w:tcBorders>
              <w:top w:val="nil"/>
              <w:bottom w:val="nil"/>
            </w:tcBorders>
            <w:noWrap w:val="0"/>
            <w:vAlign w:val="top"/>
          </w:tcPr>
          <w:p w14:paraId="3BCE2B39">
            <w:pPr>
              <w:rPr>
                <w:rFonts w:ascii="Arial"/>
                <w:color w:val="auto"/>
                <w:sz w:val="21"/>
                <w:highlight w:val="none"/>
              </w:rPr>
            </w:pPr>
          </w:p>
        </w:tc>
        <w:tc>
          <w:tcPr>
            <w:tcW w:w="2972" w:type="dxa"/>
            <w:noWrap w:val="0"/>
            <w:vAlign w:val="top"/>
          </w:tcPr>
          <w:p w14:paraId="68D1B34B">
            <w:pPr>
              <w:pStyle w:val="223"/>
              <w:spacing w:before="108" w:line="228" w:lineRule="auto"/>
              <w:ind w:left="1073"/>
              <w:rPr>
                <w:color w:val="auto"/>
                <w:highlight w:val="none"/>
              </w:rPr>
            </w:pPr>
            <w:r>
              <w:rPr>
                <w:color w:val="auto"/>
                <w:spacing w:val="7"/>
                <w:highlight w:val="none"/>
              </w:rPr>
              <w:t>制动阀类</w:t>
            </w:r>
          </w:p>
        </w:tc>
        <w:tc>
          <w:tcPr>
            <w:tcW w:w="2040" w:type="dxa"/>
            <w:noWrap w:val="0"/>
            <w:vAlign w:val="top"/>
          </w:tcPr>
          <w:p w14:paraId="1A94D48A">
            <w:pPr>
              <w:pStyle w:val="223"/>
              <w:spacing w:before="108"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53181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48" w:type="dxa"/>
            <w:vMerge w:val="continue"/>
            <w:tcBorders>
              <w:top w:val="nil"/>
              <w:bottom w:val="nil"/>
            </w:tcBorders>
            <w:noWrap w:val="0"/>
            <w:vAlign w:val="top"/>
          </w:tcPr>
          <w:p w14:paraId="668BB4C9">
            <w:pPr>
              <w:rPr>
                <w:rFonts w:ascii="Arial"/>
                <w:color w:val="auto"/>
                <w:sz w:val="21"/>
                <w:highlight w:val="none"/>
              </w:rPr>
            </w:pPr>
          </w:p>
        </w:tc>
        <w:tc>
          <w:tcPr>
            <w:tcW w:w="810" w:type="dxa"/>
            <w:vMerge w:val="continue"/>
            <w:tcBorders>
              <w:top w:val="nil"/>
              <w:bottom w:val="nil"/>
            </w:tcBorders>
            <w:noWrap w:val="0"/>
            <w:vAlign w:val="top"/>
          </w:tcPr>
          <w:p w14:paraId="2FACC791">
            <w:pPr>
              <w:rPr>
                <w:rFonts w:ascii="Arial"/>
                <w:color w:val="auto"/>
                <w:sz w:val="21"/>
                <w:highlight w:val="none"/>
              </w:rPr>
            </w:pPr>
          </w:p>
        </w:tc>
        <w:tc>
          <w:tcPr>
            <w:tcW w:w="675" w:type="dxa"/>
            <w:vMerge w:val="continue"/>
            <w:tcBorders>
              <w:top w:val="nil"/>
              <w:bottom w:val="nil"/>
            </w:tcBorders>
            <w:noWrap w:val="0"/>
            <w:vAlign w:val="top"/>
          </w:tcPr>
          <w:p w14:paraId="61243E16">
            <w:pPr>
              <w:rPr>
                <w:rFonts w:ascii="Arial"/>
                <w:color w:val="auto"/>
                <w:sz w:val="21"/>
                <w:highlight w:val="none"/>
              </w:rPr>
            </w:pPr>
          </w:p>
        </w:tc>
        <w:tc>
          <w:tcPr>
            <w:tcW w:w="1081" w:type="dxa"/>
            <w:vMerge w:val="continue"/>
            <w:tcBorders>
              <w:top w:val="nil"/>
              <w:bottom w:val="nil"/>
            </w:tcBorders>
            <w:noWrap w:val="0"/>
            <w:vAlign w:val="top"/>
          </w:tcPr>
          <w:p w14:paraId="78C0CEFC">
            <w:pPr>
              <w:rPr>
                <w:rFonts w:ascii="Arial"/>
                <w:color w:val="auto"/>
                <w:sz w:val="21"/>
                <w:highlight w:val="none"/>
              </w:rPr>
            </w:pPr>
          </w:p>
        </w:tc>
        <w:tc>
          <w:tcPr>
            <w:tcW w:w="2972" w:type="dxa"/>
            <w:noWrap w:val="0"/>
            <w:vAlign w:val="top"/>
          </w:tcPr>
          <w:p w14:paraId="68623975">
            <w:pPr>
              <w:pStyle w:val="223"/>
              <w:spacing w:before="106" w:line="229" w:lineRule="auto"/>
              <w:ind w:left="1097"/>
              <w:rPr>
                <w:color w:val="auto"/>
                <w:highlight w:val="none"/>
              </w:rPr>
            </w:pPr>
            <w:r>
              <w:rPr>
                <w:color w:val="auto"/>
                <w:spacing w:val="1"/>
                <w:highlight w:val="none"/>
              </w:rPr>
              <w:t>电子手刹</w:t>
            </w:r>
          </w:p>
        </w:tc>
        <w:tc>
          <w:tcPr>
            <w:tcW w:w="2040" w:type="dxa"/>
            <w:noWrap w:val="0"/>
            <w:vAlign w:val="top"/>
          </w:tcPr>
          <w:p w14:paraId="01DB1E30">
            <w:pPr>
              <w:pStyle w:val="223"/>
              <w:spacing w:before="106"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A51C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48" w:type="dxa"/>
            <w:vMerge w:val="continue"/>
            <w:tcBorders>
              <w:top w:val="nil"/>
              <w:bottom w:val="nil"/>
            </w:tcBorders>
            <w:noWrap w:val="0"/>
            <w:vAlign w:val="top"/>
          </w:tcPr>
          <w:p w14:paraId="35C0E82E">
            <w:pPr>
              <w:rPr>
                <w:rFonts w:ascii="Arial"/>
                <w:color w:val="auto"/>
                <w:sz w:val="21"/>
                <w:highlight w:val="none"/>
              </w:rPr>
            </w:pPr>
          </w:p>
        </w:tc>
        <w:tc>
          <w:tcPr>
            <w:tcW w:w="810" w:type="dxa"/>
            <w:vMerge w:val="continue"/>
            <w:tcBorders>
              <w:top w:val="nil"/>
              <w:bottom w:val="nil"/>
            </w:tcBorders>
            <w:noWrap w:val="0"/>
            <w:vAlign w:val="top"/>
          </w:tcPr>
          <w:p w14:paraId="2E756B5D">
            <w:pPr>
              <w:rPr>
                <w:rFonts w:ascii="Arial"/>
                <w:color w:val="auto"/>
                <w:sz w:val="21"/>
                <w:highlight w:val="none"/>
              </w:rPr>
            </w:pPr>
          </w:p>
        </w:tc>
        <w:tc>
          <w:tcPr>
            <w:tcW w:w="675" w:type="dxa"/>
            <w:vMerge w:val="continue"/>
            <w:tcBorders>
              <w:top w:val="nil"/>
            </w:tcBorders>
            <w:noWrap w:val="0"/>
            <w:vAlign w:val="top"/>
          </w:tcPr>
          <w:p w14:paraId="76A234B7">
            <w:pPr>
              <w:rPr>
                <w:rFonts w:ascii="Arial"/>
                <w:color w:val="auto"/>
                <w:sz w:val="21"/>
                <w:highlight w:val="none"/>
              </w:rPr>
            </w:pPr>
          </w:p>
        </w:tc>
        <w:tc>
          <w:tcPr>
            <w:tcW w:w="1081" w:type="dxa"/>
            <w:vMerge w:val="continue"/>
            <w:tcBorders>
              <w:top w:val="nil"/>
            </w:tcBorders>
            <w:noWrap w:val="0"/>
            <w:vAlign w:val="top"/>
          </w:tcPr>
          <w:p w14:paraId="641D786A">
            <w:pPr>
              <w:rPr>
                <w:rFonts w:ascii="Arial"/>
                <w:color w:val="auto"/>
                <w:sz w:val="21"/>
                <w:highlight w:val="none"/>
              </w:rPr>
            </w:pPr>
          </w:p>
        </w:tc>
        <w:tc>
          <w:tcPr>
            <w:tcW w:w="2972" w:type="dxa"/>
            <w:noWrap w:val="0"/>
            <w:vAlign w:val="top"/>
          </w:tcPr>
          <w:p w14:paraId="65483C9E">
            <w:pPr>
              <w:pStyle w:val="223"/>
              <w:spacing w:before="139" w:line="228" w:lineRule="auto"/>
              <w:ind w:left="1177"/>
              <w:rPr>
                <w:color w:val="auto"/>
                <w:highlight w:val="none"/>
              </w:rPr>
            </w:pPr>
            <w:r>
              <w:rPr>
                <w:color w:val="auto"/>
                <w:spacing w:val="7"/>
                <w:highlight w:val="none"/>
              </w:rPr>
              <w:t>储气筒</w:t>
            </w:r>
          </w:p>
        </w:tc>
        <w:tc>
          <w:tcPr>
            <w:tcW w:w="2040" w:type="dxa"/>
            <w:noWrap w:val="0"/>
            <w:vAlign w:val="top"/>
          </w:tcPr>
          <w:p w14:paraId="6A85E29F">
            <w:pPr>
              <w:pStyle w:val="223"/>
              <w:spacing w:before="139"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68860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3684EC51">
            <w:pPr>
              <w:rPr>
                <w:rFonts w:ascii="Arial"/>
                <w:color w:val="auto"/>
                <w:sz w:val="21"/>
                <w:highlight w:val="none"/>
              </w:rPr>
            </w:pPr>
          </w:p>
        </w:tc>
        <w:tc>
          <w:tcPr>
            <w:tcW w:w="810" w:type="dxa"/>
            <w:vMerge w:val="continue"/>
            <w:tcBorders>
              <w:top w:val="nil"/>
              <w:bottom w:val="nil"/>
            </w:tcBorders>
            <w:noWrap w:val="0"/>
            <w:vAlign w:val="top"/>
          </w:tcPr>
          <w:p w14:paraId="5C4B9F2F">
            <w:pPr>
              <w:rPr>
                <w:rFonts w:ascii="Arial"/>
                <w:color w:val="auto"/>
                <w:sz w:val="21"/>
                <w:highlight w:val="none"/>
              </w:rPr>
            </w:pPr>
          </w:p>
        </w:tc>
        <w:tc>
          <w:tcPr>
            <w:tcW w:w="675" w:type="dxa"/>
            <w:vMerge w:val="restart"/>
            <w:tcBorders>
              <w:bottom w:val="nil"/>
            </w:tcBorders>
            <w:noWrap w:val="0"/>
            <w:vAlign w:val="top"/>
          </w:tcPr>
          <w:p w14:paraId="5D167CAF">
            <w:pPr>
              <w:rPr>
                <w:rFonts w:ascii="Arial"/>
                <w:color w:val="auto"/>
                <w:sz w:val="21"/>
                <w:highlight w:val="none"/>
              </w:rPr>
            </w:pPr>
          </w:p>
        </w:tc>
        <w:tc>
          <w:tcPr>
            <w:tcW w:w="1081" w:type="dxa"/>
            <w:vMerge w:val="restart"/>
            <w:tcBorders>
              <w:bottom w:val="nil"/>
            </w:tcBorders>
            <w:noWrap w:val="0"/>
            <w:vAlign w:val="top"/>
          </w:tcPr>
          <w:p w14:paraId="7DD87FE7">
            <w:pPr>
              <w:pStyle w:val="223"/>
              <w:spacing w:before="244" w:line="229" w:lineRule="auto"/>
              <w:ind w:left="126"/>
              <w:rPr>
                <w:color w:val="auto"/>
                <w:highlight w:val="none"/>
              </w:rPr>
            </w:pPr>
            <w:r>
              <w:rPr>
                <w:color w:val="auto"/>
                <w:spacing w:val="7"/>
                <w:highlight w:val="none"/>
              </w:rPr>
              <w:t>转向系统</w:t>
            </w:r>
          </w:p>
        </w:tc>
        <w:tc>
          <w:tcPr>
            <w:tcW w:w="2972" w:type="dxa"/>
            <w:noWrap w:val="0"/>
            <w:vAlign w:val="top"/>
          </w:tcPr>
          <w:p w14:paraId="61F69564">
            <w:pPr>
              <w:pStyle w:val="223"/>
              <w:spacing w:before="69" w:line="229" w:lineRule="auto"/>
              <w:ind w:left="1179"/>
              <w:rPr>
                <w:color w:val="auto"/>
                <w:highlight w:val="none"/>
              </w:rPr>
            </w:pPr>
            <w:r>
              <w:rPr>
                <w:color w:val="auto"/>
                <w:spacing w:val="6"/>
                <w:highlight w:val="none"/>
              </w:rPr>
              <w:t>转向盘</w:t>
            </w:r>
          </w:p>
        </w:tc>
        <w:tc>
          <w:tcPr>
            <w:tcW w:w="2040" w:type="dxa"/>
            <w:noWrap w:val="0"/>
            <w:vAlign w:val="top"/>
          </w:tcPr>
          <w:p w14:paraId="692F7BE7">
            <w:pPr>
              <w:pStyle w:val="223"/>
              <w:spacing w:before="69" w:line="228" w:lineRule="auto"/>
              <w:ind w:left="846"/>
              <w:rPr>
                <w:color w:val="auto"/>
                <w:highlight w:val="none"/>
              </w:rPr>
            </w:pPr>
            <w:r>
              <w:rPr>
                <w:color w:val="auto"/>
                <w:spacing w:val="-4"/>
                <w:highlight w:val="none"/>
              </w:rPr>
              <w:t>3</w:t>
            </w:r>
            <w:r>
              <w:rPr>
                <w:color w:val="auto"/>
                <w:spacing w:val="-40"/>
                <w:highlight w:val="none"/>
              </w:rPr>
              <w:t xml:space="preserve"> </w:t>
            </w:r>
            <w:r>
              <w:rPr>
                <w:color w:val="auto"/>
                <w:spacing w:val="-4"/>
                <w:highlight w:val="none"/>
              </w:rPr>
              <w:t>年</w:t>
            </w:r>
          </w:p>
        </w:tc>
      </w:tr>
      <w:tr w14:paraId="603BD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948" w:type="dxa"/>
            <w:vMerge w:val="continue"/>
            <w:tcBorders>
              <w:top w:val="nil"/>
            </w:tcBorders>
            <w:noWrap w:val="0"/>
            <w:vAlign w:val="top"/>
          </w:tcPr>
          <w:p w14:paraId="65FEF2A9">
            <w:pPr>
              <w:rPr>
                <w:rFonts w:ascii="Arial"/>
                <w:color w:val="auto"/>
                <w:sz w:val="21"/>
                <w:highlight w:val="none"/>
              </w:rPr>
            </w:pPr>
          </w:p>
        </w:tc>
        <w:tc>
          <w:tcPr>
            <w:tcW w:w="810" w:type="dxa"/>
            <w:vMerge w:val="continue"/>
            <w:tcBorders>
              <w:top w:val="nil"/>
            </w:tcBorders>
            <w:noWrap w:val="0"/>
            <w:vAlign w:val="top"/>
          </w:tcPr>
          <w:p w14:paraId="12E0B05B">
            <w:pPr>
              <w:rPr>
                <w:rFonts w:ascii="Arial"/>
                <w:color w:val="auto"/>
                <w:sz w:val="21"/>
                <w:highlight w:val="none"/>
              </w:rPr>
            </w:pPr>
          </w:p>
        </w:tc>
        <w:tc>
          <w:tcPr>
            <w:tcW w:w="675" w:type="dxa"/>
            <w:vMerge w:val="continue"/>
            <w:tcBorders>
              <w:top w:val="nil"/>
            </w:tcBorders>
            <w:noWrap w:val="0"/>
            <w:vAlign w:val="top"/>
          </w:tcPr>
          <w:p w14:paraId="012508E3">
            <w:pPr>
              <w:rPr>
                <w:rFonts w:ascii="Arial"/>
                <w:color w:val="auto"/>
                <w:sz w:val="21"/>
                <w:highlight w:val="none"/>
              </w:rPr>
            </w:pPr>
          </w:p>
        </w:tc>
        <w:tc>
          <w:tcPr>
            <w:tcW w:w="1081" w:type="dxa"/>
            <w:vMerge w:val="continue"/>
            <w:tcBorders>
              <w:top w:val="nil"/>
            </w:tcBorders>
            <w:noWrap w:val="0"/>
            <w:vAlign w:val="top"/>
          </w:tcPr>
          <w:p w14:paraId="183B4222">
            <w:pPr>
              <w:rPr>
                <w:rFonts w:ascii="Arial"/>
                <w:color w:val="auto"/>
                <w:sz w:val="21"/>
                <w:highlight w:val="none"/>
              </w:rPr>
            </w:pPr>
          </w:p>
        </w:tc>
        <w:tc>
          <w:tcPr>
            <w:tcW w:w="2972" w:type="dxa"/>
            <w:noWrap w:val="0"/>
            <w:vAlign w:val="top"/>
          </w:tcPr>
          <w:p w14:paraId="48FC5E7B">
            <w:pPr>
              <w:pStyle w:val="223"/>
              <w:spacing w:before="69" w:line="228" w:lineRule="auto"/>
              <w:ind w:left="363"/>
              <w:rPr>
                <w:color w:val="auto"/>
                <w:highlight w:val="none"/>
              </w:rPr>
            </w:pPr>
            <w:r>
              <w:rPr>
                <w:color w:val="auto"/>
                <w:spacing w:val="5"/>
                <w:highlight w:val="none"/>
              </w:rPr>
              <w:t>电动转向油泵（含电机）</w:t>
            </w:r>
          </w:p>
        </w:tc>
        <w:tc>
          <w:tcPr>
            <w:tcW w:w="2040" w:type="dxa"/>
            <w:noWrap w:val="0"/>
            <w:vAlign w:val="top"/>
          </w:tcPr>
          <w:p w14:paraId="6EFA37AF">
            <w:pPr>
              <w:pStyle w:val="223"/>
              <w:spacing w:before="7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bl>
    <w:p w14:paraId="7F45BE67">
      <w:pPr>
        <w:pStyle w:val="17"/>
        <w:tabs>
          <w:tab w:val="left" w:pos="574"/>
        </w:tabs>
        <w:rPr>
          <w:color w:val="auto"/>
          <w:highlight w:val="none"/>
        </w:rPr>
      </w:pPr>
    </w:p>
    <w:p w14:paraId="50C91209">
      <w:pPr>
        <w:rPr>
          <w:color w:val="auto"/>
          <w:highlight w:val="none"/>
        </w:rPr>
        <w:sectPr>
          <w:footerReference r:id="rId20" w:type="default"/>
          <w:pgSz w:w="11906" w:h="16839"/>
          <w:pgMar w:top="1431" w:right="1687" w:bottom="1231" w:left="1687" w:header="0" w:footer="984" w:gutter="0"/>
          <w:pgNumType w:fmt="decimal"/>
          <w:cols w:space="720" w:num="1"/>
        </w:sectPr>
      </w:pPr>
    </w:p>
    <w:p w14:paraId="148B4088">
      <w:pPr>
        <w:spacing w:line="91" w:lineRule="auto"/>
        <w:rPr>
          <w:rFonts w:ascii="Arial"/>
          <w:color w:val="auto"/>
          <w:sz w:val="2"/>
          <w:highlight w:val="none"/>
        </w:rPr>
      </w:pPr>
    </w:p>
    <w:tbl>
      <w:tblPr>
        <w:tblStyle w:val="224"/>
        <w:tblW w:w="852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8"/>
        <w:gridCol w:w="810"/>
        <w:gridCol w:w="675"/>
        <w:gridCol w:w="1081"/>
        <w:gridCol w:w="2972"/>
        <w:gridCol w:w="2040"/>
      </w:tblGrid>
      <w:tr w14:paraId="46DD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948" w:type="dxa"/>
            <w:vMerge w:val="restart"/>
            <w:noWrap w:val="0"/>
            <w:vAlign w:val="top"/>
          </w:tcPr>
          <w:p w14:paraId="3E8361C2">
            <w:pPr>
              <w:rPr>
                <w:rFonts w:ascii="Arial"/>
                <w:color w:val="auto"/>
                <w:sz w:val="21"/>
                <w:highlight w:val="none"/>
              </w:rPr>
            </w:pPr>
          </w:p>
        </w:tc>
        <w:tc>
          <w:tcPr>
            <w:tcW w:w="810" w:type="dxa"/>
            <w:vMerge w:val="restart"/>
            <w:noWrap w:val="0"/>
            <w:vAlign w:val="top"/>
          </w:tcPr>
          <w:p w14:paraId="783382E2">
            <w:pPr>
              <w:rPr>
                <w:rFonts w:ascii="Arial"/>
                <w:color w:val="auto"/>
                <w:sz w:val="21"/>
                <w:highlight w:val="none"/>
              </w:rPr>
            </w:pPr>
          </w:p>
        </w:tc>
        <w:tc>
          <w:tcPr>
            <w:tcW w:w="675" w:type="dxa"/>
            <w:noWrap w:val="0"/>
            <w:vAlign w:val="top"/>
          </w:tcPr>
          <w:p w14:paraId="6FD99FFD">
            <w:pPr>
              <w:rPr>
                <w:rFonts w:ascii="Arial"/>
                <w:color w:val="auto"/>
                <w:sz w:val="21"/>
                <w:highlight w:val="none"/>
              </w:rPr>
            </w:pPr>
          </w:p>
        </w:tc>
        <w:tc>
          <w:tcPr>
            <w:tcW w:w="1081" w:type="dxa"/>
            <w:noWrap w:val="0"/>
            <w:vAlign w:val="top"/>
          </w:tcPr>
          <w:p w14:paraId="7C9D3D80">
            <w:pPr>
              <w:rPr>
                <w:rFonts w:ascii="Arial"/>
                <w:color w:val="auto"/>
                <w:sz w:val="21"/>
                <w:highlight w:val="none"/>
              </w:rPr>
            </w:pPr>
          </w:p>
        </w:tc>
        <w:tc>
          <w:tcPr>
            <w:tcW w:w="2972" w:type="dxa"/>
            <w:noWrap w:val="0"/>
            <w:vAlign w:val="top"/>
          </w:tcPr>
          <w:p w14:paraId="5C716C81">
            <w:pPr>
              <w:pStyle w:val="223"/>
              <w:spacing w:before="71" w:line="229" w:lineRule="auto"/>
              <w:ind w:left="1179"/>
              <w:rPr>
                <w:color w:val="auto"/>
                <w:highlight w:val="none"/>
              </w:rPr>
            </w:pPr>
            <w:r>
              <w:rPr>
                <w:color w:val="auto"/>
                <w:spacing w:val="6"/>
                <w:highlight w:val="none"/>
              </w:rPr>
              <w:t>转向器</w:t>
            </w:r>
          </w:p>
        </w:tc>
        <w:tc>
          <w:tcPr>
            <w:tcW w:w="2040" w:type="dxa"/>
            <w:noWrap w:val="0"/>
            <w:vAlign w:val="top"/>
          </w:tcPr>
          <w:p w14:paraId="245E165A">
            <w:pPr>
              <w:pStyle w:val="223"/>
              <w:spacing w:before="71"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10E7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48" w:type="dxa"/>
            <w:vMerge w:val="continue"/>
            <w:noWrap w:val="0"/>
            <w:vAlign w:val="top"/>
          </w:tcPr>
          <w:p w14:paraId="6BA1A230">
            <w:pPr>
              <w:rPr>
                <w:rFonts w:ascii="Arial"/>
                <w:color w:val="auto"/>
                <w:sz w:val="21"/>
                <w:highlight w:val="none"/>
              </w:rPr>
            </w:pPr>
          </w:p>
        </w:tc>
        <w:tc>
          <w:tcPr>
            <w:tcW w:w="810" w:type="dxa"/>
            <w:vMerge w:val="continue"/>
            <w:noWrap w:val="0"/>
            <w:vAlign w:val="top"/>
          </w:tcPr>
          <w:p w14:paraId="60DA0DF2">
            <w:pPr>
              <w:rPr>
                <w:rFonts w:ascii="Arial"/>
                <w:color w:val="auto"/>
                <w:sz w:val="21"/>
                <w:highlight w:val="none"/>
              </w:rPr>
            </w:pPr>
          </w:p>
        </w:tc>
        <w:tc>
          <w:tcPr>
            <w:tcW w:w="675" w:type="dxa"/>
            <w:vMerge w:val="restart"/>
            <w:noWrap w:val="0"/>
            <w:vAlign w:val="top"/>
          </w:tcPr>
          <w:p w14:paraId="5AB6FAD8">
            <w:pPr>
              <w:rPr>
                <w:rFonts w:ascii="Arial"/>
                <w:color w:val="auto"/>
                <w:sz w:val="21"/>
                <w:highlight w:val="none"/>
              </w:rPr>
            </w:pPr>
          </w:p>
        </w:tc>
        <w:tc>
          <w:tcPr>
            <w:tcW w:w="1081" w:type="dxa"/>
            <w:vMerge w:val="restart"/>
            <w:noWrap w:val="0"/>
            <w:vAlign w:val="top"/>
          </w:tcPr>
          <w:p w14:paraId="2E5739B5">
            <w:pPr>
              <w:spacing w:line="261" w:lineRule="auto"/>
              <w:rPr>
                <w:rFonts w:ascii="Arial"/>
                <w:color w:val="auto"/>
                <w:sz w:val="21"/>
                <w:highlight w:val="none"/>
              </w:rPr>
            </w:pPr>
          </w:p>
          <w:p w14:paraId="1A6BADDF">
            <w:pPr>
              <w:spacing w:line="261" w:lineRule="auto"/>
              <w:rPr>
                <w:rFonts w:ascii="Arial"/>
                <w:color w:val="auto"/>
                <w:sz w:val="21"/>
                <w:highlight w:val="none"/>
              </w:rPr>
            </w:pPr>
          </w:p>
          <w:p w14:paraId="32D72B2A">
            <w:pPr>
              <w:pStyle w:val="223"/>
              <w:spacing w:before="65" w:line="230" w:lineRule="auto"/>
              <w:ind w:left="127"/>
              <w:rPr>
                <w:color w:val="auto"/>
                <w:highlight w:val="none"/>
              </w:rPr>
            </w:pPr>
            <w:r>
              <w:rPr>
                <w:color w:val="auto"/>
                <w:spacing w:val="6"/>
                <w:highlight w:val="none"/>
              </w:rPr>
              <w:t>冷却系统</w:t>
            </w:r>
          </w:p>
        </w:tc>
        <w:tc>
          <w:tcPr>
            <w:tcW w:w="2972" w:type="dxa"/>
            <w:noWrap w:val="0"/>
            <w:vAlign w:val="top"/>
          </w:tcPr>
          <w:p w14:paraId="44F8A7C3">
            <w:pPr>
              <w:pStyle w:val="223"/>
              <w:spacing w:before="67" w:line="228" w:lineRule="auto"/>
              <w:ind w:left="1177"/>
              <w:rPr>
                <w:color w:val="auto"/>
                <w:highlight w:val="none"/>
              </w:rPr>
            </w:pPr>
            <w:r>
              <w:rPr>
                <w:color w:val="auto"/>
                <w:spacing w:val="7"/>
                <w:highlight w:val="none"/>
              </w:rPr>
              <w:t>散热器</w:t>
            </w:r>
          </w:p>
        </w:tc>
        <w:tc>
          <w:tcPr>
            <w:tcW w:w="2040" w:type="dxa"/>
            <w:noWrap w:val="0"/>
            <w:vAlign w:val="top"/>
          </w:tcPr>
          <w:p w14:paraId="0E31184E">
            <w:pPr>
              <w:pStyle w:val="223"/>
              <w:spacing w:before="67"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3D38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48" w:type="dxa"/>
            <w:vMerge w:val="continue"/>
            <w:noWrap w:val="0"/>
            <w:vAlign w:val="top"/>
          </w:tcPr>
          <w:p w14:paraId="097037AE">
            <w:pPr>
              <w:rPr>
                <w:rFonts w:ascii="Arial"/>
                <w:color w:val="auto"/>
                <w:sz w:val="21"/>
                <w:highlight w:val="none"/>
              </w:rPr>
            </w:pPr>
          </w:p>
        </w:tc>
        <w:tc>
          <w:tcPr>
            <w:tcW w:w="810" w:type="dxa"/>
            <w:vMerge w:val="continue"/>
            <w:noWrap w:val="0"/>
            <w:vAlign w:val="top"/>
          </w:tcPr>
          <w:p w14:paraId="0A5DC56E">
            <w:pPr>
              <w:rPr>
                <w:rFonts w:ascii="Arial"/>
                <w:color w:val="auto"/>
                <w:sz w:val="21"/>
                <w:highlight w:val="none"/>
              </w:rPr>
            </w:pPr>
          </w:p>
        </w:tc>
        <w:tc>
          <w:tcPr>
            <w:tcW w:w="675" w:type="dxa"/>
            <w:vMerge w:val="continue"/>
            <w:noWrap w:val="0"/>
            <w:vAlign w:val="top"/>
          </w:tcPr>
          <w:p w14:paraId="702350B6">
            <w:pPr>
              <w:rPr>
                <w:rFonts w:ascii="Arial"/>
                <w:color w:val="auto"/>
                <w:sz w:val="21"/>
                <w:highlight w:val="none"/>
              </w:rPr>
            </w:pPr>
          </w:p>
        </w:tc>
        <w:tc>
          <w:tcPr>
            <w:tcW w:w="1081" w:type="dxa"/>
            <w:vMerge w:val="continue"/>
            <w:noWrap w:val="0"/>
            <w:vAlign w:val="top"/>
          </w:tcPr>
          <w:p w14:paraId="3D4CF01C">
            <w:pPr>
              <w:rPr>
                <w:rFonts w:ascii="Arial"/>
                <w:color w:val="auto"/>
                <w:sz w:val="21"/>
                <w:highlight w:val="none"/>
              </w:rPr>
            </w:pPr>
          </w:p>
        </w:tc>
        <w:tc>
          <w:tcPr>
            <w:tcW w:w="2972" w:type="dxa"/>
            <w:noWrap w:val="0"/>
            <w:vAlign w:val="top"/>
          </w:tcPr>
          <w:p w14:paraId="0DA6F8E3">
            <w:pPr>
              <w:pStyle w:val="223"/>
              <w:spacing w:before="65" w:line="228" w:lineRule="auto"/>
              <w:ind w:left="886"/>
              <w:rPr>
                <w:color w:val="auto"/>
                <w:highlight w:val="none"/>
              </w:rPr>
            </w:pPr>
            <w:r>
              <w:rPr>
                <w:color w:val="auto"/>
                <w:spacing w:val="4"/>
                <w:highlight w:val="none"/>
              </w:rPr>
              <w:t>电动水泵总成</w:t>
            </w:r>
          </w:p>
        </w:tc>
        <w:tc>
          <w:tcPr>
            <w:tcW w:w="2040" w:type="dxa"/>
            <w:noWrap w:val="0"/>
            <w:vAlign w:val="top"/>
          </w:tcPr>
          <w:p w14:paraId="3E916DCE">
            <w:pPr>
              <w:pStyle w:val="223"/>
              <w:spacing w:before="65"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7C60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48" w:type="dxa"/>
            <w:vMerge w:val="continue"/>
            <w:noWrap w:val="0"/>
            <w:vAlign w:val="top"/>
          </w:tcPr>
          <w:p w14:paraId="3D00FF3D">
            <w:pPr>
              <w:rPr>
                <w:rFonts w:ascii="Arial"/>
                <w:color w:val="auto"/>
                <w:sz w:val="21"/>
                <w:highlight w:val="none"/>
              </w:rPr>
            </w:pPr>
          </w:p>
        </w:tc>
        <w:tc>
          <w:tcPr>
            <w:tcW w:w="810" w:type="dxa"/>
            <w:vMerge w:val="continue"/>
            <w:noWrap w:val="0"/>
            <w:vAlign w:val="top"/>
          </w:tcPr>
          <w:p w14:paraId="3C64ADFD">
            <w:pPr>
              <w:rPr>
                <w:rFonts w:ascii="Arial"/>
                <w:color w:val="auto"/>
                <w:sz w:val="21"/>
                <w:highlight w:val="none"/>
              </w:rPr>
            </w:pPr>
          </w:p>
        </w:tc>
        <w:tc>
          <w:tcPr>
            <w:tcW w:w="675" w:type="dxa"/>
            <w:vMerge w:val="continue"/>
            <w:noWrap w:val="0"/>
            <w:vAlign w:val="top"/>
          </w:tcPr>
          <w:p w14:paraId="5BA59C34">
            <w:pPr>
              <w:rPr>
                <w:rFonts w:ascii="Arial"/>
                <w:color w:val="auto"/>
                <w:sz w:val="21"/>
                <w:highlight w:val="none"/>
              </w:rPr>
            </w:pPr>
          </w:p>
        </w:tc>
        <w:tc>
          <w:tcPr>
            <w:tcW w:w="1081" w:type="dxa"/>
            <w:vMerge w:val="continue"/>
            <w:noWrap w:val="0"/>
            <w:vAlign w:val="top"/>
          </w:tcPr>
          <w:p w14:paraId="3B4FE206">
            <w:pPr>
              <w:rPr>
                <w:rFonts w:ascii="Arial"/>
                <w:color w:val="auto"/>
                <w:sz w:val="21"/>
                <w:highlight w:val="none"/>
              </w:rPr>
            </w:pPr>
          </w:p>
        </w:tc>
        <w:tc>
          <w:tcPr>
            <w:tcW w:w="2972" w:type="dxa"/>
            <w:noWrap w:val="0"/>
            <w:vAlign w:val="top"/>
          </w:tcPr>
          <w:p w14:paraId="60CCBE02">
            <w:pPr>
              <w:pStyle w:val="223"/>
              <w:spacing w:before="65" w:line="229" w:lineRule="auto"/>
              <w:ind w:left="1097"/>
              <w:rPr>
                <w:color w:val="auto"/>
                <w:highlight w:val="none"/>
              </w:rPr>
            </w:pPr>
            <w:r>
              <w:rPr>
                <w:color w:val="auto"/>
                <w:spacing w:val="1"/>
                <w:highlight w:val="none"/>
              </w:rPr>
              <w:t>电子风扇</w:t>
            </w:r>
          </w:p>
        </w:tc>
        <w:tc>
          <w:tcPr>
            <w:tcW w:w="2040" w:type="dxa"/>
            <w:noWrap w:val="0"/>
            <w:vAlign w:val="top"/>
          </w:tcPr>
          <w:p w14:paraId="2A3FE7FF">
            <w:pPr>
              <w:pStyle w:val="223"/>
              <w:spacing w:before="66"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3822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48" w:type="dxa"/>
            <w:vMerge w:val="continue"/>
            <w:noWrap w:val="0"/>
            <w:vAlign w:val="top"/>
          </w:tcPr>
          <w:p w14:paraId="44D71F8B">
            <w:pPr>
              <w:rPr>
                <w:rFonts w:ascii="Arial"/>
                <w:color w:val="auto"/>
                <w:sz w:val="21"/>
                <w:highlight w:val="none"/>
              </w:rPr>
            </w:pPr>
          </w:p>
        </w:tc>
        <w:tc>
          <w:tcPr>
            <w:tcW w:w="810" w:type="dxa"/>
            <w:vMerge w:val="continue"/>
            <w:noWrap w:val="0"/>
            <w:vAlign w:val="top"/>
          </w:tcPr>
          <w:p w14:paraId="762475C6">
            <w:pPr>
              <w:rPr>
                <w:rFonts w:ascii="Arial"/>
                <w:color w:val="auto"/>
                <w:sz w:val="21"/>
                <w:highlight w:val="none"/>
              </w:rPr>
            </w:pPr>
          </w:p>
        </w:tc>
        <w:tc>
          <w:tcPr>
            <w:tcW w:w="675" w:type="dxa"/>
            <w:vMerge w:val="continue"/>
            <w:noWrap w:val="0"/>
            <w:vAlign w:val="top"/>
          </w:tcPr>
          <w:p w14:paraId="197A3D2A">
            <w:pPr>
              <w:rPr>
                <w:rFonts w:ascii="Arial"/>
                <w:color w:val="auto"/>
                <w:sz w:val="21"/>
                <w:highlight w:val="none"/>
              </w:rPr>
            </w:pPr>
          </w:p>
        </w:tc>
        <w:tc>
          <w:tcPr>
            <w:tcW w:w="1081" w:type="dxa"/>
            <w:vMerge w:val="continue"/>
            <w:noWrap w:val="0"/>
            <w:vAlign w:val="top"/>
          </w:tcPr>
          <w:p w14:paraId="3DB5EF95">
            <w:pPr>
              <w:rPr>
                <w:rFonts w:ascii="Arial"/>
                <w:color w:val="auto"/>
                <w:sz w:val="21"/>
                <w:highlight w:val="none"/>
              </w:rPr>
            </w:pPr>
          </w:p>
        </w:tc>
        <w:tc>
          <w:tcPr>
            <w:tcW w:w="2972" w:type="dxa"/>
            <w:noWrap w:val="0"/>
            <w:vAlign w:val="top"/>
          </w:tcPr>
          <w:p w14:paraId="0F86CB54">
            <w:pPr>
              <w:pStyle w:val="223"/>
              <w:spacing w:before="66" w:line="228" w:lineRule="auto"/>
              <w:ind w:left="1073"/>
              <w:rPr>
                <w:color w:val="auto"/>
                <w:highlight w:val="none"/>
              </w:rPr>
            </w:pPr>
            <w:r>
              <w:rPr>
                <w:color w:val="auto"/>
                <w:spacing w:val="7"/>
                <w:highlight w:val="none"/>
              </w:rPr>
              <w:t>膨胀水箱</w:t>
            </w:r>
          </w:p>
        </w:tc>
        <w:tc>
          <w:tcPr>
            <w:tcW w:w="2040" w:type="dxa"/>
            <w:noWrap w:val="0"/>
            <w:vAlign w:val="top"/>
          </w:tcPr>
          <w:p w14:paraId="44243DDF">
            <w:pPr>
              <w:pStyle w:val="223"/>
              <w:spacing w:before="66"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310B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trPr>
        <w:tc>
          <w:tcPr>
            <w:tcW w:w="948" w:type="dxa"/>
            <w:vMerge w:val="continue"/>
            <w:noWrap w:val="0"/>
            <w:vAlign w:val="top"/>
          </w:tcPr>
          <w:p w14:paraId="69A0ADEC">
            <w:pPr>
              <w:rPr>
                <w:rFonts w:ascii="Arial"/>
                <w:color w:val="auto"/>
                <w:sz w:val="21"/>
                <w:highlight w:val="none"/>
              </w:rPr>
            </w:pPr>
          </w:p>
        </w:tc>
        <w:tc>
          <w:tcPr>
            <w:tcW w:w="810" w:type="dxa"/>
            <w:vMerge w:val="restart"/>
            <w:noWrap w:val="0"/>
            <w:vAlign w:val="top"/>
          </w:tcPr>
          <w:p w14:paraId="2371B402">
            <w:pPr>
              <w:spacing w:line="257" w:lineRule="auto"/>
              <w:rPr>
                <w:rFonts w:ascii="Arial"/>
                <w:color w:val="auto"/>
                <w:sz w:val="21"/>
                <w:highlight w:val="none"/>
              </w:rPr>
            </w:pPr>
          </w:p>
          <w:p w14:paraId="0F5B75D9">
            <w:pPr>
              <w:pStyle w:val="223"/>
              <w:spacing w:before="65" w:line="187" w:lineRule="auto"/>
              <w:ind w:left="360"/>
              <w:rPr>
                <w:color w:val="auto"/>
                <w:highlight w:val="none"/>
              </w:rPr>
            </w:pPr>
            <w:r>
              <w:rPr>
                <w:color w:val="auto"/>
                <w:highlight w:val="none"/>
              </w:rPr>
              <w:t>7</w:t>
            </w:r>
          </w:p>
        </w:tc>
        <w:tc>
          <w:tcPr>
            <w:tcW w:w="1756" w:type="dxa"/>
            <w:gridSpan w:val="2"/>
            <w:vMerge w:val="restart"/>
            <w:noWrap w:val="0"/>
            <w:vAlign w:val="top"/>
          </w:tcPr>
          <w:p w14:paraId="7BBB392B">
            <w:pPr>
              <w:pStyle w:val="223"/>
              <w:spacing w:before="289" w:line="228" w:lineRule="auto"/>
              <w:ind w:left="288"/>
              <w:rPr>
                <w:color w:val="auto"/>
                <w:highlight w:val="none"/>
              </w:rPr>
            </w:pPr>
            <w:r>
              <w:rPr>
                <w:color w:val="auto"/>
                <w:spacing w:val="2"/>
                <w:highlight w:val="none"/>
              </w:rPr>
              <w:t>自动灭火系统</w:t>
            </w:r>
          </w:p>
        </w:tc>
        <w:tc>
          <w:tcPr>
            <w:tcW w:w="2972" w:type="dxa"/>
            <w:noWrap w:val="0"/>
            <w:vAlign w:val="top"/>
          </w:tcPr>
          <w:p w14:paraId="765AC328">
            <w:pPr>
              <w:pStyle w:val="223"/>
              <w:spacing w:before="90" w:line="228" w:lineRule="auto"/>
              <w:ind w:left="572"/>
              <w:rPr>
                <w:color w:val="auto"/>
                <w:highlight w:val="none"/>
              </w:rPr>
            </w:pPr>
            <w:r>
              <w:rPr>
                <w:color w:val="auto"/>
                <w:spacing w:val="6"/>
                <w:highlight w:val="none"/>
              </w:rPr>
              <w:t>电池箱专用灭火装置</w:t>
            </w:r>
          </w:p>
        </w:tc>
        <w:tc>
          <w:tcPr>
            <w:tcW w:w="2040" w:type="dxa"/>
            <w:noWrap w:val="0"/>
            <w:vAlign w:val="top"/>
          </w:tcPr>
          <w:p w14:paraId="1BFF5F56">
            <w:pPr>
              <w:pStyle w:val="223"/>
              <w:spacing w:before="9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72CA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trPr>
        <w:tc>
          <w:tcPr>
            <w:tcW w:w="948" w:type="dxa"/>
            <w:vMerge w:val="continue"/>
            <w:noWrap w:val="0"/>
            <w:vAlign w:val="top"/>
          </w:tcPr>
          <w:p w14:paraId="03F4486C">
            <w:pPr>
              <w:rPr>
                <w:rFonts w:ascii="Arial"/>
                <w:color w:val="auto"/>
                <w:sz w:val="21"/>
                <w:highlight w:val="none"/>
              </w:rPr>
            </w:pPr>
          </w:p>
        </w:tc>
        <w:tc>
          <w:tcPr>
            <w:tcW w:w="810" w:type="dxa"/>
            <w:vMerge w:val="continue"/>
            <w:noWrap w:val="0"/>
            <w:vAlign w:val="top"/>
          </w:tcPr>
          <w:p w14:paraId="4F90A5FF">
            <w:pPr>
              <w:rPr>
                <w:rFonts w:ascii="Arial"/>
                <w:color w:val="auto"/>
                <w:sz w:val="21"/>
                <w:highlight w:val="none"/>
              </w:rPr>
            </w:pPr>
          </w:p>
        </w:tc>
        <w:tc>
          <w:tcPr>
            <w:tcW w:w="1756" w:type="dxa"/>
            <w:gridSpan w:val="2"/>
            <w:vMerge w:val="continue"/>
            <w:noWrap w:val="0"/>
            <w:vAlign w:val="top"/>
          </w:tcPr>
          <w:p w14:paraId="52FD3816">
            <w:pPr>
              <w:rPr>
                <w:rFonts w:ascii="Arial"/>
                <w:color w:val="auto"/>
                <w:sz w:val="21"/>
                <w:highlight w:val="none"/>
              </w:rPr>
            </w:pPr>
          </w:p>
        </w:tc>
        <w:tc>
          <w:tcPr>
            <w:tcW w:w="2972" w:type="dxa"/>
            <w:noWrap w:val="0"/>
            <w:vAlign w:val="top"/>
          </w:tcPr>
          <w:p w14:paraId="02E0959E">
            <w:pPr>
              <w:pStyle w:val="223"/>
              <w:spacing w:before="90" w:line="228" w:lineRule="auto"/>
              <w:ind w:left="553"/>
              <w:rPr>
                <w:color w:val="auto"/>
                <w:highlight w:val="none"/>
              </w:rPr>
            </w:pPr>
            <w:r>
              <w:rPr>
                <w:color w:val="auto"/>
                <w:spacing w:val="8"/>
                <w:highlight w:val="none"/>
              </w:rPr>
              <w:t>高压仓自动灭火装置</w:t>
            </w:r>
          </w:p>
        </w:tc>
        <w:tc>
          <w:tcPr>
            <w:tcW w:w="2040" w:type="dxa"/>
            <w:noWrap w:val="0"/>
            <w:vAlign w:val="top"/>
          </w:tcPr>
          <w:p w14:paraId="097CE4E8">
            <w:pPr>
              <w:pStyle w:val="223"/>
              <w:spacing w:before="90"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0CFB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trPr>
        <w:tc>
          <w:tcPr>
            <w:tcW w:w="948" w:type="dxa"/>
            <w:vMerge w:val="continue"/>
            <w:noWrap w:val="0"/>
            <w:vAlign w:val="top"/>
          </w:tcPr>
          <w:p w14:paraId="2B871BD3">
            <w:pPr>
              <w:rPr>
                <w:rFonts w:ascii="Arial"/>
                <w:color w:val="auto"/>
                <w:sz w:val="21"/>
                <w:highlight w:val="none"/>
              </w:rPr>
            </w:pPr>
          </w:p>
        </w:tc>
        <w:tc>
          <w:tcPr>
            <w:tcW w:w="810" w:type="dxa"/>
            <w:vMerge w:val="restart"/>
            <w:noWrap w:val="0"/>
            <w:vAlign w:val="top"/>
          </w:tcPr>
          <w:p w14:paraId="7EF1DB8C">
            <w:pPr>
              <w:spacing w:line="256" w:lineRule="auto"/>
              <w:rPr>
                <w:rFonts w:ascii="Arial"/>
                <w:color w:val="auto"/>
                <w:sz w:val="21"/>
                <w:highlight w:val="none"/>
              </w:rPr>
            </w:pPr>
          </w:p>
          <w:p w14:paraId="1A858A5E">
            <w:pPr>
              <w:pStyle w:val="223"/>
              <w:spacing w:before="65" w:line="189" w:lineRule="auto"/>
              <w:ind w:left="356"/>
              <w:rPr>
                <w:color w:val="auto"/>
                <w:highlight w:val="none"/>
              </w:rPr>
            </w:pPr>
            <w:r>
              <w:rPr>
                <w:color w:val="auto"/>
                <w:highlight w:val="none"/>
              </w:rPr>
              <w:t>8</w:t>
            </w:r>
          </w:p>
        </w:tc>
        <w:tc>
          <w:tcPr>
            <w:tcW w:w="1756" w:type="dxa"/>
            <w:gridSpan w:val="2"/>
            <w:vMerge w:val="restart"/>
            <w:noWrap w:val="0"/>
            <w:vAlign w:val="top"/>
          </w:tcPr>
          <w:p w14:paraId="0E72CC6C">
            <w:pPr>
              <w:pStyle w:val="223"/>
              <w:spacing w:before="289" w:line="230" w:lineRule="auto"/>
              <w:ind w:left="469"/>
              <w:rPr>
                <w:color w:val="auto"/>
                <w:highlight w:val="none"/>
              </w:rPr>
            </w:pPr>
            <w:r>
              <w:rPr>
                <w:color w:val="auto"/>
                <w:spacing w:val="5"/>
                <w:highlight w:val="none"/>
              </w:rPr>
              <w:t>空调系统</w:t>
            </w:r>
          </w:p>
        </w:tc>
        <w:tc>
          <w:tcPr>
            <w:tcW w:w="2972" w:type="dxa"/>
            <w:noWrap w:val="0"/>
            <w:vAlign w:val="top"/>
          </w:tcPr>
          <w:p w14:paraId="48880620">
            <w:pPr>
              <w:pStyle w:val="223"/>
              <w:spacing w:before="90" w:line="229" w:lineRule="auto"/>
              <w:ind w:left="549"/>
              <w:rPr>
                <w:color w:val="auto"/>
                <w:highlight w:val="none"/>
              </w:rPr>
            </w:pPr>
            <w:r>
              <w:rPr>
                <w:color w:val="auto"/>
                <w:spacing w:val="8"/>
                <w:highlight w:val="none"/>
              </w:rPr>
              <w:t>冷暖一体电空调总成</w:t>
            </w:r>
          </w:p>
        </w:tc>
        <w:tc>
          <w:tcPr>
            <w:tcW w:w="2040" w:type="dxa"/>
            <w:noWrap w:val="0"/>
            <w:vAlign w:val="top"/>
          </w:tcPr>
          <w:p w14:paraId="3E80F31C">
            <w:pPr>
              <w:pStyle w:val="223"/>
              <w:spacing w:before="91"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494C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trPr>
        <w:tc>
          <w:tcPr>
            <w:tcW w:w="948" w:type="dxa"/>
            <w:vMerge w:val="continue"/>
            <w:noWrap w:val="0"/>
            <w:vAlign w:val="top"/>
          </w:tcPr>
          <w:p w14:paraId="3BA988BC">
            <w:pPr>
              <w:rPr>
                <w:rFonts w:ascii="Arial"/>
                <w:color w:val="auto"/>
                <w:sz w:val="21"/>
                <w:highlight w:val="none"/>
              </w:rPr>
            </w:pPr>
          </w:p>
        </w:tc>
        <w:tc>
          <w:tcPr>
            <w:tcW w:w="810" w:type="dxa"/>
            <w:vMerge w:val="continue"/>
            <w:noWrap w:val="0"/>
            <w:vAlign w:val="top"/>
          </w:tcPr>
          <w:p w14:paraId="3CC76490">
            <w:pPr>
              <w:rPr>
                <w:rFonts w:ascii="Arial"/>
                <w:color w:val="auto"/>
                <w:sz w:val="21"/>
                <w:highlight w:val="none"/>
              </w:rPr>
            </w:pPr>
          </w:p>
        </w:tc>
        <w:tc>
          <w:tcPr>
            <w:tcW w:w="1756" w:type="dxa"/>
            <w:gridSpan w:val="2"/>
            <w:vMerge w:val="continue"/>
            <w:noWrap w:val="0"/>
            <w:vAlign w:val="top"/>
          </w:tcPr>
          <w:p w14:paraId="76604B98">
            <w:pPr>
              <w:rPr>
                <w:rFonts w:ascii="Arial"/>
                <w:color w:val="auto"/>
                <w:sz w:val="21"/>
                <w:highlight w:val="none"/>
              </w:rPr>
            </w:pPr>
          </w:p>
        </w:tc>
        <w:tc>
          <w:tcPr>
            <w:tcW w:w="2972" w:type="dxa"/>
            <w:noWrap w:val="0"/>
            <w:vAlign w:val="top"/>
          </w:tcPr>
          <w:p w14:paraId="675499FC">
            <w:pPr>
              <w:pStyle w:val="223"/>
              <w:spacing w:before="90" w:line="228" w:lineRule="auto"/>
              <w:ind w:left="1097"/>
              <w:rPr>
                <w:color w:val="auto"/>
                <w:highlight w:val="none"/>
              </w:rPr>
            </w:pPr>
            <w:r>
              <w:rPr>
                <w:color w:val="auto"/>
                <w:spacing w:val="1"/>
                <w:highlight w:val="none"/>
              </w:rPr>
              <w:t>电除霜机</w:t>
            </w:r>
          </w:p>
        </w:tc>
        <w:tc>
          <w:tcPr>
            <w:tcW w:w="2040" w:type="dxa"/>
            <w:noWrap w:val="0"/>
            <w:vAlign w:val="top"/>
          </w:tcPr>
          <w:p w14:paraId="0501F299">
            <w:pPr>
              <w:pStyle w:val="223"/>
              <w:spacing w:before="91" w:line="228" w:lineRule="auto"/>
              <w:ind w:left="842"/>
              <w:rPr>
                <w:color w:val="auto"/>
                <w:highlight w:val="none"/>
              </w:rPr>
            </w:pPr>
            <w:r>
              <w:rPr>
                <w:color w:val="auto"/>
                <w:spacing w:val="-3"/>
                <w:highlight w:val="none"/>
              </w:rPr>
              <w:t>8</w:t>
            </w:r>
            <w:r>
              <w:rPr>
                <w:color w:val="auto"/>
                <w:spacing w:val="-39"/>
                <w:highlight w:val="none"/>
              </w:rPr>
              <w:t xml:space="preserve"> </w:t>
            </w:r>
            <w:r>
              <w:rPr>
                <w:color w:val="auto"/>
                <w:spacing w:val="-3"/>
                <w:highlight w:val="none"/>
              </w:rPr>
              <w:t>年</w:t>
            </w:r>
          </w:p>
        </w:tc>
      </w:tr>
      <w:tr w14:paraId="23A9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948" w:type="dxa"/>
            <w:vMerge w:val="continue"/>
            <w:noWrap w:val="0"/>
            <w:vAlign w:val="top"/>
          </w:tcPr>
          <w:p w14:paraId="6B34FB95">
            <w:pPr>
              <w:rPr>
                <w:rFonts w:ascii="Arial"/>
                <w:color w:val="auto"/>
                <w:sz w:val="21"/>
                <w:highlight w:val="none"/>
              </w:rPr>
            </w:pPr>
          </w:p>
        </w:tc>
        <w:tc>
          <w:tcPr>
            <w:tcW w:w="810" w:type="dxa"/>
            <w:noWrap w:val="0"/>
            <w:vAlign w:val="top"/>
          </w:tcPr>
          <w:p w14:paraId="00CC939D">
            <w:pPr>
              <w:rPr>
                <w:rFonts w:ascii="Arial"/>
                <w:color w:val="auto"/>
                <w:sz w:val="21"/>
                <w:highlight w:val="none"/>
              </w:rPr>
            </w:pPr>
          </w:p>
        </w:tc>
        <w:tc>
          <w:tcPr>
            <w:tcW w:w="1756" w:type="dxa"/>
            <w:gridSpan w:val="2"/>
            <w:noWrap w:val="0"/>
            <w:vAlign w:val="top"/>
          </w:tcPr>
          <w:p w14:paraId="6EE620CB">
            <w:pPr>
              <w:rPr>
                <w:rFonts w:ascii="Arial"/>
                <w:color w:val="auto"/>
                <w:sz w:val="21"/>
                <w:highlight w:val="none"/>
              </w:rPr>
            </w:pPr>
          </w:p>
        </w:tc>
        <w:tc>
          <w:tcPr>
            <w:tcW w:w="2972" w:type="dxa"/>
            <w:noWrap w:val="0"/>
            <w:vAlign w:val="top"/>
          </w:tcPr>
          <w:p w14:paraId="2052860D">
            <w:pPr>
              <w:pStyle w:val="223"/>
              <w:spacing w:before="209" w:line="229" w:lineRule="auto"/>
              <w:ind w:left="1179"/>
              <w:rPr>
                <w:color w:val="auto"/>
                <w:highlight w:val="none"/>
              </w:rPr>
            </w:pPr>
            <w:r>
              <w:rPr>
                <w:color w:val="auto"/>
                <w:spacing w:val="6"/>
                <w:highlight w:val="none"/>
              </w:rPr>
              <w:t>制动片</w:t>
            </w:r>
          </w:p>
        </w:tc>
        <w:tc>
          <w:tcPr>
            <w:tcW w:w="2040" w:type="dxa"/>
            <w:noWrap w:val="0"/>
            <w:vAlign w:val="top"/>
          </w:tcPr>
          <w:p w14:paraId="6777298E">
            <w:pPr>
              <w:pStyle w:val="223"/>
              <w:spacing w:before="52" w:line="261" w:lineRule="auto"/>
              <w:ind w:left="290" w:right="109" w:hanging="171"/>
              <w:rPr>
                <w:color w:val="auto"/>
                <w:highlight w:val="none"/>
              </w:rPr>
            </w:pPr>
            <w:r>
              <w:rPr>
                <w:color w:val="auto"/>
                <w:highlight w:val="none"/>
              </w:rPr>
              <w:t>常规磨损不保修，保</w:t>
            </w:r>
            <w:r>
              <w:rPr>
                <w:color w:val="auto"/>
                <w:spacing w:val="5"/>
                <w:highlight w:val="none"/>
              </w:rPr>
              <w:t xml:space="preserve"> </w:t>
            </w:r>
            <w:r>
              <w:rPr>
                <w:color w:val="auto"/>
                <w:spacing w:val="8"/>
                <w:highlight w:val="none"/>
              </w:rPr>
              <w:t>养周期自行更换</w:t>
            </w:r>
          </w:p>
        </w:tc>
      </w:tr>
      <w:tr w14:paraId="7627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948" w:type="dxa"/>
            <w:vMerge w:val="continue"/>
            <w:noWrap w:val="0"/>
            <w:vAlign w:val="top"/>
          </w:tcPr>
          <w:p w14:paraId="01C71BA0">
            <w:pPr>
              <w:rPr>
                <w:rFonts w:ascii="Arial"/>
                <w:color w:val="auto"/>
                <w:sz w:val="21"/>
                <w:highlight w:val="none"/>
              </w:rPr>
            </w:pPr>
          </w:p>
        </w:tc>
        <w:tc>
          <w:tcPr>
            <w:tcW w:w="810" w:type="dxa"/>
            <w:noWrap w:val="0"/>
            <w:vAlign w:val="top"/>
          </w:tcPr>
          <w:p w14:paraId="2B268EE6">
            <w:pPr>
              <w:rPr>
                <w:rFonts w:ascii="Arial"/>
                <w:color w:val="auto"/>
                <w:sz w:val="21"/>
                <w:highlight w:val="none"/>
              </w:rPr>
            </w:pPr>
          </w:p>
        </w:tc>
        <w:tc>
          <w:tcPr>
            <w:tcW w:w="1756" w:type="dxa"/>
            <w:gridSpan w:val="2"/>
            <w:noWrap w:val="0"/>
            <w:vAlign w:val="top"/>
          </w:tcPr>
          <w:p w14:paraId="2A5B7E83">
            <w:pPr>
              <w:rPr>
                <w:rFonts w:ascii="Arial"/>
                <w:color w:val="auto"/>
                <w:sz w:val="21"/>
                <w:highlight w:val="none"/>
              </w:rPr>
            </w:pPr>
          </w:p>
        </w:tc>
        <w:tc>
          <w:tcPr>
            <w:tcW w:w="2972" w:type="dxa"/>
            <w:noWrap w:val="0"/>
            <w:vAlign w:val="top"/>
          </w:tcPr>
          <w:p w14:paraId="43C5FF52">
            <w:pPr>
              <w:pStyle w:val="223"/>
              <w:spacing w:before="210" w:line="229" w:lineRule="auto"/>
              <w:ind w:left="1179"/>
              <w:rPr>
                <w:color w:val="auto"/>
                <w:highlight w:val="none"/>
              </w:rPr>
            </w:pPr>
            <w:r>
              <w:rPr>
                <w:color w:val="auto"/>
                <w:spacing w:val="6"/>
                <w:highlight w:val="none"/>
              </w:rPr>
              <w:t>制动盘</w:t>
            </w:r>
          </w:p>
        </w:tc>
        <w:tc>
          <w:tcPr>
            <w:tcW w:w="2040" w:type="dxa"/>
            <w:noWrap w:val="0"/>
            <w:vAlign w:val="top"/>
          </w:tcPr>
          <w:p w14:paraId="2ABDD71D">
            <w:pPr>
              <w:pStyle w:val="223"/>
              <w:spacing w:before="54" w:line="260" w:lineRule="auto"/>
              <w:ind w:left="290" w:right="109" w:hanging="171"/>
              <w:rPr>
                <w:color w:val="auto"/>
                <w:highlight w:val="none"/>
              </w:rPr>
            </w:pPr>
            <w:r>
              <w:rPr>
                <w:color w:val="auto"/>
                <w:highlight w:val="none"/>
              </w:rPr>
              <w:t>常规磨损不保修，保</w:t>
            </w:r>
            <w:r>
              <w:rPr>
                <w:color w:val="auto"/>
                <w:spacing w:val="5"/>
                <w:highlight w:val="none"/>
              </w:rPr>
              <w:t xml:space="preserve"> </w:t>
            </w:r>
            <w:r>
              <w:rPr>
                <w:color w:val="auto"/>
                <w:spacing w:val="8"/>
                <w:highlight w:val="none"/>
              </w:rPr>
              <w:t>养周期自行更换</w:t>
            </w:r>
          </w:p>
        </w:tc>
      </w:tr>
      <w:tr w14:paraId="4100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948" w:type="dxa"/>
            <w:vMerge w:val="continue"/>
            <w:noWrap w:val="0"/>
            <w:vAlign w:val="top"/>
          </w:tcPr>
          <w:p w14:paraId="7F2A5C65">
            <w:pPr>
              <w:rPr>
                <w:rFonts w:ascii="Arial"/>
                <w:color w:val="auto"/>
                <w:sz w:val="21"/>
                <w:highlight w:val="none"/>
              </w:rPr>
            </w:pPr>
          </w:p>
        </w:tc>
        <w:tc>
          <w:tcPr>
            <w:tcW w:w="810" w:type="dxa"/>
            <w:noWrap w:val="0"/>
            <w:vAlign w:val="top"/>
          </w:tcPr>
          <w:p w14:paraId="4F338577">
            <w:pPr>
              <w:rPr>
                <w:rFonts w:ascii="Arial"/>
                <w:color w:val="auto"/>
                <w:sz w:val="21"/>
                <w:highlight w:val="none"/>
              </w:rPr>
            </w:pPr>
          </w:p>
        </w:tc>
        <w:tc>
          <w:tcPr>
            <w:tcW w:w="1756" w:type="dxa"/>
            <w:gridSpan w:val="2"/>
            <w:noWrap w:val="0"/>
            <w:vAlign w:val="top"/>
          </w:tcPr>
          <w:p w14:paraId="36668466">
            <w:pPr>
              <w:rPr>
                <w:rFonts w:ascii="Arial"/>
                <w:color w:val="auto"/>
                <w:sz w:val="21"/>
                <w:highlight w:val="none"/>
              </w:rPr>
            </w:pPr>
          </w:p>
        </w:tc>
        <w:tc>
          <w:tcPr>
            <w:tcW w:w="2972" w:type="dxa"/>
            <w:noWrap w:val="0"/>
            <w:vAlign w:val="top"/>
          </w:tcPr>
          <w:p w14:paraId="7713A47E">
            <w:pPr>
              <w:pStyle w:val="223"/>
              <w:spacing w:before="210" w:line="229" w:lineRule="auto"/>
              <w:ind w:left="1186"/>
              <w:rPr>
                <w:color w:val="auto"/>
                <w:highlight w:val="none"/>
              </w:rPr>
            </w:pPr>
            <w:r>
              <w:rPr>
                <w:color w:val="auto"/>
                <w:spacing w:val="4"/>
                <w:highlight w:val="none"/>
              </w:rPr>
              <w:t>雨刮片</w:t>
            </w:r>
          </w:p>
        </w:tc>
        <w:tc>
          <w:tcPr>
            <w:tcW w:w="2040" w:type="dxa"/>
            <w:noWrap w:val="0"/>
            <w:vAlign w:val="top"/>
          </w:tcPr>
          <w:p w14:paraId="77375E03">
            <w:pPr>
              <w:pStyle w:val="223"/>
              <w:spacing w:before="54" w:line="260" w:lineRule="auto"/>
              <w:ind w:left="290" w:right="109" w:hanging="171"/>
              <w:rPr>
                <w:color w:val="auto"/>
                <w:highlight w:val="none"/>
              </w:rPr>
            </w:pPr>
            <w:r>
              <w:rPr>
                <w:color w:val="auto"/>
                <w:highlight w:val="none"/>
              </w:rPr>
              <w:t>常规磨损不保修，保</w:t>
            </w:r>
            <w:r>
              <w:rPr>
                <w:color w:val="auto"/>
                <w:spacing w:val="5"/>
                <w:highlight w:val="none"/>
              </w:rPr>
              <w:t xml:space="preserve"> </w:t>
            </w:r>
            <w:r>
              <w:rPr>
                <w:color w:val="auto"/>
                <w:spacing w:val="8"/>
                <w:highlight w:val="none"/>
              </w:rPr>
              <w:t>养周期自行更换</w:t>
            </w:r>
          </w:p>
        </w:tc>
      </w:tr>
      <w:tr w14:paraId="0463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948" w:type="dxa"/>
            <w:vMerge w:val="continue"/>
            <w:noWrap w:val="0"/>
            <w:vAlign w:val="top"/>
          </w:tcPr>
          <w:p w14:paraId="4AD86F86">
            <w:pPr>
              <w:rPr>
                <w:rFonts w:ascii="Arial"/>
                <w:color w:val="auto"/>
                <w:sz w:val="21"/>
                <w:highlight w:val="none"/>
              </w:rPr>
            </w:pPr>
          </w:p>
        </w:tc>
        <w:tc>
          <w:tcPr>
            <w:tcW w:w="810" w:type="dxa"/>
            <w:noWrap w:val="0"/>
            <w:vAlign w:val="top"/>
          </w:tcPr>
          <w:p w14:paraId="4F9C2D83">
            <w:pPr>
              <w:rPr>
                <w:rFonts w:ascii="Arial"/>
                <w:color w:val="auto"/>
                <w:sz w:val="21"/>
                <w:highlight w:val="none"/>
              </w:rPr>
            </w:pPr>
          </w:p>
        </w:tc>
        <w:tc>
          <w:tcPr>
            <w:tcW w:w="1756" w:type="dxa"/>
            <w:gridSpan w:val="2"/>
            <w:noWrap w:val="0"/>
            <w:vAlign w:val="top"/>
          </w:tcPr>
          <w:p w14:paraId="76EF0739">
            <w:pPr>
              <w:rPr>
                <w:rFonts w:ascii="Arial"/>
                <w:color w:val="auto"/>
                <w:sz w:val="21"/>
                <w:highlight w:val="none"/>
              </w:rPr>
            </w:pPr>
          </w:p>
        </w:tc>
        <w:tc>
          <w:tcPr>
            <w:tcW w:w="2972" w:type="dxa"/>
            <w:noWrap w:val="0"/>
            <w:vAlign w:val="top"/>
          </w:tcPr>
          <w:p w14:paraId="4173367D">
            <w:pPr>
              <w:pStyle w:val="223"/>
              <w:spacing w:before="210" w:line="228" w:lineRule="auto"/>
              <w:ind w:left="759"/>
              <w:rPr>
                <w:color w:val="auto"/>
                <w:highlight w:val="none"/>
              </w:rPr>
            </w:pPr>
            <w:r>
              <w:rPr>
                <w:color w:val="auto"/>
                <w:spacing w:val="8"/>
                <w:highlight w:val="none"/>
              </w:rPr>
              <w:t>压缩空气干燥器</w:t>
            </w:r>
          </w:p>
        </w:tc>
        <w:tc>
          <w:tcPr>
            <w:tcW w:w="2040" w:type="dxa"/>
            <w:noWrap w:val="0"/>
            <w:vAlign w:val="top"/>
          </w:tcPr>
          <w:p w14:paraId="589F5FDD">
            <w:pPr>
              <w:pStyle w:val="223"/>
              <w:spacing w:before="55" w:line="260" w:lineRule="auto"/>
              <w:ind w:left="290" w:right="109" w:hanging="141"/>
              <w:rPr>
                <w:color w:val="auto"/>
                <w:highlight w:val="none"/>
              </w:rPr>
            </w:pPr>
            <w:r>
              <w:rPr>
                <w:color w:val="auto"/>
                <w:spacing w:val="-3"/>
                <w:highlight w:val="none"/>
              </w:rPr>
              <w:t>自然损耗不保修，保</w:t>
            </w:r>
            <w:r>
              <w:rPr>
                <w:color w:val="auto"/>
                <w:spacing w:val="2"/>
                <w:highlight w:val="none"/>
              </w:rPr>
              <w:t xml:space="preserve"> </w:t>
            </w:r>
            <w:r>
              <w:rPr>
                <w:color w:val="auto"/>
                <w:spacing w:val="8"/>
                <w:highlight w:val="none"/>
              </w:rPr>
              <w:t>养周期自行更换</w:t>
            </w:r>
          </w:p>
        </w:tc>
      </w:tr>
      <w:tr w14:paraId="2A32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948" w:type="dxa"/>
            <w:vMerge w:val="continue"/>
            <w:noWrap w:val="0"/>
            <w:vAlign w:val="top"/>
          </w:tcPr>
          <w:p w14:paraId="65CD4FC0">
            <w:pPr>
              <w:rPr>
                <w:rFonts w:ascii="Arial"/>
                <w:color w:val="auto"/>
                <w:sz w:val="21"/>
                <w:highlight w:val="none"/>
              </w:rPr>
            </w:pPr>
          </w:p>
        </w:tc>
        <w:tc>
          <w:tcPr>
            <w:tcW w:w="810" w:type="dxa"/>
            <w:noWrap w:val="0"/>
            <w:vAlign w:val="top"/>
          </w:tcPr>
          <w:p w14:paraId="7AFB5046">
            <w:pPr>
              <w:rPr>
                <w:rFonts w:ascii="Arial"/>
                <w:color w:val="auto"/>
                <w:sz w:val="21"/>
                <w:highlight w:val="none"/>
              </w:rPr>
            </w:pPr>
          </w:p>
        </w:tc>
        <w:tc>
          <w:tcPr>
            <w:tcW w:w="1756" w:type="dxa"/>
            <w:gridSpan w:val="2"/>
            <w:noWrap w:val="0"/>
            <w:vAlign w:val="top"/>
          </w:tcPr>
          <w:p w14:paraId="3A73100D">
            <w:pPr>
              <w:rPr>
                <w:rFonts w:ascii="Arial"/>
                <w:color w:val="auto"/>
                <w:sz w:val="21"/>
                <w:highlight w:val="none"/>
              </w:rPr>
            </w:pPr>
          </w:p>
        </w:tc>
        <w:tc>
          <w:tcPr>
            <w:tcW w:w="2972" w:type="dxa"/>
            <w:noWrap w:val="0"/>
            <w:vAlign w:val="top"/>
          </w:tcPr>
          <w:p w14:paraId="13C90374">
            <w:pPr>
              <w:pStyle w:val="223"/>
              <w:spacing w:before="210" w:line="229" w:lineRule="auto"/>
              <w:ind w:left="655"/>
              <w:rPr>
                <w:color w:val="auto"/>
                <w:highlight w:val="none"/>
              </w:rPr>
            </w:pPr>
            <w:r>
              <w:rPr>
                <w:color w:val="auto"/>
                <w:spacing w:val="8"/>
                <w:highlight w:val="none"/>
              </w:rPr>
              <w:t>各种油液、润滑脂</w:t>
            </w:r>
          </w:p>
        </w:tc>
        <w:tc>
          <w:tcPr>
            <w:tcW w:w="2040" w:type="dxa"/>
            <w:noWrap w:val="0"/>
            <w:vAlign w:val="top"/>
          </w:tcPr>
          <w:p w14:paraId="7B58A51A">
            <w:pPr>
              <w:pStyle w:val="223"/>
              <w:spacing w:before="55" w:line="260" w:lineRule="auto"/>
              <w:ind w:left="290" w:right="125" w:hanging="122"/>
              <w:rPr>
                <w:color w:val="auto"/>
                <w:highlight w:val="none"/>
              </w:rPr>
            </w:pPr>
            <w:r>
              <w:rPr>
                <w:color w:val="auto"/>
                <w:spacing w:val="4"/>
                <w:highlight w:val="none"/>
              </w:rPr>
              <w:t>自然损耗不保修,保</w:t>
            </w:r>
            <w:r>
              <w:rPr>
                <w:color w:val="auto"/>
                <w:spacing w:val="3"/>
                <w:highlight w:val="none"/>
              </w:rPr>
              <w:t xml:space="preserve"> </w:t>
            </w:r>
            <w:r>
              <w:rPr>
                <w:color w:val="auto"/>
                <w:spacing w:val="8"/>
                <w:highlight w:val="none"/>
              </w:rPr>
              <w:t>养周期自行更换</w:t>
            </w:r>
          </w:p>
        </w:tc>
      </w:tr>
      <w:tr w14:paraId="5CB0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948" w:type="dxa"/>
            <w:vMerge w:val="continue"/>
            <w:noWrap w:val="0"/>
            <w:vAlign w:val="top"/>
          </w:tcPr>
          <w:p w14:paraId="1517C6F8">
            <w:pPr>
              <w:rPr>
                <w:rFonts w:ascii="Arial"/>
                <w:color w:val="auto"/>
                <w:sz w:val="21"/>
                <w:highlight w:val="none"/>
              </w:rPr>
            </w:pPr>
          </w:p>
        </w:tc>
        <w:tc>
          <w:tcPr>
            <w:tcW w:w="810" w:type="dxa"/>
            <w:noWrap w:val="0"/>
            <w:vAlign w:val="top"/>
          </w:tcPr>
          <w:p w14:paraId="5C654E3B">
            <w:pPr>
              <w:rPr>
                <w:rFonts w:ascii="Arial"/>
                <w:color w:val="auto"/>
                <w:sz w:val="21"/>
                <w:highlight w:val="none"/>
              </w:rPr>
            </w:pPr>
          </w:p>
        </w:tc>
        <w:tc>
          <w:tcPr>
            <w:tcW w:w="1756" w:type="dxa"/>
            <w:gridSpan w:val="2"/>
            <w:noWrap w:val="0"/>
            <w:vAlign w:val="top"/>
          </w:tcPr>
          <w:p w14:paraId="26D3EE2E">
            <w:pPr>
              <w:rPr>
                <w:rFonts w:ascii="Arial"/>
                <w:color w:val="auto"/>
                <w:sz w:val="21"/>
                <w:highlight w:val="none"/>
              </w:rPr>
            </w:pPr>
          </w:p>
        </w:tc>
        <w:tc>
          <w:tcPr>
            <w:tcW w:w="2972" w:type="dxa"/>
            <w:noWrap w:val="0"/>
            <w:vAlign w:val="top"/>
          </w:tcPr>
          <w:p w14:paraId="1A7B8361">
            <w:pPr>
              <w:pStyle w:val="223"/>
              <w:spacing w:before="210" w:line="228" w:lineRule="auto"/>
              <w:ind w:left="1075"/>
              <w:rPr>
                <w:color w:val="auto"/>
                <w:highlight w:val="none"/>
              </w:rPr>
            </w:pPr>
            <w:r>
              <w:rPr>
                <w:color w:val="auto"/>
                <w:spacing w:val="6"/>
                <w:highlight w:val="none"/>
              </w:rPr>
              <w:t>各类油封</w:t>
            </w:r>
          </w:p>
        </w:tc>
        <w:tc>
          <w:tcPr>
            <w:tcW w:w="2040" w:type="dxa"/>
            <w:noWrap w:val="0"/>
            <w:vAlign w:val="top"/>
          </w:tcPr>
          <w:p w14:paraId="61EB9A6F">
            <w:pPr>
              <w:pStyle w:val="223"/>
              <w:spacing w:before="53" w:line="261" w:lineRule="auto"/>
              <w:ind w:left="289" w:right="125" w:hanging="151"/>
              <w:rPr>
                <w:color w:val="auto"/>
                <w:highlight w:val="none"/>
              </w:rPr>
            </w:pPr>
            <w:r>
              <w:rPr>
                <w:color w:val="auto"/>
                <w:spacing w:val="7"/>
                <w:highlight w:val="none"/>
              </w:rPr>
              <w:t>常规磨损不保修,保</w:t>
            </w:r>
            <w:r>
              <w:rPr>
                <w:color w:val="auto"/>
                <w:spacing w:val="6"/>
                <w:highlight w:val="none"/>
              </w:rPr>
              <w:t xml:space="preserve"> </w:t>
            </w:r>
            <w:r>
              <w:rPr>
                <w:color w:val="auto"/>
                <w:spacing w:val="8"/>
                <w:highlight w:val="none"/>
              </w:rPr>
              <w:t>养周期自行更换</w:t>
            </w:r>
          </w:p>
        </w:tc>
      </w:tr>
      <w:tr w14:paraId="2C5F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948" w:type="dxa"/>
            <w:vMerge w:val="continue"/>
            <w:noWrap w:val="0"/>
            <w:vAlign w:val="top"/>
          </w:tcPr>
          <w:p w14:paraId="1602077B">
            <w:pPr>
              <w:rPr>
                <w:rFonts w:ascii="Arial"/>
                <w:color w:val="auto"/>
                <w:sz w:val="21"/>
                <w:highlight w:val="none"/>
              </w:rPr>
            </w:pPr>
          </w:p>
        </w:tc>
        <w:tc>
          <w:tcPr>
            <w:tcW w:w="810" w:type="dxa"/>
            <w:noWrap w:val="0"/>
            <w:vAlign w:val="top"/>
          </w:tcPr>
          <w:p w14:paraId="0E7CB06A">
            <w:pPr>
              <w:rPr>
                <w:rFonts w:ascii="Arial"/>
                <w:color w:val="auto"/>
                <w:sz w:val="21"/>
                <w:highlight w:val="none"/>
              </w:rPr>
            </w:pPr>
          </w:p>
        </w:tc>
        <w:tc>
          <w:tcPr>
            <w:tcW w:w="1756" w:type="dxa"/>
            <w:gridSpan w:val="2"/>
            <w:noWrap w:val="0"/>
            <w:vAlign w:val="top"/>
          </w:tcPr>
          <w:p w14:paraId="79209C91">
            <w:pPr>
              <w:rPr>
                <w:rFonts w:ascii="Arial"/>
                <w:color w:val="auto"/>
                <w:sz w:val="21"/>
                <w:highlight w:val="none"/>
              </w:rPr>
            </w:pPr>
          </w:p>
        </w:tc>
        <w:tc>
          <w:tcPr>
            <w:tcW w:w="2972" w:type="dxa"/>
            <w:noWrap w:val="0"/>
            <w:vAlign w:val="top"/>
          </w:tcPr>
          <w:p w14:paraId="096A25E5">
            <w:pPr>
              <w:pStyle w:val="223"/>
              <w:spacing w:before="212" w:line="228" w:lineRule="auto"/>
              <w:ind w:right="9"/>
              <w:jc w:val="right"/>
              <w:rPr>
                <w:color w:val="auto"/>
                <w:highlight w:val="none"/>
              </w:rPr>
            </w:pPr>
            <w:r>
              <w:rPr>
                <w:color w:val="auto"/>
                <w:spacing w:val="2"/>
                <w:highlight w:val="none"/>
              </w:rPr>
              <w:t>各类滤芯（含一次性更换总成）</w:t>
            </w:r>
          </w:p>
        </w:tc>
        <w:tc>
          <w:tcPr>
            <w:tcW w:w="2040" w:type="dxa"/>
            <w:noWrap w:val="0"/>
            <w:vAlign w:val="top"/>
          </w:tcPr>
          <w:p w14:paraId="7419405D">
            <w:pPr>
              <w:pStyle w:val="223"/>
              <w:spacing w:before="56" w:line="259" w:lineRule="auto"/>
              <w:ind w:left="290" w:right="125" w:hanging="122"/>
              <w:rPr>
                <w:color w:val="auto"/>
                <w:highlight w:val="none"/>
              </w:rPr>
            </w:pPr>
            <w:r>
              <w:rPr>
                <w:color w:val="auto"/>
                <w:spacing w:val="4"/>
                <w:highlight w:val="none"/>
              </w:rPr>
              <w:t>自然损耗不保修,保</w:t>
            </w:r>
            <w:r>
              <w:rPr>
                <w:color w:val="auto"/>
                <w:spacing w:val="3"/>
                <w:highlight w:val="none"/>
              </w:rPr>
              <w:t xml:space="preserve"> </w:t>
            </w:r>
            <w:r>
              <w:rPr>
                <w:color w:val="auto"/>
                <w:spacing w:val="8"/>
                <w:highlight w:val="none"/>
              </w:rPr>
              <w:t>养周期自行更换</w:t>
            </w:r>
          </w:p>
        </w:tc>
      </w:tr>
      <w:tr w14:paraId="7DC5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948" w:type="dxa"/>
            <w:vMerge w:val="continue"/>
            <w:noWrap w:val="0"/>
            <w:vAlign w:val="top"/>
          </w:tcPr>
          <w:p w14:paraId="047A9C88">
            <w:pPr>
              <w:rPr>
                <w:rFonts w:ascii="Arial"/>
                <w:color w:val="auto"/>
                <w:sz w:val="21"/>
                <w:highlight w:val="none"/>
              </w:rPr>
            </w:pPr>
          </w:p>
        </w:tc>
        <w:tc>
          <w:tcPr>
            <w:tcW w:w="810" w:type="dxa"/>
            <w:noWrap w:val="0"/>
            <w:vAlign w:val="top"/>
          </w:tcPr>
          <w:p w14:paraId="2063CB52">
            <w:pPr>
              <w:rPr>
                <w:rFonts w:ascii="Arial"/>
                <w:color w:val="auto"/>
                <w:sz w:val="21"/>
                <w:highlight w:val="none"/>
              </w:rPr>
            </w:pPr>
          </w:p>
        </w:tc>
        <w:tc>
          <w:tcPr>
            <w:tcW w:w="1756" w:type="dxa"/>
            <w:gridSpan w:val="2"/>
            <w:noWrap w:val="0"/>
            <w:vAlign w:val="top"/>
          </w:tcPr>
          <w:p w14:paraId="0DF62634">
            <w:pPr>
              <w:rPr>
                <w:rFonts w:ascii="Arial"/>
                <w:color w:val="auto"/>
                <w:sz w:val="21"/>
                <w:highlight w:val="none"/>
              </w:rPr>
            </w:pPr>
          </w:p>
        </w:tc>
        <w:tc>
          <w:tcPr>
            <w:tcW w:w="2972" w:type="dxa"/>
            <w:noWrap w:val="0"/>
            <w:vAlign w:val="top"/>
          </w:tcPr>
          <w:p w14:paraId="2771BDD9">
            <w:pPr>
              <w:pStyle w:val="223"/>
              <w:spacing w:before="111" w:line="228" w:lineRule="auto"/>
              <w:ind w:left="1179"/>
              <w:rPr>
                <w:color w:val="auto"/>
                <w:highlight w:val="none"/>
              </w:rPr>
            </w:pPr>
            <w:r>
              <w:rPr>
                <w:color w:val="auto"/>
                <w:spacing w:val="6"/>
                <w:highlight w:val="none"/>
              </w:rPr>
              <w:t>制冷剂</w:t>
            </w:r>
          </w:p>
        </w:tc>
        <w:tc>
          <w:tcPr>
            <w:tcW w:w="2040" w:type="dxa"/>
            <w:noWrap w:val="0"/>
            <w:vAlign w:val="top"/>
          </w:tcPr>
          <w:p w14:paraId="3FE69E96">
            <w:pPr>
              <w:pStyle w:val="223"/>
              <w:spacing w:before="112" w:line="228" w:lineRule="auto"/>
              <w:ind w:left="324"/>
              <w:rPr>
                <w:color w:val="auto"/>
                <w:highlight w:val="none"/>
              </w:rPr>
            </w:pPr>
            <w:r>
              <w:rPr>
                <w:color w:val="auto"/>
                <w:spacing w:val="3"/>
                <w:highlight w:val="none"/>
              </w:rPr>
              <w:t>自然损耗不保修</w:t>
            </w:r>
          </w:p>
        </w:tc>
      </w:tr>
    </w:tbl>
    <w:p w14:paraId="2B17AD3F">
      <w:pPr>
        <w:spacing w:line="91" w:lineRule="auto"/>
        <w:rPr>
          <w:rFonts w:ascii="Arial"/>
          <w:color w:val="auto"/>
          <w:sz w:val="2"/>
          <w:highlight w:val="none"/>
        </w:rPr>
      </w:pPr>
    </w:p>
    <w:tbl>
      <w:tblPr>
        <w:tblStyle w:val="22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810"/>
        <w:gridCol w:w="1756"/>
        <w:gridCol w:w="2972"/>
        <w:gridCol w:w="2040"/>
      </w:tblGrid>
      <w:tr w14:paraId="734A6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48" w:type="dxa"/>
            <w:vMerge w:val="restart"/>
            <w:tcBorders>
              <w:bottom w:val="nil"/>
            </w:tcBorders>
            <w:noWrap w:val="0"/>
            <w:vAlign w:val="top"/>
          </w:tcPr>
          <w:p w14:paraId="573E7F4C">
            <w:pPr>
              <w:rPr>
                <w:rFonts w:ascii="Arial"/>
                <w:color w:val="auto"/>
                <w:sz w:val="21"/>
                <w:highlight w:val="none"/>
              </w:rPr>
            </w:pPr>
          </w:p>
        </w:tc>
        <w:tc>
          <w:tcPr>
            <w:tcW w:w="810" w:type="dxa"/>
            <w:noWrap w:val="0"/>
            <w:vAlign w:val="top"/>
          </w:tcPr>
          <w:p w14:paraId="0FC2E385">
            <w:pPr>
              <w:pStyle w:val="223"/>
              <w:spacing w:before="143" w:line="190" w:lineRule="auto"/>
              <w:ind w:left="318"/>
              <w:rPr>
                <w:rFonts w:hint="eastAsia" w:eastAsia="宋体"/>
                <w:color w:val="auto"/>
                <w:highlight w:val="none"/>
                <w:lang w:eastAsia="zh-CN"/>
              </w:rPr>
            </w:pPr>
            <w:r>
              <w:rPr>
                <w:rFonts w:hint="eastAsia"/>
                <w:color w:val="auto"/>
                <w:spacing w:val="-7"/>
                <w:highlight w:val="none"/>
                <w:lang w:val="en-US" w:eastAsia="zh-CN"/>
              </w:rPr>
              <w:t>9</w:t>
            </w:r>
          </w:p>
        </w:tc>
        <w:tc>
          <w:tcPr>
            <w:tcW w:w="1756" w:type="dxa"/>
            <w:noWrap w:val="0"/>
            <w:vAlign w:val="top"/>
          </w:tcPr>
          <w:p w14:paraId="11C4FF98">
            <w:pPr>
              <w:pStyle w:val="223"/>
              <w:spacing w:before="112" w:line="228" w:lineRule="auto"/>
              <w:ind w:left="267"/>
              <w:rPr>
                <w:color w:val="auto"/>
                <w:highlight w:val="none"/>
              </w:rPr>
            </w:pPr>
            <w:r>
              <w:rPr>
                <w:color w:val="auto"/>
                <w:spacing w:val="5"/>
                <w:highlight w:val="none"/>
              </w:rPr>
              <w:t>易损、易耗件</w:t>
            </w:r>
          </w:p>
        </w:tc>
        <w:tc>
          <w:tcPr>
            <w:tcW w:w="2972" w:type="dxa"/>
            <w:noWrap w:val="0"/>
            <w:vAlign w:val="top"/>
          </w:tcPr>
          <w:p w14:paraId="40DFAEA8">
            <w:pPr>
              <w:pStyle w:val="223"/>
              <w:spacing w:before="111" w:line="229" w:lineRule="auto"/>
              <w:ind w:left="1180"/>
              <w:rPr>
                <w:color w:val="auto"/>
                <w:highlight w:val="none"/>
              </w:rPr>
            </w:pPr>
            <w:r>
              <w:rPr>
                <w:color w:val="auto"/>
                <w:spacing w:val="6"/>
                <w:highlight w:val="none"/>
              </w:rPr>
              <w:t>冷却液</w:t>
            </w:r>
          </w:p>
        </w:tc>
        <w:tc>
          <w:tcPr>
            <w:tcW w:w="2040" w:type="dxa"/>
            <w:noWrap w:val="0"/>
            <w:vAlign w:val="top"/>
          </w:tcPr>
          <w:p w14:paraId="1EA96592">
            <w:pPr>
              <w:pStyle w:val="223"/>
              <w:spacing w:before="112" w:line="228" w:lineRule="auto"/>
              <w:ind w:left="324"/>
              <w:rPr>
                <w:color w:val="auto"/>
                <w:highlight w:val="none"/>
              </w:rPr>
            </w:pPr>
            <w:r>
              <w:rPr>
                <w:color w:val="auto"/>
                <w:spacing w:val="3"/>
                <w:highlight w:val="none"/>
              </w:rPr>
              <w:t>自然损耗不保修</w:t>
            </w:r>
          </w:p>
        </w:tc>
      </w:tr>
      <w:tr w14:paraId="15094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48" w:type="dxa"/>
            <w:vMerge w:val="continue"/>
            <w:tcBorders>
              <w:top w:val="nil"/>
              <w:bottom w:val="nil"/>
            </w:tcBorders>
            <w:noWrap w:val="0"/>
            <w:vAlign w:val="top"/>
          </w:tcPr>
          <w:p w14:paraId="542C1A15">
            <w:pPr>
              <w:rPr>
                <w:rFonts w:ascii="Arial"/>
                <w:color w:val="auto"/>
                <w:sz w:val="21"/>
                <w:highlight w:val="none"/>
              </w:rPr>
            </w:pPr>
          </w:p>
        </w:tc>
        <w:tc>
          <w:tcPr>
            <w:tcW w:w="810" w:type="dxa"/>
            <w:noWrap w:val="0"/>
            <w:vAlign w:val="top"/>
          </w:tcPr>
          <w:p w14:paraId="4A456EDD">
            <w:pPr>
              <w:rPr>
                <w:rFonts w:ascii="Arial"/>
                <w:color w:val="auto"/>
                <w:sz w:val="21"/>
                <w:highlight w:val="none"/>
              </w:rPr>
            </w:pPr>
          </w:p>
        </w:tc>
        <w:tc>
          <w:tcPr>
            <w:tcW w:w="1756" w:type="dxa"/>
            <w:noWrap w:val="0"/>
            <w:vAlign w:val="top"/>
          </w:tcPr>
          <w:p w14:paraId="434453CF">
            <w:pPr>
              <w:rPr>
                <w:rFonts w:ascii="Arial"/>
                <w:color w:val="auto"/>
                <w:sz w:val="21"/>
                <w:highlight w:val="none"/>
              </w:rPr>
            </w:pPr>
          </w:p>
        </w:tc>
        <w:tc>
          <w:tcPr>
            <w:tcW w:w="2972" w:type="dxa"/>
            <w:noWrap w:val="0"/>
            <w:vAlign w:val="top"/>
          </w:tcPr>
          <w:p w14:paraId="444667B5">
            <w:pPr>
              <w:spacing w:line="297" w:lineRule="auto"/>
              <w:rPr>
                <w:rFonts w:ascii="Arial"/>
                <w:color w:val="auto"/>
                <w:sz w:val="21"/>
                <w:highlight w:val="none"/>
              </w:rPr>
            </w:pPr>
          </w:p>
          <w:p w14:paraId="6C1CF7DD">
            <w:pPr>
              <w:pStyle w:val="223"/>
              <w:spacing w:before="65" w:line="230" w:lineRule="auto"/>
              <w:ind w:left="1285"/>
              <w:rPr>
                <w:color w:val="auto"/>
                <w:highlight w:val="none"/>
              </w:rPr>
            </w:pPr>
            <w:r>
              <w:rPr>
                <w:color w:val="auto"/>
                <w:spacing w:val="3"/>
                <w:highlight w:val="none"/>
              </w:rPr>
              <w:t>油漆</w:t>
            </w:r>
          </w:p>
        </w:tc>
        <w:tc>
          <w:tcPr>
            <w:tcW w:w="2040" w:type="dxa"/>
            <w:noWrap w:val="0"/>
            <w:vAlign w:val="top"/>
          </w:tcPr>
          <w:p w14:paraId="430FDFA6">
            <w:pPr>
              <w:pStyle w:val="223"/>
              <w:spacing w:before="52" w:line="229" w:lineRule="auto"/>
              <w:ind w:left="118"/>
              <w:rPr>
                <w:color w:val="auto"/>
                <w:highlight w:val="none"/>
              </w:rPr>
            </w:pPr>
            <w:r>
              <w:rPr>
                <w:color w:val="auto"/>
                <w:highlight w:val="none"/>
              </w:rPr>
              <w:t>正常褪色、老化不保</w:t>
            </w:r>
          </w:p>
          <w:p w14:paraId="2ACD65EA">
            <w:pPr>
              <w:pStyle w:val="223"/>
              <w:spacing w:before="64" w:line="228" w:lineRule="auto"/>
              <w:ind w:left="133"/>
              <w:rPr>
                <w:color w:val="auto"/>
                <w:highlight w:val="none"/>
              </w:rPr>
            </w:pPr>
            <w:r>
              <w:rPr>
                <w:color w:val="auto"/>
                <w:spacing w:val="3"/>
                <w:highlight w:val="none"/>
              </w:rPr>
              <w:t>修</w:t>
            </w:r>
            <w:r>
              <w:rPr>
                <w:color w:val="auto"/>
                <w:spacing w:val="-53"/>
                <w:highlight w:val="none"/>
              </w:rPr>
              <w:t xml:space="preserve"> </w:t>
            </w:r>
            <w:r>
              <w:rPr>
                <w:color w:val="auto"/>
                <w:spacing w:val="3"/>
                <w:highlight w:val="none"/>
              </w:rPr>
              <w:t>;大面积掉漆等异</w:t>
            </w:r>
          </w:p>
          <w:p w14:paraId="4BF1EEFE">
            <w:pPr>
              <w:pStyle w:val="223"/>
              <w:spacing w:before="64" w:line="228" w:lineRule="auto"/>
              <w:ind w:left="714"/>
              <w:rPr>
                <w:color w:val="auto"/>
                <w:highlight w:val="none"/>
              </w:rPr>
            </w:pPr>
            <w:r>
              <w:rPr>
                <w:color w:val="auto"/>
                <w:spacing w:val="5"/>
                <w:highlight w:val="none"/>
              </w:rPr>
              <w:t>常索赔</w:t>
            </w:r>
          </w:p>
        </w:tc>
      </w:tr>
      <w:tr w14:paraId="4D25B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948" w:type="dxa"/>
            <w:vMerge w:val="continue"/>
            <w:tcBorders>
              <w:top w:val="nil"/>
              <w:bottom w:val="nil"/>
            </w:tcBorders>
            <w:noWrap w:val="0"/>
            <w:vAlign w:val="top"/>
          </w:tcPr>
          <w:p w14:paraId="5097B8A3">
            <w:pPr>
              <w:rPr>
                <w:rFonts w:ascii="Arial"/>
                <w:color w:val="auto"/>
                <w:sz w:val="21"/>
                <w:highlight w:val="none"/>
              </w:rPr>
            </w:pPr>
          </w:p>
        </w:tc>
        <w:tc>
          <w:tcPr>
            <w:tcW w:w="810" w:type="dxa"/>
            <w:noWrap w:val="0"/>
            <w:vAlign w:val="top"/>
          </w:tcPr>
          <w:p w14:paraId="28AB5BA4">
            <w:pPr>
              <w:rPr>
                <w:rFonts w:ascii="Arial"/>
                <w:color w:val="auto"/>
                <w:sz w:val="21"/>
                <w:highlight w:val="none"/>
              </w:rPr>
            </w:pPr>
          </w:p>
        </w:tc>
        <w:tc>
          <w:tcPr>
            <w:tcW w:w="1756" w:type="dxa"/>
            <w:noWrap w:val="0"/>
            <w:vAlign w:val="top"/>
          </w:tcPr>
          <w:p w14:paraId="7EF5BAF8">
            <w:pPr>
              <w:rPr>
                <w:rFonts w:ascii="Arial"/>
                <w:color w:val="auto"/>
                <w:sz w:val="21"/>
                <w:highlight w:val="none"/>
              </w:rPr>
            </w:pPr>
          </w:p>
        </w:tc>
        <w:tc>
          <w:tcPr>
            <w:tcW w:w="2972" w:type="dxa"/>
            <w:noWrap w:val="0"/>
            <w:vAlign w:val="top"/>
          </w:tcPr>
          <w:p w14:paraId="0446E644">
            <w:pPr>
              <w:pStyle w:val="223"/>
              <w:spacing w:before="108" w:line="229" w:lineRule="auto"/>
              <w:ind w:left="1281"/>
              <w:rPr>
                <w:color w:val="auto"/>
                <w:highlight w:val="none"/>
              </w:rPr>
            </w:pPr>
            <w:r>
              <w:rPr>
                <w:color w:val="auto"/>
                <w:spacing w:val="5"/>
                <w:highlight w:val="none"/>
              </w:rPr>
              <w:t>灯泡</w:t>
            </w:r>
          </w:p>
        </w:tc>
        <w:tc>
          <w:tcPr>
            <w:tcW w:w="2040" w:type="dxa"/>
            <w:noWrap w:val="0"/>
            <w:vAlign w:val="top"/>
          </w:tcPr>
          <w:p w14:paraId="57E6E0E4">
            <w:pPr>
              <w:pStyle w:val="223"/>
              <w:spacing w:before="107" w:line="226" w:lineRule="auto"/>
              <w:ind w:left="240"/>
              <w:rPr>
                <w:color w:val="auto"/>
                <w:highlight w:val="none"/>
              </w:rPr>
            </w:pPr>
            <w:r>
              <w:rPr>
                <w:color w:val="auto"/>
                <w:spacing w:val="2"/>
                <w:highlight w:val="none"/>
              </w:rPr>
              <w:t>不保修,</w:t>
            </w:r>
            <w:r>
              <w:rPr>
                <w:color w:val="auto"/>
                <w:spacing w:val="-54"/>
                <w:highlight w:val="none"/>
              </w:rPr>
              <w:t xml:space="preserve"> </w:t>
            </w:r>
            <w:r>
              <w:rPr>
                <w:color w:val="auto"/>
                <w:spacing w:val="2"/>
                <w:highlight w:val="none"/>
              </w:rPr>
              <w:t>自行更换</w:t>
            </w:r>
          </w:p>
        </w:tc>
      </w:tr>
      <w:tr w14:paraId="157B5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48" w:type="dxa"/>
            <w:vMerge w:val="continue"/>
            <w:tcBorders>
              <w:top w:val="nil"/>
              <w:bottom w:val="nil"/>
            </w:tcBorders>
            <w:noWrap w:val="0"/>
            <w:vAlign w:val="top"/>
          </w:tcPr>
          <w:p w14:paraId="369A90E9">
            <w:pPr>
              <w:rPr>
                <w:rFonts w:ascii="Arial"/>
                <w:color w:val="auto"/>
                <w:sz w:val="21"/>
                <w:highlight w:val="none"/>
              </w:rPr>
            </w:pPr>
          </w:p>
        </w:tc>
        <w:tc>
          <w:tcPr>
            <w:tcW w:w="810" w:type="dxa"/>
            <w:noWrap w:val="0"/>
            <w:vAlign w:val="top"/>
          </w:tcPr>
          <w:p w14:paraId="2F019BBF">
            <w:pPr>
              <w:rPr>
                <w:rFonts w:ascii="Arial"/>
                <w:color w:val="auto"/>
                <w:sz w:val="21"/>
                <w:highlight w:val="none"/>
              </w:rPr>
            </w:pPr>
          </w:p>
        </w:tc>
        <w:tc>
          <w:tcPr>
            <w:tcW w:w="1756" w:type="dxa"/>
            <w:noWrap w:val="0"/>
            <w:vAlign w:val="top"/>
          </w:tcPr>
          <w:p w14:paraId="2E3F3000">
            <w:pPr>
              <w:rPr>
                <w:rFonts w:ascii="Arial"/>
                <w:color w:val="auto"/>
                <w:sz w:val="21"/>
                <w:highlight w:val="none"/>
              </w:rPr>
            </w:pPr>
          </w:p>
        </w:tc>
        <w:tc>
          <w:tcPr>
            <w:tcW w:w="2972" w:type="dxa"/>
            <w:noWrap w:val="0"/>
            <w:vAlign w:val="top"/>
          </w:tcPr>
          <w:p w14:paraId="08233FA8">
            <w:pPr>
              <w:pStyle w:val="223"/>
              <w:spacing w:before="109" w:line="229" w:lineRule="auto"/>
              <w:ind w:left="966"/>
              <w:rPr>
                <w:color w:val="auto"/>
                <w:highlight w:val="none"/>
              </w:rPr>
            </w:pPr>
            <w:r>
              <w:rPr>
                <w:color w:val="auto"/>
                <w:spacing w:val="8"/>
                <w:highlight w:val="none"/>
              </w:rPr>
              <w:t>低压保险丝</w:t>
            </w:r>
          </w:p>
        </w:tc>
        <w:tc>
          <w:tcPr>
            <w:tcW w:w="2040" w:type="dxa"/>
            <w:noWrap w:val="0"/>
            <w:vAlign w:val="top"/>
          </w:tcPr>
          <w:p w14:paraId="6053C7EC">
            <w:pPr>
              <w:pStyle w:val="223"/>
              <w:spacing w:before="108" w:line="226" w:lineRule="auto"/>
              <w:ind w:left="240"/>
              <w:rPr>
                <w:color w:val="auto"/>
                <w:highlight w:val="none"/>
              </w:rPr>
            </w:pPr>
            <w:r>
              <w:rPr>
                <w:color w:val="auto"/>
                <w:spacing w:val="2"/>
                <w:highlight w:val="none"/>
              </w:rPr>
              <w:t>不保修,</w:t>
            </w:r>
            <w:r>
              <w:rPr>
                <w:color w:val="auto"/>
                <w:spacing w:val="-54"/>
                <w:highlight w:val="none"/>
              </w:rPr>
              <w:t xml:space="preserve"> </w:t>
            </w:r>
            <w:r>
              <w:rPr>
                <w:color w:val="auto"/>
                <w:spacing w:val="2"/>
                <w:highlight w:val="none"/>
              </w:rPr>
              <w:t>自行更换</w:t>
            </w:r>
          </w:p>
        </w:tc>
      </w:tr>
      <w:tr w14:paraId="3700D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703561F4">
            <w:pPr>
              <w:rPr>
                <w:rFonts w:ascii="Arial"/>
                <w:color w:val="auto"/>
                <w:sz w:val="21"/>
                <w:highlight w:val="none"/>
              </w:rPr>
            </w:pPr>
          </w:p>
        </w:tc>
        <w:tc>
          <w:tcPr>
            <w:tcW w:w="810" w:type="dxa"/>
            <w:noWrap w:val="0"/>
            <w:vAlign w:val="top"/>
          </w:tcPr>
          <w:p w14:paraId="4D6A6DED">
            <w:pPr>
              <w:rPr>
                <w:rFonts w:ascii="Arial"/>
                <w:color w:val="auto"/>
                <w:sz w:val="21"/>
                <w:highlight w:val="none"/>
              </w:rPr>
            </w:pPr>
          </w:p>
        </w:tc>
        <w:tc>
          <w:tcPr>
            <w:tcW w:w="1756" w:type="dxa"/>
            <w:noWrap w:val="0"/>
            <w:vAlign w:val="top"/>
          </w:tcPr>
          <w:p w14:paraId="03E5724A">
            <w:pPr>
              <w:rPr>
                <w:rFonts w:ascii="Arial"/>
                <w:color w:val="auto"/>
                <w:sz w:val="21"/>
                <w:highlight w:val="none"/>
              </w:rPr>
            </w:pPr>
          </w:p>
        </w:tc>
        <w:tc>
          <w:tcPr>
            <w:tcW w:w="2972" w:type="dxa"/>
            <w:noWrap w:val="0"/>
            <w:vAlign w:val="top"/>
          </w:tcPr>
          <w:p w14:paraId="26CB9EB3">
            <w:pPr>
              <w:pStyle w:val="223"/>
              <w:spacing w:before="210" w:line="228" w:lineRule="auto"/>
              <w:ind w:left="966"/>
              <w:rPr>
                <w:color w:val="auto"/>
                <w:highlight w:val="none"/>
              </w:rPr>
            </w:pPr>
            <w:r>
              <w:rPr>
                <w:color w:val="auto"/>
                <w:spacing w:val="8"/>
                <w:highlight w:val="none"/>
              </w:rPr>
              <w:t>低压蓄电池</w:t>
            </w:r>
          </w:p>
        </w:tc>
        <w:tc>
          <w:tcPr>
            <w:tcW w:w="2040" w:type="dxa"/>
            <w:noWrap w:val="0"/>
            <w:vAlign w:val="top"/>
          </w:tcPr>
          <w:p w14:paraId="1B79F3DC">
            <w:pPr>
              <w:pStyle w:val="223"/>
              <w:spacing w:before="54" w:line="260" w:lineRule="auto"/>
              <w:ind w:left="817" w:right="154" w:hanging="644"/>
              <w:rPr>
                <w:color w:val="auto"/>
                <w:highlight w:val="none"/>
              </w:rPr>
            </w:pPr>
            <w:r>
              <w:rPr>
                <w:rFonts w:hint="eastAsia"/>
                <w:color w:val="auto"/>
                <w:spacing w:val="4"/>
                <w:highlight w:val="none"/>
                <w:lang w:val="en-US" w:eastAsia="zh-CN"/>
              </w:rPr>
              <w:t>2</w:t>
            </w:r>
            <w:r>
              <w:rPr>
                <w:color w:val="auto"/>
                <w:spacing w:val="-31"/>
                <w:highlight w:val="none"/>
              </w:rPr>
              <w:t xml:space="preserve"> </w:t>
            </w:r>
            <w:r>
              <w:rPr>
                <w:color w:val="auto"/>
                <w:spacing w:val="4"/>
                <w:highlight w:val="none"/>
              </w:rPr>
              <w:t>年,质保期满自行</w:t>
            </w:r>
            <w:r>
              <w:rPr>
                <w:color w:val="auto"/>
                <w:highlight w:val="none"/>
              </w:rPr>
              <w:t xml:space="preserve"> </w:t>
            </w:r>
            <w:r>
              <w:rPr>
                <w:color w:val="auto"/>
                <w:spacing w:val="3"/>
                <w:highlight w:val="none"/>
              </w:rPr>
              <w:t>更新</w:t>
            </w:r>
          </w:p>
        </w:tc>
      </w:tr>
      <w:tr w14:paraId="2CB99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48" w:type="dxa"/>
            <w:vMerge w:val="continue"/>
            <w:tcBorders>
              <w:top w:val="nil"/>
              <w:bottom w:val="nil"/>
            </w:tcBorders>
            <w:noWrap w:val="0"/>
            <w:vAlign w:val="top"/>
          </w:tcPr>
          <w:p w14:paraId="08694F9A">
            <w:pPr>
              <w:rPr>
                <w:rFonts w:ascii="Arial"/>
                <w:color w:val="auto"/>
                <w:sz w:val="21"/>
                <w:highlight w:val="none"/>
              </w:rPr>
            </w:pPr>
          </w:p>
        </w:tc>
        <w:tc>
          <w:tcPr>
            <w:tcW w:w="810" w:type="dxa"/>
            <w:noWrap w:val="0"/>
            <w:vAlign w:val="top"/>
          </w:tcPr>
          <w:p w14:paraId="6B276F3C">
            <w:pPr>
              <w:rPr>
                <w:rFonts w:ascii="Arial"/>
                <w:color w:val="auto"/>
                <w:sz w:val="21"/>
                <w:highlight w:val="none"/>
              </w:rPr>
            </w:pPr>
          </w:p>
        </w:tc>
        <w:tc>
          <w:tcPr>
            <w:tcW w:w="1756" w:type="dxa"/>
            <w:noWrap w:val="0"/>
            <w:vAlign w:val="top"/>
          </w:tcPr>
          <w:p w14:paraId="2314070C">
            <w:pPr>
              <w:rPr>
                <w:rFonts w:ascii="Arial"/>
                <w:color w:val="auto"/>
                <w:sz w:val="21"/>
                <w:highlight w:val="none"/>
              </w:rPr>
            </w:pPr>
          </w:p>
        </w:tc>
        <w:tc>
          <w:tcPr>
            <w:tcW w:w="2972" w:type="dxa"/>
            <w:noWrap w:val="0"/>
            <w:vAlign w:val="top"/>
          </w:tcPr>
          <w:p w14:paraId="757D720D">
            <w:pPr>
              <w:pStyle w:val="223"/>
              <w:spacing w:before="110" w:line="228" w:lineRule="auto"/>
              <w:ind w:left="861"/>
              <w:rPr>
                <w:color w:val="auto"/>
                <w:highlight w:val="none"/>
              </w:rPr>
            </w:pPr>
            <w:r>
              <w:rPr>
                <w:color w:val="auto"/>
                <w:spacing w:val="8"/>
                <w:highlight w:val="none"/>
              </w:rPr>
              <w:t>手提式灭火器</w:t>
            </w:r>
          </w:p>
        </w:tc>
        <w:tc>
          <w:tcPr>
            <w:tcW w:w="2040" w:type="dxa"/>
            <w:noWrap w:val="0"/>
            <w:vAlign w:val="top"/>
          </w:tcPr>
          <w:p w14:paraId="2E9B2551">
            <w:pPr>
              <w:pStyle w:val="223"/>
              <w:spacing w:before="110" w:line="228" w:lineRule="auto"/>
              <w:ind w:left="187"/>
              <w:rPr>
                <w:color w:val="auto"/>
                <w:highlight w:val="none"/>
              </w:rPr>
            </w:pPr>
            <w:r>
              <w:rPr>
                <w:color w:val="auto"/>
                <w:spacing w:val="8"/>
                <w:highlight w:val="none"/>
              </w:rPr>
              <w:t>质保期满自行更新</w:t>
            </w:r>
          </w:p>
        </w:tc>
      </w:tr>
      <w:tr w14:paraId="55A2F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2A4A4F73">
            <w:pPr>
              <w:rPr>
                <w:rFonts w:ascii="Arial"/>
                <w:color w:val="auto"/>
                <w:sz w:val="21"/>
                <w:highlight w:val="none"/>
              </w:rPr>
            </w:pPr>
          </w:p>
        </w:tc>
        <w:tc>
          <w:tcPr>
            <w:tcW w:w="810" w:type="dxa"/>
            <w:noWrap w:val="0"/>
            <w:vAlign w:val="top"/>
          </w:tcPr>
          <w:p w14:paraId="66F933A6">
            <w:pPr>
              <w:rPr>
                <w:rFonts w:ascii="Arial"/>
                <w:color w:val="auto"/>
                <w:sz w:val="21"/>
                <w:highlight w:val="none"/>
              </w:rPr>
            </w:pPr>
          </w:p>
        </w:tc>
        <w:tc>
          <w:tcPr>
            <w:tcW w:w="1756" w:type="dxa"/>
            <w:noWrap w:val="0"/>
            <w:vAlign w:val="top"/>
          </w:tcPr>
          <w:p w14:paraId="7C9C6D5A">
            <w:pPr>
              <w:rPr>
                <w:rFonts w:ascii="Arial"/>
                <w:color w:val="auto"/>
                <w:sz w:val="21"/>
                <w:highlight w:val="none"/>
              </w:rPr>
            </w:pPr>
          </w:p>
        </w:tc>
        <w:tc>
          <w:tcPr>
            <w:tcW w:w="2972" w:type="dxa"/>
            <w:noWrap w:val="0"/>
            <w:vAlign w:val="top"/>
          </w:tcPr>
          <w:p w14:paraId="0C457E08">
            <w:pPr>
              <w:pStyle w:val="223"/>
              <w:spacing w:before="211" w:line="228" w:lineRule="auto"/>
              <w:ind w:left="1281"/>
              <w:rPr>
                <w:color w:val="auto"/>
                <w:highlight w:val="none"/>
              </w:rPr>
            </w:pPr>
            <w:r>
              <w:rPr>
                <w:color w:val="auto"/>
                <w:spacing w:val="4"/>
                <w:highlight w:val="none"/>
              </w:rPr>
              <w:t>轮胎</w:t>
            </w:r>
          </w:p>
        </w:tc>
        <w:tc>
          <w:tcPr>
            <w:tcW w:w="2040" w:type="dxa"/>
            <w:noWrap w:val="0"/>
            <w:vAlign w:val="top"/>
          </w:tcPr>
          <w:p w14:paraId="24BAA7E6">
            <w:pPr>
              <w:pStyle w:val="223"/>
              <w:spacing w:before="54" w:line="260" w:lineRule="auto"/>
              <w:ind w:left="293" w:right="125" w:hanging="155"/>
              <w:rPr>
                <w:color w:val="auto"/>
                <w:highlight w:val="none"/>
              </w:rPr>
            </w:pPr>
            <w:r>
              <w:rPr>
                <w:color w:val="auto"/>
                <w:spacing w:val="3"/>
                <w:highlight w:val="none"/>
              </w:rPr>
              <w:t>常规磨损不保修</w:t>
            </w:r>
            <w:r>
              <w:rPr>
                <w:color w:val="auto"/>
                <w:spacing w:val="-58"/>
                <w:highlight w:val="none"/>
              </w:rPr>
              <w:t xml:space="preserve"> </w:t>
            </w:r>
            <w:r>
              <w:rPr>
                <w:color w:val="auto"/>
                <w:spacing w:val="3"/>
                <w:highlight w:val="none"/>
              </w:rPr>
              <w:t>;异</w:t>
            </w:r>
            <w:r>
              <w:rPr>
                <w:color w:val="auto"/>
                <w:highlight w:val="none"/>
              </w:rPr>
              <w:t xml:space="preserve"> </w:t>
            </w:r>
            <w:r>
              <w:rPr>
                <w:color w:val="auto"/>
                <w:spacing w:val="7"/>
                <w:highlight w:val="none"/>
              </w:rPr>
              <w:t>常损坏质量索赔</w:t>
            </w:r>
          </w:p>
        </w:tc>
      </w:tr>
      <w:tr w14:paraId="6E94B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948" w:type="dxa"/>
            <w:vMerge w:val="continue"/>
            <w:tcBorders>
              <w:top w:val="nil"/>
            </w:tcBorders>
            <w:noWrap w:val="0"/>
            <w:vAlign w:val="top"/>
          </w:tcPr>
          <w:p w14:paraId="05E1275C">
            <w:pPr>
              <w:rPr>
                <w:rFonts w:ascii="Arial"/>
                <w:color w:val="auto"/>
                <w:sz w:val="21"/>
                <w:highlight w:val="none"/>
              </w:rPr>
            </w:pPr>
          </w:p>
        </w:tc>
        <w:tc>
          <w:tcPr>
            <w:tcW w:w="810" w:type="dxa"/>
            <w:noWrap w:val="0"/>
            <w:vAlign w:val="top"/>
          </w:tcPr>
          <w:p w14:paraId="53020584">
            <w:pPr>
              <w:rPr>
                <w:rFonts w:ascii="Arial"/>
                <w:color w:val="auto"/>
                <w:sz w:val="21"/>
                <w:highlight w:val="none"/>
              </w:rPr>
            </w:pPr>
          </w:p>
        </w:tc>
        <w:tc>
          <w:tcPr>
            <w:tcW w:w="1756" w:type="dxa"/>
            <w:noWrap w:val="0"/>
            <w:vAlign w:val="top"/>
          </w:tcPr>
          <w:p w14:paraId="541788EE">
            <w:pPr>
              <w:rPr>
                <w:rFonts w:ascii="Arial"/>
                <w:color w:val="auto"/>
                <w:sz w:val="21"/>
                <w:highlight w:val="none"/>
              </w:rPr>
            </w:pPr>
          </w:p>
        </w:tc>
        <w:tc>
          <w:tcPr>
            <w:tcW w:w="2972" w:type="dxa"/>
            <w:noWrap w:val="0"/>
            <w:vAlign w:val="top"/>
          </w:tcPr>
          <w:p w14:paraId="16D40B1C">
            <w:pPr>
              <w:pStyle w:val="223"/>
              <w:spacing w:before="91" w:line="228" w:lineRule="auto"/>
              <w:ind w:left="1177"/>
              <w:rPr>
                <w:color w:val="auto"/>
                <w:highlight w:val="none"/>
              </w:rPr>
            </w:pPr>
            <w:r>
              <w:rPr>
                <w:color w:val="auto"/>
                <w:spacing w:val="7"/>
                <w:highlight w:val="none"/>
              </w:rPr>
              <w:t>橡胶件</w:t>
            </w:r>
          </w:p>
        </w:tc>
        <w:tc>
          <w:tcPr>
            <w:tcW w:w="2040" w:type="dxa"/>
            <w:noWrap w:val="0"/>
            <w:vAlign w:val="top"/>
          </w:tcPr>
          <w:p w14:paraId="74762EFA">
            <w:pPr>
              <w:pStyle w:val="223"/>
              <w:spacing w:before="91" w:line="228" w:lineRule="auto"/>
              <w:ind w:left="294"/>
              <w:rPr>
                <w:color w:val="auto"/>
                <w:highlight w:val="none"/>
              </w:rPr>
            </w:pPr>
            <w:r>
              <w:rPr>
                <w:color w:val="auto"/>
                <w:spacing w:val="7"/>
                <w:highlight w:val="none"/>
              </w:rPr>
              <w:t>常规磨损不保修</w:t>
            </w:r>
          </w:p>
        </w:tc>
      </w:tr>
    </w:tbl>
    <w:p w14:paraId="26BD84B1">
      <w:pPr>
        <w:spacing w:before="172" w:line="230" w:lineRule="auto"/>
        <w:ind w:left="123"/>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备注</w:t>
      </w:r>
      <w:r>
        <w:rPr>
          <w:rFonts w:ascii="宋体" w:hAnsi="宋体" w:eastAsia="宋体" w:cs="宋体"/>
          <w:color w:val="auto"/>
          <w:spacing w:val="-59"/>
          <w:sz w:val="20"/>
          <w:szCs w:val="20"/>
          <w:highlight w:val="none"/>
        </w:rPr>
        <w:t xml:space="preserve"> </w:t>
      </w:r>
      <w:r>
        <w:rPr>
          <w:rFonts w:ascii="宋体" w:hAnsi="宋体" w:eastAsia="宋体" w:cs="宋体"/>
          <w:color w:val="auto"/>
          <w:spacing w:val="2"/>
          <w:sz w:val="20"/>
          <w:szCs w:val="20"/>
          <w:highlight w:val="none"/>
        </w:rPr>
        <w:t>:</w:t>
      </w:r>
    </w:p>
    <w:p w14:paraId="705552F1">
      <w:pPr>
        <w:spacing w:before="192" w:line="228" w:lineRule="auto"/>
        <w:ind w:left="120"/>
        <w:rPr>
          <w:rFonts w:hint="eastAsia" w:ascii="宋体" w:hAnsi="宋体" w:eastAsia="宋体" w:cs="宋体"/>
          <w:color w:val="auto"/>
          <w:spacing w:val="8"/>
          <w:sz w:val="20"/>
          <w:szCs w:val="20"/>
          <w:highlight w:val="none"/>
          <w:lang w:eastAsia="zh-CN"/>
        </w:rPr>
      </w:pPr>
      <w:r>
        <w:rPr>
          <w:rFonts w:ascii="宋体" w:hAnsi="宋体" w:eastAsia="宋体" w:cs="宋体"/>
          <w:color w:val="auto"/>
          <w:spacing w:val="7"/>
          <w:sz w:val="20"/>
          <w:szCs w:val="20"/>
          <w:highlight w:val="none"/>
        </w:rPr>
        <w:t>1、</w:t>
      </w:r>
      <w:r>
        <w:rPr>
          <w:rFonts w:hint="eastAsia" w:ascii="宋体" w:hAnsi="宋体" w:eastAsia="宋体" w:cs="宋体"/>
          <w:color w:val="auto"/>
          <w:spacing w:val="8"/>
          <w:sz w:val="20"/>
          <w:szCs w:val="20"/>
          <w:highlight w:val="none"/>
        </w:rPr>
        <w:t>质保内容包括总成件</w:t>
      </w:r>
      <w:r>
        <w:rPr>
          <w:rFonts w:hint="eastAsia" w:ascii="宋体" w:hAnsi="宋体" w:cs="宋体"/>
          <w:color w:val="auto"/>
          <w:spacing w:val="8"/>
          <w:sz w:val="20"/>
          <w:szCs w:val="20"/>
          <w:highlight w:val="none"/>
          <w:lang w:eastAsia="zh-CN"/>
        </w:rPr>
        <w:t>（</w:t>
      </w:r>
      <w:r>
        <w:rPr>
          <w:rFonts w:hint="eastAsia" w:ascii="宋体" w:hAnsi="宋体" w:cs="宋体"/>
          <w:color w:val="auto"/>
          <w:spacing w:val="8"/>
          <w:sz w:val="20"/>
          <w:szCs w:val="20"/>
          <w:highlight w:val="none"/>
          <w:lang w:val="en-US" w:eastAsia="zh-CN"/>
        </w:rPr>
        <w:t>包含所有配件</w:t>
      </w:r>
      <w:r>
        <w:rPr>
          <w:rFonts w:hint="eastAsia" w:ascii="宋体" w:hAnsi="宋体" w:cs="宋体"/>
          <w:color w:val="auto"/>
          <w:spacing w:val="8"/>
          <w:sz w:val="20"/>
          <w:szCs w:val="20"/>
          <w:highlight w:val="none"/>
          <w:lang w:eastAsia="zh-CN"/>
        </w:rPr>
        <w:t>）</w:t>
      </w:r>
      <w:r>
        <w:rPr>
          <w:rFonts w:hint="eastAsia" w:ascii="宋体" w:hAnsi="宋体" w:eastAsia="宋体" w:cs="宋体"/>
          <w:color w:val="auto"/>
          <w:spacing w:val="8"/>
          <w:sz w:val="20"/>
          <w:szCs w:val="20"/>
          <w:highlight w:val="none"/>
        </w:rPr>
        <w:t>、所属配件、易损件及工时</w:t>
      </w:r>
      <w:r>
        <w:rPr>
          <w:rFonts w:hint="eastAsia" w:ascii="宋体" w:hAnsi="宋体" w:cs="宋体"/>
          <w:color w:val="auto"/>
          <w:spacing w:val="8"/>
          <w:sz w:val="20"/>
          <w:szCs w:val="20"/>
          <w:highlight w:val="none"/>
          <w:lang w:eastAsia="zh-CN"/>
        </w:rPr>
        <w:t>。</w:t>
      </w:r>
    </w:p>
    <w:p w14:paraId="61859465">
      <w:pPr>
        <w:spacing w:before="193" w:line="228" w:lineRule="auto"/>
        <w:ind w:left="136"/>
        <w:rPr>
          <w:rFonts w:ascii="宋体" w:hAnsi="宋体" w:eastAsia="宋体" w:cs="宋体"/>
          <w:color w:val="auto"/>
          <w:sz w:val="20"/>
          <w:szCs w:val="20"/>
          <w:highlight w:val="none"/>
        </w:rPr>
      </w:pPr>
      <w:r>
        <w:rPr>
          <w:rFonts w:hint="eastAsia" w:ascii="宋体" w:hAnsi="宋体" w:cs="宋体"/>
          <w:color w:val="auto"/>
          <w:spacing w:val="7"/>
          <w:sz w:val="20"/>
          <w:szCs w:val="20"/>
          <w:highlight w:val="none"/>
          <w:lang w:val="en-US" w:eastAsia="zh-CN"/>
        </w:rPr>
        <w:t>2、</w:t>
      </w:r>
      <w:r>
        <w:rPr>
          <w:rFonts w:ascii="宋体" w:hAnsi="宋体" w:eastAsia="宋体" w:cs="宋体"/>
          <w:color w:val="auto"/>
          <w:spacing w:val="7"/>
          <w:sz w:val="20"/>
          <w:szCs w:val="20"/>
          <w:highlight w:val="none"/>
        </w:rPr>
        <w:t>表中未列出的车辆其它总成及零件的</w:t>
      </w:r>
      <w:r>
        <w:rPr>
          <w:rFonts w:ascii="宋体" w:hAnsi="宋体" w:eastAsia="宋体" w:cs="宋体"/>
          <w:color w:val="auto"/>
          <w:spacing w:val="6"/>
          <w:sz w:val="20"/>
          <w:szCs w:val="20"/>
          <w:highlight w:val="none"/>
        </w:rPr>
        <w:t>保修期，</w:t>
      </w:r>
      <w:r>
        <w:rPr>
          <w:rFonts w:ascii="宋体" w:hAnsi="宋体" w:eastAsia="宋体" w:cs="宋体"/>
          <w:color w:val="auto"/>
          <w:spacing w:val="-50"/>
          <w:sz w:val="20"/>
          <w:szCs w:val="20"/>
          <w:highlight w:val="none"/>
        </w:rPr>
        <w:t xml:space="preserve"> </w:t>
      </w:r>
      <w:r>
        <w:rPr>
          <w:rFonts w:ascii="宋体" w:hAnsi="宋体" w:eastAsia="宋体" w:cs="宋体"/>
          <w:color w:val="auto"/>
          <w:spacing w:val="6"/>
          <w:sz w:val="20"/>
          <w:szCs w:val="20"/>
          <w:highlight w:val="none"/>
        </w:rPr>
        <w:t>自车辆验收合格之日起</w:t>
      </w:r>
      <w:r>
        <w:rPr>
          <w:rFonts w:ascii="宋体" w:hAnsi="宋体" w:eastAsia="宋体" w:cs="宋体"/>
          <w:color w:val="auto"/>
          <w:spacing w:val="-33"/>
          <w:sz w:val="20"/>
          <w:szCs w:val="20"/>
          <w:highlight w:val="none"/>
        </w:rPr>
        <w:t xml:space="preserve"> </w:t>
      </w:r>
      <w:r>
        <w:rPr>
          <w:rFonts w:ascii="宋体" w:hAnsi="宋体" w:eastAsia="宋体" w:cs="宋体"/>
          <w:color w:val="auto"/>
          <w:spacing w:val="6"/>
          <w:sz w:val="20"/>
          <w:szCs w:val="20"/>
          <w:highlight w:val="none"/>
        </w:rPr>
        <w:t>3</w:t>
      </w:r>
      <w:r>
        <w:rPr>
          <w:rFonts w:ascii="宋体" w:hAnsi="宋体" w:eastAsia="宋体" w:cs="宋体"/>
          <w:color w:val="auto"/>
          <w:spacing w:val="-39"/>
          <w:sz w:val="20"/>
          <w:szCs w:val="20"/>
          <w:highlight w:val="none"/>
        </w:rPr>
        <w:t xml:space="preserve"> </w:t>
      </w:r>
      <w:r>
        <w:rPr>
          <w:rFonts w:ascii="宋体" w:hAnsi="宋体" w:eastAsia="宋体" w:cs="宋体"/>
          <w:color w:val="auto"/>
          <w:spacing w:val="6"/>
          <w:sz w:val="20"/>
          <w:szCs w:val="20"/>
          <w:highlight w:val="none"/>
        </w:rPr>
        <w:t>年。</w:t>
      </w:r>
    </w:p>
    <w:p w14:paraId="526DC728">
      <w:pPr>
        <w:spacing w:before="191" w:line="317" w:lineRule="auto"/>
        <w:ind w:left="121" w:right="114" w:firstLine="1"/>
        <w:rPr>
          <w:rFonts w:ascii="宋体" w:hAnsi="宋体" w:eastAsia="宋体" w:cs="宋体"/>
          <w:color w:val="auto"/>
          <w:spacing w:val="5"/>
          <w:sz w:val="20"/>
          <w:szCs w:val="20"/>
          <w:highlight w:val="none"/>
        </w:rPr>
      </w:pPr>
      <w:r>
        <w:rPr>
          <w:rFonts w:hint="eastAsia" w:ascii="宋体" w:hAnsi="宋体" w:cs="宋体"/>
          <w:color w:val="auto"/>
          <w:spacing w:val="7"/>
          <w:sz w:val="20"/>
          <w:szCs w:val="20"/>
          <w:highlight w:val="none"/>
          <w:lang w:val="en-US" w:eastAsia="zh-CN"/>
        </w:rPr>
        <w:t>3</w:t>
      </w:r>
      <w:r>
        <w:rPr>
          <w:rFonts w:ascii="宋体" w:hAnsi="宋体" w:eastAsia="宋体" w:cs="宋体"/>
          <w:color w:val="auto"/>
          <w:spacing w:val="7"/>
          <w:sz w:val="20"/>
          <w:szCs w:val="20"/>
          <w:highlight w:val="none"/>
        </w:rPr>
        <w:t>、 投标单位响应延长整车</w:t>
      </w:r>
      <w:r>
        <w:rPr>
          <w:rFonts w:hint="eastAsia" w:ascii="宋体" w:hAnsi="宋体" w:cs="宋体"/>
          <w:color w:val="auto"/>
          <w:spacing w:val="7"/>
          <w:sz w:val="20"/>
          <w:szCs w:val="20"/>
          <w:highlight w:val="none"/>
          <w:lang w:val="en-US" w:eastAsia="zh-CN"/>
        </w:rPr>
        <w:t>或部分总成</w:t>
      </w:r>
      <w:r>
        <w:rPr>
          <w:rFonts w:ascii="宋体" w:hAnsi="宋体" w:eastAsia="宋体" w:cs="宋体"/>
          <w:color w:val="auto"/>
          <w:spacing w:val="7"/>
          <w:sz w:val="20"/>
          <w:szCs w:val="20"/>
          <w:highlight w:val="none"/>
        </w:rPr>
        <w:t>质保期的，按响应</w:t>
      </w:r>
      <w:r>
        <w:rPr>
          <w:rFonts w:ascii="宋体" w:hAnsi="宋体" w:eastAsia="宋体" w:cs="宋体"/>
          <w:color w:val="auto"/>
          <w:spacing w:val="5"/>
          <w:sz w:val="20"/>
          <w:szCs w:val="20"/>
          <w:highlight w:val="none"/>
        </w:rPr>
        <w:t>年限执行。</w:t>
      </w:r>
    </w:p>
    <w:p w14:paraId="0FFFB9E5">
      <w:pPr>
        <w:spacing w:before="192" w:line="228" w:lineRule="auto"/>
        <w:ind w:left="120"/>
        <w:rPr>
          <w:rFonts w:ascii="宋体" w:hAnsi="宋体" w:eastAsia="宋体" w:cs="宋体"/>
          <w:color w:val="auto"/>
          <w:spacing w:val="8"/>
          <w:sz w:val="20"/>
          <w:szCs w:val="20"/>
          <w:highlight w:val="none"/>
        </w:rPr>
      </w:pPr>
      <w:r>
        <w:rPr>
          <w:rFonts w:hint="eastAsia" w:ascii="宋体" w:hAnsi="宋体" w:cs="宋体"/>
          <w:color w:val="auto"/>
          <w:spacing w:val="8"/>
          <w:sz w:val="20"/>
          <w:szCs w:val="20"/>
          <w:highlight w:val="none"/>
          <w:lang w:val="en-US" w:eastAsia="zh-CN"/>
        </w:rPr>
        <w:t>4</w:t>
      </w:r>
      <w:r>
        <w:rPr>
          <w:rFonts w:ascii="宋体" w:hAnsi="宋体" w:eastAsia="宋体" w:cs="宋体"/>
          <w:color w:val="auto"/>
          <w:spacing w:val="8"/>
          <w:sz w:val="20"/>
          <w:szCs w:val="20"/>
          <w:highlight w:val="none"/>
        </w:rPr>
        <w:t>、</w:t>
      </w:r>
      <w:r>
        <w:rPr>
          <w:rFonts w:ascii="宋体" w:hAnsi="宋体" w:eastAsia="宋体" w:cs="宋体"/>
          <w:color w:val="auto"/>
          <w:spacing w:val="-39"/>
          <w:sz w:val="20"/>
          <w:szCs w:val="20"/>
          <w:highlight w:val="none"/>
        </w:rPr>
        <w:t xml:space="preserve"> </w:t>
      </w:r>
      <w:r>
        <w:rPr>
          <w:rFonts w:ascii="宋体" w:hAnsi="宋体" w:eastAsia="宋体" w:cs="宋体"/>
          <w:color w:val="auto"/>
          <w:spacing w:val="8"/>
          <w:sz w:val="20"/>
          <w:szCs w:val="20"/>
          <w:highlight w:val="none"/>
        </w:rPr>
        <w:t>保修期限自车辆验收合格之日起开始执行。</w:t>
      </w:r>
    </w:p>
    <w:p w14:paraId="30435AE5">
      <w:pPr>
        <w:spacing w:before="192" w:line="228" w:lineRule="auto"/>
        <w:ind w:left="120"/>
        <w:rPr>
          <w:rFonts w:ascii="宋体" w:hAnsi="宋体" w:eastAsia="宋体" w:cs="宋体"/>
          <w:color w:val="auto"/>
          <w:spacing w:val="8"/>
          <w:sz w:val="20"/>
          <w:szCs w:val="20"/>
          <w:highlight w:val="none"/>
        </w:rPr>
      </w:pPr>
    </w:p>
    <w:p w14:paraId="0886DA00">
      <w:pPr>
        <w:spacing w:before="192" w:line="228" w:lineRule="auto"/>
        <w:ind w:left="120"/>
        <w:rPr>
          <w:rFonts w:ascii="宋体" w:hAnsi="宋体" w:eastAsia="宋体" w:cs="宋体"/>
          <w:color w:val="auto"/>
          <w:spacing w:val="8"/>
          <w:sz w:val="20"/>
          <w:szCs w:val="20"/>
          <w:highlight w:val="none"/>
        </w:rPr>
      </w:pPr>
    </w:p>
    <w:p w14:paraId="50B3E3F8">
      <w:pPr>
        <w:spacing w:before="192" w:line="228" w:lineRule="auto"/>
        <w:ind w:left="120"/>
        <w:rPr>
          <w:rFonts w:ascii="宋体" w:hAnsi="宋体" w:eastAsia="宋体" w:cs="宋体"/>
          <w:color w:val="auto"/>
          <w:spacing w:val="8"/>
          <w:sz w:val="20"/>
          <w:szCs w:val="20"/>
          <w:highlight w:val="none"/>
        </w:rPr>
        <w:sectPr>
          <w:footerReference r:id="rId21" w:type="default"/>
          <w:pgSz w:w="11906" w:h="16839"/>
          <w:pgMar w:top="1431" w:right="1687" w:bottom="1231" w:left="1687" w:header="0" w:footer="984" w:gutter="0"/>
          <w:pgNumType w:fmt="decimal"/>
          <w:cols w:space="720" w:num="1"/>
        </w:sectPr>
      </w:pPr>
    </w:p>
    <w:p w14:paraId="3C89A389">
      <w:pPr>
        <w:spacing w:before="192" w:line="228" w:lineRule="auto"/>
        <w:ind w:left="120"/>
        <w:rPr>
          <w:rFonts w:ascii="宋体" w:hAnsi="宋体" w:eastAsia="宋体" w:cs="宋体"/>
          <w:color w:val="auto"/>
          <w:spacing w:val="8"/>
          <w:sz w:val="20"/>
          <w:szCs w:val="20"/>
          <w:highlight w:val="none"/>
        </w:rPr>
      </w:pPr>
    </w:p>
    <w:p w14:paraId="5CCC261A">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四、</w:t>
      </w:r>
      <w:r>
        <w:rPr>
          <w:rFonts w:hint="eastAsia" w:ascii="宋体" w:hAnsi="宋体" w:cs="宋体"/>
          <w:b/>
          <w:color w:val="auto"/>
          <w:sz w:val="24"/>
          <w:szCs w:val="24"/>
          <w:highlight w:val="none"/>
          <w:lang w:eastAsia="zh-CN"/>
        </w:rPr>
        <w:t>标项（子包）</w:t>
      </w:r>
      <w:r>
        <w:rPr>
          <w:rFonts w:hint="eastAsia" w:ascii="宋体" w:hAnsi="宋体" w:cs="宋体"/>
          <w:b/>
          <w:color w:val="auto"/>
          <w:sz w:val="24"/>
          <w:szCs w:val="24"/>
          <w:highlight w:val="none"/>
          <w:lang w:val="en-US" w:eastAsia="zh-CN"/>
        </w:rPr>
        <w:t>四</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rPr>
        <w:t>米一级踏步纯电动公交客车技术参数要求：</w:t>
      </w:r>
    </w:p>
    <w:p w14:paraId="0876C4C0">
      <w:pPr>
        <w:spacing w:line="360" w:lineRule="auto"/>
        <w:ind w:firstLine="420" w:firstLineChars="200"/>
        <w:rPr>
          <w:rStyle w:val="50"/>
          <w:rFonts w:hint="eastAsia" w:ascii="宋体" w:hAnsi="宋体" w:cs="宋体"/>
          <w:color w:val="auto"/>
          <w:highlight w:val="none"/>
        </w:rPr>
      </w:pPr>
      <w:r>
        <w:rPr>
          <w:rFonts w:hint="eastAsia" w:ascii="宋体" w:hAnsi="宋体" w:cs="黑体"/>
          <w:bCs/>
          <w:color w:val="auto"/>
          <w:szCs w:val="21"/>
          <w:highlight w:val="none"/>
        </w:rPr>
        <w:t>客车整车在功能、结构、强度等方面的技术要求均应符合</w:t>
      </w:r>
      <w:r>
        <w:rPr>
          <w:rFonts w:ascii="宋体" w:hAnsi="宋体" w:cs="黑体"/>
          <w:bCs/>
          <w:color w:val="auto"/>
          <w:szCs w:val="21"/>
          <w:highlight w:val="none"/>
        </w:rPr>
        <w:t>GB13094</w:t>
      </w:r>
      <w:r>
        <w:rPr>
          <w:rFonts w:hint="eastAsia" w:ascii="宋体" w:hAnsi="宋体" w:cs="黑体"/>
          <w:bCs/>
          <w:color w:val="auto"/>
          <w:szCs w:val="21"/>
          <w:highlight w:val="none"/>
        </w:rPr>
        <w:t>－</w:t>
      </w:r>
      <w:r>
        <w:rPr>
          <w:rFonts w:ascii="宋体" w:hAnsi="宋体" w:cs="黑体"/>
          <w:bCs/>
          <w:color w:val="auto"/>
          <w:szCs w:val="21"/>
          <w:highlight w:val="none"/>
        </w:rPr>
        <w:t>201</w:t>
      </w:r>
      <w:r>
        <w:rPr>
          <w:rFonts w:hint="eastAsia" w:ascii="宋体" w:hAnsi="宋体" w:cs="黑体"/>
          <w:bCs/>
          <w:color w:val="auto"/>
          <w:szCs w:val="21"/>
          <w:highlight w:val="none"/>
        </w:rPr>
        <w:t>7《客车结构安全要求》、</w:t>
      </w:r>
      <w:r>
        <w:rPr>
          <w:rFonts w:ascii="宋体" w:hAnsi="宋体" w:cs="黑体"/>
          <w:bCs/>
          <w:color w:val="auto"/>
          <w:szCs w:val="21"/>
          <w:highlight w:val="none"/>
        </w:rPr>
        <w:t>GB7258—2017</w:t>
      </w:r>
      <w:r>
        <w:rPr>
          <w:rFonts w:hint="eastAsia" w:ascii="宋体" w:hAnsi="宋体" w:cs="黑体"/>
          <w:bCs/>
          <w:color w:val="auto"/>
          <w:szCs w:val="21"/>
          <w:highlight w:val="none"/>
        </w:rPr>
        <w:t>《机动车运行安</w:t>
      </w:r>
      <w:r>
        <w:rPr>
          <w:rFonts w:hint="eastAsia" w:ascii="宋体" w:hAnsi="宋体" w:eastAsia="宋体" w:cs="黑体"/>
          <w:bCs/>
          <w:color w:val="auto"/>
          <w:szCs w:val="21"/>
          <w:highlight w:val="none"/>
        </w:rPr>
        <w:t>全技术条件》、</w:t>
      </w:r>
      <w:r>
        <w:rPr>
          <w:rFonts w:ascii="宋体" w:hAnsi="宋体" w:eastAsia="宋体" w:cs="黑体"/>
          <w:bCs/>
          <w:color w:val="auto"/>
          <w:szCs w:val="21"/>
          <w:highlight w:val="none"/>
        </w:rPr>
        <w:t>GB18384-20</w:t>
      </w:r>
      <w:r>
        <w:rPr>
          <w:rFonts w:hint="eastAsia" w:ascii="宋体" w:hAnsi="宋体" w:eastAsia="宋体" w:cs="黑体"/>
          <w:bCs/>
          <w:color w:val="auto"/>
          <w:szCs w:val="21"/>
          <w:highlight w:val="none"/>
        </w:rPr>
        <w:t>20《电动汽车安全要求》、</w:t>
      </w:r>
      <w:r>
        <w:rPr>
          <w:rFonts w:ascii="宋体" w:hAnsi="宋体" w:eastAsia="宋体" w:cs="黑体"/>
          <w:bCs/>
          <w:color w:val="auto"/>
          <w:szCs w:val="21"/>
          <w:highlight w:val="none"/>
        </w:rPr>
        <w:t>GB 38032-2020</w:t>
      </w:r>
      <w:r>
        <w:rPr>
          <w:rFonts w:hint="eastAsia" w:ascii="宋体" w:hAnsi="宋体" w:eastAsia="宋体" w:cs="黑体"/>
          <w:bCs/>
          <w:color w:val="auto"/>
          <w:szCs w:val="21"/>
          <w:highlight w:val="none"/>
        </w:rPr>
        <w:t>《</w:t>
      </w:r>
      <w:r>
        <w:rPr>
          <w:rFonts w:ascii="宋体" w:hAnsi="宋体" w:eastAsia="宋体" w:cs="黑体"/>
          <w:bCs/>
          <w:color w:val="auto"/>
          <w:szCs w:val="21"/>
          <w:highlight w:val="none"/>
        </w:rPr>
        <w:t>电动客车安全要求</w:t>
      </w:r>
      <w:r>
        <w:rPr>
          <w:rFonts w:hint="eastAsia" w:ascii="宋体" w:hAnsi="宋体" w:eastAsia="宋体" w:cs="黑体"/>
          <w:bCs/>
          <w:color w:val="auto"/>
          <w:szCs w:val="21"/>
          <w:highlight w:val="none"/>
        </w:rPr>
        <w:t>》、</w:t>
      </w:r>
      <w:r>
        <w:rPr>
          <w:rFonts w:ascii="宋体" w:hAnsi="宋体" w:eastAsia="宋体" w:cs="黑体"/>
          <w:bCs/>
          <w:color w:val="auto"/>
          <w:szCs w:val="21"/>
          <w:highlight w:val="none"/>
        </w:rPr>
        <w:t>GB38031-2020</w:t>
      </w:r>
      <w:r>
        <w:rPr>
          <w:rFonts w:hint="eastAsia" w:ascii="宋体" w:hAnsi="宋体" w:eastAsia="宋体" w:cs="黑体"/>
          <w:bCs/>
          <w:color w:val="auto"/>
          <w:szCs w:val="21"/>
          <w:highlight w:val="none"/>
        </w:rPr>
        <w:t>《电动汽车用动力蓄电池安全要求》、</w:t>
      </w:r>
      <w:r>
        <w:rPr>
          <w:rFonts w:ascii="宋体" w:hAnsi="宋体" w:eastAsia="宋体" w:cs="黑体"/>
          <w:bCs/>
          <w:color w:val="auto"/>
          <w:szCs w:val="21"/>
          <w:highlight w:val="none"/>
        </w:rPr>
        <w:t>GB/T32</w:t>
      </w:r>
      <w:r>
        <w:rPr>
          <w:rFonts w:hint="eastAsia" w:ascii="宋体" w:hAnsi="宋体" w:cs="黑体"/>
          <w:bCs/>
          <w:color w:val="auto"/>
          <w:szCs w:val="21"/>
          <w:highlight w:val="none"/>
          <w:lang w:eastAsia="zh-CN"/>
        </w:rPr>
        <w:t>976</w:t>
      </w:r>
      <w:r>
        <w:rPr>
          <w:rFonts w:ascii="宋体" w:hAnsi="宋体" w:eastAsia="宋体" w:cs="黑体"/>
          <w:bCs/>
          <w:color w:val="auto"/>
          <w:szCs w:val="21"/>
          <w:highlight w:val="none"/>
        </w:rPr>
        <w:t>—2016</w:t>
      </w:r>
      <w:r>
        <w:rPr>
          <w:rFonts w:hint="eastAsia" w:ascii="宋体" w:hAnsi="宋体" w:eastAsia="宋体" w:cs="黑体"/>
          <w:bCs/>
          <w:color w:val="auto"/>
          <w:szCs w:val="21"/>
          <w:highlight w:val="none"/>
        </w:rPr>
        <w:t>《电动汽车远程服务与管理系统技术规范》、JT/T:1240-2019《城市公共汽电车车辆专用安全设施技术要求》及国家现行最新有关标准</w:t>
      </w:r>
      <w:r>
        <w:rPr>
          <w:rFonts w:ascii="宋体" w:hAnsi="宋体" w:eastAsia="宋体" w:cs="黑体"/>
          <w:bCs/>
          <w:color w:val="auto"/>
          <w:szCs w:val="21"/>
          <w:highlight w:val="none"/>
        </w:rPr>
        <w:t>,</w:t>
      </w:r>
      <w:r>
        <w:rPr>
          <w:rFonts w:hint="eastAsia" w:ascii="宋体" w:hAnsi="宋体" w:eastAsia="宋体" w:cs="黑体"/>
          <w:bCs/>
          <w:color w:val="auto"/>
          <w:szCs w:val="21"/>
          <w:highlight w:val="none"/>
        </w:rPr>
        <w:t>以及投标人明确达到的各项技术指标要求。车型和各大总成通过“</w:t>
      </w:r>
      <w:r>
        <w:rPr>
          <w:rFonts w:ascii="宋体" w:hAnsi="宋体" w:eastAsia="宋体" w:cs="黑体"/>
          <w:bCs/>
          <w:color w:val="auto"/>
          <w:szCs w:val="21"/>
          <w:highlight w:val="none"/>
        </w:rPr>
        <w:t>3C</w:t>
      </w:r>
      <w:r>
        <w:rPr>
          <w:rFonts w:hint="eastAsia" w:ascii="宋体" w:hAnsi="宋体" w:eastAsia="宋体" w:cs="黑体"/>
          <w:bCs/>
          <w:color w:val="auto"/>
          <w:szCs w:val="21"/>
          <w:highlight w:val="none"/>
        </w:rPr>
        <w:t>”认证等相关机构认证资格证明。客车必须具有国家批准的纯电动客车生产资质，车辆上牌前须具备国家工信部颁发的《道路机动车辆生产企业及产品公告》和《享受车船税减免优惠的节约能源使用新能源汽车车型目录》《</w:t>
      </w:r>
      <w:r>
        <w:rPr>
          <w:rFonts w:ascii="宋体" w:hAnsi="宋体" w:eastAsia="宋体" w:cs="黑体"/>
          <w:bCs/>
          <w:color w:val="auto"/>
          <w:szCs w:val="21"/>
          <w:highlight w:val="none"/>
        </w:rPr>
        <w:fldChar w:fldCharType="begin"/>
      </w:r>
      <w:r>
        <w:rPr>
          <w:rFonts w:ascii="宋体" w:hAnsi="宋体" w:eastAsia="宋体" w:cs="黑体"/>
          <w:bCs/>
          <w:color w:val="auto"/>
          <w:szCs w:val="21"/>
          <w:highlight w:val="none"/>
        </w:rPr>
        <w:instrText xml:space="preserve"> HYPERLINK "https://www.miit.gov.cn/cms_files/filemanager/1226211233/attach/20244/4aabd4e028a74981be7faf6d7200bae5.doc" </w:instrText>
      </w:r>
      <w:r>
        <w:rPr>
          <w:rFonts w:ascii="宋体" w:hAnsi="宋体" w:eastAsia="宋体" w:cs="黑体"/>
          <w:bCs/>
          <w:color w:val="auto"/>
          <w:szCs w:val="21"/>
          <w:highlight w:val="none"/>
        </w:rPr>
        <w:fldChar w:fldCharType="separate"/>
      </w:r>
      <w:r>
        <w:rPr>
          <w:rFonts w:ascii="宋体" w:hAnsi="宋体" w:eastAsia="宋体" w:cs="黑体"/>
          <w:bCs/>
          <w:color w:val="auto"/>
          <w:szCs w:val="21"/>
          <w:highlight w:val="none"/>
        </w:rPr>
        <w:t>减免车辆购置税的新能源汽车车型目录</w:t>
      </w:r>
      <w:r>
        <w:rPr>
          <w:rFonts w:hint="eastAsia" w:ascii="宋体" w:hAnsi="宋体" w:eastAsia="宋体" w:cs="黑体"/>
          <w:bCs/>
          <w:color w:val="auto"/>
          <w:szCs w:val="21"/>
          <w:highlight w:val="none"/>
        </w:rPr>
        <w:t>》（投标文件中提供公示公告参数页面截图）。</w:t>
      </w:r>
      <w:r>
        <w:rPr>
          <w:rFonts w:hint="eastAsia" w:ascii="宋体" w:hAnsi="宋体" w:eastAsia="宋体" w:cs="黑体"/>
          <w:bCs/>
          <w:color w:val="auto"/>
          <w:szCs w:val="21"/>
          <w:highlight w:val="none"/>
        </w:rPr>
        <w:fldChar w:fldCharType="end"/>
      </w:r>
    </w:p>
    <w:p w14:paraId="05DCCB1F">
      <w:pPr>
        <w:pStyle w:val="137"/>
        <w:spacing w:line="360" w:lineRule="auto"/>
        <w:ind w:left="450" w:firstLine="0" w:firstLineChars="0"/>
        <w:rPr>
          <w:b/>
          <w:color w:val="auto"/>
          <w:szCs w:val="21"/>
          <w:highlight w:val="none"/>
        </w:rPr>
      </w:pPr>
    </w:p>
    <w:tbl>
      <w:tblPr>
        <w:tblStyle w:val="45"/>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886"/>
      </w:tblGrid>
      <w:tr w14:paraId="2C18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DC2117F">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w:t>
            </w:r>
          </w:p>
        </w:tc>
        <w:tc>
          <w:tcPr>
            <w:tcW w:w="8886" w:type="dxa"/>
            <w:tcBorders>
              <w:top w:val="single" w:color="auto" w:sz="4" w:space="0"/>
              <w:left w:val="single" w:color="auto" w:sz="4" w:space="0"/>
              <w:bottom w:val="single" w:color="auto" w:sz="4" w:space="0"/>
              <w:right w:val="single" w:color="auto" w:sz="4" w:space="0"/>
            </w:tcBorders>
            <w:noWrap w:val="0"/>
            <w:vAlign w:val="center"/>
          </w:tcPr>
          <w:p w14:paraId="504F740E">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技术要求</w:t>
            </w:r>
          </w:p>
        </w:tc>
      </w:tr>
      <w:tr w14:paraId="41AE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40CC8501">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外型尺寸(mm)：</w:t>
            </w:r>
          </w:p>
        </w:tc>
        <w:tc>
          <w:tcPr>
            <w:tcW w:w="8886" w:type="dxa"/>
            <w:tcBorders>
              <w:top w:val="single" w:color="auto" w:sz="4" w:space="0"/>
              <w:left w:val="single" w:color="auto" w:sz="4" w:space="0"/>
              <w:bottom w:val="single" w:color="auto" w:sz="4" w:space="0"/>
              <w:right w:val="single" w:color="auto" w:sz="4" w:space="0"/>
            </w:tcBorders>
            <w:noWrap w:val="0"/>
            <w:vAlign w:val="center"/>
          </w:tcPr>
          <w:p w14:paraId="2CC89C96">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长</w:t>
            </w:r>
            <w:r>
              <w:rPr>
                <w:rFonts w:hint="eastAsia" w:ascii="宋体" w:hAnsi="宋体" w:eastAsia="宋体" w:cs="宋体"/>
                <w:bCs/>
                <w:color w:val="auto"/>
                <w:sz w:val="21"/>
                <w:szCs w:val="21"/>
                <w:highlight w:val="none"/>
                <w:lang w:val="en-US" w:eastAsia="zh-CN"/>
              </w:rPr>
              <w:t>6990</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7145</w:t>
            </w:r>
            <w:r>
              <w:rPr>
                <w:rFonts w:hint="eastAsia" w:ascii="宋体" w:hAnsi="宋体" w:eastAsia="宋体" w:cs="宋体"/>
                <w:bCs/>
                <w:color w:val="auto"/>
                <w:sz w:val="21"/>
                <w:szCs w:val="21"/>
                <w:highlight w:val="none"/>
              </w:rPr>
              <w:t>mm，宽2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00-25</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0mm，高</w:t>
            </w:r>
            <w:r>
              <w:rPr>
                <w:rFonts w:hint="eastAsia" w:ascii="宋体" w:hAnsi="宋体" w:eastAsia="宋体" w:cs="宋体"/>
                <w:bCs/>
                <w:color w:val="auto"/>
                <w:sz w:val="21"/>
                <w:szCs w:val="21"/>
                <w:highlight w:val="none"/>
                <w:lang w:val="en-US" w:eastAsia="zh-CN"/>
              </w:rPr>
              <w:t>2950</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en-US" w:eastAsia="zh-CN"/>
              </w:rPr>
              <w:t>13</w:t>
            </w:r>
            <w:r>
              <w:rPr>
                <w:rFonts w:hint="eastAsia" w:ascii="宋体" w:hAnsi="宋体" w:eastAsia="宋体" w:cs="宋体"/>
                <w:bCs/>
                <w:color w:val="auto"/>
                <w:sz w:val="21"/>
                <w:szCs w:val="21"/>
                <w:highlight w:val="none"/>
              </w:rPr>
              <w:t>0mm</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含空调</w:t>
            </w:r>
            <w:r>
              <w:rPr>
                <w:rFonts w:hint="eastAsia" w:ascii="宋体" w:hAnsi="宋体" w:eastAsia="宋体" w:cs="宋体"/>
                <w:bCs/>
                <w:color w:val="auto"/>
                <w:sz w:val="21"/>
                <w:szCs w:val="21"/>
                <w:highlight w:val="none"/>
                <w:lang w:eastAsia="zh-CN"/>
              </w:rPr>
              <w:t>）。</w:t>
            </w:r>
          </w:p>
        </w:tc>
      </w:tr>
      <w:tr w14:paraId="16FC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22CC52D5">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动力电池组及BMS</w:t>
            </w:r>
          </w:p>
        </w:tc>
        <w:tc>
          <w:tcPr>
            <w:tcW w:w="8886" w:type="dxa"/>
            <w:tcBorders>
              <w:top w:val="single" w:color="auto" w:sz="4" w:space="0"/>
              <w:left w:val="single" w:color="auto" w:sz="4" w:space="0"/>
              <w:bottom w:val="single" w:color="auto" w:sz="4" w:space="0"/>
              <w:right w:val="single" w:color="auto" w:sz="4" w:space="0"/>
            </w:tcBorders>
            <w:noWrap w:val="0"/>
            <w:vAlign w:val="center"/>
          </w:tcPr>
          <w:p w14:paraId="1287CF53">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1、动力电池：电池电量高于≥157KWH。选用磷酸铁锂电池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BC5新电芯产品）</w:t>
            </w:r>
            <w:r>
              <w:rPr>
                <w:rFonts w:hint="eastAsia" w:ascii="宋体" w:hAnsi="宋体" w:eastAsia="宋体" w:cs="宋体"/>
                <w:bCs/>
                <w:color w:val="auto"/>
                <w:sz w:val="21"/>
                <w:szCs w:val="21"/>
                <w:highlight w:val="none"/>
              </w:rPr>
              <w:t>，充电倍率≥0.8C，采用国内主要品牌宁德时代且</w:t>
            </w:r>
            <w:r>
              <w:rPr>
                <w:rFonts w:hint="eastAsia" w:ascii="宋体" w:hAnsi="宋体" w:eastAsia="宋体" w:cs="宋体"/>
                <w:color w:val="auto"/>
                <w:sz w:val="21"/>
                <w:szCs w:val="21"/>
                <w:highlight w:val="none"/>
              </w:rPr>
              <w:t>电芯和电池pack为同一品牌</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能量密度≥160Wh/kg</w:t>
            </w:r>
          </w:p>
          <w:p w14:paraId="03AECF6F">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高压部件安装在独立舱体内，具有通风，散热，防水，报警设计，确保高压部件的工作温度。</w:t>
            </w:r>
          </w:p>
          <w:p w14:paraId="21346CAC">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控制系统仓内，动力电池组、控制系统等布置合理，通风良好；做好安全措施，安装自动灭火装置，安装烟雾报警器，</w:t>
            </w:r>
            <w:r>
              <w:rPr>
                <w:rFonts w:hint="eastAsia" w:ascii="宋体" w:hAnsi="宋体" w:eastAsia="宋体" w:cs="宋体"/>
                <w:color w:val="auto"/>
                <w:sz w:val="21"/>
                <w:szCs w:val="21"/>
                <w:highlight w:val="none"/>
              </w:rPr>
              <w:t>安装电池仓及后仓（高压仓）专用灭火器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质保8年，如需更换由客车厂家负责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28AF486">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pacing w:val="11"/>
                <w:sz w:val="21"/>
                <w:szCs w:val="21"/>
              </w:rPr>
              <w:t>动力电池箱内安装专用灭火装置，要求采用全氟己酮或七氟丙烷灭火剂，</w:t>
            </w:r>
            <w:r>
              <w:rPr>
                <w:rFonts w:hint="eastAsia" w:ascii="宋体" w:hAnsi="宋体" w:eastAsia="宋体" w:cs="宋体"/>
                <w:color w:val="auto"/>
                <w:spacing w:val="7"/>
                <w:sz w:val="21"/>
                <w:szCs w:val="21"/>
              </w:rPr>
              <w:t xml:space="preserve"> </w:t>
            </w:r>
            <w:r>
              <w:rPr>
                <w:rFonts w:hint="eastAsia" w:ascii="宋体" w:hAnsi="宋体" w:cs="宋体"/>
                <w:color w:val="auto"/>
                <w:spacing w:val="8"/>
                <w:sz w:val="21"/>
                <w:szCs w:val="21"/>
                <w:lang w:eastAsia="zh-CN"/>
              </w:rPr>
              <w:t>不小于</w:t>
            </w:r>
            <w:r>
              <w:rPr>
                <w:rFonts w:hint="eastAsia" w:ascii="宋体" w:hAnsi="宋体" w:eastAsia="宋体" w:cs="宋体"/>
                <w:color w:val="auto"/>
                <w:spacing w:val="8"/>
                <w:sz w:val="21"/>
                <w:szCs w:val="21"/>
                <w:lang w:val="en-US" w:eastAsia="zh-CN"/>
              </w:rPr>
              <w:t>3</w:t>
            </w:r>
            <w:r>
              <w:rPr>
                <w:rFonts w:hint="eastAsia" w:ascii="宋体" w:hAnsi="宋体" w:eastAsia="宋体" w:cs="宋体"/>
                <w:color w:val="auto"/>
                <w:sz w:val="21"/>
                <w:szCs w:val="21"/>
              </w:rPr>
              <w:t>KG</w:t>
            </w:r>
            <w:r>
              <w:rPr>
                <w:rFonts w:hint="eastAsia" w:ascii="宋体" w:hAnsi="宋体" w:eastAsia="宋体" w:cs="宋体"/>
                <w:color w:val="auto"/>
                <w:spacing w:val="8"/>
                <w:sz w:val="21"/>
                <w:szCs w:val="21"/>
              </w:rPr>
              <w:t>，具有温度传感器、气体分解传感器、烟雾传感</w:t>
            </w:r>
            <w:r>
              <w:rPr>
                <w:rFonts w:hint="eastAsia" w:ascii="宋体" w:hAnsi="宋体" w:eastAsia="宋体" w:cs="宋体"/>
                <w:color w:val="auto"/>
                <w:spacing w:val="7"/>
                <w:sz w:val="21"/>
                <w:szCs w:val="21"/>
              </w:rPr>
              <w:t>器、电解液漏液自动</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检测和火灾自动探测等检测和报警功能，能实现自动启动和手动启动功能，</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0"/>
                <w:sz w:val="21"/>
                <w:szCs w:val="21"/>
              </w:rPr>
              <w:t>需满足全天侯待机工作状态，探测装置、灭火装置等质保</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10"/>
                <w:sz w:val="21"/>
                <w:szCs w:val="21"/>
              </w:rPr>
              <w:t>8</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10"/>
                <w:sz w:val="21"/>
                <w:szCs w:val="21"/>
              </w:rPr>
              <w:t>年，质保期内系统的检修及更换全部由投标方免费负责</w:t>
            </w:r>
            <w:r>
              <w:rPr>
                <w:rFonts w:hint="eastAsia" w:ascii="宋体" w:hAnsi="宋体" w:eastAsia="宋体" w:cs="宋体"/>
                <w:b/>
                <w:bCs/>
                <w:color w:val="auto"/>
                <w:spacing w:val="10"/>
                <w:sz w:val="21"/>
                <w:szCs w:val="21"/>
              </w:rPr>
              <w:t>（</w:t>
            </w:r>
            <w:r>
              <w:rPr>
                <w:rFonts w:hint="eastAsia" w:ascii="宋体" w:hAnsi="宋体" w:eastAsia="宋体" w:cs="宋体"/>
                <w:color w:val="auto"/>
                <w:spacing w:val="10"/>
                <w:sz w:val="21"/>
                <w:szCs w:val="21"/>
              </w:rPr>
              <w:t>包含总成件、所属配件、易损</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9"/>
                <w:sz w:val="21"/>
                <w:szCs w:val="21"/>
              </w:rPr>
              <w:t>件及工时，合同签订前由配套产品厂家和投标方提供共同书面承诺函</w:t>
            </w:r>
            <w:r>
              <w:rPr>
                <w:rFonts w:hint="eastAsia" w:ascii="宋体" w:hAnsi="宋体" w:eastAsia="宋体" w:cs="宋体"/>
                <w:b/>
                <w:bCs/>
                <w:color w:val="auto"/>
                <w:spacing w:val="9"/>
                <w:sz w:val="21"/>
                <w:szCs w:val="21"/>
              </w:rPr>
              <w:t>）</w:t>
            </w:r>
            <w:r>
              <w:rPr>
                <w:rFonts w:hint="eastAsia" w:ascii="宋体" w:hAnsi="宋体" w:eastAsia="宋体" w:cs="宋体"/>
                <w:bCs/>
                <w:color w:val="auto"/>
                <w:sz w:val="21"/>
                <w:szCs w:val="21"/>
                <w:highlight w:val="none"/>
              </w:rPr>
              <w:t>。</w:t>
            </w:r>
            <w:r>
              <w:rPr>
                <w:rFonts w:hint="eastAsia" w:ascii="宋体" w:hAnsi="宋体" w:eastAsia="宋体" w:cs="宋体"/>
                <w:color w:val="auto"/>
                <w:spacing w:val="11"/>
                <w:sz w:val="21"/>
                <w:szCs w:val="21"/>
              </w:rPr>
              <w:t>灭火装置及部件有国家公安部消防鉴定证书，电池箱</w:t>
            </w:r>
            <w:r>
              <w:rPr>
                <w:rFonts w:hint="eastAsia" w:ascii="宋体" w:hAnsi="宋体" w:eastAsia="宋体" w:cs="宋体"/>
                <w:color w:val="auto"/>
                <w:spacing w:val="10"/>
                <w:sz w:val="21"/>
                <w:szCs w:val="21"/>
              </w:rPr>
              <w:t>及电池舱自动灭火装</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置需有</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9"/>
                <w:sz w:val="21"/>
                <w:szCs w:val="21"/>
              </w:rPr>
              <w:t>8</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9"/>
                <w:sz w:val="21"/>
                <w:szCs w:val="21"/>
              </w:rPr>
              <w:t>年商业保险，电池箱单次事故保额不小于</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9"/>
                <w:sz w:val="21"/>
                <w:szCs w:val="21"/>
              </w:rPr>
              <w:t>20</w:t>
            </w:r>
            <w:r>
              <w:rPr>
                <w:rFonts w:hint="eastAsia" w:ascii="宋体" w:hAnsi="宋体" w:eastAsia="宋体" w:cs="宋体"/>
                <w:color w:val="auto"/>
                <w:spacing w:val="8"/>
                <w:sz w:val="21"/>
                <w:szCs w:val="21"/>
              </w:rPr>
              <w:t>0</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8"/>
                <w:sz w:val="21"/>
                <w:szCs w:val="21"/>
              </w:rPr>
              <w:t>万，电池舱单次事</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故保额不小于</w:t>
            </w:r>
            <w:r>
              <w:rPr>
                <w:rFonts w:hint="eastAsia" w:ascii="宋体" w:hAnsi="宋体" w:eastAsia="宋体" w:cs="宋体"/>
                <w:color w:val="auto"/>
                <w:spacing w:val="-16"/>
                <w:sz w:val="21"/>
                <w:szCs w:val="21"/>
              </w:rPr>
              <w:t xml:space="preserve"> </w:t>
            </w:r>
            <w:r>
              <w:rPr>
                <w:rFonts w:hint="eastAsia" w:ascii="宋体" w:hAnsi="宋体" w:eastAsia="宋体" w:cs="宋体"/>
                <w:color w:val="auto"/>
                <w:spacing w:val="9"/>
                <w:sz w:val="21"/>
                <w:szCs w:val="21"/>
              </w:rPr>
              <w:t>100</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9"/>
                <w:sz w:val="21"/>
                <w:szCs w:val="21"/>
              </w:rPr>
              <w:t>万，承诺非人为损坏和失效的免费更换。如因装用不合</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格的电池箱或电池仓灭火装置引起的各种损失及责任，</w:t>
            </w:r>
            <w:r>
              <w:rPr>
                <w:rFonts w:hint="eastAsia" w:ascii="宋体" w:hAnsi="宋体" w:eastAsia="宋体" w:cs="宋体"/>
                <w:color w:val="auto"/>
                <w:spacing w:val="-58"/>
                <w:sz w:val="21"/>
                <w:szCs w:val="21"/>
              </w:rPr>
              <w:t xml:space="preserve"> </w:t>
            </w:r>
            <w:r>
              <w:rPr>
                <w:rFonts w:hint="eastAsia" w:ascii="宋体" w:hAnsi="宋体" w:eastAsia="宋体" w:cs="宋体"/>
                <w:color w:val="auto"/>
                <w:spacing w:val="8"/>
                <w:sz w:val="21"/>
                <w:szCs w:val="21"/>
              </w:rPr>
              <w:t>由投标方承担</w:t>
            </w:r>
          </w:p>
          <w:p w14:paraId="5623FA2B">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动力电池必须有专门的冷却设施（液冷），将电池的工作温度控制在最佳工作温度，延缓电池的容量衰减。</w:t>
            </w:r>
          </w:p>
          <w:p w14:paraId="14A5C726">
            <w:pPr>
              <w:keepNext w:val="0"/>
              <w:keepLines w:val="0"/>
              <w:pageBreakBefore w:val="0"/>
              <w:widowControl w:val="0"/>
              <w:numPr>
                <w:ilvl w:val="0"/>
                <w:numId w:val="0"/>
              </w:numPr>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bCs/>
                <w:color w:val="auto"/>
                <w:sz w:val="21"/>
                <w:szCs w:val="21"/>
                <w:highlight w:val="none"/>
              </w:rPr>
              <w:t>动力电池</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年内衰减不超过</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0%，质保</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年（以具有合格资质的第三方检测报告为准，在质保期内无偿每年定期进行一次质量检测</w:t>
            </w:r>
            <w:r>
              <w:rPr>
                <w:rFonts w:hint="eastAsia" w:ascii="宋体" w:hAnsi="宋体" w:eastAsia="宋体" w:cs="宋体"/>
                <w:bCs/>
                <w:color w:val="auto"/>
                <w:sz w:val="21"/>
                <w:szCs w:val="21"/>
                <w:highlight w:val="none"/>
                <w:lang w:eastAsia="zh-CN"/>
              </w:rPr>
              <w:t>）</w:t>
            </w:r>
          </w:p>
          <w:p w14:paraId="0753A4E7">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具有故障诊断功能(包括电压、电流、温度、高压、均衡、CAN通讯故障) ；有过压、欠压、过流、过温、充电超出限制、放电超出限制等保护及报警功能。</w:t>
            </w:r>
          </w:p>
          <w:p w14:paraId="58DF1246">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采用标准模组、标准电池箱体，进行一体化设计，箱体采用压铸制造工艺。动力电池安装位置必须保证车厢空间不受影响。</w:t>
            </w:r>
          </w:p>
          <w:p w14:paraId="5A7F15FA">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、车辆设置为乘客门未关闭车辆不能起步功能。</w:t>
            </w:r>
          </w:p>
          <w:p w14:paraId="36BCCD2F">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、车辆设置充电口，符合国标GBT 20234.3要求；充电方式：采用直流充电、慢充快补。充电接口应有明显标志标示，防止人员误操作。具有充电枪未拔出不能启动车辆功能</w:t>
            </w:r>
          </w:p>
          <w:p w14:paraId="460B8713">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、动力系统模块接入CAN总线，储能装置BMS管理系统具有远程监控功能，用户可通过互联网登陆平台实时查询和监控储能装置使用情况。</w:t>
            </w:r>
          </w:p>
        </w:tc>
      </w:tr>
      <w:tr w14:paraId="71F7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A414610">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驱动电机及控制器</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36B94434">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采用水冷永磁同步驱动电机，电机采用集成电驱桥，直接驱动后桥；选用优质品牌电机，质保</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年。电机峰值功率≥1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0KW额定功率≥</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KW；外壳防护等级不低于IP68，在投标文件中提供厂家车辆公告页。驱动电机具备缓速和能量回收功能。选用轻量化和体积小的铝壳驱动电机，并兼顾电机维保的方便性。驱动电机功率须满足公交服务要求，并具有低速大转矩特性及较宽范围内的恒功率特性，能够在车辆满载、爬坡等工况下提供充足动力。</w:t>
            </w:r>
          </w:p>
        </w:tc>
      </w:tr>
      <w:tr w14:paraId="2BAC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0AEF2B20">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整车控制器</w:t>
            </w:r>
          </w:p>
        </w:tc>
        <w:tc>
          <w:tcPr>
            <w:tcW w:w="8886" w:type="dxa"/>
            <w:tcBorders>
              <w:top w:val="single" w:color="auto" w:sz="4" w:space="0"/>
              <w:left w:val="single" w:color="auto" w:sz="4" w:space="0"/>
              <w:bottom w:val="single" w:color="auto" w:sz="4" w:space="0"/>
              <w:right w:val="single" w:color="auto" w:sz="4" w:space="0"/>
            </w:tcBorders>
            <w:noWrap w:val="0"/>
            <w:vAlign w:val="center"/>
          </w:tcPr>
          <w:p w14:paraId="5B02DC54">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1、具备故障诊断、过压保护、过流保护、过热保护、充电保护、漏电保护及信息自动传输。</w:t>
            </w:r>
          </w:p>
          <w:p w14:paraId="309135AA">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2、满足传导抗扰度ISO 7637-2-2004；辐射抗扰度ISO 11452-2-2004（A级）；大电流注入ISO 11452-4-2005（A级）；静电放电ISO 10605-2008（A级）要求。</w:t>
            </w:r>
          </w:p>
          <w:p w14:paraId="469A24BF">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3、具有油门误踩系统（EAPM）：能智能分辨正常踩油门和油门误踩，当油门瞬间异常开度时，车辆不会前进或倒退。不具有车辆蠕动功能。（车辆档位在 D 或 R，在没有踩油门信号前提下，车辆不会前进或后退）。切换档位要求前进档与倒车档切换时必须先按空档再按前进挡或倒挡。</w:t>
            </w:r>
          </w:p>
          <w:p w14:paraId="37009F78">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整车控制器</w:t>
            </w:r>
            <w:r>
              <w:rPr>
                <w:rFonts w:hint="eastAsia" w:ascii="宋体" w:hAnsi="宋体" w:eastAsia="宋体" w:cs="宋体"/>
                <w:bCs/>
                <w:color w:val="auto"/>
                <w:sz w:val="21"/>
                <w:szCs w:val="21"/>
                <w:highlight w:val="none"/>
              </w:rPr>
              <w:t>防护等级达到IP68 ，</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年质保。</w:t>
            </w:r>
          </w:p>
        </w:tc>
      </w:tr>
      <w:tr w14:paraId="388C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2FC7C1B4">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底盘</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6654913C">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1、采用一级踏步，前桥采用门式桥，盘式制动，带制动器磨损极限报警，</w:t>
            </w:r>
            <w:r>
              <w:rPr>
                <w:rFonts w:hint="eastAsia" w:ascii="宋体" w:hAnsi="宋体" w:cs="宋体"/>
                <w:bCs/>
                <w:color w:val="auto"/>
                <w:szCs w:val="21"/>
                <w:highlight w:val="none"/>
                <w:lang w:val="en-US" w:eastAsia="zh-CN"/>
              </w:rPr>
              <w:t>前后制动器具有制动高温预警系统，通过CAN总线可实时检测制动器卡钳温度，</w:t>
            </w:r>
            <w:r>
              <w:rPr>
                <w:rFonts w:hint="eastAsia" w:ascii="宋体" w:hAnsi="宋体" w:eastAsia="宋体" w:cs="宋体"/>
                <w:bCs/>
                <w:color w:val="auto"/>
                <w:sz w:val="21"/>
                <w:szCs w:val="21"/>
                <w:highlight w:val="none"/>
              </w:rPr>
              <w:t>额定载荷≥</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T；后桥盘式制动，额定载荷≥</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T，前后桥使用脂润滑免维护轮毂（质保8年，质保期内故障必须更换总成），冲压焊接整体式桥壳，新能源公交车专用主减，主减速器速比的设定应根据运行的特点，确保能量消耗的经济性，主减速器质保期为8年。配ABS系统（考虑在仪表上增加或可直接显示故障轮的功能）。</w:t>
            </w:r>
          </w:p>
          <w:p w14:paraId="08CB93B3">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2、动力系统最大承载扭矩必须满足城市公交运行线路实际超载运行的特殊要求。</w:t>
            </w:r>
          </w:p>
          <w:p w14:paraId="358DA824">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3、双回路气制动系统，整车主要制动管路采用铜管，气管路安装空气干燥装置；安装低气压报警装置（制动系统符合GB7258制动系的要求），安装自动排水系统。</w:t>
            </w:r>
          </w:p>
          <w:p w14:paraId="0C8DC560">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4、采用电子驻车系统。</w:t>
            </w:r>
          </w:p>
          <w:p w14:paraId="21E780E8">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sz w:val="21"/>
                <w:szCs w:val="21"/>
                <w:highlight w:val="none"/>
              </w:rPr>
              <w:t>、采用集中润滑系统，质保8年。</w:t>
            </w:r>
          </w:p>
          <w:p w14:paraId="263AEA40">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6、采用无内胎子午线轮胎，</w:t>
            </w:r>
            <w:r>
              <w:rPr>
                <w:rFonts w:hint="eastAsia" w:ascii="宋体" w:hAnsi="宋体" w:eastAsia="宋体" w:cs="宋体"/>
                <w:bCs/>
                <w:color w:val="auto"/>
                <w:sz w:val="21"/>
                <w:szCs w:val="21"/>
                <w:highlight w:val="none"/>
                <w:lang w:val="en-US" w:eastAsia="zh-CN"/>
              </w:rPr>
              <w:t>轮胎规格245/70R17.5，全车配</w:t>
            </w:r>
            <w:r>
              <w:rPr>
                <w:rFonts w:hint="eastAsia" w:ascii="宋体" w:hAnsi="宋体" w:eastAsia="宋体" w:cs="宋体"/>
                <w:bCs/>
                <w:color w:val="auto"/>
                <w:sz w:val="21"/>
                <w:szCs w:val="21"/>
                <w:highlight w:val="none"/>
              </w:rPr>
              <w:t>铝合金轮毂（带平衡器），含备胎7只</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备胎铝合金轮毂也带平衡器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w:t>
            </w:r>
          </w:p>
          <w:p w14:paraId="44BFDA29">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、采用</w:t>
            </w:r>
            <w:r>
              <w:rPr>
                <w:rFonts w:hint="eastAsia" w:ascii="宋体" w:hAnsi="宋体" w:eastAsia="宋体" w:cs="宋体"/>
                <w:color w:val="auto"/>
                <w:sz w:val="21"/>
                <w:szCs w:val="21"/>
                <w:highlight w:val="none"/>
                <w:lang w:val="en-US" w:eastAsia="zh-CN"/>
              </w:rPr>
              <w:t>复合</w:t>
            </w:r>
            <w:r>
              <w:rPr>
                <w:rFonts w:hint="eastAsia" w:ascii="宋体" w:hAnsi="宋体" w:eastAsia="宋体" w:cs="宋体"/>
                <w:color w:val="auto"/>
                <w:sz w:val="21"/>
                <w:szCs w:val="21"/>
                <w:highlight w:val="none"/>
              </w:rPr>
              <w:t>悬架</w:t>
            </w:r>
            <w:r>
              <w:rPr>
                <w:rFonts w:hint="eastAsia" w:ascii="宋体" w:hAnsi="宋体" w:eastAsia="宋体" w:cs="宋体"/>
                <w:bCs/>
                <w:color w:val="auto"/>
                <w:sz w:val="21"/>
                <w:szCs w:val="21"/>
                <w:highlight w:val="none"/>
              </w:rPr>
              <w:t>。悬架系统承载力须满足公交运营线路实际超载要求，必须满足郊区线路道路条件，前桥配横向稳定杆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提供产品公告页</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w:t>
            </w:r>
          </w:p>
          <w:p w14:paraId="7239FCB5">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、转向器：</w:t>
            </w:r>
            <w:r>
              <w:rPr>
                <w:rFonts w:hint="eastAsia" w:ascii="宋体" w:hAnsi="宋体" w:eastAsia="宋体" w:cs="宋体"/>
                <w:bCs/>
                <w:color w:val="auto"/>
                <w:sz w:val="21"/>
                <w:szCs w:val="21"/>
                <w:highlight w:val="none"/>
                <w:lang w:val="en-US" w:eastAsia="zh-CN"/>
              </w:rPr>
              <w:t>双源电助力转向器，</w:t>
            </w:r>
            <w:r>
              <w:rPr>
                <w:rFonts w:hint="eastAsia" w:ascii="宋体" w:hAnsi="宋体" w:eastAsia="宋体" w:cs="宋体"/>
                <w:bCs/>
                <w:color w:val="auto"/>
                <w:sz w:val="21"/>
                <w:szCs w:val="21"/>
                <w:highlight w:val="none"/>
              </w:rPr>
              <w:t>系统油管采用整根结构（或接头在易于检查维护的较低点），要求储油罐及油管接头防止渗漏油。整车高压断电异常情况时，保持转向系统维持助力状态。</w:t>
            </w:r>
          </w:p>
          <w:p w14:paraId="2AED34A9">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、ATS系统散热器（整套质保8年）：采用铜质或铝质型材散热器，进口无刷风机；ECU具有一键回家模式，气流逆转除尘；与CAN总线无缝对接；配置无刷磁力泵，防护等级IP68 ，具有空转、欠压、反接保护功能，具有故障诊断及指示灯报警功能。</w:t>
            </w:r>
          </w:p>
          <w:p w14:paraId="0EC1F78F">
            <w:pPr>
              <w:pStyle w:val="44"/>
              <w:keepNext w:val="0"/>
              <w:keepLines w:val="0"/>
              <w:pageBreakBefore w:val="0"/>
              <w:widowControl w:val="0"/>
              <w:kinsoku/>
              <w:wordWrap/>
              <w:overflowPunct/>
              <w:topLinePunct w:val="0"/>
              <w:autoSpaceDE/>
              <w:autoSpaceDN/>
              <w:bidi w:val="0"/>
              <w:adjustRightInd/>
              <w:spacing w:line="540" w:lineRule="exact"/>
              <w:ind w:left="0" w:leftChars="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采用无油</w:t>
            </w:r>
            <w:r>
              <w:rPr>
                <w:rFonts w:hint="eastAsia" w:ascii="宋体" w:hAnsi="宋体" w:eastAsia="宋体" w:cs="宋体"/>
                <w:bCs/>
                <w:color w:val="auto"/>
                <w:sz w:val="21"/>
                <w:szCs w:val="21"/>
                <w:highlight w:val="none"/>
              </w:rPr>
              <w:t>电动空气压缩机（质保8年）。</w:t>
            </w:r>
          </w:p>
        </w:tc>
      </w:tr>
      <w:tr w14:paraId="131C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6B2450C">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电器系统</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6CD0A848">
            <w:pPr>
              <w:keepNext w:val="0"/>
              <w:keepLines w:val="0"/>
              <w:pageBreakBefore w:val="0"/>
              <w:widowControl w:val="0"/>
              <w:numPr>
                <w:ilvl w:val="0"/>
                <w:numId w:val="6"/>
              </w:numPr>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配备</w:t>
            </w:r>
            <w:r>
              <w:rPr>
                <w:rFonts w:hint="eastAsia" w:ascii="宋体" w:hAnsi="宋体" w:eastAsia="宋体" w:cs="宋体"/>
                <w:bCs/>
                <w:color w:val="auto"/>
                <w:sz w:val="21"/>
                <w:szCs w:val="21"/>
                <w:highlight w:val="none"/>
                <w:lang w:val="en-US" w:eastAsia="zh-CN"/>
              </w:rPr>
              <w:t>低压锂电池，</w:t>
            </w:r>
            <w:r>
              <w:rPr>
                <w:rFonts w:hint="eastAsia" w:ascii="宋体" w:hAnsi="宋体" w:eastAsia="宋体" w:cs="宋体"/>
                <w:bCs/>
                <w:color w:val="auto"/>
                <w:sz w:val="21"/>
                <w:szCs w:val="21"/>
                <w:highlight w:val="none"/>
              </w:rPr>
              <w:t>质保期</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年。</w:t>
            </w:r>
          </w:p>
          <w:p w14:paraId="3FEC37C8">
            <w:pPr>
              <w:keepNext w:val="0"/>
              <w:keepLines w:val="0"/>
              <w:pageBreakBefore w:val="0"/>
              <w:widowControl w:val="0"/>
              <w:numPr>
                <w:ilvl w:val="0"/>
                <w:numId w:val="6"/>
              </w:numPr>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器线路：整车电器、电器线路、接插件和熔断器必须符合国家相关标准要求。除信号线等特殊线束外，其余电线采用辐照交联阻燃型材料（耐温≥125℃），底盘电线和电线束外加套阻燃波纹管，线束接插件采用安普原装进口，底盘线束需防水。</w:t>
            </w:r>
          </w:p>
          <w:p w14:paraId="27320CC2">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电线和电线束布置符合GB7258相关规定。电线及线束与车身接触处用阻尼胶固定；穿越孔洞时须装防磨损胶垫圈和绝缘护套，进入车身暗线必须加套阻燃绝缘管，布置整齐、接头牢固并有绝缘套，每隔300mm安装固定扣攀。</w:t>
            </w:r>
          </w:p>
          <w:p w14:paraId="6C0E7DB9">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4、前、后围线束布置需有保护（尽量保证在大梁内侧），避免因车辆刮擦引起线束损坏。</w:t>
            </w:r>
          </w:p>
          <w:p w14:paraId="70CD9DAE">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5、车辆预留部分备用线路或接线柱（20A和10A），并且接线柱或插接件前段有保险装置，要有标识（外接电源），以备车辆增加临时用电器的需求（备用线路由ACC控制）。</w:t>
            </w:r>
          </w:p>
          <w:p w14:paraId="4BCE6E08">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6、灯光、照明装置，信号装置，开关的布置符合相关法规要求。车厢外照明及信号装置的技术条件符合GB7258的规定。</w:t>
            </w:r>
          </w:p>
          <w:p w14:paraId="7999CCD5">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7、前、后门上下客区域设置侧边迎宾灯（车门开启，灯光自动开启，避免直射眼睛）；车厢内照明采用分段可调式LED灯。</w:t>
            </w:r>
          </w:p>
          <w:p w14:paraId="059C7B97">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8、电磁式电源总开关和旋转式机械开关。</w:t>
            </w:r>
          </w:p>
          <w:p w14:paraId="008C14CA">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9、安装限速及限速报警装置，限定速度</w:t>
            </w:r>
            <w:r>
              <w:rPr>
                <w:rFonts w:hint="eastAsia" w:ascii="宋体" w:hAnsi="宋体" w:eastAsia="宋体" w:cs="宋体"/>
                <w:bCs/>
                <w:color w:val="auto"/>
                <w:sz w:val="21"/>
                <w:szCs w:val="21"/>
                <w:highlight w:val="none"/>
                <w:lang w:val="en-US" w:eastAsia="zh-CN"/>
              </w:rPr>
              <w:t>50</w:t>
            </w:r>
            <w:r>
              <w:rPr>
                <w:rFonts w:hint="eastAsia" w:ascii="宋体" w:hAnsi="宋体" w:eastAsia="宋体" w:cs="宋体"/>
                <w:bCs/>
                <w:color w:val="auto"/>
                <w:sz w:val="21"/>
                <w:szCs w:val="21"/>
                <w:highlight w:val="none"/>
              </w:rPr>
              <w:t>km/h（车辆交付后根据实际情况可进行修正）。</w:t>
            </w:r>
          </w:p>
          <w:p w14:paraId="50AF5127">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10、CAN彩屏总线系统：</w:t>
            </w:r>
            <w:r>
              <w:rPr>
                <w:rFonts w:hint="eastAsia" w:ascii="宋体" w:hAnsi="宋体" w:eastAsia="宋体" w:cs="宋体"/>
                <w:color w:val="auto"/>
                <w:sz w:val="21"/>
                <w:szCs w:val="21"/>
                <w:highlight w:val="none"/>
              </w:rPr>
              <w:t>整车采用优质 CAN 总线系统（与招标方车辆使用单位的技术信息管理平台对接），整车 CAN 总线控制系统（三级）集成客车电机、电机驱动系统（含电源）、空气悬挂系统、制动系统、电池设备仓散热系统、ABS、灯光、雨刷、车门、车载电子设备、空调与暖风装置等全部总成部件，具有状态显示、故障预警、故障判断、电耗与里程记录、故障记录、短路与过载保护等功能；预留电耗与里程以及故障信息等多项数据下载和传输接口。所有电器接插件采用进口 AMP 电线电器接插件（底盘部分为防水型）。线束布置整齐，走向合理，防护良好，固定可靠，不会出现坠挂和车辆运动中碰擦其他零部件或因抖动出现断裂。并提供 CAN 总线全部接口</w:t>
            </w:r>
          </w:p>
          <w:p w14:paraId="7362CBAE">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r>
              <w:rPr>
                <w:rFonts w:hint="eastAsia" w:ascii="宋体" w:hAnsi="宋体" w:eastAsia="宋体" w:cs="宋体"/>
                <w:bCs/>
                <w:color w:val="auto"/>
                <w:sz w:val="21"/>
                <w:szCs w:val="21"/>
                <w:highlight w:val="none"/>
                <w:lang w:val="en-US" w:eastAsia="zh-CN"/>
              </w:rPr>
              <w:t>全车</w:t>
            </w:r>
            <w:r>
              <w:rPr>
                <w:rFonts w:hint="eastAsia" w:ascii="宋体" w:hAnsi="宋体" w:eastAsia="宋体" w:cs="宋体"/>
                <w:bCs/>
                <w:color w:val="auto"/>
                <w:sz w:val="21"/>
                <w:szCs w:val="21"/>
                <w:highlight w:val="none"/>
              </w:rPr>
              <w:t>轮胎</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含备胎</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安装智能胎压监测系统。轮胎压力监测系统宜组合安装在仪表台内或安装在驾驶员易于观察的位置；应具备自检功能，当轮胎压力检测系统发生故障时应向驾驶员发出声或光报警信号；检测系统传感器宜为内置式传感器；检测系统宜集成轮胎身份电子标签系统，应具备轮胎更换系统自动识别匹配功能；检测系统应具备轮胎高压、低压报警装置并可显示温度功能，当车辆启动后，轮胎压力检测系统应在检测到轮胎压力出现异常后，立即提供声和光报警，并显示轮胎异常位置和异常类型，在轮胎压力恢复正常后应立即消除异常报警。</w:t>
            </w:r>
          </w:p>
          <w:p w14:paraId="17CF9846">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r>
              <w:rPr>
                <w:rFonts w:hint="eastAsia" w:ascii="宋体" w:hAnsi="宋体" w:eastAsia="宋体" w:cs="宋体"/>
                <w:color w:val="auto"/>
                <w:sz w:val="21"/>
                <w:szCs w:val="21"/>
                <w:highlight w:val="none"/>
              </w:rPr>
              <w:t>前后配电盒均采用全铝智能防火配电盒，取消保险和继电器，所有功率输出采用功率芯片来控制，具备CAN通讯功能（质保8年）</w:t>
            </w:r>
            <w:r>
              <w:rPr>
                <w:rFonts w:hint="eastAsia" w:ascii="宋体" w:hAnsi="宋体" w:eastAsia="宋体" w:cs="宋体"/>
                <w:bCs/>
                <w:color w:val="auto"/>
                <w:sz w:val="21"/>
                <w:szCs w:val="21"/>
                <w:highlight w:val="none"/>
              </w:rPr>
              <w:t>。</w:t>
            </w:r>
          </w:p>
        </w:tc>
      </w:tr>
      <w:tr w14:paraId="04FF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E8B1310">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车身</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6A076E32">
            <w:pPr>
              <w:pStyle w:val="44"/>
              <w:keepNext w:val="0"/>
              <w:keepLines w:val="0"/>
              <w:pageBreakBefore w:val="0"/>
              <w:widowControl w:val="0"/>
              <w:numPr>
                <w:ilvl w:val="0"/>
                <w:numId w:val="0"/>
              </w:numPr>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 为保证乘客上下方便，采用中低地板，前乘客门到中门之间均为一级踏步平地板，</w:t>
            </w:r>
            <w:r>
              <w:rPr>
                <w:rFonts w:hint="eastAsia" w:ascii="宋体" w:hAnsi="宋体" w:eastAsia="宋体" w:cs="宋体"/>
                <w:color w:val="auto"/>
                <w:sz w:val="21"/>
                <w:szCs w:val="21"/>
                <w:highlight w:val="none"/>
                <w:lang w:val="en-US" w:eastAsia="zh-CN"/>
              </w:rPr>
              <w:t>通道宽度</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560</w:t>
            </w:r>
            <w:r>
              <w:rPr>
                <w:rFonts w:hint="eastAsia" w:ascii="宋体" w:hAnsi="宋体" w:eastAsia="宋体" w:cs="宋体"/>
                <w:bCs/>
                <w:color w:val="auto"/>
                <w:sz w:val="21"/>
                <w:szCs w:val="21"/>
                <w:highlight w:val="none"/>
              </w:rPr>
              <w:t>mm</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前后乘客门一级踏步形式，一级踏步高度≤3</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 xml:space="preserve">0mm。 </w:t>
            </w:r>
          </w:p>
          <w:p w14:paraId="20EEB70A">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采用全承载整体式车身结构，车身骨架应有足够的强度、刚度，抗扭、抗弯性能好，整车密封性良好，采用阴极电泳等防腐处理，车身质保期8年。车身外侧采用涨拉蒙皮结构。整车前后桥轮毂罩区域应有两层密封防腐处理。车身顶棚骨架间距不大于900mm。上、下乘客门一踏骨架加强，防止地板塌陷。</w:t>
            </w:r>
          </w:p>
          <w:p w14:paraId="1CF6240F">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3、符合国家标准车用内饰材料、地板铺地材料、车身隔热材料、动力电池舱隔热材料等阻燃性能应符合JT/T 1095的规定。客车整车采用防火阻燃材料，不得使用聚氨酯发泡。车顶棚骨架、侧围骨架使用防火隔热闭泡材料，底盘和轮毂使用乙烯基吸声降噪材料或气凝胶，技术性能必须达到GB38262-2019《汽车内饰材料燃烧特性》，防火等级A0级，内饰材料需提供国家认可机构出具的报告，车顶骨架和侧围使用厚度不少于25mm；电池舱使用气凝胶防火毯。整车使用面积不少于52平方。</w:t>
            </w:r>
          </w:p>
          <w:p w14:paraId="0C148CC6">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4、车厢内顶板采用中顶铝塑板，内侧板采用PVC不燃烧阻燃材料，采用全景式铝合金空调风道（风道灯光设置为三段可调式），出风口为弥漫式（后排乘客区域不得直接对头部出风）。质保8年</w:t>
            </w:r>
          </w:p>
          <w:p w14:paraId="4324CEF9">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bCs/>
                <w:strike w:val="0"/>
                <w:dstrike w:val="0"/>
                <w:color w:val="auto"/>
                <w:sz w:val="21"/>
                <w:szCs w:val="21"/>
                <w:highlight w:val="none"/>
              </w:rPr>
              <w:t>根据车身结构，在车身左右侧设置维修边门。</w:t>
            </w:r>
            <w:r>
              <w:rPr>
                <w:rFonts w:hint="eastAsia" w:ascii="宋体" w:hAnsi="宋体" w:eastAsia="宋体" w:cs="宋体"/>
                <w:bCs/>
                <w:color w:val="auto"/>
                <w:sz w:val="21"/>
                <w:szCs w:val="21"/>
                <w:highlight w:val="none"/>
              </w:rPr>
              <w:t>为方便雨刷器等部件的检修，客车前围可打开，电瓶仓开小门。</w:t>
            </w:r>
          </w:p>
          <w:p w14:paraId="0EE0F586">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6、车辆前部设置气管快接头，便于车辆施救，车辆前部设计为施救无需拆除保险杆即可硬杆拖车。</w:t>
            </w:r>
          </w:p>
        </w:tc>
      </w:tr>
      <w:tr w14:paraId="1A12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AA9E128">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地板</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0A39A2FA">
            <w:pPr>
              <w:keepNext w:val="0"/>
              <w:keepLines w:val="0"/>
              <w:pageBreakBefore w:val="0"/>
              <w:widowControl w:val="0"/>
              <w:numPr>
                <w:ilvl w:val="0"/>
                <w:numId w:val="0"/>
              </w:numPr>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采用无机复合防水不燃烧PVC地板（厚度≥18mm），质保8年；地板革采用进口加厚耐磨石英砂地板革。前、后乘客门踏步区域采用黄色专用地板革，上、下乘客门一踏地板革增加“站立禁区”，车厢内设置轮椅专用设施。</w:t>
            </w:r>
          </w:p>
          <w:p w14:paraId="44F346A7">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、车厢内各阴阳角拼接缝处采用铝合金型材拼压，直角拼缝处采用磨光45°对接，圆弧拼缝处采用成型或锯齿状弯曲拼压。</w:t>
            </w:r>
          </w:p>
          <w:p w14:paraId="7B0D92A6">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、车内设置检修孔和盖板（检修孔和盖板处需安装金属框架，确保不得塌陷）。</w:t>
            </w:r>
          </w:p>
        </w:tc>
      </w:tr>
      <w:tr w14:paraId="0D14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6118E505">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门窗及玻璃</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2EE8DBBF">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乘客车门为前单后双形式，铝合金门板，内摆门内置转臂结构。前门全开时的净宽度为≥650mm，后门全开时的净宽度为≥1000mm。满足客车厂的设计要求，采用进口气动元件核心部件，可靠性、密封性好，维护方便，寿命长。符合国家或相关行业标准。采用国内主要品牌。质保八年。具备开关门保护功能，车辆未停稳不允许开门，乘客门没关闭不允许起步。</w:t>
            </w:r>
          </w:p>
          <w:p w14:paraId="3E4C6B9B">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2、乘客门在开启状况时，门外缘距车身外缘不大于100 mm，后内摆门立柱安装防夹装置。前门转轴和后门转轴防夹罩上均要有 “请勿扶手，当心门夹”字样（黄色或红色喷漆）。乘客门底部防尘功能采用翻板形式，翻板应采用分体式结构，损坏时可单独拆卸更换</w:t>
            </w:r>
          </w:p>
          <w:p w14:paraId="7BEAFC91">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3、乘客门应装有防夹缓冲装置，配门锁装置。</w:t>
            </w:r>
          </w:p>
          <w:p w14:paraId="5CE1D9AA">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4、门泵驱动系统采用电控气动方式，采用进口电磁阀和继电器。在驾驶区适当位置设置乘客门应急打开气动控制阀开关。前后乘客门应急开关设置位置合理，离地板高度1800mm左右。</w:t>
            </w:r>
          </w:p>
          <w:p w14:paraId="1332CAC9">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5、侧窗采用粘贴式内藏推拉窗，推拉窗部分尽量大。侧窗下缘距地板高度小于680mm时应采取安全措施。左侧第一扇窗玻璃为白玻璃，前半扇可移动，后半扇固定。右侧安装路牌处对应部分玻璃为透明。左右侧窗各安装一扇内置推拉式紧急出口推窗，便于紧急情况下乘客逃生，并具有开启声响报警提醒功能。侧窗玻璃采用纳米隔热，透光率51%，厚度5mm及以上。前后乘客门玻璃采用白玻璃。整车安装新能源无火药一拖四手自一体破窗器，带翻盖报警功能，质保8年。配报警式护手安全锤（6把及以上，其中司机上方1把）</w:t>
            </w:r>
            <w:r>
              <w:rPr>
                <w:rFonts w:hint="eastAsia" w:ascii="宋体" w:hAnsi="宋体" w:eastAsia="宋体" w:cs="宋体"/>
                <w:bCs/>
                <w:color w:val="auto"/>
                <w:sz w:val="21"/>
                <w:szCs w:val="21"/>
                <w:highlight w:val="none"/>
                <w:lang w:eastAsia="zh-CN"/>
              </w:rPr>
              <w:t>。</w:t>
            </w:r>
          </w:p>
          <w:p w14:paraId="13D8C02B">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6、前挡风玻璃采用全景整体夹胶安全玻璃，并配有除雾装置。后挡风玻璃采用整体式钢化安全玻璃。风窗玻璃涂黑部分尺寸必须满足后视镜视角和电子路牌显示要求。</w:t>
            </w:r>
          </w:p>
          <w:p w14:paraId="5EBD4F3B">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7、驾驶座前方、左方安装下拉式活动遮阳帘，前方遮阳帘尽量往左靠。全车安装窗帘轨道。</w:t>
            </w:r>
          </w:p>
          <w:p w14:paraId="3F2966C7">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8、前乘客门与右前第一排座位之间、后乘客门与（高地板区）右后第一排座位之间，必须安装挡板，防止乘客轧伤。</w:t>
            </w:r>
          </w:p>
          <w:p w14:paraId="2A32F4C9">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9、安装1只带有换气功能的安全天窗，符合国家标准，天窗设计合理，开关轻便，顶盖部分钢板设计制作，不老化不锈蚀不漏雨，大功率多面进排风结构，强排风、低噪音，采用国内主要品牌。</w:t>
            </w:r>
          </w:p>
          <w:p w14:paraId="33AF4EDF">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p>
        </w:tc>
      </w:tr>
      <w:tr w14:paraId="3D76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2578A8CA">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座椅附手杆</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2BC028C1">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1、全车配（相当于</w:t>
            </w:r>
            <w:r>
              <w:rPr>
                <w:rFonts w:hint="eastAsia" w:ascii="宋体" w:hAnsi="宋体" w:eastAsia="宋体" w:cs="宋体"/>
                <w:bCs/>
                <w:color w:val="auto"/>
                <w:sz w:val="21"/>
                <w:szCs w:val="21"/>
                <w:highlight w:val="none"/>
                <w:lang w:val="en-US" w:eastAsia="zh-CN"/>
              </w:rPr>
              <w:t>18</w:t>
            </w:r>
            <w:r>
              <w:rPr>
                <w:rFonts w:hint="eastAsia" w:ascii="宋体" w:hAnsi="宋体" w:eastAsia="宋体" w:cs="宋体"/>
                <w:bCs/>
                <w:color w:val="auto"/>
                <w:sz w:val="21"/>
                <w:szCs w:val="21"/>
                <w:highlight w:val="none"/>
              </w:rPr>
              <w:t>+1）公交乘客座椅，座椅布置及数量在公告允许范围内由招标人确定。座椅布置及“爱心座椅”由招标人选定（投标人提供布置图），“爱心座椅”每车不少于5个，颜色为黄色需要由铝牌标识。</w:t>
            </w:r>
          </w:p>
          <w:p w14:paraId="4B70346B">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2、司机座椅采用气囊减震式真皮驾驶椅，配三点式安全带（高度可调），增加安全带未系提醒。</w:t>
            </w:r>
          </w:p>
          <w:p w14:paraId="315CBD56">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3、驾驶区防护隔离设施必须符合JT/T 1241-2019标准要求，护围门玻璃材料应使用符合GB 9656中的钢化玻璃的相关规定，厚度应不小于5mm。应避免驾驶员受阳光眩光和车内灯光的影响，护围门上部玻璃的可见光透射比应不小于95%，可见光反射比应不大于1.5%。在合适位置张贴警示标志：“影响公交车驾驶员安全驾驶，涉嫌违法犯罪”和图片解说。</w:t>
            </w:r>
          </w:p>
          <w:p w14:paraId="62D366BE">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4、车窗需安装护栏的，护栏高度符合GB7258规定逃生出口尺寸。</w:t>
            </w:r>
          </w:p>
          <w:p w14:paraId="456809CF">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color w:val="auto"/>
                <w:sz w:val="21"/>
                <w:szCs w:val="21"/>
                <w:highlight w:val="none"/>
              </w:rPr>
              <w:t>手扶杆采用</w:t>
            </w:r>
            <w:r>
              <w:rPr>
                <w:rFonts w:hint="eastAsia" w:ascii="宋体" w:hAnsi="宋体" w:eastAsia="宋体" w:cs="宋体"/>
                <w:color w:val="auto"/>
                <w:sz w:val="21"/>
                <w:szCs w:val="21"/>
                <w:highlight w:val="none"/>
                <w:lang w:val="en-US" w:eastAsia="zh-CN"/>
              </w:rPr>
              <w:t>内置</w:t>
            </w:r>
            <w:r>
              <w:rPr>
                <w:rFonts w:hint="eastAsia" w:ascii="宋体" w:hAnsi="宋体" w:eastAsia="宋体" w:cs="宋体"/>
                <w:strike w:val="0"/>
                <w:dstrike w:val="0"/>
                <w:color w:val="auto"/>
                <w:sz w:val="21"/>
                <w:szCs w:val="21"/>
                <w:highlight w:val="none"/>
                <w:lang w:val="en-US" w:eastAsia="zh-CN"/>
              </w:rPr>
              <w:t>24V</w:t>
            </w:r>
            <w:r>
              <w:rPr>
                <w:rFonts w:hint="eastAsia" w:ascii="宋体" w:hAnsi="宋体" w:eastAsia="宋体" w:cs="宋体"/>
                <w:color w:val="auto"/>
                <w:sz w:val="21"/>
                <w:szCs w:val="21"/>
                <w:highlight w:val="none"/>
                <w:lang w:val="en-US" w:eastAsia="zh-CN"/>
              </w:rPr>
              <w:t>不锈钢</w:t>
            </w:r>
            <w:r>
              <w:rPr>
                <w:rFonts w:hint="eastAsia" w:ascii="宋体" w:hAnsi="宋体" w:eastAsia="宋体" w:cs="宋体"/>
                <w:color w:val="auto"/>
                <w:sz w:val="21"/>
                <w:szCs w:val="21"/>
                <w:highlight w:val="none"/>
              </w:rPr>
              <w:t>公交扶手</w:t>
            </w:r>
            <w:r>
              <w:rPr>
                <w:rFonts w:hint="eastAsia" w:ascii="宋体" w:hAnsi="宋体" w:eastAsia="宋体" w:cs="宋体"/>
                <w:color w:val="auto"/>
                <w:sz w:val="21"/>
                <w:szCs w:val="21"/>
                <w:highlight w:val="none"/>
                <w:lang w:val="en-US" w:eastAsia="zh-CN"/>
              </w:rPr>
              <w:t>杆</w:t>
            </w:r>
            <w:r>
              <w:rPr>
                <w:rFonts w:hint="eastAsia" w:ascii="宋体" w:hAnsi="宋体" w:eastAsia="宋体" w:cs="宋体"/>
                <w:color w:val="auto"/>
                <w:sz w:val="21"/>
                <w:szCs w:val="21"/>
                <w:highlight w:val="none"/>
              </w:rPr>
              <w:t>，带防寒套，</w:t>
            </w:r>
            <w:r>
              <w:rPr>
                <w:rFonts w:hint="eastAsia" w:ascii="宋体" w:hAnsi="宋体" w:eastAsia="宋体" w:cs="宋体"/>
                <w:color w:val="auto"/>
                <w:sz w:val="21"/>
                <w:szCs w:val="21"/>
                <w:highlight w:val="none"/>
                <w:lang w:val="en-US" w:eastAsia="zh-CN"/>
              </w:rPr>
              <w:t>前门第一根显示为“宁海公交欢迎您”，中门旁一根显示为“下车请按铃”，车厢中间区域选择一根显示“坐稳扶牢”，</w:t>
            </w:r>
            <w:r>
              <w:rPr>
                <w:rFonts w:hint="eastAsia" w:ascii="宋体" w:hAnsi="宋体" w:eastAsia="宋体" w:cs="宋体"/>
                <w:color w:val="auto"/>
                <w:sz w:val="21"/>
                <w:szCs w:val="21"/>
                <w:highlight w:val="none"/>
              </w:rPr>
              <w:t>采用</w:t>
            </w:r>
            <w:r>
              <w:rPr>
                <w:rFonts w:hint="eastAsia" w:ascii="宋体" w:hAnsi="宋体" w:eastAsia="宋体" w:cs="宋体"/>
                <w:color w:val="auto"/>
                <w:sz w:val="21"/>
                <w:szCs w:val="21"/>
                <w:highlight w:val="none"/>
                <w:lang w:val="en-US" w:eastAsia="zh-CN"/>
              </w:rPr>
              <w:t>不锈钢</w:t>
            </w:r>
            <w:r>
              <w:rPr>
                <w:rFonts w:hint="eastAsia" w:ascii="宋体" w:hAnsi="宋体" w:eastAsia="宋体" w:cs="宋体"/>
                <w:color w:val="auto"/>
                <w:sz w:val="21"/>
                <w:szCs w:val="21"/>
                <w:highlight w:val="none"/>
              </w:rPr>
              <w:t>拉环，扶手颜色按招标人在用车型一样、包括乘客门安全扶手。侧窗扶手安装要有利于应急逃生。手扶立柱配下车提示开关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全车不少于6个提示开关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。在上客门处直扶手上配装 1.3 米的儿童票价标志牌 1 块。扶手各连接部位的螺栓加保护螺套。整车采用直扶手设计形式，直扶手与直扶手采用错距安装，最大限度地确保车厢内部通道宽度。</w:t>
            </w:r>
          </w:p>
        </w:tc>
      </w:tr>
      <w:tr w14:paraId="14D1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7347E47A">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后视镜</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0681E0F7">
            <w:pPr>
              <w:keepNext w:val="0"/>
              <w:keepLines w:val="0"/>
              <w:pageBreakBefore w:val="0"/>
              <w:widowControl w:val="0"/>
              <w:numPr>
                <w:ilvl w:val="0"/>
                <w:numId w:val="0"/>
              </w:numPr>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车辆外侧安装手动铁支架式大视野后视镜，支撑牢固，视野清晰。后视镜视野范围应符合GB7258规定。</w:t>
            </w:r>
          </w:p>
          <w:p w14:paraId="0F2CCE82">
            <w:pPr>
              <w:keepNext w:val="0"/>
              <w:keepLines w:val="0"/>
              <w:pageBreakBefore w:val="0"/>
              <w:widowControl w:val="0"/>
              <w:numPr>
                <w:ilvl w:val="0"/>
                <w:numId w:val="0"/>
              </w:numPr>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车外监视系统：</w:t>
            </w:r>
            <w:r>
              <w:rPr>
                <w:rFonts w:hint="eastAsia" w:ascii="宋体" w:hAnsi="宋体" w:eastAsia="宋体" w:cs="宋体"/>
                <w:bCs/>
                <w:color w:val="auto"/>
                <w:sz w:val="21"/>
                <w:szCs w:val="21"/>
                <w:highlight w:val="none"/>
              </w:rPr>
              <w:t>前风挡玻璃两侧A柱上安装车外监视系统，带夜视、亮度可调功能，对车外身两侧路面情况进行实时监测，优先采用嵌入式屏幕安装模式，减少驾驶员视线遮挡。</w:t>
            </w:r>
          </w:p>
          <w:p w14:paraId="67618058">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主机主芯片采用车规级SOC处理器；内存不低于2GB DDR3+8GB EMMC；不少于1路TF卡，具备RS485接口、CAN接口。2.3采用12.3寸TFT-LCD车规级高清屏，可视角度不小于160度，分辨率不低于1920×720；防眩光，单侧显示屏支持2路或4路高清图像输入，支持大盲区、小盲区，倒车等显示；采用高清摄像头，达到显光级成像模组，确保成像清晰；常规显示模式下，后方视角置于屏幕下侧（大屏），下方视角置于屏幕上侧（小屏）；车外监视系统2路图像需接入车载视频监控系统，</w:t>
            </w:r>
          </w:p>
          <w:p w14:paraId="2BAF7E77">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、车厢内前挡风中部安装车内后视镜，可调节。</w:t>
            </w:r>
          </w:p>
          <w:p w14:paraId="4A968826">
            <w:pPr>
              <w:pStyle w:val="44"/>
              <w:keepNext w:val="0"/>
              <w:keepLines w:val="0"/>
              <w:pageBreakBefore w:val="0"/>
              <w:widowControl w:val="0"/>
              <w:kinsoku/>
              <w:wordWrap/>
              <w:overflowPunct/>
              <w:topLinePunct w:val="0"/>
              <w:autoSpaceDE/>
              <w:autoSpaceDN/>
              <w:bidi w:val="0"/>
              <w:adjustRightInd/>
              <w:spacing w:line="540" w:lineRule="exact"/>
              <w:ind w:left="0" w:leftChars="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、安装电子后视镜。软件功能必须具备以下功能：1）、屏幕支持显示2路以上摄像头画面，支持2路以上视频输入；2）支持CAN通讯电平检测等功能；3）支持SD卡存储，容量256G以上；</w:t>
            </w:r>
          </w:p>
        </w:tc>
      </w:tr>
      <w:tr w14:paraId="1282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28876EA">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空调</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3F5C4BE0">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1、智能变频冷暖空调，带电加热，优质铜管路芯体，变频压缩机，符合 GB/T21361-2008《汽车用空调器》及相关标准</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制冷量≥</w:t>
            </w:r>
            <w:r>
              <w:rPr>
                <w:rFonts w:hint="eastAsia" w:ascii="宋体" w:hAnsi="宋体" w:eastAsia="宋体" w:cs="宋体"/>
                <w:bCs/>
                <w:color w:val="auto"/>
                <w:sz w:val="21"/>
                <w:szCs w:val="21"/>
                <w:highlight w:val="none"/>
                <w:lang w:val="en-US" w:eastAsia="zh-CN"/>
              </w:rPr>
              <w:t>14</w:t>
            </w:r>
            <w:r>
              <w:rPr>
                <w:rFonts w:hint="eastAsia" w:ascii="宋体" w:hAnsi="宋体" w:eastAsia="宋体" w:cs="宋体"/>
                <w:bCs/>
                <w:color w:val="auto"/>
                <w:sz w:val="21"/>
                <w:szCs w:val="21"/>
                <w:highlight w:val="none"/>
              </w:rPr>
              <w:t>000</w:t>
            </w:r>
            <w:r>
              <w:rPr>
                <w:rFonts w:hint="eastAsia" w:ascii="宋体" w:hAnsi="宋体" w:eastAsia="宋体" w:cs="宋体"/>
                <w:bCs/>
                <w:color w:val="auto"/>
                <w:sz w:val="21"/>
                <w:szCs w:val="21"/>
                <w:highlight w:val="none"/>
                <w:lang w:val="en-US" w:eastAsia="zh-CN"/>
              </w:rPr>
              <w:t>KCAL/H</w:t>
            </w:r>
            <w:r>
              <w:rPr>
                <w:rFonts w:hint="eastAsia" w:ascii="宋体" w:hAnsi="宋体" w:eastAsia="宋体" w:cs="宋体"/>
                <w:bCs/>
                <w:color w:val="auto"/>
                <w:sz w:val="21"/>
                <w:szCs w:val="21"/>
                <w:highlight w:val="none"/>
              </w:rPr>
              <w:t>，制</w:t>
            </w:r>
            <w:r>
              <w:rPr>
                <w:rFonts w:hint="eastAsia" w:ascii="宋体" w:hAnsi="宋体" w:eastAsia="宋体" w:cs="宋体"/>
                <w:bCs/>
                <w:color w:val="auto"/>
                <w:sz w:val="21"/>
                <w:szCs w:val="21"/>
                <w:highlight w:val="none"/>
                <w:lang w:val="en-US" w:eastAsia="zh-CN"/>
              </w:rPr>
              <w:t>热</w:t>
            </w:r>
            <w:r>
              <w:rPr>
                <w:rFonts w:hint="eastAsia" w:ascii="宋体" w:hAnsi="宋体" w:eastAsia="宋体" w:cs="宋体"/>
                <w:bCs/>
                <w:color w:val="auto"/>
                <w:sz w:val="21"/>
                <w:szCs w:val="21"/>
                <w:highlight w:val="none"/>
              </w:rPr>
              <w:t>量≥</w:t>
            </w:r>
            <w:r>
              <w:rPr>
                <w:rFonts w:hint="eastAsia" w:ascii="宋体"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rPr>
              <w:t>000</w:t>
            </w:r>
            <w:r>
              <w:rPr>
                <w:rFonts w:hint="eastAsia" w:ascii="宋体" w:hAnsi="宋体" w:eastAsia="宋体" w:cs="宋体"/>
                <w:bCs/>
                <w:color w:val="auto"/>
                <w:sz w:val="21"/>
                <w:szCs w:val="21"/>
                <w:highlight w:val="none"/>
                <w:lang w:val="en-US" w:eastAsia="zh-CN"/>
              </w:rPr>
              <w:t>KCAL/H，带PTC、新风功能，</w:t>
            </w:r>
            <w:r>
              <w:rPr>
                <w:rFonts w:hint="eastAsia" w:ascii="宋体" w:hAnsi="宋体" w:eastAsia="宋体" w:cs="宋体"/>
                <w:bCs/>
                <w:color w:val="auto"/>
                <w:sz w:val="21"/>
                <w:szCs w:val="21"/>
                <w:highlight w:val="none"/>
              </w:rPr>
              <w:t>符合实际使用需求。空调机组安装牢固可靠，整机性能稳定；前、后车厢及驾驶区域温度均匀一致。空调蒸发器出风口处的顶盖蒙皮设有防水止口，排水管布置合理，防止冷凝水进入车内。</w:t>
            </w:r>
          </w:p>
          <w:p w14:paraId="2670CDDF">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2、空调系统接入CAN总线，实现云数据处理，可对车辆空调是否开启，温度值进行后台判断。</w:t>
            </w:r>
          </w:p>
          <w:p w14:paraId="4A745B84">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在驾驶员位置必须加大出风量，要求单独铺设导风管至驾驶员位置并加装出风口，驾驶区域安装三个可调式出风口正对驾驶员,防止前热后冷现象。</w:t>
            </w:r>
          </w:p>
          <w:p w14:paraId="49591F2D">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由于宁波地区冬日严寒,车辆在短时间内热量提升较慢,要求配置独立电采暖，司机独立电采暖1个。质保8年。</w:t>
            </w:r>
          </w:p>
          <w:p w14:paraId="6175FFAE">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、前挡风高压电除霜系统。</w:t>
            </w:r>
            <w:r>
              <w:rPr>
                <w:rFonts w:hint="eastAsia" w:ascii="宋体" w:hAnsi="宋体" w:eastAsia="宋体" w:cs="宋体"/>
                <w:bCs/>
                <w:color w:val="auto"/>
                <w:sz w:val="21"/>
                <w:szCs w:val="21"/>
                <w:highlight w:val="none"/>
                <w:lang w:val="en-US" w:eastAsia="zh-CN"/>
              </w:rPr>
              <w:t xml:space="preserve">  </w:t>
            </w:r>
          </w:p>
        </w:tc>
      </w:tr>
      <w:tr w14:paraId="4352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0291FB49">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服务系统</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5BD06452">
            <w:pPr>
              <w:keepNext w:val="0"/>
              <w:keepLines w:val="0"/>
              <w:pageBreakBefore w:val="0"/>
              <w:widowControl w:val="0"/>
              <w:kinsoku/>
              <w:wordWrap/>
              <w:overflowPunct/>
              <w:topLinePunct w:val="0"/>
              <w:autoSpaceDE/>
              <w:autoSpaceDN/>
              <w:bidi w:val="0"/>
              <w:adjustRightInd/>
              <w:snapToGrid w:val="0"/>
              <w:spacing w:line="540" w:lineRule="exact"/>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1、选用</w:t>
            </w:r>
            <w:r>
              <w:rPr>
                <w:rFonts w:hint="eastAsia" w:ascii="宋体" w:hAnsi="宋体" w:eastAsia="宋体" w:cs="宋体"/>
                <w:bCs/>
                <w:color w:val="auto"/>
                <w:sz w:val="21"/>
                <w:szCs w:val="21"/>
                <w:highlight w:val="none"/>
                <w:lang w:val="en-US" w:eastAsia="zh-CN"/>
              </w:rPr>
              <w:t>安徽中科中涣信息技术有限公司FC10系列智能终端</w:t>
            </w:r>
            <w:r>
              <w:rPr>
                <w:rFonts w:hint="eastAsia" w:ascii="宋体" w:hAnsi="宋体" w:eastAsia="宋体" w:cs="宋体"/>
                <w:bCs/>
                <w:color w:val="auto"/>
                <w:sz w:val="21"/>
                <w:szCs w:val="21"/>
                <w:highlight w:val="none"/>
              </w:rPr>
              <w:t>（带客流分析、主动安全、驾驶行为分析功能），要确保一个通道只安装一个摄像头，安装位置合理、防水，支持CAN总线数据传输。</w:t>
            </w:r>
          </w:p>
          <w:p w14:paraId="396B3BB3">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2、仪表台、工具箱、由客车厂提供布置图，招标人确认。</w:t>
            </w:r>
          </w:p>
          <w:p w14:paraId="367DB191">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3、采用</w:t>
            </w:r>
            <w:r>
              <w:rPr>
                <w:rFonts w:hint="eastAsia" w:ascii="宋体" w:hAnsi="宋体" w:eastAsia="宋体" w:cs="宋体"/>
                <w:bCs/>
                <w:color w:val="auto"/>
                <w:sz w:val="21"/>
                <w:szCs w:val="21"/>
                <w:highlight w:val="none"/>
                <w:lang w:val="en-US" w:eastAsia="zh-CN"/>
              </w:rPr>
              <w:t>24</w:t>
            </w:r>
            <w:r>
              <w:rPr>
                <w:rFonts w:hint="eastAsia" w:ascii="宋体" w:hAnsi="宋体" w:eastAsia="宋体" w:cs="宋体"/>
                <w:bCs/>
                <w:color w:val="auto"/>
                <w:sz w:val="21"/>
                <w:szCs w:val="21"/>
                <w:highlight w:val="none"/>
              </w:rPr>
              <w:t>矩阵电子路牌，前电子路牌要求11字显示，具体按中标车型尺寸确定；车厢内安装9字显示滚动屏附电子钟，前门后侧玻璃1/3处安装6字滚动型线路电子腰牌,具体按中标车型尺寸确定；后路牌6字显示，车辆转向和制动时在后电子路牌显示“刹车，左转弯或右转弯”等信息。</w:t>
            </w:r>
          </w:p>
          <w:p w14:paraId="004A4D6F">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4、安装3</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寸LCD车内乘客导乘屏，安装位置要牢固可靠，通讯接口与协议必须与宁海公交现有的智能调度监控系统兼容，具体通讯协议按招标人技术标准对接。</w:t>
            </w:r>
          </w:p>
          <w:p w14:paraId="63179DEE">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5、采用无人售票设计，安装含计数功能的投币机一个</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三个银袋</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国内优秀品牌，投币机翻板开关与前门联动，并单独设置投币箱翻板开关按钮。旁设POS机杆，前门安装宁波市民卡刷卡机具设备，为方便今后采用分段计费需求，在下客门合适位置预留安装刷卡设备支架，预铺设跟前门刷卡设备相连接的的电源线（电源线向市民卡公司采购），预铺设人脸识别设备电源线，电源直接从蓄电池引出。</w:t>
            </w:r>
          </w:p>
          <w:p w14:paraId="1ED63CC3">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6、预留移动电视（车厢前部）和车内后滚动屏电源线。</w:t>
            </w:r>
          </w:p>
          <w:p w14:paraId="7458F873">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7、车厢内均匀布置扬声器，报站器与电视喇叭合理分配，报站时自动降低电视音量。</w:t>
            </w:r>
          </w:p>
          <w:p w14:paraId="2AFBD7FE">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8、前门扶手杆设立儿童身高限位标尺，标高1.3米。</w:t>
            </w:r>
          </w:p>
          <w:p w14:paraId="51DCFF3A">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9、智能公交监控系统设置独立电器箱安装位置，预留电源接口。</w:t>
            </w:r>
          </w:p>
          <w:p w14:paraId="3F4A554F">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10、预留车载无线WIFA线束（驾驶台附近隐蔽位置）。</w:t>
            </w:r>
          </w:p>
          <w:p w14:paraId="5DA7027C">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11、驾驶员旁安装电风扇。</w:t>
            </w:r>
          </w:p>
          <w:p w14:paraId="347101AA">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、车内服务标识，车厂按招标人要求制作并按照指定位置安装。</w:t>
            </w:r>
          </w:p>
          <w:p w14:paraId="7B71DE3D">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、标配智能转弯提醒器，音量大小可根据不同时段自动调节，各项技术符合国标，配低速提醒装置。</w:t>
            </w:r>
          </w:p>
          <w:p w14:paraId="41526F89">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、车厢两侧安装USB充电插口</w:t>
            </w:r>
          </w:p>
        </w:tc>
      </w:tr>
      <w:tr w14:paraId="2100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EA3DBEE">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w:t>
            </w:r>
          </w:p>
        </w:tc>
        <w:tc>
          <w:tcPr>
            <w:tcW w:w="8886" w:type="dxa"/>
            <w:tcBorders>
              <w:top w:val="single" w:color="auto" w:sz="4" w:space="0"/>
              <w:left w:val="single" w:color="auto" w:sz="4" w:space="0"/>
              <w:bottom w:val="single" w:color="auto" w:sz="4" w:space="0"/>
              <w:right w:val="single" w:color="auto" w:sz="4" w:space="0"/>
            </w:tcBorders>
            <w:noWrap w:val="0"/>
            <w:vAlign w:val="top"/>
          </w:tcPr>
          <w:p w14:paraId="4522FDCB">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1、车厢配内</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只4KG干粉灭火器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4只为手掷式灭火瓶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安装在驾驶员工作区域</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，安装位置得当，不得影响乘客行走安全。</w:t>
            </w:r>
          </w:p>
          <w:p w14:paraId="16ECC103">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、车内安全设施的标识牌等必须使用铝牌铆接，确保不脱落，不掉色。</w:t>
            </w:r>
          </w:p>
          <w:p w14:paraId="257CD726">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、车内布置</w:t>
            </w:r>
            <w:r>
              <w:rPr>
                <w:rFonts w:hint="eastAsia" w:ascii="宋体" w:hAnsi="宋体" w:eastAsia="宋体" w:cs="宋体"/>
                <w:bCs/>
                <w:color w:val="auto"/>
                <w:sz w:val="21"/>
                <w:szCs w:val="21"/>
                <w:highlight w:val="none"/>
                <w:lang w:val="en-US" w:eastAsia="zh-CN"/>
              </w:rPr>
              <w:t>一体式</w:t>
            </w:r>
            <w:r>
              <w:rPr>
                <w:rFonts w:hint="eastAsia" w:ascii="宋体" w:hAnsi="宋体" w:eastAsia="宋体" w:cs="宋体"/>
                <w:bCs/>
                <w:color w:val="auto"/>
                <w:sz w:val="21"/>
                <w:szCs w:val="21"/>
                <w:highlight w:val="none"/>
              </w:rPr>
              <w:t>不锈钢垃圾箱。</w:t>
            </w:r>
          </w:p>
          <w:p w14:paraId="40EB7C59">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、驾驶员脚下区域采用耐磨不锈钢脚垫，同时右脚处加装不锈钢脚踏。</w:t>
            </w:r>
          </w:p>
          <w:p w14:paraId="25AE4724">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color w:val="auto"/>
                <w:spacing w:val="9"/>
                <w:sz w:val="21"/>
                <w:szCs w:val="21"/>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color w:val="auto"/>
                <w:spacing w:val="9"/>
                <w:sz w:val="21"/>
                <w:szCs w:val="21"/>
              </w:rPr>
              <w:t>驾驶室区域布置</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9"/>
                <w:sz w:val="21"/>
                <w:szCs w:val="21"/>
              </w:rPr>
              <w:t>1</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9"/>
                <w:sz w:val="21"/>
                <w:szCs w:val="21"/>
              </w:rPr>
              <w:t>个手机存放盒</w:t>
            </w:r>
          </w:p>
          <w:p w14:paraId="2C97AACA">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、车内设置电器箱，各类模块和总保险盒统一放置在内。</w:t>
            </w:r>
          </w:p>
          <w:p w14:paraId="5D5C7EEC">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、车身颜色、图案、标识由招标人提供。</w:t>
            </w:r>
          </w:p>
          <w:p w14:paraId="00135289">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、随车工具和资料。</w:t>
            </w:r>
          </w:p>
          <w:p w14:paraId="7DD409C7">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、车辆上牌所需照片和资料。</w:t>
            </w:r>
          </w:p>
        </w:tc>
      </w:tr>
    </w:tbl>
    <w:p w14:paraId="47FCBD69">
      <w:pPr>
        <w:keepNext w:val="0"/>
        <w:keepLines w:val="0"/>
        <w:pageBreakBefore w:val="0"/>
        <w:widowControl w:val="0"/>
        <w:kinsoku/>
        <w:wordWrap/>
        <w:overflowPunct/>
        <w:topLinePunct w:val="0"/>
        <w:autoSpaceDE/>
        <w:autoSpaceDN/>
        <w:bidi w:val="0"/>
        <w:adjustRightInd/>
        <w:spacing w:line="540" w:lineRule="exact"/>
        <w:textAlignment w:val="auto"/>
        <w:rPr>
          <w:color w:val="auto"/>
        </w:rPr>
      </w:pPr>
    </w:p>
    <w:p w14:paraId="0B3750B8">
      <w:pPr>
        <w:pStyle w:val="44"/>
        <w:keepNext w:val="0"/>
        <w:keepLines w:val="0"/>
        <w:pageBreakBefore w:val="0"/>
        <w:widowControl w:val="0"/>
        <w:kinsoku/>
        <w:wordWrap/>
        <w:overflowPunct/>
        <w:topLinePunct w:val="0"/>
        <w:autoSpaceDE/>
        <w:autoSpaceDN/>
        <w:bidi w:val="0"/>
        <w:adjustRightInd/>
        <w:spacing w:line="540" w:lineRule="exact"/>
        <w:textAlignment w:val="auto"/>
        <w:rPr>
          <w:color w:val="auto"/>
        </w:rPr>
      </w:pPr>
    </w:p>
    <w:p w14:paraId="3E8C1F19">
      <w:pPr>
        <w:pStyle w:val="43"/>
        <w:tabs>
          <w:tab w:val="left" w:pos="574"/>
        </w:tabs>
        <w:rPr>
          <w:color w:val="auto"/>
        </w:rPr>
      </w:pPr>
    </w:p>
    <w:p w14:paraId="14920785">
      <w:pPr>
        <w:rPr>
          <w:color w:val="auto"/>
        </w:rPr>
      </w:pPr>
    </w:p>
    <w:p w14:paraId="49A434B2">
      <w:pPr>
        <w:rPr>
          <w:color w:val="auto"/>
        </w:rPr>
      </w:pPr>
    </w:p>
    <w:p w14:paraId="2EE58FBD">
      <w:pPr>
        <w:spacing w:before="143" w:line="228" w:lineRule="auto"/>
        <w:ind w:left="541"/>
        <w:rPr>
          <w:rFonts w:hint="eastAsia" w:ascii="宋体" w:hAnsi="宋体" w:eastAsia="宋体" w:cs="宋体"/>
          <w:color w:val="auto"/>
          <w:sz w:val="20"/>
          <w:szCs w:val="20"/>
          <w:lang w:eastAsia="zh-CN"/>
        </w:rPr>
      </w:pPr>
      <w:r>
        <w:rPr>
          <w:rFonts w:ascii="宋体" w:hAnsi="宋体" w:eastAsia="宋体" w:cs="宋体"/>
          <w:b/>
          <w:bCs/>
          <w:color w:val="auto"/>
          <w:spacing w:val="6"/>
          <w:sz w:val="20"/>
          <w:szCs w:val="20"/>
        </w:rPr>
        <w:t>技术附件</w:t>
      </w:r>
      <w:r>
        <w:rPr>
          <w:rFonts w:ascii="宋体" w:hAnsi="宋体" w:eastAsia="宋体" w:cs="宋体"/>
          <w:color w:val="auto"/>
          <w:spacing w:val="-38"/>
          <w:sz w:val="20"/>
          <w:szCs w:val="20"/>
        </w:rPr>
        <w:t xml:space="preserve"> </w:t>
      </w:r>
      <w:r>
        <w:rPr>
          <w:rFonts w:hint="eastAsia" w:ascii="宋体" w:hAnsi="宋体" w:cs="宋体"/>
          <w:b/>
          <w:bCs/>
          <w:color w:val="auto"/>
          <w:spacing w:val="6"/>
          <w:sz w:val="20"/>
          <w:szCs w:val="20"/>
          <w:lang w:val="en-US" w:eastAsia="zh-CN"/>
        </w:rPr>
        <w:t>4</w:t>
      </w:r>
    </w:p>
    <w:p w14:paraId="191078E3">
      <w:pPr>
        <w:spacing w:line="140" w:lineRule="auto"/>
        <w:rPr>
          <w:rFonts w:ascii="Arial"/>
          <w:color w:val="auto"/>
          <w:sz w:val="2"/>
        </w:rPr>
      </w:pPr>
    </w:p>
    <w:tbl>
      <w:tblPr>
        <w:tblStyle w:val="22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810"/>
        <w:gridCol w:w="675"/>
        <w:gridCol w:w="1081"/>
        <w:gridCol w:w="2972"/>
        <w:gridCol w:w="2040"/>
      </w:tblGrid>
      <w:tr w14:paraId="53F6B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526" w:type="dxa"/>
            <w:gridSpan w:val="6"/>
            <w:noWrap w:val="0"/>
            <w:vAlign w:val="top"/>
          </w:tcPr>
          <w:p w14:paraId="557181D0">
            <w:pPr>
              <w:pStyle w:val="223"/>
              <w:spacing w:before="97" w:line="228" w:lineRule="auto"/>
              <w:ind w:left="3004"/>
              <w:rPr>
                <w:color w:val="auto"/>
              </w:rPr>
            </w:pPr>
            <w:r>
              <w:rPr>
                <w:b/>
                <w:bCs/>
                <w:color w:val="auto"/>
                <w:spacing w:val="7"/>
              </w:rPr>
              <w:t>车辆零部件质量保修期限表</w:t>
            </w:r>
          </w:p>
        </w:tc>
      </w:tr>
      <w:tr w14:paraId="1AC91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noWrap w:val="0"/>
            <w:vAlign w:val="top"/>
          </w:tcPr>
          <w:p w14:paraId="61CEA9E2">
            <w:pPr>
              <w:pStyle w:val="223"/>
              <w:spacing w:before="52" w:line="261" w:lineRule="auto"/>
              <w:ind w:left="168" w:right="158" w:hanging="4"/>
              <w:rPr>
                <w:color w:val="auto"/>
              </w:rPr>
            </w:pPr>
            <w:r>
              <w:rPr>
                <w:color w:val="auto"/>
                <w:spacing w:val="6"/>
              </w:rPr>
              <w:t>整车系</w:t>
            </w:r>
            <w:r>
              <w:rPr>
                <w:color w:val="auto"/>
              </w:rPr>
              <w:t xml:space="preserve"> </w:t>
            </w:r>
            <w:r>
              <w:rPr>
                <w:color w:val="auto"/>
                <w:spacing w:val="5"/>
              </w:rPr>
              <w:t>统分类</w:t>
            </w:r>
          </w:p>
        </w:tc>
        <w:tc>
          <w:tcPr>
            <w:tcW w:w="810" w:type="dxa"/>
            <w:noWrap w:val="0"/>
            <w:vAlign w:val="top"/>
          </w:tcPr>
          <w:p w14:paraId="7C28ABAD">
            <w:pPr>
              <w:pStyle w:val="223"/>
              <w:spacing w:before="208" w:line="230" w:lineRule="auto"/>
              <w:ind w:left="199"/>
              <w:rPr>
                <w:color w:val="auto"/>
              </w:rPr>
            </w:pPr>
            <w:r>
              <w:rPr>
                <w:color w:val="auto"/>
                <w:spacing w:val="5"/>
              </w:rPr>
              <w:t>序号</w:t>
            </w:r>
          </w:p>
        </w:tc>
        <w:tc>
          <w:tcPr>
            <w:tcW w:w="1756" w:type="dxa"/>
            <w:gridSpan w:val="2"/>
            <w:noWrap w:val="0"/>
            <w:vAlign w:val="top"/>
          </w:tcPr>
          <w:p w14:paraId="38E7D079">
            <w:pPr>
              <w:pStyle w:val="223"/>
              <w:spacing w:before="209" w:line="228" w:lineRule="auto"/>
              <w:ind w:left="466"/>
              <w:rPr>
                <w:color w:val="auto"/>
              </w:rPr>
            </w:pPr>
            <w:r>
              <w:rPr>
                <w:color w:val="auto"/>
                <w:spacing w:val="6"/>
              </w:rPr>
              <w:t>项目分类</w:t>
            </w:r>
          </w:p>
        </w:tc>
        <w:tc>
          <w:tcPr>
            <w:tcW w:w="2972" w:type="dxa"/>
            <w:noWrap w:val="0"/>
            <w:vAlign w:val="top"/>
          </w:tcPr>
          <w:p w14:paraId="11CE3873">
            <w:pPr>
              <w:pStyle w:val="223"/>
              <w:spacing w:before="209" w:line="228" w:lineRule="auto"/>
              <w:ind w:left="1073"/>
              <w:rPr>
                <w:color w:val="auto"/>
              </w:rPr>
            </w:pPr>
            <w:r>
              <w:rPr>
                <w:color w:val="auto"/>
                <w:spacing w:val="7"/>
              </w:rPr>
              <w:t>保修内容</w:t>
            </w:r>
          </w:p>
        </w:tc>
        <w:tc>
          <w:tcPr>
            <w:tcW w:w="2040" w:type="dxa"/>
            <w:noWrap w:val="0"/>
            <w:vAlign w:val="top"/>
          </w:tcPr>
          <w:p w14:paraId="18487695">
            <w:pPr>
              <w:pStyle w:val="223"/>
              <w:spacing w:before="209" w:line="229" w:lineRule="auto"/>
              <w:ind w:left="396"/>
              <w:rPr>
                <w:color w:val="auto"/>
              </w:rPr>
            </w:pPr>
            <w:r>
              <w:rPr>
                <w:color w:val="auto"/>
                <w:spacing w:val="8"/>
              </w:rPr>
              <w:t>质保期限要求</w:t>
            </w:r>
          </w:p>
        </w:tc>
      </w:tr>
      <w:tr w14:paraId="76BB5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noWrap w:val="0"/>
            <w:vAlign w:val="top"/>
          </w:tcPr>
          <w:p w14:paraId="25D31E5B">
            <w:pPr>
              <w:pStyle w:val="223"/>
              <w:spacing w:before="54" w:line="260" w:lineRule="auto"/>
              <w:ind w:left="270" w:right="158" w:hanging="106"/>
              <w:rPr>
                <w:color w:val="auto"/>
              </w:rPr>
            </w:pPr>
            <w:r>
              <w:rPr>
                <w:color w:val="auto"/>
                <w:spacing w:val="6"/>
              </w:rPr>
              <w:t>新能源</w:t>
            </w:r>
            <w:r>
              <w:rPr>
                <w:color w:val="auto"/>
              </w:rPr>
              <w:t xml:space="preserve"> </w:t>
            </w:r>
            <w:r>
              <w:rPr>
                <w:color w:val="auto"/>
                <w:spacing w:val="3"/>
              </w:rPr>
              <w:t>客车</w:t>
            </w:r>
          </w:p>
        </w:tc>
        <w:tc>
          <w:tcPr>
            <w:tcW w:w="810" w:type="dxa"/>
            <w:noWrap w:val="0"/>
            <w:vAlign w:val="top"/>
          </w:tcPr>
          <w:p w14:paraId="37E1CA2C">
            <w:pPr>
              <w:pStyle w:val="223"/>
              <w:spacing w:before="242" w:line="189" w:lineRule="auto"/>
              <w:ind w:left="371"/>
              <w:rPr>
                <w:color w:val="auto"/>
              </w:rPr>
            </w:pPr>
            <w:r>
              <w:rPr>
                <w:color w:val="auto"/>
              </w:rPr>
              <w:t>1</w:t>
            </w:r>
          </w:p>
        </w:tc>
        <w:tc>
          <w:tcPr>
            <w:tcW w:w="1756" w:type="dxa"/>
            <w:gridSpan w:val="2"/>
            <w:noWrap w:val="0"/>
            <w:vAlign w:val="top"/>
          </w:tcPr>
          <w:p w14:paraId="5CB25C53">
            <w:pPr>
              <w:pStyle w:val="223"/>
              <w:spacing w:before="210" w:line="228" w:lineRule="auto"/>
              <w:ind w:left="674"/>
              <w:rPr>
                <w:color w:val="auto"/>
              </w:rPr>
            </w:pPr>
            <w:r>
              <w:rPr>
                <w:color w:val="auto"/>
                <w:spacing w:val="4"/>
              </w:rPr>
              <w:t>整车</w:t>
            </w:r>
          </w:p>
        </w:tc>
        <w:tc>
          <w:tcPr>
            <w:tcW w:w="2972" w:type="dxa"/>
            <w:noWrap w:val="0"/>
            <w:vAlign w:val="top"/>
          </w:tcPr>
          <w:p w14:paraId="1A231F20">
            <w:pPr>
              <w:pStyle w:val="223"/>
              <w:spacing w:before="210" w:line="228" w:lineRule="auto"/>
              <w:ind w:left="666"/>
              <w:rPr>
                <w:color w:val="auto"/>
              </w:rPr>
            </w:pPr>
            <w:r>
              <w:rPr>
                <w:color w:val="auto"/>
                <w:spacing w:val="6"/>
              </w:rPr>
              <w:t>易损、易耗件除外</w:t>
            </w:r>
          </w:p>
        </w:tc>
        <w:tc>
          <w:tcPr>
            <w:tcW w:w="2040" w:type="dxa"/>
            <w:noWrap w:val="0"/>
            <w:vAlign w:val="top"/>
          </w:tcPr>
          <w:p w14:paraId="688522DD">
            <w:pPr>
              <w:pStyle w:val="223"/>
              <w:spacing w:before="210" w:line="228" w:lineRule="auto"/>
              <w:ind w:left="846"/>
              <w:rPr>
                <w:rFonts w:hint="eastAsia" w:eastAsia="宋体"/>
                <w:color w:val="auto"/>
                <w:spacing w:val="-4"/>
                <w:lang w:val="en-US" w:eastAsia="zh-CN"/>
              </w:rPr>
            </w:pPr>
            <w:r>
              <w:rPr>
                <w:rFonts w:hint="eastAsia"/>
                <w:color w:val="auto"/>
                <w:spacing w:val="-4"/>
                <w:lang w:val="en-US" w:eastAsia="zh-CN"/>
              </w:rPr>
              <w:t>3年</w:t>
            </w:r>
          </w:p>
        </w:tc>
      </w:tr>
      <w:tr w14:paraId="6ACA9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48" w:type="dxa"/>
            <w:vMerge w:val="restart"/>
            <w:tcBorders>
              <w:bottom w:val="nil"/>
            </w:tcBorders>
            <w:noWrap w:val="0"/>
            <w:vAlign w:val="top"/>
          </w:tcPr>
          <w:p w14:paraId="0EB694FA">
            <w:pPr>
              <w:spacing w:line="246" w:lineRule="auto"/>
              <w:rPr>
                <w:rFonts w:ascii="Arial"/>
                <w:color w:val="auto"/>
                <w:sz w:val="21"/>
              </w:rPr>
            </w:pPr>
          </w:p>
          <w:p w14:paraId="6F675C27">
            <w:pPr>
              <w:spacing w:line="246" w:lineRule="auto"/>
              <w:rPr>
                <w:rFonts w:ascii="Arial"/>
                <w:color w:val="auto"/>
                <w:sz w:val="21"/>
              </w:rPr>
            </w:pPr>
          </w:p>
          <w:p w14:paraId="7D12061A">
            <w:pPr>
              <w:spacing w:line="246" w:lineRule="auto"/>
              <w:rPr>
                <w:rFonts w:ascii="Arial"/>
                <w:color w:val="auto"/>
                <w:sz w:val="21"/>
              </w:rPr>
            </w:pPr>
          </w:p>
          <w:p w14:paraId="5CDC0CD9">
            <w:pPr>
              <w:spacing w:line="246" w:lineRule="auto"/>
              <w:rPr>
                <w:rFonts w:ascii="Arial"/>
                <w:color w:val="auto"/>
                <w:sz w:val="21"/>
              </w:rPr>
            </w:pPr>
          </w:p>
          <w:p w14:paraId="5C3DE24B">
            <w:pPr>
              <w:spacing w:line="246" w:lineRule="auto"/>
              <w:rPr>
                <w:rFonts w:ascii="Arial"/>
                <w:color w:val="auto"/>
                <w:sz w:val="21"/>
              </w:rPr>
            </w:pPr>
          </w:p>
          <w:p w14:paraId="275F789E">
            <w:pPr>
              <w:spacing w:line="246" w:lineRule="auto"/>
              <w:rPr>
                <w:rFonts w:ascii="Arial"/>
                <w:color w:val="auto"/>
                <w:sz w:val="21"/>
              </w:rPr>
            </w:pPr>
          </w:p>
          <w:p w14:paraId="0EFED372">
            <w:pPr>
              <w:spacing w:line="246" w:lineRule="auto"/>
              <w:rPr>
                <w:rFonts w:ascii="Arial"/>
                <w:color w:val="auto"/>
                <w:sz w:val="21"/>
              </w:rPr>
            </w:pPr>
          </w:p>
          <w:p w14:paraId="41B60A36">
            <w:pPr>
              <w:spacing w:line="246" w:lineRule="auto"/>
              <w:rPr>
                <w:rFonts w:ascii="Arial"/>
                <w:color w:val="auto"/>
                <w:sz w:val="21"/>
              </w:rPr>
            </w:pPr>
          </w:p>
          <w:p w14:paraId="5857513C">
            <w:pPr>
              <w:spacing w:line="246" w:lineRule="auto"/>
              <w:rPr>
                <w:rFonts w:ascii="Arial"/>
                <w:color w:val="auto"/>
                <w:sz w:val="21"/>
              </w:rPr>
            </w:pPr>
          </w:p>
          <w:p w14:paraId="57213D1A">
            <w:pPr>
              <w:spacing w:line="246" w:lineRule="auto"/>
              <w:rPr>
                <w:rFonts w:ascii="Arial"/>
                <w:color w:val="auto"/>
                <w:sz w:val="21"/>
              </w:rPr>
            </w:pPr>
          </w:p>
          <w:p w14:paraId="762134A4">
            <w:pPr>
              <w:spacing w:line="246" w:lineRule="auto"/>
              <w:rPr>
                <w:rFonts w:ascii="Arial"/>
                <w:color w:val="auto"/>
                <w:sz w:val="21"/>
              </w:rPr>
            </w:pPr>
          </w:p>
          <w:p w14:paraId="5E88F01F">
            <w:pPr>
              <w:spacing w:line="246" w:lineRule="auto"/>
              <w:rPr>
                <w:rFonts w:ascii="Arial"/>
                <w:color w:val="auto"/>
                <w:sz w:val="21"/>
              </w:rPr>
            </w:pPr>
          </w:p>
          <w:p w14:paraId="39EB8F5B">
            <w:pPr>
              <w:spacing w:line="247" w:lineRule="auto"/>
              <w:rPr>
                <w:rFonts w:ascii="Arial"/>
                <w:color w:val="auto"/>
                <w:sz w:val="21"/>
              </w:rPr>
            </w:pPr>
          </w:p>
          <w:p w14:paraId="4E9DE188">
            <w:pPr>
              <w:spacing w:line="247" w:lineRule="auto"/>
              <w:rPr>
                <w:rFonts w:ascii="Arial"/>
                <w:color w:val="auto"/>
                <w:sz w:val="21"/>
              </w:rPr>
            </w:pPr>
          </w:p>
          <w:p w14:paraId="446B550E">
            <w:pPr>
              <w:spacing w:line="247" w:lineRule="auto"/>
              <w:rPr>
                <w:rFonts w:ascii="Arial"/>
                <w:color w:val="auto"/>
                <w:sz w:val="21"/>
              </w:rPr>
            </w:pPr>
          </w:p>
          <w:p w14:paraId="70D4B146">
            <w:pPr>
              <w:pStyle w:val="223"/>
              <w:spacing w:before="65" w:line="229" w:lineRule="auto"/>
              <w:ind w:left="164"/>
              <w:rPr>
                <w:color w:val="auto"/>
              </w:rPr>
            </w:pPr>
            <w:r>
              <w:rPr>
                <w:color w:val="auto"/>
                <w:spacing w:val="6"/>
              </w:rPr>
              <w:t>新能源</w:t>
            </w:r>
          </w:p>
          <w:p w14:paraId="321F8254">
            <w:pPr>
              <w:pStyle w:val="223"/>
              <w:spacing w:before="64" w:line="228" w:lineRule="auto"/>
              <w:ind w:left="166"/>
              <w:rPr>
                <w:color w:val="auto"/>
              </w:rPr>
            </w:pPr>
            <w:r>
              <w:rPr>
                <w:color w:val="auto"/>
                <w:spacing w:val="6"/>
              </w:rPr>
              <w:t>部分主</w:t>
            </w:r>
          </w:p>
          <w:p w14:paraId="5FC1E198">
            <w:pPr>
              <w:pStyle w:val="223"/>
              <w:spacing w:before="64" w:line="228" w:lineRule="auto"/>
              <w:ind w:left="164"/>
              <w:rPr>
                <w:color w:val="auto"/>
              </w:rPr>
            </w:pPr>
            <w:r>
              <w:rPr>
                <w:color w:val="auto"/>
                <w:spacing w:val="6"/>
              </w:rPr>
              <w:t>要零部</w:t>
            </w:r>
          </w:p>
          <w:p w14:paraId="2F44930A">
            <w:pPr>
              <w:pStyle w:val="223"/>
              <w:spacing w:before="65" w:line="228" w:lineRule="auto"/>
              <w:ind w:left="374"/>
              <w:rPr>
                <w:color w:val="auto"/>
              </w:rPr>
            </w:pPr>
            <w:r>
              <w:rPr>
                <w:color w:val="auto"/>
                <w:spacing w:val="1"/>
              </w:rPr>
              <w:t>件</w:t>
            </w:r>
          </w:p>
        </w:tc>
        <w:tc>
          <w:tcPr>
            <w:tcW w:w="810" w:type="dxa"/>
            <w:vMerge w:val="restart"/>
            <w:tcBorders>
              <w:bottom w:val="nil"/>
            </w:tcBorders>
            <w:noWrap w:val="0"/>
            <w:vAlign w:val="top"/>
          </w:tcPr>
          <w:p w14:paraId="1ECD1C2A">
            <w:pPr>
              <w:spacing w:line="244" w:lineRule="auto"/>
              <w:rPr>
                <w:rFonts w:ascii="Arial"/>
                <w:color w:val="auto"/>
                <w:sz w:val="21"/>
              </w:rPr>
            </w:pPr>
          </w:p>
          <w:p w14:paraId="3D9D1164">
            <w:pPr>
              <w:spacing w:line="244" w:lineRule="auto"/>
              <w:rPr>
                <w:rFonts w:ascii="Arial"/>
                <w:color w:val="auto"/>
                <w:sz w:val="21"/>
              </w:rPr>
            </w:pPr>
          </w:p>
          <w:p w14:paraId="1501C207">
            <w:pPr>
              <w:spacing w:line="244" w:lineRule="auto"/>
              <w:rPr>
                <w:rFonts w:ascii="Arial"/>
                <w:color w:val="auto"/>
                <w:sz w:val="21"/>
              </w:rPr>
            </w:pPr>
          </w:p>
          <w:p w14:paraId="0050E618">
            <w:pPr>
              <w:spacing w:line="244" w:lineRule="auto"/>
              <w:rPr>
                <w:rFonts w:ascii="Arial"/>
                <w:color w:val="auto"/>
                <w:sz w:val="21"/>
              </w:rPr>
            </w:pPr>
          </w:p>
          <w:p w14:paraId="593EE5C7">
            <w:pPr>
              <w:spacing w:line="244" w:lineRule="auto"/>
              <w:rPr>
                <w:rFonts w:ascii="Arial"/>
                <w:color w:val="auto"/>
                <w:sz w:val="21"/>
              </w:rPr>
            </w:pPr>
          </w:p>
          <w:p w14:paraId="765F37E6">
            <w:pPr>
              <w:spacing w:line="244" w:lineRule="auto"/>
              <w:rPr>
                <w:rFonts w:ascii="Arial"/>
                <w:color w:val="auto"/>
                <w:sz w:val="21"/>
              </w:rPr>
            </w:pPr>
          </w:p>
          <w:p w14:paraId="3B0F210E">
            <w:pPr>
              <w:spacing w:line="244" w:lineRule="auto"/>
              <w:rPr>
                <w:rFonts w:ascii="Arial"/>
                <w:color w:val="auto"/>
                <w:sz w:val="21"/>
              </w:rPr>
            </w:pPr>
          </w:p>
          <w:p w14:paraId="4113049F">
            <w:pPr>
              <w:spacing w:line="245" w:lineRule="auto"/>
              <w:rPr>
                <w:rFonts w:ascii="Arial"/>
                <w:color w:val="auto"/>
                <w:sz w:val="21"/>
              </w:rPr>
            </w:pPr>
          </w:p>
          <w:p w14:paraId="13D5B0C8">
            <w:pPr>
              <w:spacing w:line="245" w:lineRule="auto"/>
              <w:rPr>
                <w:rFonts w:ascii="Arial"/>
                <w:color w:val="auto"/>
                <w:sz w:val="21"/>
              </w:rPr>
            </w:pPr>
          </w:p>
          <w:p w14:paraId="437161D1">
            <w:pPr>
              <w:spacing w:line="245" w:lineRule="auto"/>
              <w:rPr>
                <w:rFonts w:ascii="Arial"/>
                <w:color w:val="auto"/>
                <w:sz w:val="21"/>
              </w:rPr>
            </w:pPr>
          </w:p>
          <w:p w14:paraId="06E3B85A">
            <w:pPr>
              <w:spacing w:line="245" w:lineRule="auto"/>
              <w:rPr>
                <w:rFonts w:ascii="Arial"/>
                <w:color w:val="auto"/>
                <w:sz w:val="21"/>
              </w:rPr>
            </w:pPr>
          </w:p>
          <w:p w14:paraId="5DC9B9F5">
            <w:pPr>
              <w:spacing w:line="245" w:lineRule="auto"/>
              <w:rPr>
                <w:rFonts w:ascii="Arial"/>
                <w:color w:val="auto"/>
                <w:sz w:val="21"/>
              </w:rPr>
            </w:pPr>
          </w:p>
          <w:p w14:paraId="785FA735">
            <w:pPr>
              <w:spacing w:line="245" w:lineRule="auto"/>
              <w:rPr>
                <w:rFonts w:ascii="Arial"/>
                <w:color w:val="auto"/>
                <w:sz w:val="21"/>
              </w:rPr>
            </w:pPr>
          </w:p>
          <w:p w14:paraId="401BFB66">
            <w:pPr>
              <w:spacing w:line="245" w:lineRule="auto"/>
              <w:rPr>
                <w:rFonts w:ascii="Arial"/>
                <w:color w:val="auto"/>
                <w:sz w:val="21"/>
              </w:rPr>
            </w:pPr>
          </w:p>
          <w:p w14:paraId="66014147">
            <w:pPr>
              <w:spacing w:line="245" w:lineRule="auto"/>
              <w:rPr>
                <w:rFonts w:ascii="Arial"/>
                <w:color w:val="auto"/>
                <w:sz w:val="21"/>
              </w:rPr>
            </w:pPr>
          </w:p>
          <w:p w14:paraId="2E79363E">
            <w:pPr>
              <w:pStyle w:val="223"/>
              <w:spacing w:before="65" w:line="189" w:lineRule="auto"/>
              <w:ind w:left="358"/>
              <w:rPr>
                <w:color w:val="auto"/>
              </w:rPr>
            </w:pPr>
            <w:r>
              <w:rPr>
                <w:color w:val="auto"/>
              </w:rPr>
              <w:t>2</w:t>
            </w:r>
          </w:p>
        </w:tc>
        <w:tc>
          <w:tcPr>
            <w:tcW w:w="675" w:type="dxa"/>
            <w:vMerge w:val="restart"/>
            <w:tcBorders>
              <w:bottom w:val="nil"/>
            </w:tcBorders>
            <w:noWrap w:val="0"/>
            <w:vAlign w:val="top"/>
          </w:tcPr>
          <w:p w14:paraId="08322EDE">
            <w:pPr>
              <w:spacing w:line="248" w:lineRule="auto"/>
              <w:rPr>
                <w:rFonts w:ascii="Arial"/>
                <w:color w:val="auto"/>
                <w:sz w:val="21"/>
              </w:rPr>
            </w:pPr>
          </w:p>
          <w:p w14:paraId="5FBE093B">
            <w:pPr>
              <w:spacing w:line="248" w:lineRule="auto"/>
              <w:rPr>
                <w:rFonts w:ascii="Arial"/>
                <w:color w:val="auto"/>
                <w:sz w:val="21"/>
              </w:rPr>
            </w:pPr>
          </w:p>
          <w:p w14:paraId="610B69F8">
            <w:pPr>
              <w:spacing w:line="248" w:lineRule="auto"/>
              <w:rPr>
                <w:rFonts w:ascii="Arial"/>
                <w:color w:val="auto"/>
                <w:sz w:val="21"/>
              </w:rPr>
            </w:pPr>
          </w:p>
          <w:p w14:paraId="1993975B">
            <w:pPr>
              <w:spacing w:line="248" w:lineRule="auto"/>
              <w:rPr>
                <w:rFonts w:ascii="Arial"/>
                <w:color w:val="auto"/>
                <w:sz w:val="21"/>
              </w:rPr>
            </w:pPr>
          </w:p>
          <w:p w14:paraId="4F0DEDAC">
            <w:pPr>
              <w:spacing w:line="248" w:lineRule="auto"/>
              <w:rPr>
                <w:rFonts w:ascii="Arial"/>
                <w:color w:val="auto"/>
                <w:sz w:val="21"/>
              </w:rPr>
            </w:pPr>
          </w:p>
          <w:p w14:paraId="5CECADBB">
            <w:pPr>
              <w:spacing w:line="249" w:lineRule="auto"/>
              <w:rPr>
                <w:rFonts w:ascii="Arial"/>
                <w:color w:val="auto"/>
                <w:sz w:val="21"/>
              </w:rPr>
            </w:pPr>
          </w:p>
          <w:p w14:paraId="720556DA">
            <w:pPr>
              <w:spacing w:line="249" w:lineRule="auto"/>
              <w:rPr>
                <w:rFonts w:ascii="Arial"/>
                <w:color w:val="auto"/>
                <w:sz w:val="21"/>
              </w:rPr>
            </w:pPr>
          </w:p>
          <w:p w14:paraId="4BD14FA7">
            <w:pPr>
              <w:spacing w:line="249" w:lineRule="auto"/>
              <w:rPr>
                <w:rFonts w:ascii="Arial"/>
                <w:color w:val="auto"/>
                <w:sz w:val="21"/>
              </w:rPr>
            </w:pPr>
          </w:p>
          <w:p w14:paraId="0AEF219B">
            <w:pPr>
              <w:spacing w:line="249" w:lineRule="auto"/>
              <w:rPr>
                <w:rFonts w:ascii="Arial"/>
                <w:color w:val="auto"/>
                <w:sz w:val="21"/>
              </w:rPr>
            </w:pPr>
          </w:p>
          <w:p w14:paraId="4ACFA97F">
            <w:pPr>
              <w:spacing w:line="249" w:lineRule="auto"/>
              <w:rPr>
                <w:rFonts w:ascii="Arial"/>
                <w:color w:val="auto"/>
                <w:sz w:val="21"/>
              </w:rPr>
            </w:pPr>
          </w:p>
          <w:p w14:paraId="07C391FB">
            <w:pPr>
              <w:spacing w:line="249" w:lineRule="auto"/>
              <w:rPr>
                <w:rFonts w:ascii="Arial"/>
                <w:color w:val="auto"/>
                <w:sz w:val="21"/>
              </w:rPr>
            </w:pPr>
          </w:p>
          <w:p w14:paraId="423B2217">
            <w:pPr>
              <w:spacing w:line="249" w:lineRule="auto"/>
              <w:rPr>
                <w:rFonts w:ascii="Arial"/>
                <w:color w:val="auto"/>
                <w:sz w:val="21"/>
              </w:rPr>
            </w:pPr>
          </w:p>
          <w:p w14:paraId="3AC90E4A">
            <w:pPr>
              <w:spacing w:line="249" w:lineRule="auto"/>
              <w:rPr>
                <w:rFonts w:ascii="Arial"/>
                <w:color w:val="auto"/>
                <w:sz w:val="21"/>
              </w:rPr>
            </w:pPr>
          </w:p>
          <w:p w14:paraId="25E92FCB">
            <w:pPr>
              <w:spacing w:line="249" w:lineRule="auto"/>
              <w:rPr>
                <w:rFonts w:ascii="Arial"/>
                <w:color w:val="auto"/>
                <w:sz w:val="21"/>
              </w:rPr>
            </w:pPr>
          </w:p>
          <w:p w14:paraId="07BB125F">
            <w:pPr>
              <w:pStyle w:val="223"/>
              <w:spacing w:before="65" w:line="274" w:lineRule="auto"/>
              <w:ind w:left="135" w:right="128" w:hanging="4"/>
              <w:rPr>
                <w:color w:val="auto"/>
              </w:rPr>
            </w:pPr>
            <w:r>
              <w:rPr>
                <w:color w:val="auto"/>
                <w:spacing w:val="4"/>
              </w:rPr>
              <w:t>三电</w:t>
            </w:r>
            <w:r>
              <w:rPr>
                <w:color w:val="auto"/>
              </w:rPr>
              <w:t xml:space="preserve"> </w:t>
            </w:r>
            <w:r>
              <w:rPr>
                <w:color w:val="auto"/>
                <w:spacing w:val="2"/>
              </w:rPr>
              <w:t>系统</w:t>
            </w:r>
          </w:p>
        </w:tc>
        <w:tc>
          <w:tcPr>
            <w:tcW w:w="1081" w:type="dxa"/>
            <w:noWrap w:val="0"/>
            <w:vAlign w:val="top"/>
          </w:tcPr>
          <w:p w14:paraId="593D8ADD">
            <w:pPr>
              <w:spacing w:line="304" w:lineRule="auto"/>
              <w:rPr>
                <w:rFonts w:ascii="Arial"/>
                <w:color w:val="auto"/>
                <w:sz w:val="21"/>
              </w:rPr>
            </w:pPr>
          </w:p>
          <w:p w14:paraId="0EA9D5DA">
            <w:pPr>
              <w:spacing w:line="305" w:lineRule="auto"/>
              <w:rPr>
                <w:rFonts w:ascii="Arial"/>
                <w:color w:val="auto"/>
                <w:sz w:val="21"/>
              </w:rPr>
            </w:pPr>
          </w:p>
          <w:p w14:paraId="330470CA">
            <w:pPr>
              <w:pStyle w:val="223"/>
              <w:spacing w:before="65" w:line="228" w:lineRule="auto"/>
              <w:ind w:left="126"/>
              <w:rPr>
                <w:color w:val="auto"/>
              </w:rPr>
            </w:pPr>
            <w:r>
              <w:rPr>
                <w:color w:val="auto"/>
                <w:spacing w:val="7"/>
              </w:rPr>
              <w:t>动力电池</w:t>
            </w:r>
          </w:p>
        </w:tc>
        <w:tc>
          <w:tcPr>
            <w:tcW w:w="2972" w:type="dxa"/>
            <w:noWrap w:val="0"/>
            <w:vAlign w:val="top"/>
          </w:tcPr>
          <w:p w14:paraId="4D460367">
            <w:pPr>
              <w:pStyle w:val="223"/>
              <w:spacing w:before="54" w:line="273" w:lineRule="auto"/>
              <w:ind w:left="652" w:right="147" w:hanging="474"/>
              <w:rPr>
                <w:color w:val="auto"/>
              </w:rPr>
            </w:pPr>
            <w:r>
              <w:rPr>
                <w:color w:val="auto"/>
                <w:spacing w:val="5"/>
              </w:rPr>
              <w:t>电池容量衰减不超过</w:t>
            </w:r>
            <w:r>
              <w:rPr>
                <w:color w:val="auto"/>
                <w:spacing w:val="-30"/>
              </w:rPr>
              <w:t xml:space="preserve"> </w:t>
            </w:r>
            <w:r>
              <w:rPr>
                <w:color w:val="auto"/>
                <w:spacing w:val="5"/>
              </w:rPr>
              <w:t>20%，安</w:t>
            </w:r>
            <w:r>
              <w:rPr>
                <w:color w:val="auto"/>
              </w:rPr>
              <w:t xml:space="preserve"> </w:t>
            </w:r>
            <w:r>
              <w:rPr>
                <w:color w:val="auto"/>
                <w:spacing w:val="7"/>
              </w:rPr>
              <w:t>全检测数值达标。</w:t>
            </w:r>
          </w:p>
          <w:p w14:paraId="1CF0EE72">
            <w:pPr>
              <w:pStyle w:val="223"/>
              <w:spacing w:before="32" w:line="228" w:lineRule="auto"/>
              <w:ind w:left="137"/>
              <w:rPr>
                <w:color w:val="auto"/>
              </w:rPr>
            </w:pPr>
            <w:r>
              <w:rPr>
                <w:color w:val="auto"/>
                <w:spacing w:val="2"/>
              </w:rPr>
              <w:t>电池包总成（含电芯、</w:t>
            </w:r>
            <w:r>
              <w:rPr>
                <w:color w:val="auto"/>
              </w:rPr>
              <w:t>BMS</w:t>
            </w:r>
            <w:r>
              <w:rPr>
                <w:color w:val="auto"/>
                <w:spacing w:val="2"/>
              </w:rPr>
              <w:t>、高</w:t>
            </w:r>
          </w:p>
          <w:p w14:paraId="782496C0">
            <w:pPr>
              <w:pStyle w:val="223"/>
              <w:spacing w:before="64" w:line="260" w:lineRule="auto"/>
              <w:ind w:left="1075" w:right="118" w:hanging="947"/>
              <w:rPr>
                <w:color w:val="auto"/>
              </w:rPr>
            </w:pPr>
            <w:r>
              <w:rPr>
                <w:color w:val="auto"/>
                <w:spacing w:val="9"/>
              </w:rPr>
              <w:t>压接触器、高低压插件、连接</w:t>
            </w:r>
            <w:r>
              <w:rPr>
                <w:color w:val="auto"/>
                <w:spacing w:val="1"/>
              </w:rPr>
              <w:t xml:space="preserve"> </w:t>
            </w:r>
            <w:r>
              <w:rPr>
                <w:color w:val="auto"/>
                <w:spacing w:val="4"/>
              </w:rPr>
              <w:t>线束等）</w:t>
            </w:r>
          </w:p>
        </w:tc>
        <w:tc>
          <w:tcPr>
            <w:tcW w:w="2040" w:type="dxa"/>
            <w:noWrap w:val="0"/>
            <w:vAlign w:val="top"/>
          </w:tcPr>
          <w:p w14:paraId="557ECD6A">
            <w:pPr>
              <w:spacing w:line="304" w:lineRule="auto"/>
              <w:rPr>
                <w:rFonts w:ascii="Arial"/>
                <w:color w:val="auto"/>
                <w:sz w:val="21"/>
              </w:rPr>
            </w:pPr>
          </w:p>
          <w:p w14:paraId="6032E19A">
            <w:pPr>
              <w:pStyle w:val="223"/>
              <w:spacing w:before="65" w:line="228" w:lineRule="auto"/>
              <w:rPr>
                <w:color w:val="auto"/>
                <w:spacing w:val="5"/>
              </w:rPr>
            </w:pPr>
          </w:p>
          <w:p w14:paraId="2DE19A3F">
            <w:pPr>
              <w:pStyle w:val="223"/>
              <w:spacing w:before="65" w:line="228" w:lineRule="auto"/>
              <w:ind w:left="317"/>
              <w:rPr>
                <w:rFonts w:hint="default" w:eastAsia="宋体"/>
                <w:color w:val="auto"/>
                <w:spacing w:val="5"/>
                <w:lang w:val="en-US" w:eastAsia="zh-CN"/>
              </w:rPr>
            </w:pPr>
            <w:r>
              <w:rPr>
                <w:rFonts w:hint="eastAsia"/>
                <w:color w:val="auto"/>
                <w:spacing w:val="5"/>
                <w:lang w:val="en-US" w:eastAsia="zh-CN"/>
              </w:rPr>
              <w:t>10年</w:t>
            </w:r>
          </w:p>
        </w:tc>
      </w:tr>
      <w:tr w14:paraId="5050E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304D40C0">
            <w:pPr>
              <w:rPr>
                <w:rFonts w:ascii="Arial"/>
                <w:color w:val="auto"/>
                <w:sz w:val="21"/>
              </w:rPr>
            </w:pPr>
          </w:p>
        </w:tc>
        <w:tc>
          <w:tcPr>
            <w:tcW w:w="810" w:type="dxa"/>
            <w:vMerge w:val="continue"/>
            <w:tcBorders>
              <w:top w:val="nil"/>
              <w:bottom w:val="nil"/>
            </w:tcBorders>
            <w:noWrap w:val="0"/>
            <w:vAlign w:val="top"/>
          </w:tcPr>
          <w:p w14:paraId="29F4F920">
            <w:pPr>
              <w:rPr>
                <w:rFonts w:ascii="Arial"/>
                <w:color w:val="auto"/>
                <w:sz w:val="21"/>
              </w:rPr>
            </w:pPr>
          </w:p>
        </w:tc>
        <w:tc>
          <w:tcPr>
            <w:tcW w:w="675" w:type="dxa"/>
            <w:vMerge w:val="continue"/>
            <w:tcBorders>
              <w:top w:val="nil"/>
              <w:bottom w:val="nil"/>
            </w:tcBorders>
            <w:noWrap w:val="0"/>
            <w:vAlign w:val="top"/>
          </w:tcPr>
          <w:p w14:paraId="4B7FB8D6">
            <w:pPr>
              <w:rPr>
                <w:rFonts w:ascii="Arial"/>
                <w:color w:val="auto"/>
                <w:sz w:val="21"/>
              </w:rPr>
            </w:pPr>
          </w:p>
        </w:tc>
        <w:tc>
          <w:tcPr>
            <w:tcW w:w="1081" w:type="dxa"/>
            <w:noWrap w:val="0"/>
            <w:vAlign w:val="top"/>
          </w:tcPr>
          <w:p w14:paraId="7F3CE9CE">
            <w:pPr>
              <w:pStyle w:val="223"/>
              <w:spacing w:before="68" w:line="228" w:lineRule="auto"/>
              <w:ind w:left="128"/>
              <w:rPr>
                <w:color w:val="auto"/>
              </w:rPr>
            </w:pPr>
            <w:r>
              <w:rPr>
                <w:color w:val="auto"/>
                <w:spacing w:val="6"/>
              </w:rPr>
              <w:t>驱动电机</w:t>
            </w:r>
          </w:p>
        </w:tc>
        <w:tc>
          <w:tcPr>
            <w:tcW w:w="2972" w:type="dxa"/>
            <w:noWrap w:val="0"/>
            <w:vAlign w:val="top"/>
          </w:tcPr>
          <w:p w14:paraId="6717D1FF">
            <w:pPr>
              <w:pStyle w:val="223"/>
              <w:spacing w:before="68" w:line="228" w:lineRule="auto"/>
              <w:ind w:left="341"/>
              <w:rPr>
                <w:rFonts w:hint="default" w:eastAsia="宋体"/>
                <w:color w:val="auto"/>
                <w:lang w:val="en-US" w:eastAsia="zh-CN"/>
              </w:rPr>
            </w:pPr>
            <w:r>
              <w:rPr>
                <w:color w:val="auto"/>
                <w:spacing w:val="7"/>
              </w:rPr>
              <w:t>驱动电机总成</w:t>
            </w:r>
            <w:r>
              <w:rPr>
                <w:rFonts w:hint="eastAsia"/>
                <w:color w:val="auto"/>
                <w:spacing w:val="7"/>
                <w:lang w:val="en-US" w:eastAsia="zh-CN"/>
              </w:rPr>
              <w:t xml:space="preserve">   </w:t>
            </w:r>
          </w:p>
        </w:tc>
        <w:tc>
          <w:tcPr>
            <w:tcW w:w="2040" w:type="dxa"/>
            <w:noWrap w:val="0"/>
            <w:vAlign w:val="top"/>
          </w:tcPr>
          <w:p w14:paraId="7E259EF8">
            <w:pPr>
              <w:pStyle w:val="223"/>
              <w:spacing w:before="69" w:line="228" w:lineRule="auto"/>
              <w:rPr>
                <w:rFonts w:hint="default" w:eastAsia="宋体"/>
                <w:color w:val="auto"/>
                <w:lang w:val="en-US" w:eastAsia="zh-CN"/>
              </w:rPr>
            </w:pPr>
            <w:r>
              <w:rPr>
                <w:rFonts w:hint="eastAsia"/>
                <w:color w:val="auto"/>
                <w:spacing w:val="-3"/>
                <w:lang w:val="en-US" w:eastAsia="zh-CN"/>
              </w:rPr>
              <w:t xml:space="preserve">        10年</w:t>
            </w:r>
          </w:p>
        </w:tc>
      </w:tr>
      <w:tr w14:paraId="0A873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69F3A403">
            <w:pPr>
              <w:rPr>
                <w:rFonts w:ascii="Arial"/>
                <w:color w:val="auto"/>
                <w:sz w:val="21"/>
              </w:rPr>
            </w:pPr>
          </w:p>
        </w:tc>
        <w:tc>
          <w:tcPr>
            <w:tcW w:w="810" w:type="dxa"/>
            <w:vMerge w:val="continue"/>
            <w:tcBorders>
              <w:top w:val="nil"/>
              <w:bottom w:val="nil"/>
            </w:tcBorders>
            <w:noWrap w:val="0"/>
            <w:vAlign w:val="top"/>
          </w:tcPr>
          <w:p w14:paraId="0CFC4C9D">
            <w:pPr>
              <w:rPr>
                <w:rFonts w:ascii="Arial"/>
                <w:color w:val="auto"/>
                <w:sz w:val="21"/>
              </w:rPr>
            </w:pPr>
          </w:p>
        </w:tc>
        <w:tc>
          <w:tcPr>
            <w:tcW w:w="675" w:type="dxa"/>
            <w:vMerge w:val="continue"/>
            <w:tcBorders>
              <w:top w:val="nil"/>
              <w:bottom w:val="nil"/>
            </w:tcBorders>
            <w:noWrap w:val="0"/>
            <w:vAlign w:val="top"/>
          </w:tcPr>
          <w:p w14:paraId="53E9AC4F">
            <w:pPr>
              <w:rPr>
                <w:rFonts w:ascii="Arial"/>
                <w:color w:val="auto"/>
                <w:sz w:val="21"/>
              </w:rPr>
            </w:pPr>
          </w:p>
        </w:tc>
        <w:tc>
          <w:tcPr>
            <w:tcW w:w="1081" w:type="dxa"/>
            <w:vMerge w:val="restart"/>
            <w:tcBorders>
              <w:bottom w:val="nil"/>
            </w:tcBorders>
            <w:noWrap w:val="0"/>
            <w:vAlign w:val="top"/>
          </w:tcPr>
          <w:p w14:paraId="2D9818AA">
            <w:pPr>
              <w:spacing w:line="243" w:lineRule="auto"/>
              <w:rPr>
                <w:rFonts w:ascii="Arial"/>
                <w:color w:val="auto"/>
                <w:sz w:val="21"/>
              </w:rPr>
            </w:pPr>
          </w:p>
          <w:p w14:paraId="3BEA2ABC">
            <w:pPr>
              <w:spacing w:line="244" w:lineRule="auto"/>
              <w:rPr>
                <w:rFonts w:ascii="Arial"/>
                <w:color w:val="auto"/>
                <w:sz w:val="21"/>
              </w:rPr>
            </w:pPr>
          </w:p>
          <w:p w14:paraId="687550DF">
            <w:pPr>
              <w:spacing w:line="244" w:lineRule="auto"/>
              <w:rPr>
                <w:rFonts w:ascii="Arial"/>
                <w:color w:val="auto"/>
                <w:sz w:val="21"/>
              </w:rPr>
            </w:pPr>
          </w:p>
          <w:p w14:paraId="5A393FBA">
            <w:pPr>
              <w:spacing w:line="244" w:lineRule="auto"/>
              <w:rPr>
                <w:rFonts w:ascii="Arial"/>
                <w:color w:val="auto"/>
                <w:sz w:val="21"/>
              </w:rPr>
            </w:pPr>
          </w:p>
          <w:p w14:paraId="627F55D1">
            <w:pPr>
              <w:spacing w:line="244" w:lineRule="auto"/>
              <w:rPr>
                <w:rFonts w:ascii="Arial"/>
                <w:color w:val="auto"/>
                <w:sz w:val="21"/>
              </w:rPr>
            </w:pPr>
          </w:p>
          <w:p w14:paraId="229D835A">
            <w:pPr>
              <w:spacing w:line="244" w:lineRule="auto"/>
              <w:rPr>
                <w:rFonts w:ascii="Arial"/>
                <w:color w:val="auto"/>
                <w:sz w:val="21"/>
              </w:rPr>
            </w:pPr>
          </w:p>
          <w:p w14:paraId="5F72B034">
            <w:pPr>
              <w:spacing w:line="244" w:lineRule="auto"/>
              <w:rPr>
                <w:rFonts w:ascii="Arial"/>
                <w:color w:val="auto"/>
                <w:sz w:val="21"/>
              </w:rPr>
            </w:pPr>
          </w:p>
          <w:p w14:paraId="2F2557FE">
            <w:pPr>
              <w:spacing w:line="244" w:lineRule="auto"/>
              <w:rPr>
                <w:rFonts w:ascii="Arial"/>
                <w:color w:val="auto"/>
                <w:sz w:val="21"/>
              </w:rPr>
            </w:pPr>
          </w:p>
          <w:p w14:paraId="38697A2B">
            <w:pPr>
              <w:spacing w:line="244" w:lineRule="auto"/>
              <w:rPr>
                <w:rFonts w:ascii="Arial"/>
                <w:color w:val="auto"/>
                <w:sz w:val="21"/>
              </w:rPr>
            </w:pPr>
          </w:p>
          <w:p w14:paraId="57DEC447">
            <w:pPr>
              <w:spacing w:line="244" w:lineRule="auto"/>
              <w:rPr>
                <w:rFonts w:ascii="Arial"/>
                <w:color w:val="auto"/>
                <w:sz w:val="21"/>
              </w:rPr>
            </w:pPr>
          </w:p>
          <w:p w14:paraId="625DDBD0">
            <w:pPr>
              <w:spacing w:line="244" w:lineRule="auto"/>
              <w:rPr>
                <w:rFonts w:ascii="Arial"/>
                <w:color w:val="auto"/>
                <w:sz w:val="21"/>
              </w:rPr>
            </w:pPr>
          </w:p>
          <w:p w14:paraId="7FE612F4">
            <w:pPr>
              <w:pStyle w:val="223"/>
              <w:spacing w:before="65" w:line="229" w:lineRule="auto"/>
              <w:ind w:left="150"/>
              <w:rPr>
                <w:color w:val="auto"/>
              </w:rPr>
            </w:pPr>
            <w:r>
              <w:rPr>
                <w:color w:val="auto"/>
                <w:spacing w:val="1"/>
              </w:rPr>
              <w:t>电控系统</w:t>
            </w:r>
          </w:p>
        </w:tc>
        <w:tc>
          <w:tcPr>
            <w:tcW w:w="2972" w:type="dxa"/>
            <w:noWrap w:val="0"/>
            <w:vAlign w:val="top"/>
          </w:tcPr>
          <w:p w14:paraId="2E58CF99">
            <w:pPr>
              <w:pStyle w:val="223"/>
              <w:spacing w:before="69" w:line="228" w:lineRule="auto"/>
              <w:ind w:left="235"/>
              <w:rPr>
                <w:color w:val="auto"/>
              </w:rPr>
            </w:pPr>
            <w:r>
              <w:rPr>
                <w:color w:val="auto"/>
                <w:spacing w:val="8"/>
              </w:rPr>
              <w:t>驱动电机控制器</w:t>
            </w:r>
          </w:p>
        </w:tc>
        <w:tc>
          <w:tcPr>
            <w:tcW w:w="2040" w:type="dxa"/>
            <w:noWrap w:val="0"/>
            <w:vAlign w:val="top"/>
          </w:tcPr>
          <w:p w14:paraId="128B4A9B">
            <w:pPr>
              <w:pStyle w:val="223"/>
              <w:spacing w:before="70" w:line="228" w:lineRule="auto"/>
              <w:ind w:left="842"/>
              <w:rPr>
                <w:color w:val="auto"/>
              </w:rPr>
            </w:pPr>
            <w:r>
              <w:rPr>
                <w:rFonts w:hint="eastAsia"/>
                <w:color w:val="auto"/>
                <w:spacing w:val="-3"/>
                <w:lang w:val="en-US" w:eastAsia="zh-CN"/>
              </w:rPr>
              <w:t>10</w:t>
            </w:r>
            <w:r>
              <w:rPr>
                <w:color w:val="auto"/>
                <w:spacing w:val="-39"/>
              </w:rPr>
              <w:t xml:space="preserve"> </w:t>
            </w:r>
            <w:r>
              <w:rPr>
                <w:color w:val="auto"/>
                <w:spacing w:val="-3"/>
              </w:rPr>
              <w:t>年</w:t>
            </w:r>
          </w:p>
        </w:tc>
      </w:tr>
      <w:tr w14:paraId="50175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948" w:type="dxa"/>
            <w:vMerge w:val="continue"/>
            <w:tcBorders>
              <w:top w:val="nil"/>
              <w:bottom w:val="nil"/>
            </w:tcBorders>
            <w:noWrap w:val="0"/>
            <w:vAlign w:val="top"/>
          </w:tcPr>
          <w:p w14:paraId="7C1863AB">
            <w:pPr>
              <w:rPr>
                <w:rFonts w:ascii="Arial"/>
                <w:color w:val="auto"/>
                <w:sz w:val="21"/>
              </w:rPr>
            </w:pPr>
          </w:p>
        </w:tc>
        <w:tc>
          <w:tcPr>
            <w:tcW w:w="810" w:type="dxa"/>
            <w:vMerge w:val="continue"/>
            <w:tcBorders>
              <w:top w:val="nil"/>
              <w:bottom w:val="nil"/>
            </w:tcBorders>
            <w:noWrap w:val="0"/>
            <w:vAlign w:val="top"/>
          </w:tcPr>
          <w:p w14:paraId="002B1468">
            <w:pPr>
              <w:rPr>
                <w:rFonts w:ascii="Arial"/>
                <w:color w:val="auto"/>
                <w:sz w:val="21"/>
              </w:rPr>
            </w:pPr>
          </w:p>
        </w:tc>
        <w:tc>
          <w:tcPr>
            <w:tcW w:w="675" w:type="dxa"/>
            <w:vMerge w:val="continue"/>
            <w:tcBorders>
              <w:top w:val="nil"/>
              <w:bottom w:val="nil"/>
            </w:tcBorders>
            <w:noWrap w:val="0"/>
            <w:vAlign w:val="top"/>
          </w:tcPr>
          <w:p w14:paraId="58CAF54D">
            <w:pPr>
              <w:rPr>
                <w:rFonts w:ascii="Arial"/>
                <w:color w:val="auto"/>
                <w:sz w:val="21"/>
              </w:rPr>
            </w:pPr>
          </w:p>
        </w:tc>
        <w:tc>
          <w:tcPr>
            <w:tcW w:w="1081" w:type="dxa"/>
            <w:vMerge w:val="continue"/>
            <w:tcBorders>
              <w:top w:val="nil"/>
              <w:bottom w:val="nil"/>
            </w:tcBorders>
            <w:noWrap w:val="0"/>
            <w:vAlign w:val="top"/>
          </w:tcPr>
          <w:p w14:paraId="02B000E1">
            <w:pPr>
              <w:rPr>
                <w:rFonts w:ascii="Arial"/>
                <w:color w:val="auto"/>
                <w:sz w:val="21"/>
              </w:rPr>
            </w:pPr>
          </w:p>
        </w:tc>
        <w:tc>
          <w:tcPr>
            <w:tcW w:w="2972" w:type="dxa"/>
            <w:noWrap w:val="0"/>
            <w:vAlign w:val="top"/>
          </w:tcPr>
          <w:p w14:paraId="607774C1">
            <w:pPr>
              <w:pStyle w:val="223"/>
              <w:spacing w:before="96" w:line="228" w:lineRule="auto"/>
              <w:ind w:left="1076"/>
              <w:rPr>
                <w:color w:val="auto"/>
              </w:rPr>
            </w:pPr>
            <w:r>
              <w:rPr>
                <w:color w:val="auto"/>
                <w:spacing w:val="6"/>
              </w:rPr>
              <w:t>维修开关</w:t>
            </w:r>
          </w:p>
        </w:tc>
        <w:tc>
          <w:tcPr>
            <w:tcW w:w="2040" w:type="dxa"/>
            <w:noWrap w:val="0"/>
            <w:vAlign w:val="top"/>
          </w:tcPr>
          <w:p w14:paraId="46B36C8A">
            <w:pPr>
              <w:pStyle w:val="223"/>
              <w:spacing w:before="96" w:line="228" w:lineRule="auto"/>
              <w:ind w:left="842"/>
              <w:rPr>
                <w:color w:val="auto"/>
              </w:rPr>
            </w:pPr>
            <w:r>
              <w:rPr>
                <w:rFonts w:hint="eastAsia"/>
                <w:color w:val="auto"/>
                <w:spacing w:val="-39"/>
                <w:lang w:val="en-US" w:eastAsia="zh-CN"/>
              </w:rPr>
              <w:t>10</w:t>
            </w:r>
            <w:r>
              <w:rPr>
                <w:color w:val="auto"/>
                <w:spacing w:val="-39"/>
              </w:rPr>
              <w:t xml:space="preserve"> </w:t>
            </w:r>
            <w:r>
              <w:rPr>
                <w:color w:val="auto"/>
                <w:spacing w:val="-3"/>
              </w:rPr>
              <w:t>年</w:t>
            </w:r>
          </w:p>
        </w:tc>
      </w:tr>
      <w:tr w14:paraId="1DC88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48" w:type="dxa"/>
            <w:vMerge w:val="continue"/>
            <w:tcBorders>
              <w:top w:val="nil"/>
              <w:bottom w:val="nil"/>
            </w:tcBorders>
            <w:noWrap w:val="0"/>
            <w:vAlign w:val="top"/>
          </w:tcPr>
          <w:p w14:paraId="72FC3F6D">
            <w:pPr>
              <w:rPr>
                <w:rFonts w:ascii="Arial"/>
                <w:color w:val="auto"/>
                <w:sz w:val="21"/>
              </w:rPr>
            </w:pPr>
          </w:p>
        </w:tc>
        <w:tc>
          <w:tcPr>
            <w:tcW w:w="810" w:type="dxa"/>
            <w:vMerge w:val="continue"/>
            <w:tcBorders>
              <w:top w:val="nil"/>
              <w:bottom w:val="nil"/>
            </w:tcBorders>
            <w:noWrap w:val="0"/>
            <w:vAlign w:val="top"/>
          </w:tcPr>
          <w:p w14:paraId="490DB377">
            <w:pPr>
              <w:rPr>
                <w:rFonts w:ascii="Arial"/>
                <w:color w:val="auto"/>
                <w:sz w:val="21"/>
              </w:rPr>
            </w:pPr>
          </w:p>
        </w:tc>
        <w:tc>
          <w:tcPr>
            <w:tcW w:w="675" w:type="dxa"/>
            <w:vMerge w:val="continue"/>
            <w:tcBorders>
              <w:top w:val="nil"/>
              <w:bottom w:val="nil"/>
            </w:tcBorders>
            <w:noWrap w:val="0"/>
            <w:vAlign w:val="top"/>
          </w:tcPr>
          <w:p w14:paraId="766BC521">
            <w:pPr>
              <w:rPr>
                <w:rFonts w:ascii="Arial"/>
                <w:color w:val="auto"/>
                <w:sz w:val="21"/>
              </w:rPr>
            </w:pPr>
          </w:p>
        </w:tc>
        <w:tc>
          <w:tcPr>
            <w:tcW w:w="1081" w:type="dxa"/>
            <w:vMerge w:val="continue"/>
            <w:tcBorders>
              <w:top w:val="nil"/>
              <w:bottom w:val="nil"/>
            </w:tcBorders>
            <w:noWrap w:val="0"/>
            <w:vAlign w:val="top"/>
          </w:tcPr>
          <w:p w14:paraId="32A46B46">
            <w:pPr>
              <w:rPr>
                <w:rFonts w:ascii="Arial"/>
                <w:color w:val="auto"/>
                <w:sz w:val="21"/>
              </w:rPr>
            </w:pPr>
          </w:p>
        </w:tc>
        <w:tc>
          <w:tcPr>
            <w:tcW w:w="2972" w:type="dxa"/>
            <w:noWrap w:val="0"/>
            <w:vAlign w:val="top"/>
          </w:tcPr>
          <w:p w14:paraId="2317E72A">
            <w:pPr>
              <w:pStyle w:val="223"/>
              <w:spacing w:before="104" w:line="228" w:lineRule="auto"/>
              <w:ind w:left="341"/>
              <w:rPr>
                <w:color w:val="auto"/>
              </w:rPr>
            </w:pPr>
            <w:r>
              <w:rPr>
                <w:color w:val="auto"/>
                <w:spacing w:val="7"/>
              </w:rPr>
              <w:t>充电口（含线束及附件）</w:t>
            </w:r>
          </w:p>
        </w:tc>
        <w:tc>
          <w:tcPr>
            <w:tcW w:w="2040" w:type="dxa"/>
            <w:noWrap w:val="0"/>
            <w:vAlign w:val="top"/>
          </w:tcPr>
          <w:p w14:paraId="1B8228A5">
            <w:pPr>
              <w:pStyle w:val="223"/>
              <w:spacing w:before="105" w:line="228" w:lineRule="auto"/>
              <w:ind w:left="842"/>
              <w:rPr>
                <w:color w:val="auto"/>
              </w:rPr>
            </w:pPr>
            <w:r>
              <w:rPr>
                <w:rFonts w:hint="eastAsia"/>
                <w:color w:val="auto"/>
                <w:spacing w:val="-3"/>
                <w:lang w:val="en-US" w:eastAsia="zh-CN"/>
              </w:rPr>
              <w:t>10</w:t>
            </w:r>
            <w:r>
              <w:rPr>
                <w:color w:val="auto"/>
                <w:spacing w:val="-3"/>
              </w:rPr>
              <w:t>年</w:t>
            </w:r>
          </w:p>
        </w:tc>
      </w:tr>
      <w:tr w14:paraId="51CB9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948" w:type="dxa"/>
            <w:vMerge w:val="continue"/>
            <w:tcBorders>
              <w:top w:val="nil"/>
              <w:bottom w:val="nil"/>
            </w:tcBorders>
            <w:noWrap w:val="0"/>
            <w:vAlign w:val="top"/>
          </w:tcPr>
          <w:p w14:paraId="3D61ED09">
            <w:pPr>
              <w:rPr>
                <w:rFonts w:ascii="Arial"/>
                <w:color w:val="auto"/>
                <w:sz w:val="21"/>
              </w:rPr>
            </w:pPr>
          </w:p>
        </w:tc>
        <w:tc>
          <w:tcPr>
            <w:tcW w:w="810" w:type="dxa"/>
            <w:vMerge w:val="continue"/>
            <w:tcBorders>
              <w:top w:val="nil"/>
              <w:bottom w:val="nil"/>
            </w:tcBorders>
            <w:noWrap w:val="0"/>
            <w:vAlign w:val="top"/>
          </w:tcPr>
          <w:p w14:paraId="2971CBD5">
            <w:pPr>
              <w:rPr>
                <w:rFonts w:ascii="Arial"/>
                <w:color w:val="auto"/>
                <w:sz w:val="21"/>
              </w:rPr>
            </w:pPr>
          </w:p>
        </w:tc>
        <w:tc>
          <w:tcPr>
            <w:tcW w:w="675" w:type="dxa"/>
            <w:vMerge w:val="continue"/>
            <w:tcBorders>
              <w:top w:val="nil"/>
              <w:bottom w:val="nil"/>
            </w:tcBorders>
            <w:noWrap w:val="0"/>
            <w:vAlign w:val="top"/>
          </w:tcPr>
          <w:p w14:paraId="7CC3C3FA">
            <w:pPr>
              <w:rPr>
                <w:rFonts w:ascii="Arial"/>
                <w:color w:val="auto"/>
                <w:sz w:val="21"/>
              </w:rPr>
            </w:pPr>
          </w:p>
        </w:tc>
        <w:tc>
          <w:tcPr>
            <w:tcW w:w="1081" w:type="dxa"/>
            <w:vMerge w:val="continue"/>
            <w:tcBorders>
              <w:top w:val="nil"/>
              <w:bottom w:val="nil"/>
            </w:tcBorders>
            <w:noWrap w:val="0"/>
            <w:vAlign w:val="top"/>
          </w:tcPr>
          <w:p w14:paraId="3B600A34">
            <w:pPr>
              <w:rPr>
                <w:rFonts w:ascii="Arial"/>
                <w:color w:val="auto"/>
                <w:sz w:val="21"/>
              </w:rPr>
            </w:pPr>
          </w:p>
        </w:tc>
        <w:tc>
          <w:tcPr>
            <w:tcW w:w="2972" w:type="dxa"/>
            <w:noWrap w:val="0"/>
            <w:vAlign w:val="top"/>
          </w:tcPr>
          <w:p w14:paraId="526FA4CC">
            <w:pPr>
              <w:pStyle w:val="223"/>
              <w:spacing w:before="108" w:line="228" w:lineRule="auto"/>
              <w:ind w:left="236"/>
              <w:rPr>
                <w:color w:val="auto"/>
              </w:rPr>
            </w:pPr>
            <w:r>
              <w:rPr>
                <w:color w:val="auto"/>
                <w:spacing w:val="8"/>
              </w:rPr>
              <w:t>前后辅助控制器</w:t>
            </w:r>
          </w:p>
        </w:tc>
        <w:tc>
          <w:tcPr>
            <w:tcW w:w="2040" w:type="dxa"/>
            <w:noWrap w:val="0"/>
            <w:vAlign w:val="top"/>
          </w:tcPr>
          <w:p w14:paraId="16B2001E">
            <w:pPr>
              <w:pStyle w:val="223"/>
              <w:spacing w:before="109" w:line="228" w:lineRule="auto"/>
              <w:ind w:left="842"/>
              <w:rPr>
                <w:color w:val="auto"/>
              </w:rPr>
            </w:pPr>
            <w:r>
              <w:rPr>
                <w:rFonts w:hint="eastAsia"/>
                <w:color w:val="auto"/>
                <w:spacing w:val="-3"/>
                <w:lang w:val="en-US" w:eastAsia="zh-CN"/>
              </w:rPr>
              <w:t>10</w:t>
            </w:r>
            <w:r>
              <w:rPr>
                <w:color w:val="auto"/>
                <w:spacing w:val="-3"/>
              </w:rPr>
              <w:t>年</w:t>
            </w:r>
          </w:p>
        </w:tc>
      </w:tr>
      <w:tr w14:paraId="36525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48" w:type="dxa"/>
            <w:vMerge w:val="continue"/>
            <w:tcBorders>
              <w:top w:val="nil"/>
              <w:bottom w:val="nil"/>
            </w:tcBorders>
            <w:noWrap w:val="0"/>
            <w:vAlign w:val="top"/>
          </w:tcPr>
          <w:p w14:paraId="1CD3CA75">
            <w:pPr>
              <w:rPr>
                <w:rFonts w:ascii="Arial"/>
                <w:color w:val="auto"/>
                <w:sz w:val="21"/>
              </w:rPr>
            </w:pPr>
          </w:p>
        </w:tc>
        <w:tc>
          <w:tcPr>
            <w:tcW w:w="810" w:type="dxa"/>
            <w:vMerge w:val="continue"/>
            <w:tcBorders>
              <w:top w:val="nil"/>
              <w:bottom w:val="nil"/>
            </w:tcBorders>
            <w:noWrap w:val="0"/>
            <w:vAlign w:val="top"/>
          </w:tcPr>
          <w:p w14:paraId="7D133FAA">
            <w:pPr>
              <w:rPr>
                <w:rFonts w:ascii="Arial"/>
                <w:color w:val="auto"/>
                <w:sz w:val="21"/>
              </w:rPr>
            </w:pPr>
          </w:p>
        </w:tc>
        <w:tc>
          <w:tcPr>
            <w:tcW w:w="675" w:type="dxa"/>
            <w:vMerge w:val="continue"/>
            <w:tcBorders>
              <w:top w:val="nil"/>
              <w:bottom w:val="nil"/>
            </w:tcBorders>
            <w:noWrap w:val="0"/>
            <w:vAlign w:val="top"/>
          </w:tcPr>
          <w:p w14:paraId="02B977E6">
            <w:pPr>
              <w:rPr>
                <w:rFonts w:ascii="Arial"/>
                <w:color w:val="auto"/>
                <w:sz w:val="21"/>
              </w:rPr>
            </w:pPr>
          </w:p>
        </w:tc>
        <w:tc>
          <w:tcPr>
            <w:tcW w:w="1081" w:type="dxa"/>
            <w:vMerge w:val="continue"/>
            <w:tcBorders>
              <w:top w:val="nil"/>
              <w:bottom w:val="nil"/>
            </w:tcBorders>
            <w:noWrap w:val="0"/>
            <w:vAlign w:val="top"/>
          </w:tcPr>
          <w:p w14:paraId="4349AC2F">
            <w:pPr>
              <w:rPr>
                <w:rFonts w:ascii="Arial"/>
                <w:color w:val="auto"/>
                <w:sz w:val="21"/>
              </w:rPr>
            </w:pPr>
          </w:p>
        </w:tc>
        <w:tc>
          <w:tcPr>
            <w:tcW w:w="2972" w:type="dxa"/>
            <w:noWrap w:val="0"/>
            <w:vAlign w:val="top"/>
          </w:tcPr>
          <w:p w14:paraId="63265775">
            <w:pPr>
              <w:pStyle w:val="223"/>
              <w:spacing w:before="105" w:line="228" w:lineRule="auto"/>
              <w:ind w:left="975"/>
              <w:rPr>
                <w:color w:val="auto"/>
              </w:rPr>
            </w:pPr>
            <w:r>
              <w:rPr>
                <w:color w:val="auto"/>
                <w:spacing w:val="6"/>
              </w:rPr>
              <w:t>负极保险盒</w:t>
            </w:r>
          </w:p>
        </w:tc>
        <w:tc>
          <w:tcPr>
            <w:tcW w:w="2040" w:type="dxa"/>
            <w:noWrap w:val="0"/>
            <w:vAlign w:val="top"/>
          </w:tcPr>
          <w:p w14:paraId="709FEE0B">
            <w:pPr>
              <w:pStyle w:val="223"/>
              <w:spacing w:before="105" w:line="228" w:lineRule="auto"/>
              <w:ind w:left="842"/>
              <w:rPr>
                <w:color w:val="auto"/>
              </w:rPr>
            </w:pPr>
            <w:r>
              <w:rPr>
                <w:rFonts w:hint="eastAsia"/>
                <w:color w:val="auto"/>
                <w:spacing w:val="-3"/>
                <w:lang w:val="en-US" w:eastAsia="zh-CN"/>
              </w:rPr>
              <w:t>10</w:t>
            </w:r>
            <w:r>
              <w:rPr>
                <w:color w:val="auto"/>
                <w:spacing w:val="-3"/>
              </w:rPr>
              <w:t>年</w:t>
            </w:r>
          </w:p>
        </w:tc>
      </w:tr>
      <w:tr w14:paraId="1BC7F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48" w:type="dxa"/>
            <w:vMerge w:val="continue"/>
            <w:tcBorders>
              <w:top w:val="nil"/>
              <w:bottom w:val="nil"/>
            </w:tcBorders>
            <w:noWrap w:val="0"/>
            <w:vAlign w:val="top"/>
          </w:tcPr>
          <w:p w14:paraId="0B648E9A">
            <w:pPr>
              <w:rPr>
                <w:rFonts w:ascii="Arial"/>
                <w:color w:val="auto"/>
                <w:sz w:val="21"/>
              </w:rPr>
            </w:pPr>
          </w:p>
        </w:tc>
        <w:tc>
          <w:tcPr>
            <w:tcW w:w="810" w:type="dxa"/>
            <w:vMerge w:val="continue"/>
            <w:tcBorders>
              <w:top w:val="nil"/>
              <w:bottom w:val="nil"/>
            </w:tcBorders>
            <w:noWrap w:val="0"/>
            <w:vAlign w:val="top"/>
          </w:tcPr>
          <w:p w14:paraId="3C988811">
            <w:pPr>
              <w:rPr>
                <w:rFonts w:ascii="Arial"/>
                <w:color w:val="auto"/>
                <w:sz w:val="21"/>
              </w:rPr>
            </w:pPr>
          </w:p>
        </w:tc>
        <w:tc>
          <w:tcPr>
            <w:tcW w:w="675" w:type="dxa"/>
            <w:vMerge w:val="continue"/>
            <w:tcBorders>
              <w:top w:val="nil"/>
              <w:bottom w:val="nil"/>
            </w:tcBorders>
            <w:noWrap w:val="0"/>
            <w:vAlign w:val="top"/>
          </w:tcPr>
          <w:p w14:paraId="67A4FCE0">
            <w:pPr>
              <w:rPr>
                <w:rFonts w:ascii="Arial"/>
                <w:color w:val="auto"/>
                <w:sz w:val="21"/>
              </w:rPr>
            </w:pPr>
          </w:p>
        </w:tc>
        <w:tc>
          <w:tcPr>
            <w:tcW w:w="1081" w:type="dxa"/>
            <w:vMerge w:val="continue"/>
            <w:tcBorders>
              <w:top w:val="nil"/>
              <w:bottom w:val="nil"/>
            </w:tcBorders>
            <w:noWrap w:val="0"/>
            <w:vAlign w:val="top"/>
          </w:tcPr>
          <w:p w14:paraId="44193E9D">
            <w:pPr>
              <w:rPr>
                <w:rFonts w:ascii="Arial"/>
                <w:color w:val="auto"/>
                <w:sz w:val="21"/>
              </w:rPr>
            </w:pPr>
          </w:p>
        </w:tc>
        <w:tc>
          <w:tcPr>
            <w:tcW w:w="2972" w:type="dxa"/>
            <w:noWrap w:val="0"/>
            <w:vAlign w:val="top"/>
          </w:tcPr>
          <w:p w14:paraId="6DF9F465">
            <w:pPr>
              <w:pStyle w:val="223"/>
              <w:spacing w:before="107" w:line="228" w:lineRule="auto"/>
              <w:ind w:left="149"/>
              <w:rPr>
                <w:color w:val="auto"/>
              </w:rPr>
            </w:pPr>
            <w:r>
              <w:rPr>
                <w:color w:val="auto"/>
              </w:rPr>
              <w:t>DC</w:t>
            </w:r>
            <w:r>
              <w:rPr>
                <w:color w:val="auto"/>
                <w:spacing w:val="9"/>
              </w:rPr>
              <w:t>-</w:t>
            </w:r>
            <w:r>
              <w:rPr>
                <w:color w:val="auto"/>
              </w:rPr>
              <w:t>DC</w:t>
            </w:r>
            <w:r>
              <w:rPr>
                <w:color w:val="auto"/>
                <w:spacing w:val="-40"/>
              </w:rPr>
              <w:t xml:space="preserve"> </w:t>
            </w:r>
            <w:r>
              <w:rPr>
                <w:color w:val="auto"/>
                <w:spacing w:val="9"/>
              </w:rPr>
              <w:t>变换器总成</w:t>
            </w:r>
          </w:p>
        </w:tc>
        <w:tc>
          <w:tcPr>
            <w:tcW w:w="2040" w:type="dxa"/>
            <w:noWrap w:val="0"/>
            <w:vAlign w:val="top"/>
          </w:tcPr>
          <w:p w14:paraId="592CC137">
            <w:pPr>
              <w:pStyle w:val="223"/>
              <w:spacing w:before="108" w:line="228" w:lineRule="auto"/>
              <w:ind w:left="842"/>
              <w:rPr>
                <w:color w:val="auto"/>
              </w:rPr>
            </w:pPr>
            <w:r>
              <w:rPr>
                <w:rFonts w:hint="eastAsia"/>
                <w:color w:val="auto"/>
                <w:spacing w:val="-3"/>
                <w:lang w:val="en-US" w:eastAsia="zh-CN"/>
              </w:rPr>
              <w:t>10</w:t>
            </w:r>
            <w:r>
              <w:rPr>
                <w:color w:val="auto"/>
                <w:spacing w:val="-3"/>
              </w:rPr>
              <w:t>年</w:t>
            </w:r>
          </w:p>
        </w:tc>
      </w:tr>
      <w:tr w14:paraId="78226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948" w:type="dxa"/>
            <w:vMerge w:val="continue"/>
            <w:tcBorders>
              <w:top w:val="nil"/>
              <w:bottom w:val="nil"/>
            </w:tcBorders>
            <w:noWrap w:val="0"/>
            <w:vAlign w:val="top"/>
          </w:tcPr>
          <w:p w14:paraId="56A24B35">
            <w:pPr>
              <w:rPr>
                <w:rFonts w:ascii="Arial"/>
                <w:color w:val="auto"/>
                <w:sz w:val="21"/>
              </w:rPr>
            </w:pPr>
          </w:p>
        </w:tc>
        <w:tc>
          <w:tcPr>
            <w:tcW w:w="810" w:type="dxa"/>
            <w:vMerge w:val="continue"/>
            <w:tcBorders>
              <w:top w:val="nil"/>
              <w:bottom w:val="nil"/>
            </w:tcBorders>
            <w:noWrap w:val="0"/>
            <w:vAlign w:val="top"/>
          </w:tcPr>
          <w:p w14:paraId="512D7F48">
            <w:pPr>
              <w:rPr>
                <w:rFonts w:ascii="Arial"/>
                <w:color w:val="auto"/>
                <w:sz w:val="21"/>
              </w:rPr>
            </w:pPr>
          </w:p>
        </w:tc>
        <w:tc>
          <w:tcPr>
            <w:tcW w:w="675" w:type="dxa"/>
            <w:vMerge w:val="continue"/>
            <w:tcBorders>
              <w:top w:val="nil"/>
              <w:bottom w:val="nil"/>
            </w:tcBorders>
            <w:noWrap w:val="0"/>
            <w:vAlign w:val="top"/>
          </w:tcPr>
          <w:p w14:paraId="49C2FDAC">
            <w:pPr>
              <w:rPr>
                <w:rFonts w:ascii="Arial"/>
                <w:color w:val="auto"/>
                <w:sz w:val="21"/>
              </w:rPr>
            </w:pPr>
          </w:p>
        </w:tc>
        <w:tc>
          <w:tcPr>
            <w:tcW w:w="1081" w:type="dxa"/>
            <w:vMerge w:val="continue"/>
            <w:tcBorders>
              <w:top w:val="nil"/>
              <w:bottom w:val="nil"/>
            </w:tcBorders>
            <w:noWrap w:val="0"/>
            <w:vAlign w:val="top"/>
          </w:tcPr>
          <w:p w14:paraId="3B2DA1D5">
            <w:pPr>
              <w:rPr>
                <w:rFonts w:ascii="Arial"/>
                <w:color w:val="auto"/>
                <w:sz w:val="21"/>
              </w:rPr>
            </w:pPr>
          </w:p>
        </w:tc>
        <w:tc>
          <w:tcPr>
            <w:tcW w:w="2972" w:type="dxa"/>
            <w:noWrap w:val="0"/>
            <w:vAlign w:val="top"/>
          </w:tcPr>
          <w:p w14:paraId="7F45EDD1">
            <w:pPr>
              <w:pStyle w:val="223"/>
              <w:spacing w:before="108" w:line="228" w:lineRule="auto"/>
              <w:ind w:left="466"/>
              <w:rPr>
                <w:color w:val="auto"/>
              </w:rPr>
            </w:pPr>
            <w:r>
              <w:rPr>
                <w:color w:val="auto"/>
                <w:spacing w:val="5"/>
              </w:rPr>
              <w:t>电池管理器</w:t>
            </w:r>
          </w:p>
        </w:tc>
        <w:tc>
          <w:tcPr>
            <w:tcW w:w="2040" w:type="dxa"/>
            <w:noWrap w:val="0"/>
            <w:vAlign w:val="top"/>
          </w:tcPr>
          <w:p w14:paraId="484FE153">
            <w:pPr>
              <w:pStyle w:val="223"/>
              <w:spacing w:before="109" w:line="228" w:lineRule="auto"/>
              <w:ind w:left="842"/>
              <w:rPr>
                <w:color w:val="auto"/>
              </w:rPr>
            </w:pPr>
            <w:r>
              <w:rPr>
                <w:rFonts w:hint="eastAsia"/>
                <w:color w:val="auto"/>
                <w:spacing w:val="-3"/>
                <w:lang w:val="en-US" w:eastAsia="zh-CN"/>
              </w:rPr>
              <w:t>10</w:t>
            </w:r>
            <w:r>
              <w:rPr>
                <w:color w:val="auto"/>
                <w:spacing w:val="-3"/>
              </w:rPr>
              <w:t>年</w:t>
            </w:r>
          </w:p>
        </w:tc>
      </w:tr>
      <w:tr w14:paraId="54612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48" w:type="dxa"/>
            <w:vMerge w:val="continue"/>
            <w:tcBorders>
              <w:top w:val="nil"/>
              <w:bottom w:val="nil"/>
            </w:tcBorders>
            <w:noWrap w:val="0"/>
            <w:vAlign w:val="top"/>
          </w:tcPr>
          <w:p w14:paraId="705B254D">
            <w:pPr>
              <w:rPr>
                <w:rFonts w:ascii="Arial"/>
                <w:color w:val="auto"/>
                <w:sz w:val="21"/>
              </w:rPr>
            </w:pPr>
          </w:p>
        </w:tc>
        <w:tc>
          <w:tcPr>
            <w:tcW w:w="810" w:type="dxa"/>
            <w:vMerge w:val="continue"/>
            <w:tcBorders>
              <w:top w:val="nil"/>
              <w:bottom w:val="nil"/>
            </w:tcBorders>
            <w:noWrap w:val="0"/>
            <w:vAlign w:val="top"/>
          </w:tcPr>
          <w:p w14:paraId="424EFB00">
            <w:pPr>
              <w:rPr>
                <w:rFonts w:ascii="Arial"/>
                <w:color w:val="auto"/>
                <w:sz w:val="21"/>
              </w:rPr>
            </w:pPr>
          </w:p>
        </w:tc>
        <w:tc>
          <w:tcPr>
            <w:tcW w:w="675" w:type="dxa"/>
            <w:vMerge w:val="continue"/>
            <w:tcBorders>
              <w:top w:val="nil"/>
              <w:bottom w:val="nil"/>
            </w:tcBorders>
            <w:noWrap w:val="0"/>
            <w:vAlign w:val="top"/>
          </w:tcPr>
          <w:p w14:paraId="24B07A16">
            <w:pPr>
              <w:rPr>
                <w:rFonts w:ascii="Arial"/>
                <w:color w:val="auto"/>
                <w:sz w:val="21"/>
              </w:rPr>
            </w:pPr>
          </w:p>
        </w:tc>
        <w:tc>
          <w:tcPr>
            <w:tcW w:w="1081" w:type="dxa"/>
            <w:vMerge w:val="continue"/>
            <w:tcBorders>
              <w:top w:val="nil"/>
              <w:bottom w:val="nil"/>
            </w:tcBorders>
            <w:noWrap w:val="0"/>
            <w:vAlign w:val="top"/>
          </w:tcPr>
          <w:p w14:paraId="558B82FC">
            <w:pPr>
              <w:rPr>
                <w:rFonts w:ascii="Arial"/>
                <w:color w:val="auto"/>
                <w:sz w:val="21"/>
              </w:rPr>
            </w:pPr>
          </w:p>
        </w:tc>
        <w:tc>
          <w:tcPr>
            <w:tcW w:w="2972" w:type="dxa"/>
            <w:noWrap w:val="0"/>
            <w:vAlign w:val="top"/>
          </w:tcPr>
          <w:p w14:paraId="5E8E9B4E">
            <w:pPr>
              <w:pStyle w:val="223"/>
              <w:spacing w:before="100" w:line="228" w:lineRule="auto"/>
              <w:ind w:left="442"/>
              <w:rPr>
                <w:color w:val="auto"/>
              </w:rPr>
            </w:pPr>
            <w:r>
              <w:rPr>
                <w:color w:val="auto"/>
                <w:spacing w:val="7"/>
              </w:rPr>
              <w:t>整车控制器</w:t>
            </w:r>
          </w:p>
        </w:tc>
        <w:tc>
          <w:tcPr>
            <w:tcW w:w="2040" w:type="dxa"/>
            <w:noWrap w:val="0"/>
            <w:vAlign w:val="top"/>
          </w:tcPr>
          <w:p w14:paraId="44E630E4">
            <w:pPr>
              <w:pStyle w:val="223"/>
              <w:spacing w:before="100" w:line="228" w:lineRule="auto"/>
              <w:ind w:left="842"/>
              <w:rPr>
                <w:color w:val="auto"/>
              </w:rPr>
            </w:pPr>
            <w:r>
              <w:rPr>
                <w:rFonts w:hint="eastAsia"/>
                <w:color w:val="auto"/>
                <w:spacing w:val="-3"/>
                <w:lang w:val="en-US" w:eastAsia="zh-CN"/>
              </w:rPr>
              <w:t>10</w:t>
            </w:r>
            <w:r>
              <w:rPr>
                <w:color w:val="auto"/>
                <w:spacing w:val="-3"/>
              </w:rPr>
              <w:t>年</w:t>
            </w:r>
          </w:p>
        </w:tc>
      </w:tr>
      <w:tr w14:paraId="188CB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48" w:type="dxa"/>
            <w:vMerge w:val="continue"/>
            <w:tcBorders>
              <w:top w:val="nil"/>
              <w:bottom w:val="nil"/>
            </w:tcBorders>
            <w:noWrap w:val="0"/>
            <w:vAlign w:val="top"/>
          </w:tcPr>
          <w:p w14:paraId="0B018B35">
            <w:pPr>
              <w:rPr>
                <w:rFonts w:ascii="Arial"/>
                <w:color w:val="auto"/>
                <w:sz w:val="21"/>
              </w:rPr>
            </w:pPr>
          </w:p>
        </w:tc>
        <w:tc>
          <w:tcPr>
            <w:tcW w:w="810" w:type="dxa"/>
            <w:vMerge w:val="continue"/>
            <w:tcBorders>
              <w:top w:val="nil"/>
              <w:bottom w:val="nil"/>
            </w:tcBorders>
            <w:noWrap w:val="0"/>
            <w:vAlign w:val="top"/>
          </w:tcPr>
          <w:p w14:paraId="51D3CAFD">
            <w:pPr>
              <w:rPr>
                <w:rFonts w:ascii="Arial"/>
                <w:color w:val="auto"/>
                <w:sz w:val="21"/>
              </w:rPr>
            </w:pPr>
          </w:p>
        </w:tc>
        <w:tc>
          <w:tcPr>
            <w:tcW w:w="675" w:type="dxa"/>
            <w:vMerge w:val="continue"/>
            <w:tcBorders>
              <w:top w:val="nil"/>
              <w:bottom w:val="nil"/>
            </w:tcBorders>
            <w:noWrap w:val="0"/>
            <w:vAlign w:val="top"/>
          </w:tcPr>
          <w:p w14:paraId="57423F24">
            <w:pPr>
              <w:rPr>
                <w:rFonts w:ascii="Arial"/>
                <w:color w:val="auto"/>
                <w:sz w:val="21"/>
              </w:rPr>
            </w:pPr>
          </w:p>
        </w:tc>
        <w:tc>
          <w:tcPr>
            <w:tcW w:w="1081" w:type="dxa"/>
            <w:vMerge w:val="continue"/>
            <w:tcBorders>
              <w:top w:val="nil"/>
              <w:bottom w:val="nil"/>
            </w:tcBorders>
            <w:noWrap w:val="0"/>
            <w:vAlign w:val="top"/>
          </w:tcPr>
          <w:p w14:paraId="070E3B9B">
            <w:pPr>
              <w:rPr>
                <w:rFonts w:ascii="Arial"/>
                <w:color w:val="auto"/>
                <w:sz w:val="21"/>
              </w:rPr>
            </w:pPr>
          </w:p>
        </w:tc>
        <w:tc>
          <w:tcPr>
            <w:tcW w:w="2972" w:type="dxa"/>
            <w:noWrap w:val="0"/>
            <w:vAlign w:val="top"/>
          </w:tcPr>
          <w:p w14:paraId="2B34EA48">
            <w:pPr>
              <w:pStyle w:val="223"/>
              <w:spacing w:before="110" w:line="228" w:lineRule="auto"/>
              <w:ind w:left="447"/>
              <w:rPr>
                <w:color w:val="auto"/>
              </w:rPr>
            </w:pPr>
            <w:r>
              <w:rPr>
                <w:color w:val="auto"/>
                <w:spacing w:val="7"/>
              </w:rPr>
              <w:t>高压配电箱</w:t>
            </w:r>
          </w:p>
        </w:tc>
        <w:tc>
          <w:tcPr>
            <w:tcW w:w="2040" w:type="dxa"/>
            <w:noWrap w:val="0"/>
            <w:vAlign w:val="top"/>
          </w:tcPr>
          <w:p w14:paraId="1BABB070">
            <w:pPr>
              <w:pStyle w:val="223"/>
              <w:spacing w:before="110" w:line="228" w:lineRule="auto"/>
              <w:ind w:left="842"/>
              <w:rPr>
                <w:color w:val="auto"/>
              </w:rPr>
            </w:pPr>
            <w:r>
              <w:rPr>
                <w:rFonts w:hint="eastAsia"/>
                <w:color w:val="auto"/>
                <w:spacing w:val="-3"/>
                <w:lang w:val="en-US" w:eastAsia="zh-CN"/>
              </w:rPr>
              <w:t>10</w:t>
            </w:r>
            <w:r>
              <w:rPr>
                <w:color w:val="auto"/>
                <w:spacing w:val="-3"/>
              </w:rPr>
              <w:t>年</w:t>
            </w:r>
          </w:p>
        </w:tc>
      </w:tr>
      <w:tr w14:paraId="5F0E7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948" w:type="dxa"/>
            <w:vMerge w:val="continue"/>
            <w:tcBorders>
              <w:top w:val="nil"/>
              <w:bottom w:val="nil"/>
            </w:tcBorders>
            <w:noWrap w:val="0"/>
            <w:vAlign w:val="top"/>
          </w:tcPr>
          <w:p w14:paraId="3042F15A">
            <w:pPr>
              <w:rPr>
                <w:rFonts w:ascii="Arial"/>
                <w:color w:val="auto"/>
                <w:sz w:val="21"/>
              </w:rPr>
            </w:pPr>
          </w:p>
        </w:tc>
        <w:tc>
          <w:tcPr>
            <w:tcW w:w="810" w:type="dxa"/>
            <w:vMerge w:val="continue"/>
            <w:tcBorders>
              <w:top w:val="nil"/>
              <w:bottom w:val="nil"/>
            </w:tcBorders>
            <w:noWrap w:val="0"/>
            <w:vAlign w:val="top"/>
          </w:tcPr>
          <w:p w14:paraId="14C3985C">
            <w:pPr>
              <w:rPr>
                <w:rFonts w:ascii="Arial"/>
                <w:color w:val="auto"/>
                <w:sz w:val="21"/>
              </w:rPr>
            </w:pPr>
          </w:p>
        </w:tc>
        <w:tc>
          <w:tcPr>
            <w:tcW w:w="675" w:type="dxa"/>
            <w:vMerge w:val="continue"/>
            <w:tcBorders>
              <w:top w:val="nil"/>
              <w:bottom w:val="nil"/>
            </w:tcBorders>
            <w:noWrap w:val="0"/>
            <w:vAlign w:val="top"/>
          </w:tcPr>
          <w:p w14:paraId="5E3AD863">
            <w:pPr>
              <w:rPr>
                <w:rFonts w:ascii="Arial"/>
                <w:color w:val="auto"/>
                <w:sz w:val="21"/>
              </w:rPr>
            </w:pPr>
          </w:p>
        </w:tc>
        <w:tc>
          <w:tcPr>
            <w:tcW w:w="1081" w:type="dxa"/>
            <w:vMerge w:val="continue"/>
            <w:tcBorders>
              <w:top w:val="nil"/>
              <w:bottom w:val="nil"/>
            </w:tcBorders>
            <w:noWrap w:val="0"/>
            <w:vAlign w:val="top"/>
          </w:tcPr>
          <w:p w14:paraId="75D77935">
            <w:pPr>
              <w:rPr>
                <w:rFonts w:ascii="Arial"/>
                <w:color w:val="auto"/>
                <w:sz w:val="21"/>
              </w:rPr>
            </w:pPr>
          </w:p>
        </w:tc>
        <w:tc>
          <w:tcPr>
            <w:tcW w:w="2972" w:type="dxa"/>
            <w:noWrap w:val="0"/>
            <w:vAlign w:val="top"/>
          </w:tcPr>
          <w:p w14:paraId="62D83536">
            <w:pPr>
              <w:pStyle w:val="223"/>
              <w:spacing w:before="104" w:line="228" w:lineRule="auto"/>
              <w:ind w:left="233"/>
              <w:rPr>
                <w:color w:val="auto"/>
              </w:rPr>
            </w:pPr>
            <w:r>
              <w:rPr>
                <w:color w:val="auto"/>
                <w:spacing w:val="8"/>
              </w:rPr>
              <w:t>转向电机控制器</w:t>
            </w:r>
          </w:p>
        </w:tc>
        <w:tc>
          <w:tcPr>
            <w:tcW w:w="2040" w:type="dxa"/>
            <w:noWrap w:val="0"/>
            <w:vAlign w:val="top"/>
          </w:tcPr>
          <w:p w14:paraId="5C1D0023">
            <w:pPr>
              <w:pStyle w:val="223"/>
              <w:spacing w:before="105" w:line="228" w:lineRule="auto"/>
              <w:ind w:left="842"/>
              <w:rPr>
                <w:color w:val="auto"/>
              </w:rPr>
            </w:pPr>
            <w:r>
              <w:rPr>
                <w:rFonts w:hint="eastAsia"/>
                <w:color w:val="auto"/>
                <w:spacing w:val="-3"/>
                <w:lang w:val="en-US" w:eastAsia="zh-CN"/>
              </w:rPr>
              <w:t>10</w:t>
            </w:r>
            <w:r>
              <w:rPr>
                <w:color w:val="auto"/>
                <w:spacing w:val="-3"/>
              </w:rPr>
              <w:t>年</w:t>
            </w:r>
          </w:p>
        </w:tc>
      </w:tr>
      <w:tr w14:paraId="3494D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56254527">
            <w:pPr>
              <w:rPr>
                <w:rFonts w:ascii="Arial"/>
                <w:color w:val="auto"/>
                <w:sz w:val="21"/>
              </w:rPr>
            </w:pPr>
          </w:p>
        </w:tc>
        <w:tc>
          <w:tcPr>
            <w:tcW w:w="810" w:type="dxa"/>
            <w:vMerge w:val="continue"/>
            <w:tcBorders>
              <w:top w:val="nil"/>
              <w:bottom w:val="nil"/>
            </w:tcBorders>
            <w:noWrap w:val="0"/>
            <w:vAlign w:val="top"/>
          </w:tcPr>
          <w:p w14:paraId="7E16C0D3">
            <w:pPr>
              <w:rPr>
                <w:rFonts w:ascii="Arial"/>
                <w:color w:val="auto"/>
                <w:sz w:val="21"/>
              </w:rPr>
            </w:pPr>
          </w:p>
        </w:tc>
        <w:tc>
          <w:tcPr>
            <w:tcW w:w="675" w:type="dxa"/>
            <w:vMerge w:val="continue"/>
            <w:tcBorders>
              <w:top w:val="nil"/>
              <w:bottom w:val="nil"/>
            </w:tcBorders>
            <w:noWrap w:val="0"/>
            <w:vAlign w:val="top"/>
          </w:tcPr>
          <w:p w14:paraId="6123BAA8">
            <w:pPr>
              <w:rPr>
                <w:rFonts w:ascii="Arial"/>
                <w:color w:val="auto"/>
                <w:sz w:val="21"/>
              </w:rPr>
            </w:pPr>
          </w:p>
        </w:tc>
        <w:tc>
          <w:tcPr>
            <w:tcW w:w="1081" w:type="dxa"/>
            <w:vMerge w:val="continue"/>
            <w:tcBorders>
              <w:top w:val="nil"/>
              <w:bottom w:val="nil"/>
            </w:tcBorders>
            <w:noWrap w:val="0"/>
            <w:vAlign w:val="top"/>
          </w:tcPr>
          <w:p w14:paraId="06A24F2F">
            <w:pPr>
              <w:rPr>
                <w:rFonts w:ascii="Arial"/>
                <w:color w:val="auto"/>
                <w:sz w:val="21"/>
              </w:rPr>
            </w:pPr>
          </w:p>
        </w:tc>
        <w:tc>
          <w:tcPr>
            <w:tcW w:w="2972" w:type="dxa"/>
            <w:noWrap w:val="0"/>
            <w:vAlign w:val="top"/>
          </w:tcPr>
          <w:p w14:paraId="18591024">
            <w:pPr>
              <w:pStyle w:val="223"/>
              <w:spacing w:before="54" w:line="228" w:lineRule="auto"/>
              <w:ind w:left="345"/>
              <w:rPr>
                <w:color w:val="auto"/>
              </w:rPr>
            </w:pPr>
            <w:r>
              <w:rPr>
                <w:color w:val="auto"/>
                <w:spacing w:val="7"/>
              </w:rPr>
              <w:t>空压机控制器</w:t>
            </w:r>
          </w:p>
        </w:tc>
        <w:tc>
          <w:tcPr>
            <w:tcW w:w="2040" w:type="dxa"/>
            <w:noWrap w:val="0"/>
            <w:vAlign w:val="top"/>
          </w:tcPr>
          <w:p w14:paraId="79AD2C3B">
            <w:pPr>
              <w:pStyle w:val="223"/>
              <w:spacing w:before="55" w:line="228" w:lineRule="auto"/>
              <w:ind w:firstLine="366" w:firstLineChars="300"/>
              <w:rPr>
                <w:color w:val="auto"/>
              </w:rPr>
            </w:pPr>
            <w:r>
              <w:rPr>
                <w:rFonts w:hint="eastAsia"/>
                <w:color w:val="auto"/>
                <w:spacing w:val="-39"/>
                <w:lang w:val="en-US" w:eastAsia="zh-CN"/>
              </w:rPr>
              <w:t xml:space="preserve">                          10</w:t>
            </w:r>
            <w:r>
              <w:rPr>
                <w:color w:val="auto"/>
                <w:spacing w:val="-39"/>
              </w:rPr>
              <w:t xml:space="preserve"> </w:t>
            </w:r>
            <w:r>
              <w:rPr>
                <w:color w:val="auto"/>
                <w:spacing w:val="-3"/>
              </w:rPr>
              <w:t>年</w:t>
            </w:r>
          </w:p>
        </w:tc>
      </w:tr>
      <w:tr w14:paraId="528DB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48" w:type="dxa"/>
            <w:vMerge w:val="continue"/>
            <w:tcBorders>
              <w:top w:val="nil"/>
              <w:bottom w:val="nil"/>
            </w:tcBorders>
            <w:noWrap w:val="0"/>
            <w:vAlign w:val="top"/>
          </w:tcPr>
          <w:p w14:paraId="49ACABAC">
            <w:pPr>
              <w:rPr>
                <w:rFonts w:ascii="Arial"/>
                <w:color w:val="auto"/>
                <w:sz w:val="21"/>
              </w:rPr>
            </w:pPr>
          </w:p>
        </w:tc>
        <w:tc>
          <w:tcPr>
            <w:tcW w:w="810" w:type="dxa"/>
            <w:vMerge w:val="continue"/>
            <w:tcBorders>
              <w:top w:val="nil"/>
              <w:bottom w:val="nil"/>
            </w:tcBorders>
            <w:noWrap w:val="0"/>
            <w:vAlign w:val="top"/>
          </w:tcPr>
          <w:p w14:paraId="3886DD09">
            <w:pPr>
              <w:rPr>
                <w:rFonts w:ascii="Arial"/>
                <w:color w:val="auto"/>
                <w:sz w:val="21"/>
              </w:rPr>
            </w:pPr>
          </w:p>
        </w:tc>
        <w:tc>
          <w:tcPr>
            <w:tcW w:w="675" w:type="dxa"/>
            <w:vMerge w:val="continue"/>
            <w:tcBorders>
              <w:top w:val="nil"/>
              <w:bottom w:val="nil"/>
            </w:tcBorders>
            <w:noWrap w:val="0"/>
            <w:vAlign w:val="top"/>
          </w:tcPr>
          <w:p w14:paraId="1B5028F5">
            <w:pPr>
              <w:rPr>
                <w:rFonts w:ascii="Arial"/>
                <w:color w:val="auto"/>
                <w:sz w:val="21"/>
              </w:rPr>
            </w:pPr>
          </w:p>
        </w:tc>
        <w:tc>
          <w:tcPr>
            <w:tcW w:w="1081" w:type="dxa"/>
            <w:vMerge w:val="continue"/>
            <w:tcBorders>
              <w:top w:val="nil"/>
              <w:bottom w:val="nil"/>
            </w:tcBorders>
            <w:noWrap w:val="0"/>
            <w:vAlign w:val="top"/>
          </w:tcPr>
          <w:p w14:paraId="03F7A5DA">
            <w:pPr>
              <w:rPr>
                <w:rFonts w:ascii="Arial"/>
                <w:color w:val="auto"/>
                <w:sz w:val="21"/>
              </w:rPr>
            </w:pPr>
          </w:p>
        </w:tc>
        <w:tc>
          <w:tcPr>
            <w:tcW w:w="2972" w:type="dxa"/>
            <w:noWrap w:val="0"/>
            <w:vAlign w:val="top"/>
          </w:tcPr>
          <w:p w14:paraId="5E2F8598">
            <w:pPr>
              <w:pStyle w:val="223"/>
              <w:spacing w:before="104" w:line="228" w:lineRule="auto"/>
              <w:ind w:left="363"/>
              <w:rPr>
                <w:color w:val="auto"/>
              </w:rPr>
            </w:pPr>
            <w:r>
              <w:rPr>
                <w:color w:val="auto"/>
                <w:spacing w:val="5"/>
              </w:rPr>
              <w:t>电动转向电机</w:t>
            </w:r>
          </w:p>
        </w:tc>
        <w:tc>
          <w:tcPr>
            <w:tcW w:w="2040" w:type="dxa"/>
            <w:noWrap w:val="0"/>
            <w:vAlign w:val="top"/>
          </w:tcPr>
          <w:p w14:paraId="4BDF902F">
            <w:pPr>
              <w:pStyle w:val="223"/>
              <w:spacing w:before="105" w:line="228" w:lineRule="auto"/>
              <w:ind w:left="842"/>
              <w:rPr>
                <w:color w:val="auto"/>
              </w:rPr>
            </w:pPr>
            <w:r>
              <w:rPr>
                <w:rFonts w:hint="eastAsia"/>
                <w:color w:val="auto"/>
                <w:spacing w:val="-39"/>
                <w:lang w:val="en-US" w:eastAsia="zh-CN"/>
              </w:rPr>
              <w:t>10</w:t>
            </w:r>
            <w:r>
              <w:rPr>
                <w:color w:val="auto"/>
                <w:spacing w:val="-39"/>
              </w:rPr>
              <w:t xml:space="preserve"> </w:t>
            </w:r>
            <w:r>
              <w:rPr>
                <w:color w:val="auto"/>
                <w:spacing w:val="-3"/>
              </w:rPr>
              <w:t>年</w:t>
            </w:r>
          </w:p>
        </w:tc>
      </w:tr>
      <w:tr w14:paraId="4E532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48" w:type="dxa"/>
            <w:vMerge w:val="continue"/>
            <w:tcBorders>
              <w:top w:val="nil"/>
              <w:bottom w:val="nil"/>
            </w:tcBorders>
            <w:noWrap w:val="0"/>
            <w:vAlign w:val="top"/>
          </w:tcPr>
          <w:p w14:paraId="38151094">
            <w:pPr>
              <w:rPr>
                <w:rFonts w:ascii="Arial"/>
                <w:color w:val="auto"/>
                <w:sz w:val="21"/>
              </w:rPr>
            </w:pPr>
          </w:p>
        </w:tc>
        <w:tc>
          <w:tcPr>
            <w:tcW w:w="810" w:type="dxa"/>
            <w:vMerge w:val="continue"/>
            <w:tcBorders>
              <w:top w:val="nil"/>
              <w:bottom w:val="nil"/>
            </w:tcBorders>
            <w:noWrap w:val="0"/>
            <w:vAlign w:val="top"/>
          </w:tcPr>
          <w:p w14:paraId="5021678D">
            <w:pPr>
              <w:rPr>
                <w:rFonts w:ascii="Arial"/>
                <w:color w:val="auto"/>
                <w:sz w:val="21"/>
              </w:rPr>
            </w:pPr>
          </w:p>
        </w:tc>
        <w:tc>
          <w:tcPr>
            <w:tcW w:w="675" w:type="dxa"/>
            <w:vMerge w:val="continue"/>
            <w:tcBorders>
              <w:top w:val="nil"/>
              <w:bottom w:val="nil"/>
            </w:tcBorders>
            <w:noWrap w:val="0"/>
            <w:vAlign w:val="top"/>
          </w:tcPr>
          <w:p w14:paraId="39F499F2">
            <w:pPr>
              <w:rPr>
                <w:rFonts w:ascii="Arial"/>
                <w:color w:val="auto"/>
                <w:sz w:val="21"/>
              </w:rPr>
            </w:pPr>
          </w:p>
        </w:tc>
        <w:tc>
          <w:tcPr>
            <w:tcW w:w="1081" w:type="dxa"/>
            <w:vMerge w:val="continue"/>
            <w:tcBorders>
              <w:top w:val="nil"/>
              <w:bottom w:val="nil"/>
            </w:tcBorders>
            <w:noWrap w:val="0"/>
            <w:vAlign w:val="top"/>
          </w:tcPr>
          <w:p w14:paraId="77FA8914">
            <w:pPr>
              <w:rPr>
                <w:rFonts w:ascii="Arial"/>
                <w:color w:val="auto"/>
                <w:sz w:val="21"/>
              </w:rPr>
            </w:pPr>
          </w:p>
        </w:tc>
        <w:tc>
          <w:tcPr>
            <w:tcW w:w="2972" w:type="dxa"/>
            <w:noWrap w:val="0"/>
            <w:vAlign w:val="top"/>
          </w:tcPr>
          <w:p w14:paraId="3EDBCCE6">
            <w:pPr>
              <w:pStyle w:val="223"/>
              <w:spacing w:before="107" w:line="229" w:lineRule="auto"/>
              <w:ind w:left="458"/>
              <w:rPr>
                <w:color w:val="auto"/>
              </w:rPr>
            </w:pPr>
            <w:r>
              <w:rPr>
                <w:color w:val="auto"/>
                <w:spacing w:val="7"/>
              </w:rPr>
              <w:t>网关控制器及支架总成</w:t>
            </w:r>
          </w:p>
        </w:tc>
        <w:tc>
          <w:tcPr>
            <w:tcW w:w="2040" w:type="dxa"/>
            <w:noWrap w:val="0"/>
            <w:vAlign w:val="top"/>
          </w:tcPr>
          <w:p w14:paraId="2400DAE8">
            <w:pPr>
              <w:pStyle w:val="223"/>
              <w:spacing w:before="108" w:line="228" w:lineRule="auto"/>
              <w:ind w:left="842"/>
              <w:rPr>
                <w:color w:val="auto"/>
              </w:rPr>
            </w:pPr>
            <w:r>
              <w:rPr>
                <w:rFonts w:hint="eastAsia"/>
                <w:color w:val="auto"/>
                <w:spacing w:val="-3"/>
                <w:lang w:val="en-US" w:eastAsia="zh-CN"/>
              </w:rPr>
              <w:t>10</w:t>
            </w:r>
            <w:r>
              <w:rPr>
                <w:color w:val="auto"/>
                <w:spacing w:val="-3"/>
              </w:rPr>
              <w:t>年</w:t>
            </w:r>
          </w:p>
        </w:tc>
      </w:tr>
      <w:tr w14:paraId="447F8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948" w:type="dxa"/>
            <w:vMerge w:val="continue"/>
            <w:tcBorders>
              <w:top w:val="nil"/>
              <w:bottom w:val="nil"/>
            </w:tcBorders>
            <w:noWrap w:val="0"/>
            <w:vAlign w:val="top"/>
          </w:tcPr>
          <w:p w14:paraId="501F0F04">
            <w:pPr>
              <w:rPr>
                <w:rFonts w:ascii="Arial"/>
                <w:color w:val="auto"/>
                <w:sz w:val="21"/>
              </w:rPr>
            </w:pPr>
          </w:p>
        </w:tc>
        <w:tc>
          <w:tcPr>
            <w:tcW w:w="810" w:type="dxa"/>
            <w:vMerge w:val="continue"/>
            <w:tcBorders>
              <w:top w:val="nil"/>
            </w:tcBorders>
            <w:noWrap w:val="0"/>
            <w:vAlign w:val="top"/>
          </w:tcPr>
          <w:p w14:paraId="6A0E9301">
            <w:pPr>
              <w:rPr>
                <w:rFonts w:ascii="Arial"/>
                <w:color w:val="auto"/>
                <w:sz w:val="21"/>
              </w:rPr>
            </w:pPr>
          </w:p>
        </w:tc>
        <w:tc>
          <w:tcPr>
            <w:tcW w:w="675" w:type="dxa"/>
            <w:vMerge w:val="continue"/>
            <w:tcBorders>
              <w:top w:val="nil"/>
            </w:tcBorders>
            <w:noWrap w:val="0"/>
            <w:vAlign w:val="top"/>
          </w:tcPr>
          <w:p w14:paraId="2213293E">
            <w:pPr>
              <w:rPr>
                <w:rFonts w:ascii="Arial"/>
                <w:color w:val="auto"/>
                <w:sz w:val="21"/>
              </w:rPr>
            </w:pPr>
          </w:p>
        </w:tc>
        <w:tc>
          <w:tcPr>
            <w:tcW w:w="1081" w:type="dxa"/>
            <w:vMerge w:val="continue"/>
            <w:tcBorders>
              <w:top w:val="nil"/>
            </w:tcBorders>
            <w:noWrap w:val="0"/>
            <w:vAlign w:val="top"/>
          </w:tcPr>
          <w:p w14:paraId="363F5030">
            <w:pPr>
              <w:rPr>
                <w:rFonts w:ascii="Arial"/>
                <w:color w:val="auto"/>
                <w:sz w:val="21"/>
              </w:rPr>
            </w:pPr>
          </w:p>
        </w:tc>
        <w:tc>
          <w:tcPr>
            <w:tcW w:w="2972" w:type="dxa"/>
            <w:noWrap w:val="0"/>
            <w:vAlign w:val="top"/>
          </w:tcPr>
          <w:p w14:paraId="51020BBC">
            <w:pPr>
              <w:pStyle w:val="223"/>
              <w:spacing w:before="111" w:line="228" w:lineRule="auto"/>
              <w:ind w:left="658"/>
              <w:rPr>
                <w:color w:val="auto"/>
              </w:rPr>
            </w:pPr>
            <w:r>
              <w:rPr>
                <w:color w:val="auto"/>
                <w:spacing w:val="7"/>
              </w:rPr>
              <w:t>高压线束及连接器</w:t>
            </w:r>
          </w:p>
        </w:tc>
        <w:tc>
          <w:tcPr>
            <w:tcW w:w="2040" w:type="dxa"/>
            <w:noWrap w:val="0"/>
            <w:vAlign w:val="top"/>
          </w:tcPr>
          <w:p w14:paraId="09EB1C0D">
            <w:pPr>
              <w:pStyle w:val="223"/>
              <w:spacing w:before="111" w:line="228" w:lineRule="auto"/>
              <w:ind w:left="842"/>
              <w:rPr>
                <w:color w:val="auto"/>
              </w:rPr>
            </w:pPr>
            <w:r>
              <w:rPr>
                <w:rFonts w:hint="eastAsia"/>
                <w:color w:val="auto"/>
                <w:spacing w:val="-39"/>
                <w:lang w:val="en-US" w:eastAsia="zh-CN"/>
              </w:rPr>
              <w:t>10</w:t>
            </w:r>
            <w:r>
              <w:rPr>
                <w:color w:val="auto"/>
                <w:spacing w:val="-39"/>
              </w:rPr>
              <w:t xml:space="preserve"> </w:t>
            </w:r>
            <w:r>
              <w:rPr>
                <w:color w:val="auto"/>
                <w:spacing w:val="-3"/>
              </w:rPr>
              <w:t>年</w:t>
            </w:r>
          </w:p>
        </w:tc>
      </w:tr>
      <w:tr w14:paraId="732C6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28365168">
            <w:pPr>
              <w:rPr>
                <w:rFonts w:ascii="Arial"/>
                <w:color w:val="auto"/>
                <w:sz w:val="21"/>
              </w:rPr>
            </w:pPr>
          </w:p>
        </w:tc>
        <w:tc>
          <w:tcPr>
            <w:tcW w:w="810" w:type="dxa"/>
            <w:vMerge w:val="restart"/>
            <w:tcBorders>
              <w:bottom w:val="nil"/>
            </w:tcBorders>
            <w:noWrap w:val="0"/>
            <w:vAlign w:val="top"/>
          </w:tcPr>
          <w:p w14:paraId="42A6541C">
            <w:pPr>
              <w:spacing w:line="384" w:lineRule="auto"/>
              <w:rPr>
                <w:rFonts w:ascii="Arial"/>
                <w:color w:val="auto"/>
                <w:sz w:val="21"/>
              </w:rPr>
            </w:pPr>
          </w:p>
          <w:p w14:paraId="2EB24780">
            <w:pPr>
              <w:pStyle w:val="223"/>
              <w:spacing w:before="65" w:line="189" w:lineRule="auto"/>
              <w:ind w:left="360"/>
              <w:rPr>
                <w:color w:val="auto"/>
              </w:rPr>
            </w:pPr>
            <w:r>
              <w:rPr>
                <w:color w:val="auto"/>
              </w:rPr>
              <w:t>3</w:t>
            </w:r>
          </w:p>
        </w:tc>
        <w:tc>
          <w:tcPr>
            <w:tcW w:w="1756" w:type="dxa"/>
            <w:gridSpan w:val="2"/>
            <w:vMerge w:val="restart"/>
            <w:tcBorders>
              <w:bottom w:val="nil"/>
            </w:tcBorders>
            <w:noWrap w:val="0"/>
            <w:vAlign w:val="top"/>
          </w:tcPr>
          <w:p w14:paraId="4E26D26E">
            <w:pPr>
              <w:spacing w:line="352" w:lineRule="auto"/>
              <w:rPr>
                <w:rFonts w:ascii="Arial"/>
                <w:color w:val="auto"/>
                <w:sz w:val="21"/>
              </w:rPr>
            </w:pPr>
          </w:p>
          <w:p w14:paraId="3FB0611E">
            <w:pPr>
              <w:pStyle w:val="223"/>
              <w:spacing w:before="65" w:line="228" w:lineRule="auto"/>
              <w:ind w:left="463"/>
              <w:rPr>
                <w:color w:val="auto"/>
              </w:rPr>
            </w:pPr>
            <w:r>
              <w:rPr>
                <w:color w:val="auto"/>
                <w:spacing w:val="7"/>
              </w:rPr>
              <w:t>动力总成</w:t>
            </w:r>
          </w:p>
        </w:tc>
        <w:tc>
          <w:tcPr>
            <w:tcW w:w="2972" w:type="dxa"/>
            <w:noWrap w:val="0"/>
            <w:vAlign w:val="top"/>
          </w:tcPr>
          <w:p w14:paraId="0FAC28A5">
            <w:pPr>
              <w:pStyle w:val="223"/>
              <w:spacing w:before="71" w:line="228" w:lineRule="auto"/>
              <w:ind w:left="338"/>
              <w:rPr>
                <w:color w:val="auto"/>
              </w:rPr>
            </w:pPr>
            <w:r>
              <w:rPr>
                <w:color w:val="auto"/>
                <w:spacing w:val="8"/>
              </w:rPr>
              <w:t>减速器总成</w:t>
            </w:r>
          </w:p>
        </w:tc>
        <w:tc>
          <w:tcPr>
            <w:tcW w:w="2040" w:type="dxa"/>
            <w:noWrap w:val="0"/>
            <w:vAlign w:val="top"/>
          </w:tcPr>
          <w:p w14:paraId="17A2432F">
            <w:pPr>
              <w:pStyle w:val="223"/>
              <w:spacing w:before="71" w:line="228" w:lineRule="auto"/>
              <w:ind w:left="264"/>
              <w:rPr>
                <w:color w:val="auto"/>
              </w:rPr>
            </w:pPr>
            <w:r>
              <w:rPr>
                <w:color w:val="auto"/>
                <w:spacing w:val="2"/>
              </w:rPr>
              <w:t>8</w:t>
            </w:r>
            <w:r>
              <w:rPr>
                <w:color w:val="auto"/>
                <w:spacing w:val="-37"/>
              </w:rPr>
              <w:t xml:space="preserve"> </w:t>
            </w:r>
            <w:r>
              <w:rPr>
                <w:color w:val="auto"/>
                <w:spacing w:val="2"/>
              </w:rPr>
              <w:t>年或</w:t>
            </w:r>
            <w:r>
              <w:rPr>
                <w:color w:val="auto"/>
                <w:spacing w:val="-32"/>
              </w:rPr>
              <w:t xml:space="preserve"> </w:t>
            </w:r>
            <w:r>
              <w:rPr>
                <w:color w:val="auto"/>
                <w:spacing w:val="2"/>
              </w:rPr>
              <w:t>50</w:t>
            </w:r>
            <w:r>
              <w:rPr>
                <w:color w:val="auto"/>
                <w:spacing w:val="-36"/>
              </w:rPr>
              <w:t xml:space="preserve"> </w:t>
            </w:r>
            <w:r>
              <w:rPr>
                <w:color w:val="auto"/>
                <w:spacing w:val="2"/>
              </w:rPr>
              <w:t>万公里</w:t>
            </w:r>
          </w:p>
        </w:tc>
      </w:tr>
      <w:tr w14:paraId="66613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58913F9D">
            <w:pPr>
              <w:rPr>
                <w:rFonts w:ascii="Arial"/>
                <w:color w:val="auto"/>
                <w:sz w:val="21"/>
              </w:rPr>
            </w:pPr>
          </w:p>
        </w:tc>
        <w:tc>
          <w:tcPr>
            <w:tcW w:w="810" w:type="dxa"/>
            <w:vMerge w:val="continue"/>
            <w:tcBorders>
              <w:top w:val="nil"/>
              <w:bottom w:val="nil"/>
            </w:tcBorders>
            <w:noWrap w:val="0"/>
            <w:vAlign w:val="top"/>
          </w:tcPr>
          <w:p w14:paraId="59C489B1">
            <w:pPr>
              <w:rPr>
                <w:rFonts w:ascii="Arial"/>
                <w:color w:val="auto"/>
                <w:sz w:val="21"/>
              </w:rPr>
            </w:pPr>
          </w:p>
        </w:tc>
        <w:tc>
          <w:tcPr>
            <w:tcW w:w="1756" w:type="dxa"/>
            <w:gridSpan w:val="2"/>
            <w:vMerge w:val="continue"/>
            <w:tcBorders>
              <w:top w:val="nil"/>
              <w:bottom w:val="nil"/>
            </w:tcBorders>
            <w:noWrap w:val="0"/>
            <w:vAlign w:val="top"/>
          </w:tcPr>
          <w:p w14:paraId="3F5A5866">
            <w:pPr>
              <w:rPr>
                <w:rFonts w:ascii="Arial"/>
                <w:color w:val="auto"/>
                <w:sz w:val="21"/>
              </w:rPr>
            </w:pPr>
          </w:p>
        </w:tc>
        <w:tc>
          <w:tcPr>
            <w:tcW w:w="2972" w:type="dxa"/>
            <w:noWrap w:val="0"/>
            <w:vAlign w:val="top"/>
          </w:tcPr>
          <w:p w14:paraId="3651E575">
            <w:pPr>
              <w:pStyle w:val="223"/>
              <w:spacing w:before="69" w:line="228" w:lineRule="auto"/>
              <w:ind w:left="758"/>
              <w:rPr>
                <w:color w:val="auto"/>
              </w:rPr>
            </w:pPr>
            <w:r>
              <w:rPr>
                <w:color w:val="auto"/>
                <w:spacing w:val="8"/>
              </w:rPr>
              <w:t>减速器壳体组件</w:t>
            </w:r>
          </w:p>
        </w:tc>
        <w:tc>
          <w:tcPr>
            <w:tcW w:w="2040" w:type="dxa"/>
            <w:noWrap w:val="0"/>
            <w:vAlign w:val="top"/>
          </w:tcPr>
          <w:p w14:paraId="1A82118D">
            <w:pPr>
              <w:pStyle w:val="223"/>
              <w:spacing w:before="69" w:line="228" w:lineRule="auto"/>
              <w:ind w:left="264"/>
              <w:rPr>
                <w:color w:val="auto"/>
              </w:rPr>
            </w:pPr>
            <w:r>
              <w:rPr>
                <w:color w:val="auto"/>
                <w:spacing w:val="2"/>
              </w:rPr>
              <w:t>8</w:t>
            </w:r>
            <w:r>
              <w:rPr>
                <w:color w:val="auto"/>
                <w:spacing w:val="-37"/>
              </w:rPr>
              <w:t xml:space="preserve"> </w:t>
            </w:r>
            <w:r>
              <w:rPr>
                <w:color w:val="auto"/>
                <w:spacing w:val="2"/>
              </w:rPr>
              <w:t>年或</w:t>
            </w:r>
            <w:r>
              <w:rPr>
                <w:color w:val="auto"/>
                <w:spacing w:val="-32"/>
              </w:rPr>
              <w:t xml:space="preserve"> </w:t>
            </w:r>
            <w:r>
              <w:rPr>
                <w:color w:val="auto"/>
                <w:spacing w:val="2"/>
              </w:rPr>
              <w:t>50</w:t>
            </w:r>
            <w:r>
              <w:rPr>
                <w:color w:val="auto"/>
                <w:spacing w:val="-36"/>
              </w:rPr>
              <w:t xml:space="preserve"> </w:t>
            </w:r>
            <w:r>
              <w:rPr>
                <w:color w:val="auto"/>
                <w:spacing w:val="2"/>
              </w:rPr>
              <w:t>万公里</w:t>
            </w:r>
          </w:p>
        </w:tc>
      </w:tr>
      <w:tr w14:paraId="24BF3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tcBorders>
            <w:noWrap w:val="0"/>
            <w:vAlign w:val="top"/>
          </w:tcPr>
          <w:p w14:paraId="050614DF">
            <w:pPr>
              <w:rPr>
                <w:rFonts w:ascii="Arial"/>
                <w:color w:val="auto"/>
                <w:sz w:val="21"/>
              </w:rPr>
            </w:pPr>
          </w:p>
        </w:tc>
        <w:tc>
          <w:tcPr>
            <w:tcW w:w="810" w:type="dxa"/>
            <w:vMerge w:val="continue"/>
            <w:tcBorders>
              <w:top w:val="nil"/>
            </w:tcBorders>
            <w:noWrap w:val="0"/>
            <w:vAlign w:val="top"/>
          </w:tcPr>
          <w:p w14:paraId="409FBBC6">
            <w:pPr>
              <w:rPr>
                <w:rFonts w:ascii="Arial"/>
                <w:color w:val="auto"/>
                <w:sz w:val="21"/>
              </w:rPr>
            </w:pPr>
          </w:p>
        </w:tc>
        <w:tc>
          <w:tcPr>
            <w:tcW w:w="1756" w:type="dxa"/>
            <w:gridSpan w:val="2"/>
            <w:vMerge w:val="continue"/>
            <w:tcBorders>
              <w:top w:val="nil"/>
            </w:tcBorders>
            <w:noWrap w:val="0"/>
            <w:vAlign w:val="top"/>
          </w:tcPr>
          <w:p w14:paraId="0E277DAF">
            <w:pPr>
              <w:rPr>
                <w:rFonts w:ascii="Arial"/>
                <w:color w:val="auto"/>
                <w:sz w:val="21"/>
              </w:rPr>
            </w:pPr>
          </w:p>
        </w:tc>
        <w:tc>
          <w:tcPr>
            <w:tcW w:w="2972" w:type="dxa"/>
            <w:noWrap w:val="0"/>
            <w:vAlign w:val="top"/>
          </w:tcPr>
          <w:p w14:paraId="040FECFF">
            <w:pPr>
              <w:pStyle w:val="223"/>
              <w:spacing w:before="69" w:line="228" w:lineRule="auto"/>
              <w:ind w:left="1177"/>
              <w:rPr>
                <w:color w:val="auto"/>
              </w:rPr>
            </w:pPr>
            <w:r>
              <w:rPr>
                <w:color w:val="auto"/>
                <w:spacing w:val="7"/>
              </w:rPr>
              <w:t>传动轴</w:t>
            </w:r>
          </w:p>
        </w:tc>
        <w:tc>
          <w:tcPr>
            <w:tcW w:w="2040" w:type="dxa"/>
            <w:noWrap w:val="0"/>
            <w:vAlign w:val="top"/>
          </w:tcPr>
          <w:p w14:paraId="6FB6F0A1">
            <w:pPr>
              <w:pStyle w:val="223"/>
              <w:spacing w:before="70" w:line="228" w:lineRule="auto"/>
              <w:ind w:left="842"/>
              <w:rPr>
                <w:color w:val="auto"/>
              </w:rPr>
            </w:pPr>
            <w:r>
              <w:rPr>
                <w:color w:val="auto"/>
                <w:spacing w:val="-3"/>
              </w:rPr>
              <w:t>8</w:t>
            </w:r>
            <w:r>
              <w:rPr>
                <w:color w:val="auto"/>
                <w:spacing w:val="-39"/>
              </w:rPr>
              <w:t xml:space="preserve"> </w:t>
            </w:r>
            <w:r>
              <w:rPr>
                <w:color w:val="auto"/>
                <w:spacing w:val="-3"/>
              </w:rPr>
              <w:t>年</w:t>
            </w:r>
          </w:p>
        </w:tc>
      </w:tr>
      <w:tr w14:paraId="7CD95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restart"/>
            <w:tcBorders>
              <w:bottom w:val="nil"/>
            </w:tcBorders>
            <w:noWrap w:val="0"/>
            <w:vAlign w:val="top"/>
          </w:tcPr>
          <w:p w14:paraId="702EA7A5">
            <w:pPr>
              <w:pStyle w:val="223"/>
              <w:spacing w:before="89" w:line="273" w:lineRule="auto"/>
              <w:ind w:left="162" w:right="158"/>
              <w:rPr>
                <w:color w:val="auto"/>
              </w:rPr>
            </w:pPr>
            <w:r>
              <w:rPr>
                <w:color w:val="auto"/>
                <w:spacing w:val="7"/>
              </w:rPr>
              <w:t>传统车</w:t>
            </w:r>
            <w:r>
              <w:rPr>
                <w:color w:val="auto"/>
              </w:rPr>
              <w:t xml:space="preserve"> </w:t>
            </w:r>
            <w:r>
              <w:rPr>
                <w:color w:val="auto"/>
                <w:spacing w:val="7"/>
              </w:rPr>
              <w:t>辆部分</w:t>
            </w:r>
          </w:p>
        </w:tc>
        <w:tc>
          <w:tcPr>
            <w:tcW w:w="810" w:type="dxa"/>
            <w:vMerge w:val="restart"/>
            <w:tcBorders>
              <w:bottom w:val="nil"/>
            </w:tcBorders>
            <w:noWrap w:val="0"/>
            <w:vAlign w:val="top"/>
          </w:tcPr>
          <w:p w14:paraId="1D483F73">
            <w:pPr>
              <w:pStyle w:val="223"/>
              <w:spacing w:before="278" w:line="189" w:lineRule="auto"/>
              <w:ind w:left="355"/>
              <w:rPr>
                <w:color w:val="auto"/>
              </w:rPr>
            </w:pPr>
            <w:r>
              <w:rPr>
                <w:color w:val="auto"/>
              </w:rPr>
              <w:t>4</w:t>
            </w:r>
          </w:p>
        </w:tc>
        <w:tc>
          <w:tcPr>
            <w:tcW w:w="675" w:type="dxa"/>
            <w:vMerge w:val="restart"/>
            <w:tcBorders>
              <w:bottom w:val="nil"/>
            </w:tcBorders>
            <w:noWrap w:val="0"/>
            <w:vAlign w:val="top"/>
          </w:tcPr>
          <w:p w14:paraId="3F0B144B">
            <w:pPr>
              <w:pStyle w:val="223"/>
              <w:spacing w:before="245" w:line="228" w:lineRule="auto"/>
              <w:ind w:left="133"/>
              <w:rPr>
                <w:color w:val="auto"/>
              </w:rPr>
            </w:pPr>
            <w:r>
              <w:rPr>
                <w:color w:val="auto"/>
                <w:spacing w:val="3"/>
              </w:rPr>
              <w:t>车身</w:t>
            </w:r>
          </w:p>
        </w:tc>
        <w:tc>
          <w:tcPr>
            <w:tcW w:w="1081" w:type="dxa"/>
            <w:noWrap w:val="0"/>
            <w:vAlign w:val="top"/>
          </w:tcPr>
          <w:p w14:paraId="7745260F">
            <w:pPr>
              <w:pStyle w:val="223"/>
              <w:spacing w:before="70" w:line="228" w:lineRule="auto"/>
              <w:ind w:left="334"/>
              <w:rPr>
                <w:color w:val="auto"/>
              </w:rPr>
            </w:pPr>
            <w:r>
              <w:rPr>
                <w:color w:val="auto"/>
                <w:spacing w:val="5"/>
              </w:rPr>
              <w:t>骨架</w:t>
            </w:r>
          </w:p>
        </w:tc>
        <w:tc>
          <w:tcPr>
            <w:tcW w:w="2972" w:type="dxa"/>
            <w:noWrap w:val="0"/>
            <w:vAlign w:val="top"/>
          </w:tcPr>
          <w:p w14:paraId="2DC9AE9E">
            <w:pPr>
              <w:pStyle w:val="223"/>
              <w:spacing w:before="70" w:line="228" w:lineRule="auto"/>
              <w:ind w:left="1074"/>
              <w:rPr>
                <w:color w:val="auto"/>
              </w:rPr>
            </w:pPr>
            <w:r>
              <w:rPr>
                <w:color w:val="auto"/>
                <w:spacing w:val="6"/>
              </w:rPr>
              <w:t>车身骨架</w:t>
            </w:r>
          </w:p>
        </w:tc>
        <w:tc>
          <w:tcPr>
            <w:tcW w:w="2040" w:type="dxa"/>
            <w:noWrap w:val="0"/>
            <w:vAlign w:val="top"/>
          </w:tcPr>
          <w:p w14:paraId="37060C20">
            <w:pPr>
              <w:pStyle w:val="223"/>
              <w:spacing w:before="70" w:line="228" w:lineRule="auto"/>
              <w:ind w:left="842"/>
              <w:rPr>
                <w:color w:val="auto"/>
              </w:rPr>
            </w:pPr>
            <w:r>
              <w:rPr>
                <w:color w:val="auto"/>
                <w:spacing w:val="-3"/>
              </w:rPr>
              <w:t>8</w:t>
            </w:r>
            <w:r>
              <w:rPr>
                <w:color w:val="auto"/>
                <w:spacing w:val="-39"/>
              </w:rPr>
              <w:t xml:space="preserve"> </w:t>
            </w:r>
            <w:r>
              <w:rPr>
                <w:color w:val="auto"/>
                <w:spacing w:val="-3"/>
              </w:rPr>
              <w:t>年</w:t>
            </w:r>
          </w:p>
        </w:tc>
      </w:tr>
      <w:tr w14:paraId="5FE98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948" w:type="dxa"/>
            <w:vMerge w:val="continue"/>
            <w:tcBorders>
              <w:top w:val="nil"/>
            </w:tcBorders>
            <w:noWrap w:val="0"/>
            <w:vAlign w:val="top"/>
          </w:tcPr>
          <w:p w14:paraId="0FF78CEA">
            <w:pPr>
              <w:rPr>
                <w:rFonts w:ascii="Arial"/>
                <w:color w:val="auto"/>
                <w:sz w:val="21"/>
              </w:rPr>
            </w:pPr>
          </w:p>
        </w:tc>
        <w:tc>
          <w:tcPr>
            <w:tcW w:w="810" w:type="dxa"/>
            <w:vMerge w:val="continue"/>
            <w:tcBorders>
              <w:top w:val="nil"/>
            </w:tcBorders>
            <w:noWrap w:val="0"/>
            <w:vAlign w:val="top"/>
          </w:tcPr>
          <w:p w14:paraId="4F330AA7">
            <w:pPr>
              <w:rPr>
                <w:rFonts w:ascii="Arial"/>
                <w:color w:val="auto"/>
                <w:sz w:val="21"/>
              </w:rPr>
            </w:pPr>
          </w:p>
        </w:tc>
        <w:tc>
          <w:tcPr>
            <w:tcW w:w="675" w:type="dxa"/>
            <w:vMerge w:val="continue"/>
            <w:tcBorders>
              <w:top w:val="nil"/>
            </w:tcBorders>
            <w:noWrap w:val="0"/>
            <w:vAlign w:val="top"/>
          </w:tcPr>
          <w:p w14:paraId="55EDB1F0">
            <w:pPr>
              <w:rPr>
                <w:rFonts w:ascii="Arial"/>
                <w:color w:val="auto"/>
                <w:sz w:val="21"/>
              </w:rPr>
            </w:pPr>
          </w:p>
        </w:tc>
        <w:tc>
          <w:tcPr>
            <w:tcW w:w="1081" w:type="dxa"/>
            <w:noWrap w:val="0"/>
            <w:vAlign w:val="top"/>
          </w:tcPr>
          <w:p w14:paraId="505E201D">
            <w:pPr>
              <w:rPr>
                <w:rFonts w:ascii="Arial"/>
                <w:color w:val="auto"/>
                <w:sz w:val="21"/>
              </w:rPr>
            </w:pPr>
          </w:p>
        </w:tc>
        <w:tc>
          <w:tcPr>
            <w:tcW w:w="2972" w:type="dxa"/>
            <w:noWrap w:val="0"/>
            <w:vAlign w:val="top"/>
          </w:tcPr>
          <w:p w14:paraId="37417171">
            <w:pPr>
              <w:pStyle w:val="223"/>
              <w:spacing w:before="71" w:line="228" w:lineRule="auto"/>
              <w:ind w:left="342"/>
              <w:rPr>
                <w:color w:val="auto"/>
              </w:rPr>
            </w:pPr>
            <w:r>
              <w:rPr>
                <w:color w:val="auto"/>
                <w:spacing w:val="8"/>
              </w:rPr>
              <w:t>前后保险杠、车身覆盖件</w:t>
            </w:r>
          </w:p>
        </w:tc>
        <w:tc>
          <w:tcPr>
            <w:tcW w:w="2040" w:type="dxa"/>
            <w:noWrap w:val="0"/>
            <w:vAlign w:val="top"/>
          </w:tcPr>
          <w:p w14:paraId="023AAB74">
            <w:pPr>
              <w:pStyle w:val="223"/>
              <w:spacing w:before="71" w:line="228" w:lineRule="auto"/>
              <w:ind w:left="842"/>
              <w:rPr>
                <w:color w:val="auto"/>
              </w:rPr>
            </w:pPr>
            <w:r>
              <w:rPr>
                <w:color w:val="auto"/>
                <w:spacing w:val="-3"/>
              </w:rPr>
              <w:t>8</w:t>
            </w:r>
            <w:r>
              <w:rPr>
                <w:color w:val="auto"/>
                <w:spacing w:val="-39"/>
              </w:rPr>
              <w:t xml:space="preserve"> </w:t>
            </w:r>
            <w:r>
              <w:rPr>
                <w:color w:val="auto"/>
                <w:spacing w:val="-3"/>
              </w:rPr>
              <w:t>年</w:t>
            </w:r>
          </w:p>
        </w:tc>
      </w:tr>
    </w:tbl>
    <w:p w14:paraId="26D0BB8E">
      <w:pPr>
        <w:pStyle w:val="17"/>
        <w:tabs>
          <w:tab w:val="left" w:pos="574"/>
        </w:tabs>
        <w:rPr>
          <w:color w:val="auto"/>
        </w:rPr>
      </w:pPr>
    </w:p>
    <w:p w14:paraId="2B949296">
      <w:pPr>
        <w:rPr>
          <w:color w:val="auto"/>
        </w:rPr>
        <w:sectPr>
          <w:pgSz w:w="11906" w:h="16839"/>
          <w:pgMar w:top="1431" w:right="1687" w:bottom="1231" w:left="1687" w:header="0" w:footer="984" w:gutter="0"/>
          <w:pgNumType w:fmt="decimal"/>
          <w:cols w:space="720" w:num="1"/>
        </w:sectPr>
      </w:pPr>
    </w:p>
    <w:p w14:paraId="5A21BDD1">
      <w:pPr>
        <w:spacing w:line="91" w:lineRule="auto"/>
        <w:rPr>
          <w:rFonts w:ascii="Arial"/>
          <w:color w:val="auto"/>
          <w:sz w:val="2"/>
        </w:rPr>
      </w:pPr>
    </w:p>
    <w:tbl>
      <w:tblPr>
        <w:tblStyle w:val="22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810"/>
        <w:gridCol w:w="675"/>
        <w:gridCol w:w="1081"/>
        <w:gridCol w:w="2972"/>
        <w:gridCol w:w="2040"/>
      </w:tblGrid>
      <w:tr w14:paraId="290C0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48" w:type="dxa"/>
            <w:vMerge w:val="restart"/>
            <w:tcBorders>
              <w:bottom w:val="nil"/>
            </w:tcBorders>
            <w:noWrap w:val="0"/>
            <w:vAlign w:val="top"/>
          </w:tcPr>
          <w:p w14:paraId="2181F5BD">
            <w:pPr>
              <w:pStyle w:val="223"/>
              <w:spacing w:before="56" w:line="273" w:lineRule="auto"/>
              <w:ind w:left="271" w:right="158" w:hanging="106"/>
              <w:rPr>
                <w:color w:val="auto"/>
              </w:rPr>
            </w:pPr>
            <w:r>
              <w:rPr>
                <w:color w:val="auto"/>
                <w:spacing w:val="6"/>
              </w:rPr>
              <w:t>主要零</w:t>
            </w:r>
            <w:r>
              <w:rPr>
                <w:color w:val="auto"/>
              </w:rPr>
              <w:t xml:space="preserve"> </w:t>
            </w:r>
            <w:r>
              <w:rPr>
                <w:color w:val="auto"/>
                <w:spacing w:val="3"/>
              </w:rPr>
              <w:t>部件</w:t>
            </w:r>
          </w:p>
        </w:tc>
        <w:tc>
          <w:tcPr>
            <w:tcW w:w="810" w:type="dxa"/>
            <w:vMerge w:val="restart"/>
            <w:tcBorders>
              <w:bottom w:val="nil"/>
            </w:tcBorders>
            <w:noWrap w:val="0"/>
            <w:vAlign w:val="top"/>
          </w:tcPr>
          <w:p w14:paraId="72E784BD">
            <w:pPr>
              <w:rPr>
                <w:rFonts w:ascii="Arial"/>
                <w:color w:val="auto"/>
                <w:sz w:val="21"/>
              </w:rPr>
            </w:pPr>
          </w:p>
        </w:tc>
        <w:tc>
          <w:tcPr>
            <w:tcW w:w="675" w:type="dxa"/>
            <w:vMerge w:val="restart"/>
            <w:tcBorders>
              <w:bottom w:val="nil"/>
            </w:tcBorders>
            <w:noWrap w:val="0"/>
            <w:vAlign w:val="top"/>
          </w:tcPr>
          <w:p w14:paraId="3DAB3C8C">
            <w:pPr>
              <w:rPr>
                <w:rFonts w:ascii="Arial"/>
                <w:color w:val="auto"/>
                <w:sz w:val="21"/>
              </w:rPr>
            </w:pPr>
          </w:p>
        </w:tc>
        <w:tc>
          <w:tcPr>
            <w:tcW w:w="1081" w:type="dxa"/>
            <w:noWrap w:val="0"/>
            <w:vAlign w:val="top"/>
          </w:tcPr>
          <w:p w14:paraId="59C8F846">
            <w:pPr>
              <w:rPr>
                <w:rFonts w:ascii="Arial"/>
                <w:color w:val="auto"/>
                <w:sz w:val="21"/>
              </w:rPr>
            </w:pPr>
          </w:p>
        </w:tc>
        <w:tc>
          <w:tcPr>
            <w:tcW w:w="2972" w:type="dxa"/>
            <w:noWrap w:val="0"/>
            <w:vAlign w:val="top"/>
          </w:tcPr>
          <w:p w14:paraId="6D991416">
            <w:pPr>
              <w:pStyle w:val="223"/>
              <w:spacing w:before="71" w:line="228" w:lineRule="auto"/>
              <w:ind w:left="465"/>
              <w:rPr>
                <w:color w:val="auto"/>
              </w:rPr>
            </w:pPr>
            <w:r>
              <w:rPr>
                <w:color w:val="auto"/>
                <w:spacing w:val="5"/>
              </w:rPr>
              <w:t>门系统（易损件除外）</w:t>
            </w:r>
          </w:p>
        </w:tc>
        <w:tc>
          <w:tcPr>
            <w:tcW w:w="2040" w:type="dxa"/>
            <w:noWrap w:val="0"/>
            <w:vAlign w:val="top"/>
          </w:tcPr>
          <w:p w14:paraId="23E89755">
            <w:pPr>
              <w:pStyle w:val="223"/>
              <w:spacing w:before="71" w:line="228" w:lineRule="auto"/>
              <w:ind w:left="842"/>
              <w:rPr>
                <w:color w:val="auto"/>
              </w:rPr>
            </w:pPr>
            <w:r>
              <w:rPr>
                <w:color w:val="auto"/>
                <w:spacing w:val="-3"/>
              </w:rPr>
              <w:t>8</w:t>
            </w:r>
            <w:r>
              <w:rPr>
                <w:color w:val="auto"/>
                <w:spacing w:val="-39"/>
              </w:rPr>
              <w:t xml:space="preserve"> </w:t>
            </w:r>
            <w:r>
              <w:rPr>
                <w:color w:val="auto"/>
                <w:spacing w:val="-3"/>
              </w:rPr>
              <w:t>年</w:t>
            </w:r>
          </w:p>
        </w:tc>
      </w:tr>
      <w:tr w14:paraId="5BEC5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07D43D79">
            <w:pPr>
              <w:rPr>
                <w:rFonts w:ascii="Arial"/>
                <w:color w:val="auto"/>
                <w:sz w:val="21"/>
              </w:rPr>
            </w:pPr>
          </w:p>
        </w:tc>
        <w:tc>
          <w:tcPr>
            <w:tcW w:w="810" w:type="dxa"/>
            <w:vMerge w:val="continue"/>
            <w:tcBorders>
              <w:top w:val="nil"/>
              <w:bottom w:val="nil"/>
            </w:tcBorders>
            <w:noWrap w:val="0"/>
            <w:vAlign w:val="top"/>
          </w:tcPr>
          <w:p w14:paraId="037F930A">
            <w:pPr>
              <w:rPr>
                <w:rFonts w:ascii="Arial"/>
                <w:color w:val="auto"/>
                <w:sz w:val="21"/>
              </w:rPr>
            </w:pPr>
          </w:p>
        </w:tc>
        <w:tc>
          <w:tcPr>
            <w:tcW w:w="675" w:type="dxa"/>
            <w:vMerge w:val="continue"/>
            <w:tcBorders>
              <w:top w:val="nil"/>
              <w:bottom w:val="nil"/>
            </w:tcBorders>
            <w:noWrap w:val="0"/>
            <w:vAlign w:val="top"/>
          </w:tcPr>
          <w:p w14:paraId="7F23FD26">
            <w:pPr>
              <w:rPr>
                <w:rFonts w:ascii="Arial"/>
                <w:color w:val="auto"/>
                <w:sz w:val="21"/>
              </w:rPr>
            </w:pPr>
          </w:p>
        </w:tc>
        <w:tc>
          <w:tcPr>
            <w:tcW w:w="1081" w:type="dxa"/>
            <w:noWrap w:val="0"/>
            <w:vAlign w:val="top"/>
          </w:tcPr>
          <w:p w14:paraId="316AF7F0">
            <w:pPr>
              <w:rPr>
                <w:rFonts w:ascii="Arial"/>
                <w:color w:val="auto"/>
                <w:sz w:val="21"/>
              </w:rPr>
            </w:pPr>
          </w:p>
        </w:tc>
        <w:tc>
          <w:tcPr>
            <w:tcW w:w="2972" w:type="dxa"/>
            <w:noWrap w:val="0"/>
            <w:vAlign w:val="top"/>
          </w:tcPr>
          <w:p w14:paraId="05CFC455">
            <w:pPr>
              <w:pStyle w:val="223"/>
              <w:spacing w:before="67" w:line="229" w:lineRule="auto"/>
              <w:ind w:left="971"/>
              <w:rPr>
                <w:color w:val="auto"/>
              </w:rPr>
            </w:pPr>
            <w:r>
              <w:rPr>
                <w:color w:val="auto"/>
                <w:spacing w:val="7"/>
              </w:rPr>
              <w:t>安全逃生窗</w:t>
            </w:r>
          </w:p>
        </w:tc>
        <w:tc>
          <w:tcPr>
            <w:tcW w:w="2040" w:type="dxa"/>
            <w:noWrap w:val="0"/>
            <w:vAlign w:val="top"/>
          </w:tcPr>
          <w:p w14:paraId="17285090">
            <w:pPr>
              <w:pStyle w:val="223"/>
              <w:spacing w:before="67" w:line="228" w:lineRule="auto"/>
              <w:ind w:left="842"/>
              <w:rPr>
                <w:color w:val="auto"/>
              </w:rPr>
            </w:pPr>
            <w:r>
              <w:rPr>
                <w:color w:val="auto"/>
                <w:spacing w:val="-3"/>
              </w:rPr>
              <w:t>8</w:t>
            </w:r>
            <w:r>
              <w:rPr>
                <w:color w:val="auto"/>
                <w:spacing w:val="-39"/>
              </w:rPr>
              <w:t xml:space="preserve"> </w:t>
            </w:r>
            <w:r>
              <w:rPr>
                <w:color w:val="auto"/>
                <w:spacing w:val="-3"/>
              </w:rPr>
              <w:t>年</w:t>
            </w:r>
          </w:p>
        </w:tc>
      </w:tr>
      <w:tr w14:paraId="774A4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0A7E47AE">
            <w:pPr>
              <w:rPr>
                <w:rFonts w:ascii="Arial"/>
                <w:color w:val="auto"/>
                <w:sz w:val="21"/>
              </w:rPr>
            </w:pPr>
          </w:p>
        </w:tc>
        <w:tc>
          <w:tcPr>
            <w:tcW w:w="810" w:type="dxa"/>
            <w:vMerge w:val="continue"/>
            <w:tcBorders>
              <w:top w:val="nil"/>
              <w:bottom w:val="nil"/>
            </w:tcBorders>
            <w:noWrap w:val="0"/>
            <w:vAlign w:val="top"/>
          </w:tcPr>
          <w:p w14:paraId="3E45C8F9">
            <w:pPr>
              <w:rPr>
                <w:rFonts w:ascii="Arial"/>
                <w:color w:val="auto"/>
                <w:sz w:val="21"/>
              </w:rPr>
            </w:pPr>
          </w:p>
        </w:tc>
        <w:tc>
          <w:tcPr>
            <w:tcW w:w="675" w:type="dxa"/>
            <w:vMerge w:val="continue"/>
            <w:tcBorders>
              <w:top w:val="nil"/>
              <w:bottom w:val="nil"/>
            </w:tcBorders>
            <w:noWrap w:val="0"/>
            <w:vAlign w:val="top"/>
          </w:tcPr>
          <w:p w14:paraId="72DA68BE">
            <w:pPr>
              <w:rPr>
                <w:rFonts w:ascii="Arial"/>
                <w:color w:val="auto"/>
                <w:sz w:val="21"/>
              </w:rPr>
            </w:pPr>
          </w:p>
        </w:tc>
        <w:tc>
          <w:tcPr>
            <w:tcW w:w="1081" w:type="dxa"/>
            <w:noWrap w:val="0"/>
            <w:vAlign w:val="top"/>
          </w:tcPr>
          <w:p w14:paraId="3B3BF9AF">
            <w:pPr>
              <w:rPr>
                <w:rFonts w:ascii="Arial"/>
                <w:color w:val="auto"/>
                <w:sz w:val="21"/>
              </w:rPr>
            </w:pPr>
          </w:p>
        </w:tc>
        <w:tc>
          <w:tcPr>
            <w:tcW w:w="2972" w:type="dxa"/>
            <w:noWrap w:val="0"/>
            <w:vAlign w:val="top"/>
          </w:tcPr>
          <w:p w14:paraId="78CE5F3C">
            <w:pPr>
              <w:pStyle w:val="223"/>
              <w:spacing w:before="65" w:line="228" w:lineRule="auto"/>
              <w:ind w:left="1075"/>
              <w:rPr>
                <w:color w:val="auto"/>
              </w:rPr>
            </w:pPr>
            <w:r>
              <w:rPr>
                <w:color w:val="auto"/>
                <w:spacing w:val="6"/>
              </w:rPr>
              <w:t>各类舱门</w:t>
            </w:r>
          </w:p>
        </w:tc>
        <w:tc>
          <w:tcPr>
            <w:tcW w:w="2040" w:type="dxa"/>
            <w:noWrap w:val="0"/>
            <w:vAlign w:val="top"/>
          </w:tcPr>
          <w:p w14:paraId="35B1496E">
            <w:pPr>
              <w:pStyle w:val="223"/>
              <w:spacing w:before="65" w:line="228" w:lineRule="auto"/>
              <w:ind w:left="842"/>
              <w:rPr>
                <w:color w:val="auto"/>
              </w:rPr>
            </w:pPr>
            <w:r>
              <w:rPr>
                <w:color w:val="auto"/>
                <w:spacing w:val="-3"/>
              </w:rPr>
              <w:t>8</w:t>
            </w:r>
            <w:r>
              <w:rPr>
                <w:color w:val="auto"/>
                <w:spacing w:val="-39"/>
              </w:rPr>
              <w:t xml:space="preserve"> </w:t>
            </w:r>
            <w:r>
              <w:rPr>
                <w:color w:val="auto"/>
                <w:spacing w:val="-3"/>
              </w:rPr>
              <w:t>年</w:t>
            </w:r>
          </w:p>
        </w:tc>
      </w:tr>
      <w:tr w14:paraId="39034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2DD1A43B">
            <w:pPr>
              <w:rPr>
                <w:rFonts w:ascii="Arial"/>
                <w:color w:val="auto"/>
                <w:sz w:val="21"/>
              </w:rPr>
            </w:pPr>
          </w:p>
        </w:tc>
        <w:tc>
          <w:tcPr>
            <w:tcW w:w="810" w:type="dxa"/>
            <w:vMerge w:val="continue"/>
            <w:tcBorders>
              <w:top w:val="nil"/>
              <w:bottom w:val="nil"/>
            </w:tcBorders>
            <w:noWrap w:val="0"/>
            <w:vAlign w:val="top"/>
          </w:tcPr>
          <w:p w14:paraId="412E5004">
            <w:pPr>
              <w:rPr>
                <w:rFonts w:ascii="Arial"/>
                <w:color w:val="auto"/>
                <w:sz w:val="21"/>
              </w:rPr>
            </w:pPr>
          </w:p>
        </w:tc>
        <w:tc>
          <w:tcPr>
            <w:tcW w:w="675" w:type="dxa"/>
            <w:vMerge w:val="continue"/>
            <w:tcBorders>
              <w:top w:val="nil"/>
              <w:bottom w:val="nil"/>
            </w:tcBorders>
            <w:noWrap w:val="0"/>
            <w:vAlign w:val="top"/>
          </w:tcPr>
          <w:p w14:paraId="125B900E">
            <w:pPr>
              <w:rPr>
                <w:rFonts w:ascii="Arial"/>
                <w:color w:val="auto"/>
                <w:sz w:val="21"/>
              </w:rPr>
            </w:pPr>
          </w:p>
        </w:tc>
        <w:tc>
          <w:tcPr>
            <w:tcW w:w="1081" w:type="dxa"/>
            <w:noWrap w:val="0"/>
            <w:vAlign w:val="top"/>
          </w:tcPr>
          <w:p w14:paraId="19E2E9B2">
            <w:pPr>
              <w:rPr>
                <w:rFonts w:ascii="Arial"/>
                <w:color w:val="auto"/>
                <w:sz w:val="21"/>
              </w:rPr>
            </w:pPr>
          </w:p>
        </w:tc>
        <w:tc>
          <w:tcPr>
            <w:tcW w:w="2972" w:type="dxa"/>
            <w:vMerge w:val="restart"/>
            <w:tcBorders>
              <w:bottom w:val="nil"/>
            </w:tcBorders>
            <w:noWrap w:val="0"/>
            <w:vAlign w:val="top"/>
          </w:tcPr>
          <w:p w14:paraId="493472F2">
            <w:pPr>
              <w:pStyle w:val="223"/>
              <w:spacing w:before="226" w:line="228" w:lineRule="auto"/>
              <w:ind w:left="1073"/>
              <w:rPr>
                <w:color w:val="auto"/>
              </w:rPr>
            </w:pPr>
            <w:r>
              <w:rPr>
                <w:color w:val="auto"/>
                <w:spacing w:val="7"/>
              </w:rPr>
              <w:t>整车玻璃</w:t>
            </w:r>
          </w:p>
        </w:tc>
        <w:tc>
          <w:tcPr>
            <w:tcW w:w="2040" w:type="dxa"/>
            <w:vMerge w:val="restart"/>
            <w:tcBorders>
              <w:bottom w:val="nil"/>
            </w:tcBorders>
            <w:noWrap w:val="0"/>
            <w:vAlign w:val="top"/>
          </w:tcPr>
          <w:p w14:paraId="2988C8B8">
            <w:pPr>
              <w:pStyle w:val="223"/>
              <w:spacing w:before="226" w:line="228" w:lineRule="auto"/>
              <w:ind w:left="842"/>
              <w:rPr>
                <w:color w:val="auto"/>
              </w:rPr>
            </w:pPr>
            <w:r>
              <w:rPr>
                <w:color w:val="auto"/>
                <w:spacing w:val="-3"/>
              </w:rPr>
              <w:t>8</w:t>
            </w:r>
            <w:r>
              <w:rPr>
                <w:color w:val="auto"/>
                <w:spacing w:val="-39"/>
              </w:rPr>
              <w:t xml:space="preserve"> </w:t>
            </w:r>
            <w:r>
              <w:rPr>
                <w:color w:val="auto"/>
                <w:spacing w:val="-3"/>
              </w:rPr>
              <w:t>年</w:t>
            </w:r>
          </w:p>
        </w:tc>
      </w:tr>
      <w:tr w14:paraId="2DA14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0A7609E2">
            <w:pPr>
              <w:rPr>
                <w:rFonts w:ascii="Arial"/>
                <w:color w:val="auto"/>
                <w:sz w:val="21"/>
              </w:rPr>
            </w:pPr>
          </w:p>
        </w:tc>
        <w:tc>
          <w:tcPr>
            <w:tcW w:w="810" w:type="dxa"/>
            <w:vMerge w:val="continue"/>
            <w:tcBorders>
              <w:top w:val="nil"/>
              <w:bottom w:val="nil"/>
            </w:tcBorders>
            <w:noWrap w:val="0"/>
            <w:vAlign w:val="top"/>
          </w:tcPr>
          <w:p w14:paraId="0F4740F8">
            <w:pPr>
              <w:rPr>
                <w:rFonts w:ascii="Arial"/>
                <w:color w:val="auto"/>
                <w:sz w:val="21"/>
              </w:rPr>
            </w:pPr>
          </w:p>
        </w:tc>
        <w:tc>
          <w:tcPr>
            <w:tcW w:w="675" w:type="dxa"/>
            <w:vMerge w:val="continue"/>
            <w:tcBorders>
              <w:top w:val="nil"/>
              <w:bottom w:val="nil"/>
            </w:tcBorders>
            <w:noWrap w:val="0"/>
            <w:vAlign w:val="top"/>
          </w:tcPr>
          <w:p w14:paraId="1666C6AB">
            <w:pPr>
              <w:rPr>
                <w:rFonts w:ascii="Arial"/>
                <w:color w:val="auto"/>
                <w:sz w:val="21"/>
              </w:rPr>
            </w:pPr>
          </w:p>
        </w:tc>
        <w:tc>
          <w:tcPr>
            <w:tcW w:w="1081" w:type="dxa"/>
            <w:noWrap w:val="0"/>
            <w:vAlign w:val="top"/>
          </w:tcPr>
          <w:p w14:paraId="5939274D">
            <w:pPr>
              <w:rPr>
                <w:rFonts w:ascii="Arial"/>
                <w:color w:val="auto"/>
                <w:sz w:val="21"/>
              </w:rPr>
            </w:pPr>
          </w:p>
        </w:tc>
        <w:tc>
          <w:tcPr>
            <w:tcW w:w="2972" w:type="dxa"/>
            <w:vMerge w:val="continue"/>
            <w:tcBorders>
              <w:top w:val="nil"/>
            </w:tcBorders>
            <w:noWrap w:val="0"/>
            <w:vAlign w:val="top"/>
          </w:tcPr>
          <w:p w14:paraId="4802A886">
            <w:pPr>
              <w:rPr>
                <w:rFonts w:ascii="Arial"/>
                <w:color w:val="auto"/>
                <w:sz w:val="21"/>
              </w:rPr>
            </w:pPr>
          </w:p>
        </w:tc>
        <w:tc>
          <w:tcPr>
            <w:tcW w:w="2040" w:type="dxa"/>
            <w:vMerge w:val="continue"/>
            <w:tcBorders>
              <w:top w:val="nil"/>
            </w:tcBorders>
            <w:noWrap w:val="0"/>
            <w:vAlign w:val="top"/>
          </w:tcPr>
          <w:p w14:paraId="61B38B14">
            <w:pPr>
              <w:rPr>
                <w:rFonts w:ascii="Arial"/>
                <w:color w:val="auto"/>
                <w:sz w:val="21"/>
              </w:rPr>
            </w:pPr>
          </w:p>
        </w:tc>
      </w:tr>
      <w:tr w14:paraId="71ACE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23E93081">
            <w:pPr>
              <w:rPr>
                <w:rFonts w:ascii="Arial"/>
                <w:color w:val="auto"/>
                <w:sz w:val="21"/>
              </w:rPr>
            </w:pPr>
          </w:p>
        </w:tc>
        <w:tc>
          <w:tcPr>
            <w:tcW w:w="810" w:type="dxa"/>
            <w:vMerge w:val="continue"/>
            <w:tcBorders>
              <w:top w:val="nil"/>
              <w:bottom w:val="nil"/>
            </w:tcBorders>
            <w:noWrap w:val="0"/>
            <w:vAlign w:val="top"/>
          </w:tcPr>
          <w:p w14:paraId="71839DB4">
            <w:pPr>
              <w:rPr>
                <w:rFonts w:ascii="Arial"/>
                <w:color w:val="auto"/>
                <w:sz w:val="21"/>
              </w:rPr>
            </w:pPr>
          </w:p>
        </w:tc>
        <w:tc>
          <w:tcPr>
            <w:tcW w:w="675" w:type="dxa"/>
            <w:vMerge w:val="continue"/>
            <w:tcBorders>
              <w:top w:val="nil"/>
              <w:bottom w:val="nil"/>
            </w:tcBorders>
            <w:noWrap w:val="0"/>
            <w:vAlign w:val="top"/>
          </w:tcPr>
          <w:p w14:paraId="59D1A39D">
            <w:pPr>
              <w:rPr>
                <w:rFonts w:ascii="Arial"/>
                <w:color w:val="auto"/>
                <w:sz w:val="21"/>
              </w:rPr>
            </w:pPr>
          </w:p>
        </w:tc>
        <w:tc>
          <w:tcPr>
            <w:tcW w:w="1081" w:type="dxa"/>
            <w:noWrap w:val="0"/>
            <w:vAlign w:val="top"/>
          </w:tcPr>
          <w:p w14:paraId="028D9F9A">
            <w:pPr>
              <w:rPr>
                <w:rFonts w:ascii="Arial"/>
                <w:color w:val="auto"/>
                <w:sz w:val="21"/>
              </w:rPr>
            </w:pPr>
          </w:p>
        </w:tc>
        <w:tc>
          <w:tcPr>
            <w:tcW w:w="2972" w:type="dxa"/>
            <w:noWrap w:val="0"/>
            <w:vAlign w:val="top"/>
          </w:tcPr>
          <w:p w14:paraId="41651101">
            <w:pPr>
              <w:pStyle w:val="223"/>
              <w:spacing w:before="50" w:line="262" w:lineRule="auto"/>
              <w:ind w:left="967" w:right="118" w:hanging="840"/>
              <w:rPr>
                <w:color w:val="auto"/>
              </w:rPr>
            </w:pPr>
            <w:r>
              <w:rPr>
                <w:color w:val="auto"/>
                <w:spacing w:val="9"/>
              </w:rPr>
              <w:t>地板及地板革（含各类地板检</w:t>
            </w:r>
            <w:r>
              <w:rPr>
                <w:color w:val="auto"/>
                <w:spacing w:val="2"/>
              </w:rPr>
              <w:t xml:space="preserve"> </w:t>
            </w:r>
            <w:r>
              <w:rPr>
                <w:color w:val="auto"/>
                <w:spacing w:val="5"/>
              </w:rPr>
              <w:t>修孔盖板）</w:t>
            </w:r>
          </w:p>
        </w:tc>
        <w:tc>
          <w:tcPr>
            <w:tcW w:w="2040" w:type="dxa"/>
            <w:noWrap w:val="0"/>
            <w:vAlign w:val="top"/>
          </w:tcPr>
          <w:p w14:paraId="7DA1068C">
            <w:pPr>
              <w:pStyle w:val="223"/>
              <w:spacing w:before="207" w:line="228" w:lineRule="auto"/>
              <w:ind w:left="842"/>
              <w:rPr>
                <w:color w:val="auto"/>
              </w:rPr>
            </w:pPr>
            <w:r>
              <w:rPr>
                <w:color w:val="auto"/>
                <w:spacing w:val="-3"/>
              </w:rPr>
              <w:t>8</w:t>
            </w:r>
            <w:r>
              <w:rPr>
                <w:color w:val="auto"/>
                <w:spacing w:val="-39"/>
              </w:rPr>
              <w:t xml:space="preserve"> </w:t>
            </w:r>
            <w:r>
              <w:rPr>
                <w:color w:val="auto"/>
                <w:spacing w:val="-3"/>
              </w:rPr>
              <w:t>年</w:t>
            </w:r>
          </w:p>
        </w:tc>
      </w:tr>
      <w:tr w14:paraId="1D141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207790C2">
            <w:pPr>
              <w:rPr>
                <w:rFonts w:ascii="Arial"/>
                <w:color w:val="auto"/>
                <w:sz w:val="21"/>
              </w:rPr>
            </w:pPr>
          </w:p>
        </w:tc>
        <w:tc>
          <w:tcPr>
            <w:tcW w:w="810" w:type="dxa"/>
            <w:vMerge w:val="continue"/>
            <w:tcBorders>
              <w:top w:val="nil"/>
              <w:bottom w:val="nil"/>
            </w:tcBorders>
            <w:noWrap w:val="0"/>
            <w:vAlign w:val="top"/>
          </w:tcPr>
          <w:p w14:paraId="4723486B">
            <w:pPr>
              <w:rPr>
                <w:rFonts w:ascii="Arial"/>
                <w:color w:val="auto"/>
                <w:sz w:val="21"/>
              </w:rPr>
            </w:pPr>
          </w:p>
        </w:tc>
        <w:tc>
          <w:tcPr>
            <w:tcW w:w="675" w:type="dxa"/>
            <w:vMerge w:val="continue"/>
            <w:tcBorders>
              <w:top w:val="nil"/>
              <w:bottom w:val="nil"/>
            </w:tcBorders>
            <w:noWrap w:val="0"/>
            <w:vAlign w:val="top"/>
          </w:tcPr>
          <w:p w14:paraId="0357EF34">
            <w:pPr>
              <w:rPr>
                <w:rFonts w:ascii="Arial"/>
                <w:color w:val="auto"/>
                <w:sz w:val="21"/>
              </w:rPr>
            </w:pPr>
          </w:p>
        </w:tc>
        <w:tc>
          <w:tcPr>
            <w:tcW w:w="1081" w:type="dxa"/>
            <w:vMerge w:val="restart"/>
            <w:tcBorders>
              <w:bottom w:val="nil"/>
            </w:tcBorders>
            <w:noWrap w:val="0"/>
            <w:vAlign w:val="top"/>
          </w:tcPr>
          <w:p w14:paraId="0D5B5C67">
            <w:pPr>
              <w:spacing w:line="243" w:lineRule="auto"/>
              <w:rPr>
                <w:rFonts w:ascii="Arial"/>
                <w:color w:val="auto"/>
                <w:sz w:val="21"/>
              </w:rPr>
            </w:pPr>
          </w:p>
          <w:p w14:paraId="7923180D">
            <w:pPr>
              <w:spacing w:line="243" w:lineRule="auto"/>
              <w:rPr>
                <w:rFonts w:ascii="Arial"/>
                <w:color w:val="auto"/>
                <w:sz w:val="21"/>
              </w:rPr>
            </w:pPr>
          </w:p>
          <w:p w14:paraId="08BA4148">
            <w:pPr>
              <w:spacing w:line="243" w:lineRule="auto"/>
              <w:rPr>
                <w:rFonts w:ascii="Arial"/>
                <w:color w:val="auto"/>
                <w:sz w:val="21"/>
              </w:rPr>
            </w:pPr>
          </w:p>
          <w:p w14:paraId="3089E4C3">
            <w:pPr>
              <w:spacing w:line="243" w:lineRule="auto"/>
              <w:rPr>
                <w:rFonts w:ascii="Arial"/>
                <w:color w:val="auto"/>
                <w:sz w:val="21"/>
              </w:rPr>
            </w:pPr>
          </w:p>
          <w:p w14:paraId="4C7C8EA3">
            <w:pPr>
              <w:spacing w:line="244" w:lineRule="auto"/>
              <w:rPr>
                <w:rFonts w:ascii="Arial"/>
                <w:color w:val="auto"/>
                <w:sz w:val="21"/>
              </w:rPr>
            </w:pPr>
          </w:p>
          <w:p w14:paraId="4EB9BFC4">
            <w:pPr>
              <w:spacing w:line="244" w:lineRule="auto"/>
              <w:rPr>
                <w:rFonts w:ascii="Arial"/>
                <w:color w:val="auto"/>
                <w:sz w:val="21"/>
              </w:rPr>
            </w:pPr>
          </w:p>
          <w:p w14:paraId="06D74FDE">
            <w:pPr>
              <w:spacing w:line="244" w:lineRule="auto"/>
              <w:rPr>
                <w:rFonts w:ascii="Arial"/>
                <w:color w:val="auto"/>
                <w:sz w:val="21"/>
              </w:rPr>
            </w:pPr>
          </w:p>
          <w:p w14:paraId="4D6684D5">
            <w:pPr>
              <w:spacing w:line="244" w:lineRule="auto"/>
              <w:rPr>
                <w:rFonts w:ascii="Arial"/>
                <w:color w:val="auto"/>
                <w:sz w:val="21"/>
              </w:rPr>
            </w:pPr>
          </w:p>
          <w:p w14:paraId="68CD02B1">
            <w:pPr>
              <w:spacing w:line="244" w:lineRule="auto"/>
              <w:rPr>
                <w:rFonts w:ascii="Arial"/>
                <w:color w:val="auto"/>
                <w:sz w:val="21"/>
              </w:rPr>
            </w:pPr>
          </w:p>
          <w:p w14:paraId="41E31EFD">
            <w:pPr>
              <w:spacing w:line="244" w:lineRule="auto"/>
              <w:rPr>
                <w:rFonts w:ascii="Arial"/>
                <w:color w:val="auto"/>
                <w:sz w:val="21"/>
              </w:rPr>
            </w:pPr>
          </w:p>
          <w:p w14:paraId="343BEBE2">
            <w:pPr>
              <w:pStyle w:val="223"/>
              <w:spacing w:before="65" w:line="228" w:lineRule="auto"/>
              <w:ind w:left="113"/>
              <w:rPr>
                <w:color w:val="auto"/>
              </w:rPr>
            </w:pPr>
            <w:r>
              <w:rPr>
                <w:color w:val="auto"/>
                <w:spacing w:val="6"/>
              </w:rPr>
              <w:t>车身附件</w:t>
            </w:r>
          </w:p>
        </w:tc>
        <w:tc>
          <w:tcPr>
            <w:tcW w:w="2972" w:type="dxa"/>
            <w:noWrap w:val="0"/>
            <w:vAlign w:val="top"/>
          </w:tcPr>
          <w:p w14:paraId="5A0A23E5">
            <w:pPr>
              <w:pStyle w:val="223"/>
              <w:spacing w:before="66" w:line="228" w:lineRule="auto"/>
              <w:ind w:left="1286"/>
              <w:rPr>
                <w:color w:val="auto"/>
              </w:rPr>
            </w:pPr>
            <w:r>
              <w:rPr>
                <w:color w:val="auto"/>
                <w:spacing w:val="2"/>
              </w:rPr>
              <w:t>蒙皮</w:t>
            </w:r>
          </w:p>
        </w:tc>
        <w:tc>
          <w:tcPr>
            <w:tcW w:w="2040" w:type="dxa"/>
            <w:noWrap w:val="0"/>
            <w:vAlign w:val="top"/>
          </w:tcPr>
          <w:p w14:paraId="5D04A421">
            <w:pPr>
              <w:pStyle w:val="223"/>
              <w:spacing w:before="66" w:line="228" w:lineRule="auto"/>
              <w:ind w:left="842"/>
              <w:rPr>
                <w:color w:val="auto"/>
              </w:rPr>
            </w:pPr>
            <w:r>
              <w:rPr>
                <w:color w:val="auto"/>
                <w:spacing w:val="-3"/>
              </w:rPr>
              <w:t>8</w:t>
            </w:r>
            <w:r>
              <w:rPr>
                <w:color w:val="auto"/>
                <w:spacing w:val="-39"/>
              </w:rPr>
              <w:t xml:space="preserve"> </w:t>
            </w:r>
            <w:r>
              <w:rPr>
                <w:color w:val="auto"/>
                <w:spacing w:val="-3"/>
              </w:rPr>
              <w:t>年</w:t>
            </w:r>
          </w:p>
        </w:tc>
      </w:tr>
      <w:tr w14:paraId="39184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3603788A">
            <w:pPr>
              <w:rPr>
                <w:rFonts w:ascii="Arial"/>
                <w:color w:val="auto"/>
                <w:sz w:val="21"/>
              </w:rPr>
            </w:pPr>
          </w:p>
        </w:tc>
        <w:tc>
          <w:tcPr>
            <w:tcW w:w="810" w:type="dxa"/>
            <w:vMerge w:val="continue"/>
            <w:tcBorders>
              <w:top w:val="nil"/>
              <w:bottom w:val="nil"/>
            </w:tcBorders>
            <w:noWrap w:val="0"/>
            <w:vAlign w:val="top"/>
          </w:tcPr>
          <w:p w14:paraId="7C1DEE80">
            <w:pPr>
              <w:rPr>
                <w:rFonts w:ascii="Arial"/>
                <w:color w:val="auto"/>
                <w:sz w:val="21"/>
              </w:rPr>
            </w:pPr>
          </w:p>
        </w:tc>
        <w:tc>
          <w:tcPr>
            <w:tcW w:w="675" w:type="dxa"/>
            <w:vMerge w:val="continue"/>
            <w:tcBorders>
              <w:top w:val="nil"/>
              <w:bottom w:val="nil"/>
            </w:tcBorders>
            <w:noWrap w:val="0"/>
            <w:vAlign w:val="top"/>
          </w:tcPr>
          <w:p w14:paraId="146D3CE8">
            <w:pPr>
              <w:rPr>
                <w:rFonts w:ascii="Arial"/>
                <w:color w:val="auto"/>
                <w:sz w:val="21"/>
              </w:rPr>
            </w:pPr>
          </w:p>
        </w:tc>
        <w:tc>
          <w:tcPr>
            <w:tcW w:w="1081" w:type="dxa"/>
            <w:vMerge w:val="continue"/>
            <w:tcBorders>
              <w:top w:val="nil"/>
              <w:bottom w:val="nil"/>
            </w:tcBorders>
            <w:noWrap w:val="0"/>
            <w:vAlign w:val="top"/>
          </w:tcPr>
          <w:p w14:paraId="193EC926">
            <w:pPr>
              <w:rPr>
                <w:rFonts w:ascii="Arial"/>
                <w:color w:val="auto"/>
                <w:sz w:val="21"/>
              </w:rPr>
            </w:pPr>
          </w:p>
        </w:tc>
        <w:tc>
          <w:tcPr>
            <w:tcW w:w="2972" w:type="dxa"/>
            <w:noWrap w:val="0"/>
            <w:vAlign w:val="top"/>
          </w:tcPr>
          <w:p w14:paraId="6ABF6EB3">
            <w:pPr>
              <w:pStyle w:val="223"/>
              <w:spacing w:before="66" w:line="228" w:lineRule="auto"/>
              <w:ind w:left="968"/>
              <w:rPr>
                <w:color w:val="auto"/>
              </w:rPr>
            </w:pPr>
            <w:r>
              <w:rPr>
                <w:color w:val="auto"/>
                <w:spacing w:val="7"/>
              </w:rPr>
              <w:t>风道及附件</w:t>
            </w:r>
          </w:p>
        </w:tc>
        <w:tc>
          <w:tcPr>
            <w:tcW w:w="2040" w:type="dxa"/>
            <w:noWrap w:val="0"/>
            <w:vAlign w:val="top"/>
          </w:tcPr>
          <w:p w14:paraId="7E7C3257">
            <w:pPr>
              <w:pStyle w:val="223"/>
              <w:spacing w:before="67" w:line="228" w:lineRule="auto"/>
              <w:ind w:left="842"/>
              <w:rPr>
                <w:color w:val="auto"/>
              </w:rPr>
            </w:pPr>
            <w:r>
              <w:rPr>
                <w:color w:val="auto"/>
                <w:spacing w:val="-3"/>
              </w:rPr>
              <w:t>8</w:t>
            </w:r>
            <w:r>
              <w:rPr>
                <w:color w:val="auto"/>
                <w:spacing w:val="-39"/>
              </w:rPr>
              <w:t xml:space="preserve"> </w:t>
            </w:r>
            <w:r>
              <w:rPr>
                <w:color w:val="auto"/>
                <w:spacing w:val="-3"/>
              </w:rPr>
              <w:t>年</w:t>
            </w:r>
          </w:p>
        </w:tc>
      </w:tr>
      <w:tr w14:paraId="6F931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686D01CA">
            <w:pPr>
              <w:rPr>
                <w:rFonts w:ascii="Arial"/>
                <w:color w:val="auto"/>
                <w:sz w:val="21"/>
              </w:rPr>
            </w:pPr>
          </w:p>
        </w:tc>
        <w:tc>
          <w:tcPr>
            <w:tcW w:w="810" w:type="dxa"/>
            <w:vMerge w:val="continue"/>
            <w:tcBorders>
              <w:top w:val="nil"/>
              <w:bottom w:val="nil"/>
            </w:tcBorders>
            <w:noWrap w:val="0"/>
            <w:vAlign w:val="top"/>
          </w:tcPr>
          <w:p w14:paraId="4C161437">
            <w:pPr>
              <w:rPr>
                <w:rFonts w:ascii="Arial"/>
                <w:color w:val="auto"/>
                <w:sz w:val="21"/>
              </w:rPr>
            </w:pPr>
          </w:p>
        </w:tc>
        <w:tc>
          <w:tcPr>
            <w:tcW w:w="675" w:type="dxa"/>
            <w:vMerge w:val="continue"/>
            <w:tcBorders>
              <w:top w:val="nil"/>
              <w:bottom w:val="nil"/>
            </w:tcBorders>
            <w:noWrap w:val="0"/>
            <w:vAlign w:val="top"/>
          </w:tcPr>
          <w:p w14:paraId="5899B4DE">
            <w:pPr>
              <w:rPr>
                <w:rFonts w:ascii="Arial"/>
                <w:color w:val="auto"/>
                <w:sz w:val="21"/>
              </w:rPr>
            </w:pPr>
          </w:p>
        </w:tc>
        <w:tc>
          <w:tcPr>
            <w:tcW w:w="1081" w:type="dxa"/>
            <w:vMerge w:val="continue"/>
            <w:tcBorders>
              <w:top w:val="nil"/>
              <w:bottom w:val="nil"/>
            </w:tcBorders>
            <w:noWrap w:val="0"/>
            <w:vAlign w:val="top"/>
          </w:tcPr>
          <w:p w14:paraId="1ED69B13">
            <w:pPr>
              <w:rPr>
                <w:rFonts w:ascii="Arial"/>
                <w:color w:val="auto"/>
                <w:sz w:val="21"/>
              </w:rPr>
            </w:pPr>
          </w:p>
        </w:tc>
        <w:tc>
          <w:tcPr>
            <w:tcW w:w="2972" w:type="dxa"/>
            <w:noWrap w:val="0"/>
            <w:vAlign w:val="top"/>
          </w:tcPr>
          <w:p w14:paraId="22C98F02">
            <w:pPr>
              <w:pStyle w:val="223"/>
              <w:spacing w:before="67" w:line="232" w:lineRule="auto"/>
              <w:ind w:left="1178"/>
              <w:rPr>
                <w:color w:val="auto"/>
              </w:rPr>
            </w:pPr>
            <w:r>
              <w:rPr>
                <w:color w:val="auto"/>
                <w:spacing w:val="6"/>
              </w:rPr>
              <w:t>配电盒</w:t>
            </w:r>
          </w:p>
        </w:tc>
        <w:tc>
          <w:tcPr>
            <w:tcW w:w="2040" w:type="dxa"/>
            <w:noWrap w:val="0"/>
            <w:vAlign w:val="top"/>
          </w:tcPr>
          <w:p w14:paraId="06BFC090">
            <w:pPr>
              <w:pStyle w:val="223"/>
              <w:spacing w:before="67" w:line="228" w:lineRule="auto"/>
              <w:ind w:left="842"/>
              <w:rPr>
                <w:color w:val="auto"/>
              </w:rPr>
            </w:pPr>
            <w:r>
              <w:rPr>
                <w:color w:val="auto"/>
                <w:spacing w:val="-3"/>
              </w:rPr>
              <w:t>8</w:t>
            </w:r>
            <w:r>
              <w:rPr>
                <w:color w:val="auto"/>
                <w:spacing w:val="-39"/>
              </w:rPr>
              <w:t xml:space="preserve"> </w:t>
            </w:r>
            <w:r>
              <w:rPr>
                <w:color w:val="auto"/>
                <w:spacing w:val="-3"/>
              </w:rPr>
              <w:t>年</w:t>
            </w:r>
          </w:p>
        </w:tc>
      </w:tr>
      <w:tr w14:paraId="3D999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948" w:type="dxa"/>
            <w:vMerge w:val="continue"/>
            <w:tcBorders>
              <w:top w:val="nil"/>
              <w:bottom w:val="nil"/>
            </w:tcBorders>
            <w:noWrap w:val="0"/>
            <w:vAlign w:val="top"/>
          </w:tcPr>
          <w:p w14:paraId="0C10C263">
            <w:pPr>
              <w:rPr>
                <w:rFonts w:ascii="Arial"/>
                <w:color w:val="auto"/>
                <w:sz w:val="21"/>
              </w:rPr>
            </w:pPr>
          </w:p>
        </w:tc>
        <w:tc>
          <w:tcPr>
            <w:tcW w:w="810" w:type="dxa"/>
            <w:vMerge w:val="continue"/>
            <w:tcBorders>
              <w:top w:val="nil"/>
              <w:bottom w:val="nil"/>
            </w:tcBorders>
            <w:noWrap w:val="0"/>
            <w:vAlign w:val="top"/>
          </w:tcPr>
          <w:p w14:paraId="334BD733">
            <w:pPr>
              <w:rPr>
                <w:rFonts w:ascii="Arial"/>
                <w:color w:val="auto"/>
                <w:sz w:val="21"/>
              </w:rPr>
            </w:pPr>
          </w:p>
        </w:tc>
        <w:tc>
          <w:tcPr>
            <w:tcW w:w="675" w:type="dxa"/>
            <w:vMerge w:val="continue"/>
            <w:tcBorders>
              <w:top w:val="nil"/>
              <w:bottom w:val="nil"/>
            </w:tcBorders>
            <w:noWrap w:val="0"/>
            <w:vAlign w:val="top"/>
          </w:tcPr>
          <w:p w14:paraId="108B35E9">
            <w:pPr>
              <w:rPr>
                <w:rFonts w:ascii="Arial"/>
                <w:color w:val="auto"/>
                <w:sz w:val="21"/>
              </w:rPr>
            </w:pPr>
          </w:p>
        </w:tc>
        <w:tc>
          <w:tcPr>
            <w:tcW w:w="1081" w:type="dxa"/>
            <w:vMerge w:val="continue"/>
            <w:tcBorders>
              <w:top w:val="nil"/>
              <w:bottom w:val="nil"/>
            </w:tcBorders>
            <w:noWrap w:val="0"/>
            <w:vAlign w:val="top"/>
          </w:tcPr>
          <w:p w14:paraId="6FD1FE71">
            <w:pPr>
              <w:rPr>
                <w:rFonts w:ascii="Arial"/>
                <w:color w:val="auto"/>
                <w:sz w:val="21"/>
              </w:rPr>
            </w:pPr>
          </w:p>
        </w:tc>
        <w:tc>
          <w:tcPr>
            <w:tcW w:w="2972" w:type="dxa"/>
            <w:noWrap w:val="0"/>
            <w:vAlign w:val="top"/>
          </w:tcPr>
          <w:p w14:paraId="74BCCE34">
            <w:pPr>
              <w:pStyle w:val="223"/>
              <w:spacing w:before="67" w:line="228" w:lineRule="auto"/>
              <w:ind w:left="1072"/>
              <w:rPr>
                <w:color w:val="auto"/>
              </w:rPr>
            </w:pPr>
            <w:r>
              <w:rPr>
                <w:color w:val="auto"/>
                <w:spacing w:val="7"/>
              </w:rPr>
              <w:t>低压线束</w:t>
            </w:r>
          </w:p>
        </w:tc>
        <w:tc>
          <w:tcPr>
            <w:tcW w:w="2040" w:type="dxa"/>
            <w:noWrap w:val="0"/>
            <w:vAlign w:val="top"/>
          </w:tcPr>
          <w:p w14:paraId="67B25C14">
            <w:pPr>
              <w:pStyle w:val="223"/>
              <w:spacing w:before="67" w:line="228" w:lineRule="auto"/>
              <w:ind w:left="842"/>
              <w:rPr>
                <w:color w:val="auto"/>
              </w:rPr>
            </w:pPr>
            <w:r>
              <w:rPr>
                <w:color w:val="auto"/>
                <w:spacing w:val="-3"/>
              </w:rPr>
              <w:t>8</w:t>
            </w:r>
            <w:r>
              <w:rPr>
                <w:color w:val="auto"/>
                <w:spacing w:val="-39"/>
              </w:rPr>
              <w:t xml:space="preserve"> </w:t>
            </w:r>
            <w:r>
              <w:rPr>
                <w:color w:val="auto"/>
                <w:spacing w:val="-3"/>
              </w:rPr>
              <w:t>年</w:t>
            </w:r>
          </w:p>
        </w:tc>
      </w:tr>
      <w:tr w14:paraId="606FC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0C270F8B">
            <w:pPr>
              <w:rPr>
                <w:rFonts w:ascii="Arial"/>
                <w:color w:val="auto"/>
                <w:sz w:val="21"/>
              </w:rPr>
            </w:pPr>
          </w:p>
        </w:tc>
        <w:tc>
          <w:tcPr>
            <w:tcW w:w="810" w:type="dxa"/>
            <w:vMerge w:val="continue"/>
            <w:tcBorders>
              <w:top w:val="nil"/>
              <w:bottom w:val="nil"/>
            </w:tcBorders>
            <w:noWrap w:val="0"/>
            <w:vAlign w:val="top"/>
          </w:tcPr>
          <w:p w14:paraId="3FF707F9">
            <w:pPr>
              <w:rPr>
                <w:rFonts w:ascii="Arial"/>
                <w:color w:val="auto"/>
                <w:sz w:val="21"/>
              </w:rPr>
            </w:pPr>
          </w:p>
        </w:tc>
        <w:tc>
          <w:tcPr>
            <w:tcW w:w="675" w:type="dxa"/>
            <w:vMerge w:val="continue"/>
            <w:tcBorders>
              <w:top w:val="nil"/>
              <w:bottom w:val="nil"/>
            </w:tcBorders>
            <w:noWrap w:val="0"/>
            <w:vAlign w:val="top"/>
          </w:tcPr>
          <w:p w14:paraId="4E090E7D">
            <w:pPr>
              <w:rPr>
                <w:rFonts w:ascii="Arial"/>
                <w:color w:val="auto"/>
                <w:sz w:val="21"/>
              </w:rPr>
            </w:pPr>
          </w:p>
        </w:tc>
        <w:tc>
          <w:tcPr>
            <w:tcW w:w="1081" w:type="dxa"/>
            <w:vMerge w:val="continue"/>
            <w:tcBorders>
              <w:top w:val="nil"/>
              <w:bottom w:val="nil"/>
            </w:tcBorders>
            <w:noWrap w:val="0"/>
            <w:vAlign w:val="top"/>
          </w:tcPr>
          <w:p w14:paraId="73C102FD">
            <w:pPr>
              <w:rPr>
                <w:rFonts w:ascii="Arial"/>
                <w:color w:val="auto"/>
                <w:sz w:val="21"/>
              </w:rPr>
            </w:pPr>
          </w:p>
        </w:tc>
        <w:tc>
          <w:tcPr>
            <w:tcW w:w="2972" w:type="dxa"/>
            <w:noWrap w:val="0"/>
            <w:vAlign w:val="top"/>
          </w:tcPr>
          <w:p w14:paraId="1458982A">
            <w:pPr>
              <w:pStyle w:val="223"/>
              <w:spacing w:before="67" w:line="228" w:lineRule="auto"/>
              <w:ind w:left="757"/>
              <w:rPr>
                <w:color w:val="auto"/>
              </w:rPr>
            </w:pPr>
            <w:r>
              <w:rPr>
                <w:color w:val="auto"/>
                <w:spacing w:val="8"/>
              </w:rPr>
              <w:t>扶手杆及连接器</w:t>
            </w:r>
          </w:p>
        </w:tc>
        <w:tc>
          <w:tcPr>
            <w:tcW w:w="2040" w:type="dxa"/>
            <w:noWrap w:val="0"/>
            <w:vAlign w:val="top"/>
          </w:tcPr>
          <w:p w14:paraId="1D17570E">
            <w:pPr>
              <w:pStyle w:val="223"/>
              <w:spacing w:before="67" w:line="228" w:lineRule="auto"/>
              <w:ind w:left="842"/>
              <w:rPr>
                <w:color w:val="auto"/>
              </w:rPr>
            </w:pPr>
            <w:r>
              <w:rPr>
                <w:color w:val="auto"/>
                <w:spacing w:val="-3"/>
              </w:rPr>
              <w:t>8</w:t>
            </w:r>
            <w:r>
              <w:rPr>
                <w:color w:val="auto"/>
                <w:spacing w:val="-39"/>
              </w:rPr>
              <w:t xml:space="preserve"> </w:t>
            </w:r>
            <w:r>
              <w:rPr>
                <w:color w:val="auto"/>
                <w:spacing w:val="-3"/>
              </w:rPr>
              <w:t>年</w:t>
            </w:r>
          </w:p>
        </w:tc>
      </w:tr>
      <w:tr w14:paraId="78F8B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4CDB8A51">
            <w:pPr>
              <w:rPr>
                <w:rFonts w:ascii="Arial"/>
                <w:color w:val="auto"/>
                <w:sz w:val="21"/>
              </w:rPr>
            </w:pPr>
          </w:p>
        </w:tc>
        <w:tc>
          <w:tcPr>
            <w:tcW w:w="810" w:type="dxa"/>
            <w:vMerge w:val="continue"/>
            <w:tcBorders>
              <w:top w:val="nil"/>
              <w:bottom w:val="nil"/>
            </w:tcBorders>
            <w:noWrap w:val="0"/>
            <w:vAlign w:val="top"/>
          </w:tcPr>
          <w:p w14:paraId="3C325930">
            <w:pPr>
              <w:rPr>
                <w:rFonts w:ascii="Arial"/>
                <w:color w:val="auto"/>
                <w:sz w:val="21"/>
              </w:rPr>
            </w:pPr>
          </w:p>
        </w:tc>
        <w:tc>
          <w:tcPr>
            <w:tcW w:w="675" w:type="dxa"/>
            <w:vMerge w:val="continue"/>
            <w:tcBorders>
              <w:top w:val="nil"/>
              <w:bottom w:val="nil"/>
            </w:tcBorders>
            <w:noWrap w:val="0"/>
            <w:vAlign w:val="top"/>
          </w:tcPr>
          <w:p w14:paraId="33B052D3">
            <w:pPr>
              <w:rPr>
                <w:rFonts w:ascii="Arial"/>
                <w:color w:val="auto"/>
                <w:sz w:val="21"/>
              </w:rPr>
            </w:pPr>
          </w:p>
        </w:tc>
        <w:tc>
          <w:tcPr>
            <w:tcW w:w="1081" w:type="dxa"/>
            <w:vMerge w:val="continue"/>
            <w:tcBorders>
              <w:top w:val="nil"/>
              <w:bottom w:val="nil"/>
            </w:tcBorders>
            <w:noWrap w:val="0"/>
            <w:vAlign w:val="top"/>
          </w:tcPr>
          <w:p w14:paraId="5FC72ABE">
            <w:pPr>
              <w:rPr>
                <w:rFonts w:ascii="Arial"/>
                <w:color w:val="auto"/>
                <w:sz w:val="21"/>
              </w:rPr>
            </w:pPr>
          </w:p>
        </w:tc>
        <w:tc>
          <w:tcPr>
            <w:tcW w:w="2972" w:type="dxa"/>
            <w:noWrap w:val="0"/>
            <w:vAlign w:val="top"/>
          </w:tcPr>
          <w:p w14:paraId="04B9CF20">
            <w:pPr>
              <w:pStyle w:val="223"/>
              <w:spacing w:before="68" w:line="229" w:lineRule="auto"/>
              <w:ind w:left="969"/>
              <w:rPr>
                <w:color w:val="auto"/>
              </w:rPr>
            </w:pPr>
            <w:r>
              <w:rPr>
                <w:color w:val="auto"/>
                <w:spacing w:val="7"/>
              </w:rPr>
              <w:t>座椅及支架</w:t>
            </w:r>
          </w:p>
        </w:tc>
        <w:tc>
          <w:tcPr>
            <w:tcW w:w="2040" w:type="dxa"/>
            <w:noWrap w:val="0"/>
            <w:vAlign w:val="top"/>
          </w:tcPr>
          <w:p w14:paraId="330C148C">
            <w:pPr>
              <w:pStyle w:val="223"/>
              <w:spacing w:before="68" w:line="228" w:lineRule="auto"/>
              <w:ind w:left="842"/>
              <w:rPr>
                <w:color w:val="auto"/>
              </w:rPr>
            </w:pPr>
            <w:r>
              <w:rPr>
                <w:color w:val="auto"/>
                <w:spacing w:val="-3"/>
              </w:rPr>
              <w:t>8</w:t>
            </w:r>
            <w:r>
              <w:rPr>
                <w:color w:val="auto"/>
                <w:spacing w:val="-39"/>
              </w:rPr>
              <w:t xml:space="preserve"> </w:t>
            </w:r>
            <w:r>
              <w:rPr>
                <w:color w:val="auto"/>
                <w:spacing w:val="-3"/>
              </w:rPr>
              <w:t>年</w:t>
            </w:r>
          </w:p>
        </w:tc>
      </w:tr>
      <w:tr w14:paraId="4210B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3EE73345">
            <w:pPr>
              <w:rPr>
                <w:rFonts w:ascii="Arial"/>
                <w:color w:val="auto"/>
                <w:sz w:val="21"/>
              </w:rPr>
            </w:pPr>
          </w:p>
        </w:tc>
        <w:tc>
          <w:tcPr>
            <w:tcW w:w="810" w:type="dxa"/>
            <w:vMerge w:val="continue"/>
            <w:tcBorders>
              <w:top w:val="nil"/>
              <w:bottom w:val="nil"/>
            </w:tcBorders>
            <w:noWrap w:val="0"/>
            <w:vAlign w:val="top"/>
          </w:tcPr>
          <w:p w14:paraId="43334E3D">
            <w:pPr>
              <w:rPr>
                <w:rFonts w:ascii="Arial"/>
                <w:color w:val="auto"/>
                <w:sz w:val="21"/>
              </w:rPr>
            </w:pPr>
          </w:p>
        </w:tc>
        <w:tc>
          <w:tcPr>
            <w:tcW w:w="675" w:type="dxa"/>
            <w:vMerge w:val="continue"/>
            <w:tcBorders>
              <w:top w:val="nil"/>
              <w:bottom w:val="nil"/>
            </w:tcBorders>
            <w:noWrap w:val="0"/>
            <w:vAlign w:val="top"/>
          </w:tcPr>
          <w:p w14:paraId="486146FF">
            <w:pPr>
              <w:rPr>
                <w:rFonts w:ascii="Arial"/>
                <w:color w:val="auto"/>
                <w:sz w:val="21"/>
              </w:rPr>
            </w:pPr>
          </w:p>
        </w:tc>
        <w:tc>
          <w:tcPr>
            <w:tcW w:w="1081" w:type="dxa"/>
            <w:vMerge w:val="continue"/>
            <w:tcBorders>
              <w:top w:val="nil"/>
              <w:bottom w:val="nil"/>
            </w:tcBorders>
            <w:noWrap w:val="0"/>
            <w:vAlign w:val="top"/>
          </w:tcPr>
          <w:p w14:paraId="33AC6DAC">
            <w:pPr>
              <w:rPr>
                <w:rFonts w:ascii="Arial"/>
                <w:color w:val="auto"/>
                <w:sz w:val="21"/>
              </w:rPr>
            </w:pPr>
          </w:p>
        </w:tc>
        <w:tc>
          <w:tcPr>
            <w:tcW w:w="2972" w:type="dxa"/>
            <w:noWrap w:val="0"/>
            <w:vAlign w:val="top"/>
          </w:tcPr>
          <w:p w14:paraId="0B7B358E">
            <w:pPr>
              <w:pStyle w:val="223"/>
              <w:spacing w:before="67" w:line="228" w:lineRule="auto"/>
              <w:ind w:left="870"/>
              <w:rPr>
                <w:color w:val="auto"/>
              </w:rPr>
            </w:pPr>
            <w:r>
              <w:rPr>
                <w:color w:val="auto"/>
                <w:spacing w:val="6"/>
              </w:rPr>
              <w:t>司机包围总成</w:t>
            </w:r>
          </w:p>
        </w:tc>
        <w:tc>
          <w:tcPr>
            <w:tcW w:w="2040" w:type="dxa"/>
            <w:noWrap w:val="0"/>
            <w:vAlign w:val="top"/>
          </w:tcPr>
          <w:p w14:paraId="6B4A92D4">
            <w:pPr>
              <w:pStyle w:val="223"/>
              <w:spacing w:before="68" w:line="228" w:lineRule="auto"/>
              <w:ind w:left="842"/>
              <w:rPr>
                <w:color w:val="auto"/>
              </w:rPr>
            </w:pPr>
            <w:r>
              <w:rPr>
                <w:color w:val="auto"/>
                <w:spacing w:val="-3"/>
              </w:rPr>
              <w:t>8</w:t>
            </w:r>
            <w:r>
              <w:rPr>
                <w:color w:val="auto"/>
                <w:spacing w:val="-39"/>
              </w:rPr>
              <w:t xml:space="preserve"> </w:t>
            </w:r>
            <w:r>
              <w:rPr>
                <w:color w:val="auto"/>
                <w:spacing w:val="-3"/>
              </w:rPr>
              <w:t>年</w:t>
            </w:r>
          </w:p>
        </w:tc>
      </w:tr>
      <w:tr w14:paraId="1FC83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2730A25F">
            <w:pPr>
              <w:rPr>
                <w:rFonts w:ascii="Arial"/>
                <w:color w:val="auto"/>
                <w:sz w:val="21"/>
              </w:rPr>
            </w:pPr>
          </w:p>
        </w:tc>
        <w:tc>
          <w:tcPr>
            <w:tcW w:w="810" w:type="dxa"/>
            <w:vMerge w:val="continue"/>
            <w:tcBorders>
              <w:top w:val="nil"/>
              <w:bottom w:val="nil"/>
            </w:tcBorders>
            <w:noWrap w:val="0"/>
            <w:vAlign w:val="top"/>
          </w:tcPr>
          <w:p w14:paraId="10190FC0">
            <w:pPr>
              <w:rPr>
                <w:rFonts w:ascii="Arial"/>
                <w:color w:val="auto"/>
                <w:sz w:val="21"/>
              </w:rPr>
            </w:pPr>
          </w:p>
        </w:tc>
        <w:tc>
          <w:tcPr>
            <w:tcW w:w="675" w:type="dxa"/>
            <w:vMerge w:val="continue"/>
            <w:tcBorders>
              <w:top w:val="nil"/>
              <w:bottom w:val="nil"/>
            </w:tcBorders>
            <w:noWrap w:val="0"/>
            <w:vAlign w:val="top"/>
          </w:tcPr>
          <w:p w14:paraId="35A4A246">
            <w:pPr>
              <w:rPr>
                <w:rFonts w:ascii="Arial"/>
                <w:color w:val="auto"/>
                <w:sz w:val="21"/>
              </w:rPr>
            </w:pPr>
          </w:p>
        </w:tc>
        <w:tc>
          <w:tcPr>
            <w:tcW w:w="1081" w:type="dxa"/>
            <w:vMerge w:val="continue"/>
            <w:tcBorders>
              <w:top w:val="nil"/>
              <w:bottom w:val="nil"/>
            </w:tcBorders>
            <w:noWrap w:val="0"/>
            <w:vAlign w:val="top"/>
          </w:tcPr>
          <w:p w14:paraId="21ECAA7B">
            <w:pPr>
              <w:rPr>
                <w:rFonts w:ascii="Arial"/>
                <w:color w:val="auto"/>
                <w:sz w:val="21"/>
              </w:rPr>
            </w:pPr>
          </w:p>
        </w:tc>
        <w:tc>
          <w:tcPr>
            <w:tcW w:w="2972" w:type="dxa"/>
            <w:noWrap w:val="0"/>
            <w:vAlign w:val="top"/>
          </w:tcPr>
          <w:p w14:paraId="4EBAF935">
            <w:pPr>
              <w:pStyle w:val="223"/>
              <w:spacing w:before="66" w:line="228" w:lineRule="auto"/>
              <w:ind w:left="759"/>
              <w:rPr>
                <w:color w:val="auto"/>
              </w:rPr>
            </w:pPr>
            <w:r>
              <w:rPr>
                <w:color w:val="auto"/>
                <w:spacing w:val="8"/>
              </w:rPr>
              <w:t>仪表台及包围件</w:t>
            </w:r>
          </w:p>
        </w:tc>
        <w:tc>
          <w:tcPr>
            <w:tcW w:w="2040" w:type="dxa"/>
            <w:noWrap w:val="0"/>
            <w:vAlign w:val="top"/>
          </w:tcPr>
          <w:p w14:paraId="11EF57EA">
            <w:pPr>
              <w:pStyle w:val="223"/>
              <w:spacing w:before="66" w:line="228" w:lineRule="auto"/>
              <w:ind w:left="846"/>
              <w:rPr>
                <w:color w:val="auto"/>
              </w:rPr>
            </w:pPr>
            <w:r>
              <w:rPr>
                <w:color w:val="auto"/>
                <w:spacing w:val="-4"/>
              </w:rPr>
              <w:t>3</w:t>
            </w:r>
            <w:r>
              <w:rPr>
                <w:color w:val="auto"/>
                <w:spacing w:val="-40"/>
              </w:rPr>
              <w:t xml:space="preserve"> </w:t>
            </w:r>
            <w:r>
              <w:rPr>
                <w:color w:val="auto"/>
                <w:spacing w:val="-4"/>
              </w:rPr>
              <w:t>年</w:t>
            </w:r>
          </w:p>
        </w:tc>
      </w:tr>
      <w:tr w14:paraId="303E9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1452EAA3">
            <w:pPr>
              <w:rPr>
                <w:rFonts w:ascii="Arial"/>
                <w:color w:val="auto"/>
                <w:sz w:val="21"/>
              </w:rPr>
            </w:pPr>
          </w:p>
        </w:tc>
        <w:tc>
          <w:tcPr>
            <w:tcW w:w="810" w:type="dxa"/>
            <w:vMerge w:val="continue"/>
            <w:tcBorders>
              <w:top w:val="nil"/>
              <w:bottom w:val="nil"/>
            </w:tcBorders>
            <w:noWrap w:val="0"/>
            <w:vAlign w:val="top"/>
          </w:tcPr>
          <w:p w14:paraId="110326CD">
            <w:pPr>
              <w:rPr>
                <w:rFonts w:ascii="Arial"/>
                <w:color w:val="auto"/>
                <w:sz w:val="21"/>
              </w:rPr>
            </w:pPr>
          </w:p>
        </w:tc>
        <w:tc>
          <w:tcPr>
            <w:tcW w:w="675" w:type="dxa"/>
            <w:vMerge w:val="continue"/>
            <w:tcBorders>
              <w:top w:val="nil"/>
              <w:bottom w:val="nil"/>
            </w:tcBorders>
            <w:noWrap w:val="0"/>
            <w:vAlign w:val="top"/>
          </w:tcPr>
          <w:p w14:paraId="79550518">
            <w:pPr>
              <w:rPr>
                <w:rFonts w:ascii="Arial"/>
                <w:color w:val="auto"/>
                <w:sz w:val="21"/>
              </w:rPr>
            </w:pPr>
          </w:p>
        </w:tc>
        <w:tc>
          <w:tcPr>
            <w:tcW w:w="1081" w:type="dxa"/>
            <w:vMerge w:val="continue"/>
            <w:tcBorders>
              <w:top w:val="nil"/>
              <w:bottom w:val="nil"/>
            </w:tcBorders>
            <w:noWrap w:val="0"/>
            <w:vAlign w:val="top"/>
          </w:tcPr>
          <w:p w14:paraId="42CCE8B7">
            <w:pPr>
              <w:rPr>
                <w:rFonts w:ascii="Arial"/>
                <w:color w:val="auto"/>
                <w:sz w:val="21"/>
              </w:rPr>
            </w:pPr>
          </w:p>
        </w:tc>
        <w:tc>
          <w:tcPr>
            <w:tcW w:w="2972" w:type="dxa"/>
            <w:noWrap w:val="0"/>
            <w:vAlign w:val="top"/>
          </w:tcPr>
          <w:p w14:paraId="10BEC58A">
            <w:pPr>
              <w:pStyle w:val="223"/>
              <w:spacing w:before="66" w:line="229" w:lineRule="auto"/>
              <w:ind w:left="1075"/>
              <w:rPr>
                <w:color w:val="auto"/>
              </w:rPr>
            </w:pPr>
            <w:r>
              <w:rPr>
                <w:color w:val="auto"/>
                <w:spacing w:val="6"/>
              </w:rPr>
              <w:t>大灯总成</w:t>
            </w:r>
          </w:p>
        </w:tc>
        <w:tc>
          <w:tcPr>
            <w:tcW w:w="2040" w:type="dxa"/>
            <w:noWrap w:val="0"/>
            <w:vAlign w:val="top"/>
          </w:tcPr>
          <w:p w14:paraId="1D1838C6">
            <w:pPr>
              <w:pStyle w:val="223"/>
              <w:spacing w:before="67" w:line="228" w:lineRule="auto"/>
              <w:ind w:left="846"/>
              <w:rPr>
                <w:color w:val="auto"/>
              </w:rPr>
            </w:pPr>
            <w:r>
              <w:rPr>
                <w:color w:val="auto"/>
                <w:spacing w:val="-4"/>
              </w:rPr>
              <w:t>3</w:t>
            </w:r>
            <w:r>
              <w:rPr>
                <w:color w:val="auto"/>
                <w:spacing w:val="-40"/>
              </w:rPr>
              <w:t xml:space="preserve"> </w:t>
            </w:r>
            <w:r>
              <w:rPr>
                <w:color w:val="auto"/>
                <w:spacing w:val="-4"/>
              </w:rPr>
              <w:t>年</w:t>
            </w:r>
          </w:p>
        </w:tc>
      </w:tr>
      <w:tr w14:paraId="409D2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05BC5F19">
            <w:pPr>
              <w:rPr>
                <w:rFonts w:ascii="Arial"/>
                <w:color w:val="auto"/>
                <w:sz w:val="21"/>
              </w:rPr>
            </w:pPr>
          </w:p>
        </w:tc>
        <w:tc>
          <w:tcPr>
            <w:tcW w:w="810" w:type="dxa"/>
            <w:vMerge w:val="continue"/>
            <w:tcBorders>
              <w:top w:val="nil"/>
              <w:bottom w:val="nil"/>
            </w:tcBorders>
            <w:noWrap w:val="0"/>
            <w:vAlign w:val="top"/>
          </w:tcPr>
          <w:p w14:paraId="3495B39A">
            <w:pPr>
              <w:rPr>
                <w:rFonts w:ascii="Arial"/>
                <w:color w:val="auto"/>
                <w:sz w:val="21"/>
              </w:rPr>
            </w:pPr>
          </w:p>
        </w:tc>
        <w:tc>
          <w:tcPr>
            <w:tcW w:w="675" w:type="dxa"/>
            <w:vMerge w:val="continue"/>
            <w:tcBorders>
              <w:top w:val="nil"/>
              <w:bottom w:val="nil"/>
            </w:tcBorders>
            <w:noWrap w:val="0"/>
            <w:vAlign w:val="top"/>
          </w:tcPr>
          <w:p w14:paraId="6A61BEF3">
            <w:pPr>
              <w:rPr>
                <w:rFonts w:ascii="Arial"/>
                <w:color w:val="auto"/>
                <w:sz w:val="21"/>
              </w:rPr>
            </w:pPr>
          </w:p>
        </w:tc>
        <w:tc>
          <w:tcPr>
            <w:tcW w:w="1081" w:type="dxa"/>
            <w:vMerge w:val="continue"/>
            <w:tcBorders>
              <w:top w:val="nil"/>
              <w:bottom w:val="nil"/>
            </w:tcBorders>
            <w:noWrap w:val="0"/>
            <w:vAlign w:val="top"/>
          </w:tcPr>
          <w:p w14:paraId="5F237725">
            <w:pPr>
              <w:rPr>
                <w:rFonts w:ascii="Arial"/>
                <w:color w:val="auto"/>
                <w:sz w:val="21"/>
              </w:rPr>
            </w:pPr>
          </w:p>
        </w:tc>
        <w:tc>
          <w:tcPr>
            <w:tcW w:w="2972" w:type="dxa"/>
            <w:noWrap w:val="0"/>
            <w:vAlign w:val="top"/>
          </w:tcPr>
          <w:p w14:paraId="4340D1A6">
            <w:pPr>
              <w:pStyle w:val="223"/>
              <w:spacing w:before="67" w:line="229" w:lineRule="auto"/>
              <w:ind w:left="1073"/>
              <w:rPr>
                <w:color w:val="auto"/>
              </w:rPr>
            </w:pPr>
            <w:r>
              <w:rPr>
                <w:color w:val="auto"/>
                <w:spacing w:val="7"/>
              </w:rPr>
              <w:t>尾灯总成</w:t>
            </w:r>
          </w:p>
        </w:tc>
        <w:tc>
          <w:tcPr>
            <w:tcW w:w="2040" w:type="dxa"/>
            <w:noWrap w:val="0"/>
            <w:vAlign w:val="top"/>
          </w:tcPr>
          <w:p w14:paraId="70A5FAC1">
            <w:pPr>
              <w:pStyle w:val="223"/>
              <w:spacing w:before="67" w:line="228" w:lineRule="auto"/>
              <w:ind w:left="846"/>
              <w:rPr>
                <w:color w:val="auto"/>
              </w:rPr>
            </w:pPr>
            <w:r>
              <w:rPr>
                <w:color w:val="auto"/>
                <w:spacing w:val="-4"/>
              </w:rPr>
              <w:t>3</w:t>
            </w:r>
            <w:r>
              <w:rPr>
                <w:color w:val="auto"/>
                <w:spacing w:val="-40"/>
              </w:rPr>
              <w:t xml:space="preserve"> </w:t>
            </w:r>
            <w:r>
              <w:rPr>
                <w:color w:val="auto"/>
                <w:spacing w:val="-4"/>
              </w:rPr>
              <w:t>年</w:t>
            </w:r>
          </w:p>
        </w:tc>
      </w:tr>
      <w:tr w14:paraId="19E70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09C89F5F">
            <w:pPr>
              <w:rPr>
                <w:rFonts w:ascii="Arial"/>
                <w:color w:val="auto"/>
                <w:sz w:val="21"/>
              </w:rPr>
            </w:pPr>
          </w:p>
        </w:tc>
        <w:tc>
          <w:tcPr>
            <w:tcW w:w="810" w:type="dxa"/>
            <w:vMerge w:val="continue"/>
            <w:tcBorders>
              <w:top w:val="nil"/>
              <w:bottom w:val="nil"/>
            </w:tcBorders>
            <w:noWrap w:val="0"/>
            <w:vAlign w:val="top"/>
          </w:tcPr>
          <w:p w14:paraId="3BC50FAA">
            <w:pPr>
              <w:rPr>
                <w:rFonts w:ascii="Arial"/>
                <w:color w:val="auto"/>
                <w:sz w:val="21"/>
              </w:rPr>
            </w:pPr>
          </w:p>
        </w:tc>
        <w:tc>
          <w:tcPr>
            <w:tcW w:w="675" w:type="dxa"/>
            <w:vMerge w:val="continue"/>
            <w:tcBorders>
              <w:top w:val="nil"/>
              <w:bottom w:val="nil"/>
            </w:tcBorders>
            <w:noWrap w:val="0"/>
            <w:vAlign w:val="top"/>
          </w:tcPr>
          <w:p w14:paraId="5D98D405">
            <w:pPr>
              <w:rPr>
                <w:rFonts w:ascii="Arial"/>
                <w:color w:val="auto"/>
                <w:sz w:val="21"/>
              </w:rPr>
            </w:pPr>
          </w:p>
        </w:tc>
        <w:tc>
          <w:tcPr>
            <w:tcW w:w="1081" w:type="dxa"/>
            <w:vMerge w:val="continue"/>
            <w:tcBorders>
              <w:top w:val="nil"/>
              <w:bottom w:val="nil"/>
            </w:tcBorders>
            <w:noWrap w:val="0"/>
            <w:vAlign w:val="top"/>
          </w:tcPr>
          <w:p w14:paraId="483699B8">
            <w:pPr>
              <w:rPr>
                <w:rFonts w:ascii="Arial"/>
                <w:color w:val="auto"/>
                <w:sz w:val="21"/>
              </w:rPr>
            </w:pPr>
          </w:p>
        </w:tc>
        <w:tc>
          <w:tcPr>
            <w:tcW w:w="2972" w:type="dxa"/>
            <w:noWrap w:val="0"/>
            <w:vAlign w:val="top"/>
          </w:tcPr>
          <w:p w14:paraId="51DC2F97">
            <w:pPr>
              <w:pStyle w:val="223"/>
              <w:spacing w:before="67" w:line="228" w:lineRule="auto"/>
              <w:ind w:left="968"/>
              <w:rPr>
                <w:color w:val="auto"/>
              </w:rPr>
            </w:pPr>
            <w:r>
              <w:rPr>
                <w:color w:val="auto"/>
                <w:spacing w:val="7"/>
              </w:rPr>
              <w:t>铝合金轮辋</w:t>
            </w:r>
          </w:p>
        </w:tc>
        <w:tc>
          <w:tcPr>
            <w:tcW w:w="2040" w:type="dxa"/>
            <w:noWrap w:val="0"/>
            <w:vAlign w:val="top"/>
          </w:tcPr>
          <w:p w14:paraId="245EA088">
            <w:pPr>
              <w:pStyle w:val="223"/>
              <w:spacing w:before="67" w:line="228" w:lineRule="auto"/>
              <w:ind w:left="842"/>
              <w:rPr>
                <w:color w:val="auto"/>
              </w:rPr>
            </w:pPr>
            <w:r>
              <w:rPr>
                <w:color w:val="auto"/>
                <w:spacing w:val="-3"/>
              </w:rPr>
              <w:t>8</w:t>
            </w:r>
            <w:r>
              <w:rPr>
                <w:color w:val="auto"/>
                <w:spacing w:val="-39"/>
              </w:rPr>
              <w:t xml:space="preserve"> </w:t>
            </w:r>
            <w:r>
              <w:rPr>
                <w:color w:val="auto"/>
                <w:spacing w:val="-3"/>
              </w:rPr>
              <w:t>年</w:t>
            </w:r>
          </w:p>
        </w:tc>
      </w:tr>
      <w:tr w14:paraId="0012A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657763A5">
            <w:pPr>
              <w:rPr>
                <w:rFonts w:ascii="Arial"/>
                <w:color w:val="auto"/>
                <w:sz w:val="21"/>
              </w:rPr>
            </w:pPr>
          </w:p>
        </w:tc>
        <w:tc>
          <w:tcPr>
            <w:tcW w:w="810" w:type="dxa"/>
            <w:vMerge w:val="continue"/>
            <w:tcBorders>
              <w:top w:val="nil"/>
              <w:bottom w:val="nil"/>
            </w:tcBorders>
            <w:noWrap w:val="0"/>
            <w:vAlign w:val="top"/>
          </w:tcPr>
          <w:p w14:paraId="21DAA704">
            <w:pPr>
              <w:rPr>
                <w:rFonts w:ascii="Arial"/>
                <w:color w:val="auto"/>
                <w:sz w:val="21"/>
              </w:rPr>
            </w:pPr>
          </w:p>
        </w:tc>
        <w:tc>
          <w:tcPr>
            <w:tcW w:w="675" w:type="dxa"/>
            <w:vMerge w:val="continue"/>
            <w:tcBorders>
              <w:top w:val="nil"/>
              <w:bottom w:val="nil"/>
            </w:tcBorders>
            <w:noWrap w:val="0"/>
            <w:vAlign w:val="top"/>
          </w:tcPr>
          <w:p w14:paraId="590F1217">
            <w:pPr>
              <w:rPr>
                <w:rFonts w:ascii="Arial"/>
                <w:color w:val="auto"/>
                <w:sz w:val="21"/>
              </w:rPr>
            </w:pPr>
          </w:p>
        </w:tc>
        <w:tc>
          <w:tcPr>
            <w:tcW w:w="1081" w:type="dxa"/>
            <w:vMerge w:val="continue"/>
            <w:tcBorders>
              <w:top w:val="nil"/>
              <w:bottom w:val="nil"/>
            </w:tcBorders>
            <w:noWrap w:val="0"/>
            <w:vAlign w:val="top"/>
          </w:tcPr>
          <w:p w14:paraId="584CDC11">
            <w:pPr>
              <w:rPr>
                <w:rFonts w:ascii="Arial"/>
                <w:color w:val="auto"/>
                <w:sz w:val="21"/>
              </w:rPr>
            </w:pPr>
          </w:p>
        </w:tc>
        <w:tc>
          <w:tcPr>
            <w:tcW w:w="2972" w:type="dxa"/>
            <w:noWrap w:val="0"/>
            <w:vAlign w:val="top"/>
          </w:tcPr>
          <w:p w14:paraId="07E4F6CD">
            <w:pPr>
              <w:pStyle w:val="223"/>
              <w:spacing w:before="68" w:line="228" w:lineRule="auto"/>
              <w:ind w:left="974"/>
              <w:rPr>
                <w:color w:val="auto"/>
              </w:rPr>
            </w:pPr>
            <w:r>
              <w:rPr>
                <w:color w:val="auto"/>
                <w:spacing w:val="6"/>
              </w:rPr>
              <w:t>驾驶员座椅</w:t>
            </w:r>
          </w:p>
        </w:tc>
        <w:tc>
          <w:tcPr>
            <w:tcW w:w="2040" w:type="dxa"/>
            <w:noWrap w:val="0"/>
            <w:vAlign w:val="top"/>
          </w:tcPr>
          <w:p w14:paraId="4335C842">
            <w:pPr>
              <w:pStyle w:val="223"/>
              <w:spacing w:before="68" w:line="228" w:lineRule="auto"/>
              <w:ind w:left="842"/>
              <w:rPr>
                <w:color w:val="auto"/>
              </w:rPr>
            </w:pPr>
            <w:r>
              <w:rPr>
                <w:color w:val="auto"/>
                <w:spacing w:val="-3"/>
              </w:rPr>
              <w:t>8</w:t>
            </w:r>
            <w:r>
              <w:rPr>
                <w:color w:val="auto"/>
                <w:spacing w:val="-39"/>
              </w:rPr>
              <w:t xml:space="preserve"> </w:t>
            </w:r>
            <w:r>
              <w:rPr>
                <w:color w:val="auto"/>
                <w:spacing w:val="-3"/>
              </w:rPr>
              <w:t>年</w:t>
            </w:r>
          </w:p>
        </w:tc>
      </w:tr>
      <w:tr w14:paraId="0A3EE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55D5E60E">
            <w:pPr>
              <w:rPr>
                <w:rFonts w:ascii="Arial"/>
                <w:color w:val="auto"/>
                <w:sz w:val="21"/>
              </w:rPr>
            </w:pPr>
          </w:p>
        </w:tc>
        <w:tc>
          <w:tcPr>
            <w:tcW w:w="810" w:type="dxa"/>
            <w:vMerge w:val="continue"/>
            <w:tcBorders>
              <w:top w:val="nil"/>
              <w:bottom w:val="nil"/>
            </w:tcBorders>
            <w:noWrap w:val="0"/>
            <w:vAlign w:val="top"/>
          </w:tcPr>
          <w:p w14:paraId="0CF2463B">
            <w:pPr>
              <w:rPr>
                <w:rFonts w:ascii="Arial"/>
                <w:color w:val="auto"/>
                <w:sz w:val="21"/>
              </w:rPr>
            </w:pPr>
          </w:p>
        </w:tc>
        <w:tc>
          <w:tcPr>
            <w:tcW w:w="675" w:type="dxa"/>
            <w:vMerge w:val="continue"/>
            <w:tcBorders>
              <w:top w:val="nil"/>
              <w:bottom w:val="nil"/>
            </w:tcBorders>
            <w:noWrap w:val="0"/>
            <w:vAlign w:val="top"/>
          </w:tcPr>
          <w:p w14:paraId="20865EB5">
            <w:pPr>
              <w:rPr>
                <w:rFonts w:ascii="Arial"/>
                <w:color w:val="auto"/>
                <w:sz w:val="21"/>
              </w:rPr>
            </w:pPr>
          </w:p>
        </w:tc>
        <w:tc>
          <w:tcPr>
            <w:tcW w:w="1081" w:type="dxa"/>
            <w:vMerge w:val="continue"/>
            <w:tcBorders>
              <w:top w:val="nil"/>
              <w:bottom w:val="nil"/>
            </w:tcBorders>
            <w:noWrap w:val="0"/>
            <w:vAlign w:val="top"/>
          </w:tcPr>
          <w:p w14:paraId="4223D51D">
            <w:pPr>
              <w:rPr>
                <w:rFonts w:ascii="Arial"/>
                <w:color w:val="auto"/>
                <w:sz w:val="21"/>
              </w:rPr>
            </w:pPr>
          </w:p>
        </w:tc>
        <w:tc>
          <w:tcPr>
            <w:tcW w:w="2972" w:type="dxa"/>
            <w:noWrap w:val="0"/>
            <w:vAlign w:val="top"/>
          </w:tcPr>
          <w:p w14:paraId="48CBA466">
            <w:pPr>
              <w:pStyle w:val="223"/>
              <w:spacing w:before="68" w:line="228" w:lineRule="auto"/>
              <w:ind w:left="1098"/>
              <w:rPr>
                <w:color w:val="auto"/>
              </w:rPr>
            </w:pPr>
            <w:r>
              <w:rPr>
                <w:color w:val="auto"/>
                <w:spacing w:val="1"/>
              </w:rPr>
              <w:t>内后视镜</w:t>
            </w:r>
          </w:p>
        </w:tc>
        <w:tc>
          <w:tcPr>
            <w:tcW w:w="2040" w:type="dxa"/>
            <w:noWrap w:val="0"/>
            <w:vAlign w:val="top"/>
          </w:tcPr>
          <w:p w14:paraId="52A17BF8">
            <w:pPr>
              <w:pStyle w:val="223"/>
              <w:spacing w:before="68" w:line="228" w:lineRule="auto"/>
              <w:ind w:left="846"/>
              <w:rPr>
                <w:color w:val="auto"/>
              </w:rPr>
            </w:pPr>
            <w:r>
              <w:rPr>
                <w:color w:val="auto"/>
                <w:spacing w:val="-4"/>
              </w:rPr>
              <w:t>3</w:t>
            </w:r>
            <w:r>
              <w:rPr>
                <w:color w:val="auto"/>
                <w:spacing w:val="-40"/>
              </w:rPr>
              <w:t xml:space="preserve"> </w:t>
            </w:r>
            <w:r>
              <w:rPr>
                <w:color w:val="auto"/>
                <w:spacing w:val="-4"/>
              </w:rPr>
              <w:t>年</w:t>
            </w:r>
          </w:p>
        </w:tc>
      </w:tr>
      <w:tr w14:paraId="10908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1D93DF53">
            <w:pPr>
              <w:rPr>
                <w:rFonts w:ascii="Arial"/>
                <w:color w:val="auto"/>
                <w:sz w:val="21"/>
              </w:rPr>
            </w:pPr>
          </w:p>
        </w:tc>
        <w:tc>
          <w:tcPr>
            <w:tcW w:w="810" w:type="dxa"/>
            <w:vMerge w:val="continue"/>
            <w:tcBorders>
              <w:top w:val="nil"/>
              <w:bottom w:val="nil"/>
            </w:tcBorders>
            <w:noWrap w:val="0"/>
            <w:vAlign w:val="top"/>
          </w:tcPr>
          <w:p w14:paraId="2BEEA8BD">
            <w:pPr>
              <w:rPr>
                <w:rFonts w:ascii="Arial"/>
                <w:color w:val="auto"/>
                <w:sz w:val="21"/>
              </w:rPr>
            </w:pPr>
          </w:p>
        </w:tc>
        <w:tc>
          <w:tcPr>
            <w:tcW w:w="675" w:type="dxa"/>
            <w:vMerge w:val="continue"/>
            <w:tcBorders>
              <w:top w:val="nil"/>
              <w:bottom w:val="nil"/>
            </w:tcBorders>
            <w:noWrap w:val="0"/>
            <w:vAlign w:val="top"/>
          </w:tcPr>
          <w:p w14:paraId="0C0A813A">
            <w:pPr>
              <w:rPr>
                <w:rFonts w:ascii="Arial"/>
                <w:color w:val="auto"/>
                <w:sz w:val="21"/>
              </w:rPr>
            </w:pPr>
          </w:p>
        </w:tc>
        <w:tc>
          <w:tcPr>
            <w:tcW w:w="1081" w:type="dxa"/>
            <w:vMerge w:val="continue"/>
            <w:tcBorders>
              <w:top w:val="nil"/>
              <w:bottom w:val="nil"/>
            </w:tcBorders>
            <w:noWrap w:val="0"/>
            <w:vAlign w:val="top"/>
          </w:tcPr>
          <w:p w14:paraId="459D91FF">
            <w:pPr>
              <w:rPr>
                <w:rFonts w:ascii="Arial"/>
                <w:color w:val="auto"/>
                <w:sz w:val="21"/>
              </w:rPr>
            </w:pPr>
          </w:p>
        </w:tc>
        <w:tc>
          <w:tcPr>
            <w:tcW w:w="2972" w:type="dxa"/>
            <w:noWrap w:val="0"/>
            <w:vAlign w:val="top"/>
          </w:tcPr>
          <w:p w14:paraId="7B000B8E">
            <w:pPr>
              <w:pStyle w:val="223"/>
              <w:spacing w:before="66" w:line="228" w:lineRule="auto"/>
              <w:ind w:left="1073"/>
              <w:rPr>
                <w:color w:val="auto"/>
              </w:rPr>
            </w:pPr>
            <w:r>
              <w:rPr>
                <w:color w:val="auto"/>
                <w:spacing w:val="7"/>
              </w:rPr>
              <w:t>全车锁体</w:t>
            </w:r>
          </w:p>
        </w:tc>
        <w:tc>
          <w:tcPr>
            <w:tcW w:w="2040" w:type="dxa"/>
            <w:noWrap w:val="0"/>
            <w:vAlign w:val="top"/>
          </w:tcPr>
          <w:p w14:paraId="357186BB">
            <w:pPr>
              <w:pStyle w:val="223"/>
              <w:spacing w:before="66" w:line="228" w:lineRule="auto"/>
              <w:ind w:left="846"/>
              <w:rPr>
                <w:color w:val="auto"/>
              </w:rPr>
            </w:pPr>
            <w:r>
              <w:rPr>
                <w:color w:val="auto"/>
                <w:spacing w:val="-4"/>
              </w:rPr>
              <w:t>3</w:t>
            </w:r>
            <w:r>
              <w:rPr>
                <w:color w:val="auto"/>
                <w:spacing w:val="-40"/>
              </w:rPr>
              <w:t xml:space="preserve"> </w:t>
            </w:r>
            <w:r>
              <w:rPr>
                <w:color w:val="auto"/>
                <w:spacing w:val="-4"/>
              </w:rPr>
              <w:t>年</w:t>
            </w:r>
          </w:p>
        </w:tc>
      </w:tr>
      <w:tr w14:paraId="121CD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4211A1D5">
            <w:pPr>
              <w:rPr>
                <w:rFonts w:ascii="Arial"/>
                <w:color w:val="auto"/>
                <w:sz w:val="21"/>
              </w:rPr>
            </w:pPr>
          </w:p>
        </w:tc>
        <w:tc>
          <w:tcPr>
            <w:tcW w:w="810" w:type="dxa"/>
            <w:vMerge w:val="continue"/>
            <w:tcBorders>
              <w:top w:val="nil"/>
              <w:bottom w:val="nil"/>
            </w:tcBorders>
            <w:noWrap w:val="0"/>
            <w:vAlign w:val="top"/>
          </w:tcPr>
          <w:p w14:paraId="63E95A9A">
            <w:pPr>
              <w:rPr>
                <w:rFonts w:ascii="Arial"/>
                <w:color w:val="auto"/>
                <w:sz w:val="21"/>
              </w:rPr>
            </w:pPr>
          </w:p>
        </w:tc>
        <w:tc>
          <w:tcPr>
            <w:tcW w:w="675" w:type="dxa"/>
            <w:vMerge w:val="continue"/>
            <w:tcBorders>
              <w:top w:val="nil"/>
            </w:tcBorders>
            <w:noWrap w:val="0"/>
            <w:vAlign w:val="top"/>
          </w:tcPr>
          <w:p w14:paraId="49ADAB6A">
            <w:pPr>
              <w:rPr>
                <w:rFonts w:ascii="Arial"/>
                <w:color w:val="auto"/>
                <w:sz w:val="21"/>
              </w:rPr>
            </w:pPr>
          </w:p>
        </w:tc>
        <w:tc>
          <w:tcPr>
            <w:tcW w:w="1081" w:type="dxa"/>
            <w:vMerge w:val="continue"/>
            <w:tcBorders>
              <w:top w:val="nil"/>
            </w:tcBorders>
            <w:noWrap w:val="0"/>
            <w:vAlign w:val="top"/>
          </w:tcPr>
          <w:p w14:paraId="15E906C3">
            <w:pPr>
              <w:rPr>
                <w:rFonts w:ascii="Arial"/>
                <w:color w:val="auto"/>
                <w:sz w:val="21"/>
              </w:rPr>
            </w:pPr>
          </w:p>
        </w:tc>
        <w:tc>
          <w:tcPr>
            <w:tcW w:w="2972" w:type="dxa"/>
            <w:noWrap w:val="0"/>
            <w:vAlign w:val="top"/>
          </w:tcPr>
          <w:p w14:paraId="31908F95">
            <w:pPr>
              <w:pStyle w:val="223"/>
              <w:spacing w:before="66" w:line="229" w:lineRule="auto"/>
              <w:ind w:left="1077"/>
              <w:rPr>
                <w:color w:val="auto"/>
              </w:rPr>
            </w:pPr>
            <w:r>
              <w:rPr>
                <w:color w:val="auto"/>
                <w:spacing w:val="6"/>
              </w:rPr>
              <w:t>外后视镜</w:t>
            </w:r>
          </w:p>
        </w:tc>
        <w:tc>
          <w:tcPr>
            <w:tcW w:w="2040" w:type="dxa"/>
            <w:noWrap w:val="0"/>
            <w:vAlign w:val="top"/>
          </w:tcPr>
          <w:p w14:paraId="1FE24D20">
            <w:pPr>
              <w:pStyle w:val="223"/>
              <w:spacing w:before="67" w:line="228" w:lineRule="auto"/>
              <w:ind w:left="842"/>
              <w:rPr>
                <w:color w:val="auto"/>
              </w:rPr>
            </w:pPr>
            <w:r>
              <w:rPr>
                <w:color w:val="auto"/>
                <w:spacing w:val="-3"/>
              </w:rPr>
              <w:t>8</w:t>
            </w:r>
            <w:r>
              <w:rPr>
                <w:color w:val="auto"/>
                <w:spacing w:val="-39"/>
              </w:rPr>
              <w:t xml:space="preserve"> </w:t>
            </w:r>
            <w:r>
              <w:rPr>
                <w:color w:val="auto"/>
                <w:spacing w:val="-3"/>
              </w:rPr>
              <w:t>年</w:t>
            </w:r>
          </w:p>
        </w:tc>
      </w:tr>
      <w:tr w14:paraId="61E19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48" w:type="dxa"/>
            <w:vMerge w:val="continue"/>
            <w:tcBorders>
              <w:top w:val="nil"/>
              <w:bottom w:val="nil"/>
            </w:tcBorders>
            <w:noWrap w:val="0"/>
            <w:vAlign w:val="top"/>
          </w:tcPr>
          <w:p w14:paraId="6A517874">
            <w:pPr>
              <w:rPr>
                <w:rFonts w:ascii="Arial"/>
                <w:color w:val="auto"/>
                <w:sz w:val="21"/>
              </w:rPr>
            </w:pPr>
          </w:p>
        </w:tc>
        <w:tc>
          <w:tcPr>
            <w:tcW w:w="810" w:type="dxa"/>
            <w:vMerge w:val="continue"/>
            <w:tcBorders>
              <w:top w:val="nil"/>
              <w:bottom w:val="nil"/>
            </w:tcBorders>
            <w:noWrap w:val="0"/>
            <w:vAlign w:val="top"/>
          </w:tcPr>
          <w:p w14:paraId="4C0DB835">
            <w:pPr>
              <w:rPr>
                <w:rFonts w:ascii="Arial"/>
                <w:color w:val="auto"/>
                <w:sz w:val="21"/>
              </w:rPr>
            </w:pPr>
          </w:p>
        </w:tc>
        <w:tc>
          <w:tcPr>
            <w:tcW w:w="675" w:type="dxa"/>
            <w:vMerge w:val="restart"/>
            <w:tcBorders>
              <w:bottom w:val="nil"/>
            </w:tcBorders>
            <w:noWrap w:val="0"/>
            <w:vAlign w:val="top"/>
          </w:tcPr>
          <w:p w14:paraId="4D143420">
            <w:pPr>
              <w:rPr>
                <w:rFonts w:ascii="Arial"/>
                <w:color w:val="auto"/>
                <w:sz w:val="21"/>
              </w:rPr>
            </w:pPr>
          </w:p>
        </w:tc>
        <w:tc>
          <w:tcPr>
            <w:tcW w:w="1081" w:type="dxa"/>
            <w:noWrap w:val="0"/>
            <w:vAlign w:val="top"/>
          </w:tcPr>
          <w:p w14:paraId="1D3FFC91">
            <w:pPr>
              <w:rPr>
                <w:rFonts w:ascii="Arial"/>
                <w:color w:val="auto"/>
                <w:sz w:val="21"/>
              </w:rPr>
            </w:pPr>
          </w:p>
        </w:tc>
        <w:tc>
          <w:tcPr>
            <w:tcW w:w="2972" w:type="dxa"/>
            <w:noWrap w:val="0"/>
            <w:vAlign w:val="top"/>
          </w:tcPr>
          <w:p w14:paraId="348CBF17">
            <w:pPr>
              <w:pStyle w:val="223"/>
              <w:spacing w:before="59" w:line="229" w:lineRule="auto"/>
              <w:ind w:left="1286"/>
              <w:rPr>
                <w:color w:val="auto"/>
              </w:rPr>
            </w:pPr>
            <w:r>
              <w:rPr>
                <w:color w:val="auto"/>
                <w:spacing w:val="2"/>
              </w:rPr>
              <w:t>天窗</w:t>
            </w:r>
          </w:p>
        </w:tc>
        <w:tc>
          <w:tcPr>
            <w:tcW w:w="2040" w:type="dxa"/>
            <w:noWrap w:val="0"/>
            <w:vAlign w:val="top"/>
          </w:tcPr>
          <w:p w14:paraId="410ED64A">
            <w:pPr>
              <w:pStyle w:val="223"/>
              <w:spacing w:before="60" w:line="228" w:lineRule="auto"/>
              <w:ind w:left="842"/>
              <w:rPr>
                <w:color w:val="auto"/>
              </w:rPr>
            </w:pPr>
            <w:r>
              <w:rPr>
                <w:color w:val="auto"/>
                <w:spacing w:val="-3"/>
              </w:rPr>
              <w:t>8</w:t>
            </w:r>
            <w:r>
              <w:rPr>
                <w:color w:val="auto"/>
                <w:spacing w:val="-39"/>
              </w:rPr>
              <w:t xml:space="preserve"> </w:t>
            </w:r>
            <w:r>
              <w:rPr>
                <w:color w:val="auto"/>
                <w:spacing w:val="-3"/>
              </w:rPr>
              <w:t>年</w:t>
            </w:r>
          </w:p>
        </w:tc>
      </w:tr>
      <w:tr w14:paraId="71E9F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443981B7">
            <w:pPr>
              <w:rPr>
                <w:rFonts w:ascii="Arial"/>
                <w:color w:val="auto"/>
                <w:sz w:val="21"/>
              </w:rPr>
            </w:pPr>
          </w:p>
        </w:tc>
        <w:tc>
          <w:tcPr>
            <w:tcW w:w="810" w:type="dxa"/>
            <w:vMerge w:val="continue"/>
            <w:tcBorders>
              <w:top w:val="nil"/>
            </w:tcBorders>
            <w:noWrap w:val="0"/>
            <w:vAlign w:val="top"/>
          </w:tcPr>
          <w:p w14:paraId="4B9D2B27">
            <w:pPr>
              <w:rPr>
                <w:rFonts w:ascii="Arial"/>
                <w:color w:val="auto"/>
                <w:sz w:val="21"/>
              </w:rPr>
            </w:pPr>
          </w:p>
        </w:tc>
        <w:tc>
          <w:tcPr>
            <w:tcW w:w="675" w:type="dxa"/>
            <w:vMerge w:val="continue"/>
            <w:tcBorders>
              <w:top w:val="nil"/>
            </w:tcBorders>
            <w:noWrap w:val="0"/>
            <w:vAlign w:val="top"/>
          </w:tcPr>
          <w:p w14:paraId="2B83F804">
            <w:pPr>
              <w:rPr>
                <w:rFonts w:ascii="Arial"/>
                <w:color w:val="auto"/>
                <w:sz w:val="21"/>
              </w:rPr>
            </w:pPr>
          </w:p>
        </w:tc>
        <w:tc>
          <w:tcPr>
            <w:tcW w:w="1081" w:type="dxa"/>
            <w:noWrap w:val="0"/>
            <w:vAlign w:val="top"/>
          </w:tcPr>
          <w:p w14:paraId="60524F45">
            <w:pPr>
              <w:pStyle w:val="223"/>
              <w:spacing w:before="67" w:line="228" w:lineRule="auto"/>
              <w:ind w:left="336"/>
              <w:rPr>
                <w:color w:val="auto"/>
              </w:rPr>
            </w:pPr>
            <w:r>
              <w:rPr>
                <w:color w:val="auto"/>
                <w:spacing w:val="3"/>
              </w:rPr>
              <w:t>车架</w:t>
            </w:r>
          </w:p>
        </w:tc>
        <w:tc>
          <w:tcPr>
            <w:tcW w:w="2972" w:type="dxa"/>
            <w:noWrap w:val="0"/>
            <w:vAlign w:val="top"/>
          </w:tcPr>
          <w:p w14:paraId="6096AFF5">
            <w:pPr>
              <w:pStyle w:val="223"/>
              <w:spacing w:before="67" w:line="228" w:lineRule="auto"/>
              <w:ind w:left="863"/>
              <w:rPr>
                <w:color w:val="auto"/>
              </w:rPr>
            </w:pPr>
            <w:r>
              <w:rPr>
                <w:color w:val="auto"/>
                <w:spacing w:val="6"/>
              </w:rPr>
              <w:t>车架（底盘）</w:t>
            </w:r>
          </w:p>
        </w:tc>
        <w:tc>
          <w:tcPr>
            <w:tcW w:w="2040" w:type="dxa"/>
            <w:noWrap w:val="0"/>
            <w:vAlign w:val="top"/>
          </w:tcPr>
          <w:p w14:paraId="3D11319C">
            <w:pPr>
              <w:pStyle w:val="223"/>
              <w:spacing w:before="67" w:line="228" w:lineRule="auto"/>
              <w:ind w:left="804"/>
              <w:rPr>
                <w:color w:val="auto"/>
              </w:rPr>
            </w:pPr>
            <w:r>
              <w:rPr>
                <w:color w:val="auto"/>
                <w:spacing w:val="-5"/>
              </w:rPr>
              <w:t>10</w:t>
            </w:r>
            <w:r>
              <w:rPr>
                <w:color w:val="auto"/>
                <w:spacing w:val="-39"/>
              </w:rPr>
              <w:t xml:space="preserve"> </w:t>
            </w:r>
            <w:r>
              <w:rPr>
                <w:color w:val="auto"/>
                <w:spacing w:val="-5"/>
              </w:rPr>
              <w:t>年</w:t>
            </w:r>
          </w:p>
        </w:tc>
      </w:tr>
      <w:tr w14:paraId="6072A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512F521B">
            <w:pPr>
              <w:rPr>
                <w:rFonts w:ascii="Arial"/>
                <w:color w:val="auto"/>
                <w:sz w:val="21"/>
              </w:rPr>
            </w:pPr>
          </w:p>
        </w:tc>
        <w:tc>
          <w:tcPr>
            <w:tcW w:w="810" w:type="dxa"/>
            <w:vMerge w:val="restart"/>
            <w:tcBorders>
              <w:bottom w:val="nil"/>
            </w:tcBorders>
            <w:noWrap w:val="0"/>
            <w:vAlign w:val="top"/>
          </w:tcPr>
          <w:p w14:paraId="58264BBA">
            <w:pPr>
              <w:spacing w:line="263" w:lineRule="auto"/>
              <w:rPr>
                <w:rFonts w:ascii="Arial"/>
                <w:color w:val="auto"/>
                <w:sz w:val="21"/>
              </w:rPr>
            </w:pPr>
          </w:p>
          <w:p w14:paraId="617E4C4F">
            <w:pPr>
              <w:spacing w:line="263" w:lineRule="auto"/>
              <w:rPr>
                <w:rFonts w:ascii="Arial"/>
                <w:color w:val="auto"/>
                <w:sz w:val="21"/>
              </w:rPr>
            </w:pPr>
          </w:p>
          <w:p w14:paraId="3CDD1964">
            <w:pPr>
              <w:spacing w:line="263" w:lineRule="auto"/>
              <w:rPr>
                <w:rFonts w:ascii="Arial"/>
                <w:color w:val="auto"/>
                <w:sz w:val="21"/>
              </w:rPr>
            </w:pPr>
          </w:p>
          <w:p w14:paraId="049E6C5F">
            <w:pPr>
              <w:spacing w:line="264" w:lineRule="auto"/>
              <w:rPr>
                <w:rFonts w:ascii="Arial"/>
                <w:color w:val="auto"/>
                <w:sz w:val="21"/>
              </w:rPr>
            </w:pPr>
          </w:p>
          <w:p w14:paraId="35F25A51">
            <w:pPr>
              <w:spacing w:line="264" w:lineRule="auto"/>
              <w:rPr>
                <w:rFonts w:ascii="Arial"/>
                <w:color w:val="auto"/>
                <w:sz w:val="21"/>
              </w:rPr>
            </w:pPr>
          </w:p>
          <w:p w14:paraId="2034B2C1">
            <w:pPr>
              <w:spacing w:line="264" w:lineRule="auto"/>
              <w:rPr>
                <w:rFonts w:ascii="Arial"/>
                <w:color w:val="auto"/>
                <w:sz w:val="21"/>
              </w:rPr>
            </w:pPr>
          </w:p>
          <w:p w14:paraId="63B2C770">
            <w:pPr>
              <w:spacing w:line="264" w:lineRule="auto"/>
              <w:rPr>
                <w:rFonts w:ascii="Arial"/>
                <w:color w:val="auto"/>
                <w:sz w:val="21"/>
              </w:rPr>
            </w:pPr>
          </w:p>
          <w:p w14:paraId="7D500030">
            <w:pPr>
              <w:pStyle w:val="223"/>
              <w:spacing w:before="65" w:line="187" w:lineRule="auto"/>
              <w:ind w:left="360"/>
              <w:rPr>
                <w:color w:val="auto"/>
              </w:rPr>
            </w:pPr>
            <w:r>
              <w:rPr>
                <w:color w:val="auto"/>
              </w:rPr>
              <w:t>5</w:t>
            </w:r>
          </w:p>
        </w:tc>
        <w:tc>
          <w:tcPr>
            <w:tcW w:w="675" w:type="dxa"/>
            <w:vMerge w:val="restart"/>
            <w:tcBorders>
              <w:bottom w:val="nil"/>
            </w:tcBorders>
            <w:noWrap w:val="0"/>
            <w:vAlign w:val="top"/>
          </w:tcPr>
          <w:p w14:paraId="535A37DC">
            <w:pPr>
              <w:spacing w:line="245" w:lineRule="auto"/>
              <w:rPr>
                <w:rFonts w:ascii="Arial"/>
                <w:color w:val="auto"/>
                <w:sz w:val="21"/>
              </w:rPr>
            </w:pPr>
          </w:p>
          <w:p w14:paraId="115ACD8F">
            <w:pPr>
              <w:spacing w:line="245" w:lineRule="auto"/>
              <w:rPr>
                <w:rFonts w:ascii="Arial"/>
                <w:color w:val="auto"/>
                <w:sz w:val="21"/>
              </w:rPr>
            </w:pPr>
          </w:p>
          <w:p w14:paraId="5F174D7A">
            <w:pPr>
              <w:spacing w:line="245" w:lineRule="auto"/>
              <w:rPr>
                <w:rFonts w:ascii="Arial"/>
                <w:color w:val="auto"/>
                <w:sz w:val="21"/>
              </w:rPr>
            </w:pPr>
          </w:p>
          <w:p w14:paraId="3982068E">
            <w:pPr>
              <w:spacing w:line="245" w:lineRule="auto"/>
              <w:rPr>
                <w:rFonts w:ascii="Arial"/>
                <w:color w:val="auto"/>
                <w:sz w:val="21"/>
              </w:rPr>
            </w:pPr>
          </w:p>
          <w:p w14:paraId="5D59EE80">
            <w:pPr>
              <w:spacing w:line="246" w:lineRule="auto"/>
              <w:rPr>
                <w:rFonts w:ascii="Arial"/>
                <w:color w:val="auto"/>
                <w:sz w:val="21"/>
              </w:rPr>
            </w:pPr>
          </w:p>
          <w:p w14:paraId="30DAF4BE">
            <w:pPr>
              <w:spacing w:line="246" w:lineRule="auto"/>
              <w:rPr>
                <w:rFonts w:ascii="Arial"/>
                <w:color w:val="auto"/>
                <w:sz w:val="21"/>
              </w:rPr>
            </w:pPr>
          </w:p>
          <w:p w14:paraId="0278A4CC">
            <w:pPr>
              <w:spacing w:line="246" w:lineRule="auto"/>
              <w:rPr>
                <w:rFonts w:ascii="Arial"/>
                <w:color w:val="auto"/>
                <w:sz w:val="21"/>
              </w:rPr>
            </w:pPr>
          </w:p>
          <w:p w14:paraId="1DBB6E10">
            <w:pPr>
              <w:spacing w:line="246" w:lineRule="auto"/>
              <w:rPr>
                <w:rFonts w:ascii="Arial"/>
                <w:color w:val="auto"/>
                <w:sz w:val="21"/>
              </w:rPr>
            </w:pPr>
          </w:p>
          <w:p w14:paraId="111E2089">
            <w:pPr>
              <w:spacing w:line="246" w:lineRule="auto"/>
              <w:rPr>
                <w:rFonts w:ascii="Arial"/>
                <w:color w:val="auto"/>
                <w:sz w:val="21"/>
              </w:rPr>
            </w:pPr>
          </w:p>
          <w:p w14:paraId="1BC2DF34">
            <w:pPr>
              <w:spacing w:line="246" w:lineRule="auto"/>
              <w:rPr>
                <w:rFonts w:ascii="Arial"/>
                <w:color w:val="auto"/>
                <w:sz w:val="21"/>
              </w:rPr>
            </w:pPr>
          </w:p>
          <w:p w14:paraId="26A84575">
            <w:pPr>
              <w:spacing w:line="246" w:lineRule="auto"/>
              <w:rPr>
                <w:rFonts w:ascii="Arial"/>
                <w:color w:val="auto"/>
                <w:sz w:val="21"/>
              </w:rPr>
            </w:pPr>
          </w:p>
          <w:p w14:paraId="1A26BA8E">
            <w:pPr>
              <w:pStyle w:val="223"/>
              <w:spacing w:before="65" w:line="230" w:lineRule="auto"/>
              <w:ind w:left="130"/>
              <w:rPr>
                <w:color w:val="auto"/>
              </w:rPr>
            </w:pPr>
            <w:r>
              <w:rPr>
                <w:color w:val="auto"/>
                <w:spacing w:val="5"/>
              </w:rPr>
              <w:t>底盘</w:t>
            </w:r>
          </w:p>
        </w:tc>
        <w:tc>
          <w:tcPr>
            <w:tcW w:w="1081" w:type="dxa"/>
            <w:vMerge w:val="restart"/>
            <w:tcBorders>
              <w:bottom w:val="nil"/>
            </w:tcBorders>
            <w:noWrap w:val="0"/>
            <w:vAlign w:val="top"/>
          </w:tcPr>
          <w:p w14:paraId="198099EB">
            <w:pPr>
              <w:spacing w:line="322" w:lineRule="auto"/>
              <w:rPr>
                <w:rFonts w:ascii="Arial"/>
                <w:color w:val="auto"/>
                <w:sz w:val="21"/>
              </w:rPr>
            </w:pPr>
          </w:p>
          <w:p w14:paraId="155ADDAA">
            <w:pPr>
              <w:pStyle w:val="223"/>
              <w:spacing w:before="65" w:line="228" w:lineRule="auto"/>
              <w:ind w:left="336"/>
              <w:rPr>
                <w:color w:val="auto"/>
              </w:rPr>
            </w:pPr>
            <w:r>
              <w:rPr>
                <w:color w:val="auto"/>
                <w:spacing w:val="3"/>
              </w:rPr>
              <w:t>车桥</w:t>
            </w:r>
          </w:p>
        </w:tc>
        <w:tc>
          <w:tcPr>
            <w:tcW w:w="2972" w:type="dxa"/>
            <w:noWrap w:val="0"/>
            <w:vAlign w:val="top"/>
          </w:tcPr>
          <w:p w14:paraId="2D050C24">
            <w:pPr>
              <w:pStyle w:val="223"/>
              <w:spacing w:before="67" w:line="229" w:lineRule="auto"/>
              <w:ind w:left="1285"/>
              <w:rPr>
                <w:color w:val="auto"/>
              </w:rPr>
            </w:pPr>
            <w:r>
              <w:rPr>
                <w:color w:val="auto"/>
                <w:spacing w:val="3"/>
              </w:rPr>
              <w:t>前桥</w:t>
            </w:r>
          </w:p>
        </w:tc>
        <w:tc>
          <w:tcPr>
            <w:tcW w:w="2040" w:type="dxa"/>
            <w:noWrap w:val="0"/>
            <w:vAlign w:val="top"/>
          </w:tcPr>
          <w:p w14:paraId="3C5DFBED">
            <w:pPr>
              <w:pStyle w:val="223"/>
              <w:spacing w:before="67" w:line="228" w:lineRule="auto"/>
              <w:ind w:left="842"/>
              <w:rPr>
                <w:color w:val="auto"/>
              </w:rPr>
            </w:pPr>
            <w:r>
              <w:rPr>
                <w:color w:val="auto"/>
                <w:spacing w:val="-3"/>
              </w:rPr>
              <w:t>8</w:t>
            </w:r>
            <w:r>
              <w:rPr>
                <w:color w:val="auto"/>
                <w:spacing w:val="-39"/>
              </w:rPr>
              <w:t xml:space="preserve"> </w:t>
            </w:r>
            <w:r>
              <w:rPr>
                <w:color w:val="auto"/>
                <w:spacing w:val="-3"/>
              </w:rPr>
              <w:t>年</w:t>
            </w:r>
          </w:p>
        </w:tc>
      </w:tr>
      <w:tr w14:paraId="24ED6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263AB1E3">
            <w:pPr>
              <w:rPr>
                <w:rFonts w:ascii="Arial"/>
                <w:color w:val="auto"/>
                <w:sz w:val="21"/>
              </w:rPr>
            </w:pPr>
          </w:p>
        </w:tc>
        <w:tc>
          <w:tcPr>
            <w:tcW w:w="810" w:type="dxa"/>
            <w:vMerge w:val="continue"/>
            <w:tcBorders>
              <w:top w:val="nil"/>
              <w:bottom w:val="nil"/>
            </w:tcBorders>
            <w:noWrap w:val="0"/>
            <w:vAlign w:val="top"/>
          </w:tcPr>
          <w:p w14:paraId="6FA57500">
            <w:pPr>
              <w:rPr>
                <w:rFonts w:ascii="Arial"/>
                <w:color w:val="auto"/>
                <w:sz w:val="21"/>
              </w:rPr>
            </w:pPr>
          </w:p>
        </w:tc>
        <w:tc>
          <w:tcPr>
            <w:tcW w:w="675" w:type="dxa"/>
            <w:vMerge w:val="continue"/>
            <w:tcBorders>
              <w:top w:val="nil"/>
              <w:bottom w:val="nil"/>
            </w:tcBorders>
            <w:noWrap w:val="0"/>
            <w:vAlign w:val="top"/>
          </w:tcPr>
          <w:p w14:paraId="2495F979">
            <w:pPr>
              <w:rPr>
                <w:rFonts w:ascii="Arial"/>
                <w:color w:val="auto"/>
                <w:sz w:val="21"/>
              </w:rPr>
            </w:pPr>
          </w:p>
        </w:tc>
        <w:tc>
          <w:tcPr>
            <w:tcW w:w="1081" w:type="dxa"/>
            <w:vMerge w:val="continue"/>
            <w:tcBorders>
              <w:top w:val="nil"/>
              <w:bottom w:val="nil"/>
            </w:tcBorders>
            <w:noWrap w:val="0"/>
            <w:vAlign w:val="top"/>
          </w:tcPr>
          <w:p w14:paraId="10C89691">
            <w:pPr>
              <w:rPr>
                <w:rFonts w:ascii="Arial"/>
                <w:color w:val="auto"/>
                <w:sz w:val="21"/>
              </w:rPr>
            </w:pPr>
          </w:p>
        </w:tc>
        <w:tc>
          <w:tcPr>
            <w:tcW w:w="2972" w:type="dxa"/>
            <w:noWrap w:val="0"/>
            <w:vAlign w:val="top"/>
          </w:tcPr>
          <w:p w14:paraId="6A8BF73E">
            <w:pPr>
              <w:pStyle w:val="223"/>
              <w:spacing w:before="53" w:line="228" w:lineRule="auto"/>
              <w:ind w:left="549"/>
              <w:rPr>
                <w:color w:val="auto"/>
              </w:rPr>
            </w:pPr>
            <w:r>
              <w:rPr>
                <w:color w:val="auto"/>
                <w:spacing w:val="7"/>
              </w:rPr>
              <w:t>后桥（含主减速器）</w:t>
            </w:r>
          </w:p>
        </w:tc>
        <w:tc>
          <w:tcPr>
            <w:tcW w:w="2040" w:type="dxa"/>
            <w:noWrap w:val="0"/>
            <w:vAlign w:val="top"/>
          </w:tcPr>
          <w:p w14:paraId="7DCE3C35">
            <w:pPr>
              <w:pStyle w:val="223"/>
              <w:spacing w:before="53" w:line="228" w:lineRule="auto"/>
              <w:ind w:left="842"/>
              <w:rPr>
                <w:color w:val="auto"/>
              </w:rPr>
            </w:pPr>
            <w:r>
              <w:rPr>
                <w:color w:val="auto"/>
                <w:spacing w:val="-3"/>
              </w:rPr>
              <w:t>8</w:t>
            </w:r>
            <w:r>
              <w:rPr>
                <w:color w:val="auto"/>
                <w:spacing w:val="-39"/>
              </w:rPr>
              <w:t xml:space="preserve"> </w:t>
            </w:r>
            <w:r>
              <w:rPr>
                <w:color w:val="auto"/>
                <w:spacing w:val="-3"/>
              </w:rPr>
              <w:t>年</w:t>
            </w:r>
          </w:p>
        </w:tc>
      </w:tr>
      <w:tr w14:paraId="55514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30FC2003">
            <w:pPr>
              <w:rPr>
                <w:rFonts w:ascii="Arial"/>
                <w:color w:val="auto"/>
                <w:sz w:val="21"/>
              </w:rPr>
            </w:pPr>
          </w:p>
        </w:tc>
        <w:tc>
          <w:tcPr>
            <w:tcW w:w="810" w:type="dxa"/>
            <w:vMerge w:val="continue"/>
            <w:tcBorders>
              <w:top w:val="nil"/>
              <w:bottom w:val="nil"/>
            </w:tcBorders>
            <w:noWrap w:val="0"/>
            <w:vAlign w:val="top"/>
          </w:tcPr>
          <w:p w14:paraId="1F7653EC">
            <w:pPr>
              <w:rPr>
                <w:rFonts w:ascii="Arial"/>
                <w:color w:val="auto"/>
                <w:sz w:val="21"/>
              </w:rPr>
            </w:pPr>
          </w:p>
        </w:tc>
        <w:tc>
          <w:tcPr>
            <w:tcW w:w="675" w:type="dxa"/>
            <w:vMerge w:val="continue"/>
            <w:tcBorders>
              <w:top w:val="nil"/>
              <w:bottom w:val="nil"/>
            </w:tcBorders>
            <w:noWrap w:val="0"/>
            <w:vAlign w:val="top"/>
          </w:tcPr>
          <w:p w14:paraId="527D5512">
            <w:pPr>
              <w:rPr>
                <w:rFonts w:ascii="Arial"/>
                <w:color w:val="auto"/>
                <w:sz w:val="21"/>
              </w:rPr>
            </w:pPr>
          </w:p>
        </w:tc>
        <w:tc>
          <w:tcPr>
            <w:tcW w:w="1081" w:type="dxa"/>
            <w:vMerge w:val="continue"/>
            <w:tcBorders>
              <w:top w:val="nil"/>
            </w:tcBorders>
            <w:noWrap w:val="0"/>
            <w:vAlign w:val="top"/>
          </w:tcPr>
          <w:p w14:paraId="2B1888CF">
            <w:pPr>
              <w:rPr>
                <w:rFonts w:ascii="Arial"/>
                <w:color w:val="auto"/>
                <w:sz w:val="21"/>
              </w:rPr>
            </w:pPr>
          </w:p>
        </w:tc>
        <w:tc>
          <w:tcPr>
            <w:tcW w:w="2972" w:type="dxa"/>
            <w:noWrap w:val="0"/>
            <w:vAlign w:val="top"/>
          </w:tcPr>
          <w:p w14:paraId="6CCCC474">
            <w:pPr>
              <w:pStyle w:val="223"/>
              <w:spacing w:before="53" w:line="229" w:lineRule="auto"/>
              <w:ind w:left="972"/>
              <w:rPr>
                <w:color w:val="auto"/>
              </w:rPr>
            </w:pPr>
            <w:r>
              <w:rPr>
                <w:color w:val="auto"/>
                <w:spacing w:val="7"/>
              </w:rPr>
              <w:t>免维护轮毂</w:t>
            </w:r>
          </w:p>
        </w:tc>
        <w:tc>
          <w:tcPr>
            <w:tcW w:w="2040" w:type="dxa"/>
            <w:noWrap w:val="0"/>
            <w:vAlign w:val="top"/>
          </w:tcPr>
          <w:p w14:paraId="4373C661">
            <w:pPr>
              <w:pStyle w:val="223"/>
              <w:spacing w:before="53" w:line="228" w:lineRule="auto"/>
              <w:ind w:left="842"/>
              <w:rPr>
                <w:color w:val="auto"/>
              </w:rPr>
            </w:pPr>
            <w:r>
              <w:rPr>
                <w:color w:val="auto"/>
                <w:spacing w:val="-3"/>
              </w:rPr>
              <w:t>8</w:t>
            </w:r>
            <w:r>
              <w:rPr>
                <w:color w:val="auto"/>
                <w:spacing w:val="-39"/>
              </w:rPr>
              <w:t xml:space="preserve"> </w:t>
            </w:r>
            <w:r>
              <w:rPr>
                <w:color w:val="auto"/>
                <w:spacing w:val="-3"/>
              </w:rPr>
              <w:t>年</w:t>
            </w:r>
          </w:p>
        </w:tc>
      </w:tr>
      <w:tr w14:paraId="73B2E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948" w:type="dxa"/>
            <w:vMerge w:val="continue"/>
            <w:tcBorders>
              <w:top w:val="nil"/>
              <w:bottom w:val="nil"/>
            </w:tcBorders>
            <w:noWrap w:val="0"/>
            <w:vAlign w:val="top"/>
          </w:tcPr>
          <w:p w14:paraId="77987FF6">
            <w:pPr>
              <w:rPr>
                <w:rFonts w:ascii="Arial"/>
                <w:color w:val="auto"/>
                <w:sz w:val="21"/>
              </w:rPr>
            </w:pPr>
          </w:p>
        </w:tc>
        <w:tc>
          <w:tcPr>
            <w:tcW w:w="810" w:type="dxa"/>
            <w:vMerge w:val="continue"/>
            <w:tcBorders>
              <w:top w:val="nil"/>
              <w:bottom w:val="nil"/>
            </w:tcBorders>
            <w:noWrap w:val="0"/>
            <w:vAlign w:val="top"/>
          </w:tcPr>
          <w:p w14:paraId="2BCBE337">
            <w:pPr>
              <w:rPr>
                <w:rFonts w:ascii="Arial"/>
                <w:color w:val="auto"/>
                <w:sz w:val="21"/>
              </w:rPr>
            </w:pPr>
          </w:p>
        </w:tc>
        <w:tc>
          <w:tcPr>
            <w:tcW w:w="675" w:type="dxa"/>
            <w:vMerge w:val="continue"/>
            <w:tcBorders>
              <w:top w:val="nil"/>
              <w:bottom w:val="nil"/>
            </w:tcBorders>
            <w:noWrap w:val="0"/>
            <w:vAlign w:val="top"/>
          </w:tcPr>
          <w:p w14:paraId="508DBDCD">
            <w:pPr>
              <w:rPr>
                <w:rFonts w:ascii="Arial"/>
                <w:color w:val="auto"/>
                <w:sz w:val="21"/>
              </w:rPr>
            </w:pPr>
          </w:p>
        </w:tc>
        <w:tc>
          <w:tcPr>
            <w:tcW w:w="1081" w:type="dxa"/>
            <w:vMerge w:val="restart"/>
            <w:tcBorders>
              <w:bottom w:val="nil"/>
            </w:tcBorders>
            <w:noWrap w:val="0"/>
            <w:vAlign w:val="top"/>
          </w:tcPr>
          <w:p w14:paraId="14417C03">
            <w:pPr>
              <w:spacing w:line="258" w:lineRule="auto"/>
              <w:rPr>
                <w:rFonts w:ascii="Arial"/>
                <w:color w:val="auto"/>
                <w:sz w:val="21"/>
              </w:rPr>
            </w:pPr>
          </w:p>
          <w:p w14:paraId="7BD7186A">
            <w:pPr>
              <w:spacing w:line="259" w:lineRule="auto"/>
              <w:rPr>
                <w:rFonts w:ascii="Arial"/>
                <w:color w:val="auto"/>
                <w:sz w:val="21"/>
              </w:rPr>
            </w:pPr>
          </w:p>
          <w:p w14:paraId="09540D63">
            <w:pPr>
              <w:pStyle w:val="223"/>
              <w:spacing w:before="65" w:line="274" w:lineRule="auto"/>
              <w:ind w:left="338" w:right="331" w:hanging="1"/>
              <w:rPr>
                <w:color w:val="auto"/>
              </w:rPr>
            </w:pPr>
            <w:r>
              <w:rPr>
                <w:color w:val="auto"/>
                <w:spacing w:val="3"/>
              </w:rPr>
              <w:t>悬挂</w:t>
            </w:r>
            <w:r>
              <w:rPr>
                <w:color w:val="auto"/>
              </w:rPr>
              <w:t xml:space="preserve"> </w:t>
            </w:r>
            <w:r>
              <w:rPr>
                <w:color w:val="auto"/>
                <w:spacing w:val="2"/>
              </w:rPr>
              <w:t>系统</w:t>
            </w:r>
          </w:p>
        </w:tc>
        <w:tc>
          <w:tcPr>
            <w:tcW w:w="2972" w:type="dxa"/>
            <w:noWrap w:val="0"/>
            <w:vAlign w:val="top"/>
          </w:tcPr>
          <w:p w14:paraId="670DBC7C">
            <w:pPr>
              <w:pStyle w:val="223"/>
              <w:spacing w:before="108" w:line="228" w:lineRule="auto"/>
              <w:ind w:left="1179"/>
              <w:rPr>
                <w:color w:val="auto"/>
              </w:rPr>
            </w:pPr>
            <w:r>
              <w:rPr>
                <w:color w:val="auto"/>
                <w:spacing w:val="6"/>
              </w:rPr>
              <w:t>稳定杆</w:t>
            </w:r>
          </w:p>
        </w:tc>
        <w:tc>
          <w:tcPr>
            <w:tcW w:w="2040" w:type="dxa"/>
            <w:noWrap w:val="0"/>
            <w:vAlign w:val="top"/>
          </w:tcPr>
          <w:p w14:paraId="375C3108">
            <w:pPr>
              <w:pStyle w:val="223"/>
              <w:spacing w:before="108" w:line="228" w:lineRule="auto"/>
              <w:ind w:left="842"/>
              <w:rPr>
                <w:color w:val="auto"/>
              </w:rPr>
            </w:pPr>
            <w:r>
              <w:rPr>
                <w:color w:val="auto"/>
                <w:spacing w:val="-3"/>
              </w:rPr>
              <w:t>8</w:t>
            </w:r>
            <w:r>
              <w:rPr>
                <w:color w:val="auto"/>
                <w:spacing w:val="-39"/>
              </w:rPr>
              <w:t xml:space="preserve"> </w:t>
            </w:r>
            <w:r>
              <w:rPr>
                <w:color w:val="auto"/>
                <w:spacing w:val="-3"/>
              </w:rPr>
              <w:t>年</w:t>
            </w:r>
          </w:p>
        </w:tc>
      </w:tr>
      <w:tr w14:paraId="7A217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48" w:type="dxa"/>
            <w:vMerge w:val="continue"/>
            <w:tcBorders>
              <w:top w:val="nil"/>
              <w:bottom w:val="nil"/>
            </w:tcBorders>
            <w:noWrap w:val="0"/>
            <w:vAlign w:val="top"/>
          </w:tcPr>
          <w:p w14:paraId="5EFC3B85">
            <w:pPr>
              <w:rPr>
                <w:rFonts w:ascii="Arial"/>
                <w:color w:val="auto"/>
                <w:sz w:val="21"/>
              </w:rPr>
            </w:pPr>
          </w:p>
        </w:tc>
        <w:tc>
          <w:tcPr>
            <w:tcW w:w="810" w:type="dxa"/>
            <w:vMerge w:val="continue"/>
            <w:tcBorders>
              <w:top w:val="nil"/>
              <w:bottom w:val="nil"/>
            </w:tcBorders>
            <w:noWrap w:val="0"/>
            <w:vAlign w:val="top"/>
          </w:tcPr>
          <w:p w14:paraId="57377D95">
            <w:pPr>
              <w:rPr>
                <w:rFonts w:ascii="Arial"/>
                <w:color w:val="auto"/>
                <w:sz w:val="21"/>
              </w:rPr>
            </w:pPr>
          </w:p>
        </w:tc>
        <w:tc>
          <w:tcPr>
            <w:tcW w:w="675" w:type="dxa"/>
            <w:vMerge w:val="continue"/>
            <w:tcBorders>
              <w:top w:val="nil"/>
              <w:bottom w:val="nil"/>
            </w:tcBorders>
            <w:noWrap w:val="0"/>
            <w:vAlign w:val="top"/>
          </w:tcPr>
          <w:p w14:paraId="0627BF41">
            <w:pPr>
              <w:rPr>
                <w:rFonts w:ascii="Arial"/>
                <w:color w:val="auto"/>
                <w:sz w:val="21"/>
              </w:rPr>
            </w:pPr>
          </w:p>
        </w:tc>
        <w:tc>
          <w:tcPr>
            <w:tcW w:w="1081" w:type="dxa"/>
            <w:vMerge w:val="continue"/>
            <w:tcBorders>
              <w:top w:val="nil"/>
              <w:bottom w:val="nil"/>
            </w:tcBorders>
            <w:noWrap w:val="0"/>
            <w:vAlign w:val="top"/>
          </w:tcPr>
          <w:p w14:paraId="27C296B4">
            <w:pPr>
              <w:rPr>
                <w:rFonts w:ascii="Arial"/>
                <w:color w:val="auto"/>
                <w:sz w:val="21"/>
              </w:rPr>
            </w:pPr>
          </w:p>
        </w:tc>
        <w:tc>
          <w:tcPr>
            <w:tcW w:w="2972" w:type="dxa"/>
            <w:noWrap w:val="0"/>
            <w:vAlign w:val="top"/>
          </w:tcPr>
          <w:p w14:paraId="7E6753A9">
            <w:pPr>
              <w:pStyle w:val="223"/>
              <w:spacing w:before="104" w:line="228" w:lineRule="auto"/>
              <w:ind w:left="1178"/>
              <w:rPr>
                <w:color w:val="auto"/>
              </w:rPr>
            </w:pPr>
            <w:r>
              <w:rPr>
                <w:color w:val="auto"/>
                <w:spacing w:val="6"/>
              </w:rPr>
              <w:t>推力杆</w:t>
            </w:r>
          </w:p>
        </w:tc>
        <w:tc>
          <w:tcPr>
            <w:tcW w:w="2040" w:type="dxa"/>
            <w:noWrap w:val="0"/>
            <w:vAlign w:val="top"/>
          </w:tcPr>
          <w:p w14:paraId="21FFE9C5">
            <w:pPr>
              <w:pStyle w:val="223"/>
              <w:spacing w:before="104" w:line="228" w:lineRule="auto"/>
              <w:ind w:left="842"/>
              <w:rPr>
                <w:color w:val="auto"/>
              </w:rPr>
            </w:pPr>
            <w:r>
              <w:rPr>
                <w:color w:val="auto"/>
                <w:spacing w:val="-3"/>
              </w:rPr>
              <w:t>8</w:t>
            </w:r>
            <w:r>
              <w:rPr>
                <w:color w:val="auto"/>
                <w:spacing w:val="-39"/>
              </w:rPr>
              <w:t xml:space="preserve"> </w:t>
            </w:r>
            <w:r>
              <w:rPr>
                <w:color w:val="auto"/>
                <w:spacing w:val="-3"/>
              </w:rPr>
              <w:t>年</w:t>
            </w:r>
          </w:p>
        </w:tc>
      </w:tr>
      <w:tr w14:paraId="5C427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48" w:type="dxa"/>
            <w:vMerge w:val="continue"/>
            <w:tcBorders>
              <w:top w:val="nil"/>
              <w:bottom w:val="nil"/>
            </w:tcBorders>
            <w:noWrap w:val="0"/>
            <w:vAlign w:val="top"/>
          </w:tcPr>
          <w:p w14:paraId="1997C7C3">
            <w:pPr>
              <w:rPr>
                <w:rFonts w:ascii="Arial"/>
                <w:color w:val="auto"/>
                <w:sz w:val="21"/>
              </w:rPr>
            </w:pPr>
          </w:p>
        </w:tc>
        <w:tc>
          <w:tcPr>
            <w:tcW w:w="810" w:type="dxa"/>
            <w:vMerge w:val="continue"/>
            <w:tcBorders>
              <w:top w:val="nil"/>
              <w:bottom w:val="nil"/>
            </w:tcBorders>
            <w:noWrap w:val="0"/>
            <w:vAlign w:val="top"/>
          </w:tcPr>
          <w:p w14:paraId="614A20EC">
            <w:pPr>
              <w:rPr>
                <w:rFonts w:ascii="Arial"/>
                <w:color w:val="auto"/>
                <w:sz w:val="21"/>
              </w:rPr>
            </w:pPr>
          </w:p>
        </w:tc>
        <w:tc>
          <w:tcPr>
            <w:tcW w:w="675" w:type="dxa"/>
            <w:vMerge w:val="continue"/>
            <w:tcBorders>
              <w:top w:val="nil"/>
              <w:bottom w:val="nil"/>
            </w:tcBorders>
            <w:noWrap w:val="0"/>
            <w:vAlign w:val="top"/>
          </w:tcPr>
          <w:p w14:paraId="5E02A92D">
            <w:pPr>
              <w:rPr>
                <w:rFonts w:ascii="Arial"/>
                <w:color w:val="auto"/>
                <w:sz w:val="21"/>
              </w:rPr>
            </w:pPr>
          </w:p>
        </w:tc>
        <w:tc>
          <w:tcPr>
            <w:tcW w:w="1081" w:type="dxa"/>
            <w:vMerge w:val="continue"/>
            <w:tcBorders>
              <w:top w:val="nil"/>
              <w:bottom w:val="nil"/>
            </w:tcBorders>
            <w:noWrap w:val="0"/>
            <w:vAlign w:val="top"/>
          </w:tcPr>
          <w:p w14:paraId="6BC28E27">
            <w:pPr>
              <w:rPr>
                <w:rFonts w:ascii="Arial"/>
                <w:color w:val="auto"/>
                <w:sz w:val="21"/>
              </w:rPr>
            </w:pPr>
          </w:p>
        </w:tc>
        <w:tc>
          <w:tcPr>
            <w:tcW w:w="2972" w:type="dxa"/>
            <w:noWrap w:val="0"/>
            <w:vAlign w:val="top"/>
          </w:tcPr>
          <w:p w14:paraId="1E09B191">
            <w:pPr>
              <w:pStyle w:val="223"/>
              <w:spacing w:before="103" w:line="228" w:lineRule="auto"/>
              <w:ind w:left="1079"/>
              <w:rPr>
                <w:color w:val="auto"/>
              </w:rPr>
            </w:pPr>
            <w:r>
              <w:rPr>
                <w:color w:val="auto"/>
                <w:spacing w:val="5"/>
              </w:rPr>
              <w:t>空气弹簧</w:t>
            </w:r>
          </w:p>
        </w:tc>
        <w:tc>
          <w:tcPr>
            <w:tcW w:w="2040" w:type="dxa"/>
            <w:noWrap w:val="0"/>
            <w:vAlign w:val="top"/>
          </w:tcPr>
          <w:p w14:paraId="7B168A7E">
            <w:pPr>
              <w:pStyle w:val="223"/>
              <w:spacing w:before="103" w:line="228" w:lineRule="auto"/>
              <w:ind w:left="846"/>
              <w:rPr>
                <w:color w:val="auto"/>
              </w:rPr>
            </w:pPr>
            <w:r>
              <w:rPr>
                <w:color w:val="auto"/>
                <w:spacing w:val="-4"/>
              </w:rPr>
              <w:t>3</w:t>
            </w:r>
            <w:r>
              <w:rPr>
                <w:color w:val="auto"/>
                <w:spacing w:val="-40"/>
              </w:rPr>
              <w:t xml:space="preserve"> </w:t>
            </w:r>
            <w:r>
              <w:rPr>
                <w:color w:val="auto"/>
                <w:spacing w:val="-4"/>
              </w:rPr>
              <w:t>年</w:t>
            </w:r>
          </w:p>
        </w:tc>
      </w:tr>
      <w:tr w14:paraId="239A5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48" w:type="dxa"/>
            <w:vMerge w:val="continue"/>
            <w:tcBorders>
              <w:top w:val="nil"/>
              <w:bottom w:val="nil"/>
            </w:tcBorders>
            <w:noWrap w:val="0"/>
            <w:vAlign w:val="top"/>
          </w:tcPr>
          <w:p w14:paraId="59E89982">
            <w:pPr>
              <w:rPr>
                <w:rFonts w:ascii="Arial"/>
                <w:color w:val="auto"/>
                <w:sz w:val="21"/>
              </w:rPr>
            </w:pPr>
          </w:p>
        </w:tc>
        <w:tc>
          <w:tcPr>
            <w:tcW w:w="810" w:type="dxa"/>
            <w:vMerge w:val="continue"/>
            <w:tcBorders>
              <w:top w:val="nil"/>
              <w:bottom w:val="nil"/>
            </w:tcBorders>
            <w:noWrap w:val="0"/>
            <w:vAlign w:val="top"/>
          </w:tcPr>
          <w:p w14:paraId="546AC17E">
            <w:pPr>
              <w:rPr>
                <w:rFonts w:ascii="Arial"/>
                <w:color w:val="auto"/>
                <w:sz w:val="21"/>
              </w:rPr>
            </w:pPr>
          </w:p>
        </w:tc>
        <w:tc>
          <w:tcPr>
            <w:tcW w:w="675" w:type="dxa"/>
            <w:vMerge w:val="continue"/>
            <w:tcBorders>
              <w:top w:val="nil"/>
              <w:bottom w:val="nil"/>
            </w:tcBorders>
            <w:noWrap w:val="0"/>
            <w:vAlign w:val="top"/>
          </w:tcPr>
          <w:p w14:paraId="47BDB870">
            <w:pPr>
              <w:rPr>
                <w:rFonts w:ascii="Arial"/>
                <w:color w:val="auto"/>
                <w:sz w:val="21"/>
              </w:rPr>
            </w:pPr>
          </w:p>
        </w:tc>
        <w:tc>
          <w:tcPr>
            <w:tcW w:w="1081" w:type="dxa"/>
            <w:vMerge w:val="continue"/>
            <w:tcBorders>
              <w:top w:val="nil"/>
            </w:tcBorders>
            <w:noWrap w:val="0"/>
            <w:vAlign w:val="top"/>
          </w:tcPr>
          <w:p w14:paraId="1262DCBB">
            <w:pPr>
              <w:rPr>
                <w:rFonts w:ascii="Arial"/>
                <w:color w:val="auto"/>
                <w:sz w:val="21"/>
              </w:rPr>
            </w:pPr>
          </w:p>
        </w:tc>
        <w:tc>
          <w:tcPr>
            <w:tcW w:w="2972" w:type="dxa"/>
            <w:noWrap w:val="0"/>
            <w:vAlign w:val="top"/>
          </w:tcPr>
          <w:p w14:paraId="39B87B8D">
            <w:pPr>
              <w:pStyle w:val="223"/>
              <w:spacing w:before="105" w:line="229" w:lineRule="auto"/>
              <w:ind w:left="967"/>
              <w:rPr>
                <w:color w:val="auto"/>
              </w:rPr>
            </w:pPr>
            <w:r>
              <w:rPr>
                <w:color w:val="auto"/>
                <w:spacing w:val="8"/>
              </w:rPr>
              <w:t>减振器总成</w:t>
            </w:r>
          </w:p>
        </w:tc>
        <w:tc>
          <w:tcPr>
            <w:tcW w:w="2040" w:type="dxa"/>
            <w:noWrap w:val="0"/>
            <w:vAlign w:val="top"/>
          </w:tcPr>
          <w:p w14:paraId="0E76E9D5">
            <w:pPr>
              <w:pStyle w:val="223"/>
              <w:spacing w:before="105" w:line="228" w:lineRule="auto"/>
              <w:ind w:left="846"/>
              <w:rPr>
                <w:color w:val="auto"/>
              </w:rPr>
            </w:pPr>
            <w:r>
              <w:rPr>
                <w:color w:val="auto"/>
                <w:spacing w:val="-4"/>
              </w:rPr>
              <w:t>3</w:t>
            </w:r>
            <w:r>
              <w:rPr>
                <w:color w:val="auto"/>
                <w:spacing w:val="-40"/>
              </w:rPr>
              <w:t xml:space="preserve"> </w:t>
            </w:r>
            <w:r>
              <w:rPr>
                <w:color w:val="auto"/>
                <w:spacing w:val="-4"/>
              </w:rPr>
              <w:t>年</w:t>
            </w:r>
          </w:p>
        </w:tc>
      </w:tr>
      <w:tr w14:paraId="3DA32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948" w:type="dxa"/>
            <w:vMerge w:val="continue"/>
            <w:tcBorders>
              <w:top w:val="nil"/>
              <w:bottom w:val="nil"/>
            </w:tcBorders>
            <w:noWrap w:val="0"/>
            <w:vAlign w:val="top"/>
          </w:tcPr>
          <w:p w14:paraId="7EFBF5A1">
            <w:pPr>
              <w:rPr>
                <w:rFonts w:ascii="Arial"/>
                <w:color w:val="auto"/>
                <w:sz w:val="21"/>
              </w:rPr>
            </w:pPr>
          </w:p>
        </w:tc>
        <w:tc>
          <w:tcPr>
            <w:tcW w:w="810" w:type="dxa"/>
            <w:vMerge w:val="continue"/>
            <w:tcBorders>
              <w:top w:val="nil"/>
              <w:bottom w:val="nil"/>
            </w:tcBorders>
            <w:noWrap w:val="0"/>
            <w:vAlign w:val="top"/>
          </w:tcPr>
          <w:p w14:paraId="32227BDF">
            <w:pPr>
              <w:rPr>
                <w:rFonts w:ascii="Arial"/>
                <w:color w:val="auto"/>
                <w:sz w:val="21"/>
              </w:rPr>
            </w:pPr>
          </w:p>
        </w:tc>
        <w:tc>
          <w:tcPr>
            <w:tcW w:w="675" w:type="dxa"/>
            <w:vMerge w:val="continue"/>
            <w:tcBorders>
              <w:top w:val="nil"/>
              <w:bottom w:val="nil"/>
            </w:tcBorders>
            <w:noWrap w:val="0"/>
            <w:vAlign w:val="top"/>
          </w:tcPr>
          <w:p w14:paraId="0F34A755">
            <w:pPr>
              <w:rPr>
                <w:rFonts w:ascii="Arial"/>
                <w:color w:val="auto"/>
                <w:sz w:val="21"/>
              </w:rPr>
            </w:pPr>
          </w:p>
        </w:tc>
        <w:tc>
          <w:tcPr>
            <w:tcW w:w="1081" w:type="dxa"/>
            <w:vMerge w:val="restart"/>
            <w:tcBorders>
              <w:bottom w:val="nil"/>
            </w:tcBorders>
            <w:noWrap w:val="0"/>
            <w:vAlign w:val="top"/>
          </w:tcPr>
          <w:p w14:paraId="21C35342">
            <w:pPr>
              <w:spacing w:line="300" w:lineRule="auto"/>
              <w:rPr>
                <w:rFonts w:ascii="Arial"/>
                <w:color w:val="auto"/>
                <w:sz w:val="21"/>
              </w:rPr>
            </w:pPr>
          </w:p>
          <w:p w14:paraId="47026664">
            <w:pPr>
              <w:spacing w:line="300" w:lineRule="auto"/>
              <w:rPr>
                <w:rFonts w:ascii="Arial"/>
                <w:color w:val="auto"/>
                <w:sz w:val="21"/>
              </w:rPr>
            </w:pPr>
          </w:p>
          <w:p w14:paraId="1ACA3184">
            <w:pPr>
              <w:spacing w:line="300" w:lineRule="auto"/>
              <w:rPr>
                <w:rFonts w:ascii="Arial"/>
                <w:color w:val="auto"/>
                <w:sz w:val="21"/>
              </w:rPr>
            </w:pPr>
          </w:p>
          <w:p w14:paraId="1BB2A4E1">
            <w:pPr>
              <w:pStyle w:val="223"/>
              <w:spacing w:before="65" w:line="229" w:lineRule="auto"/>
              <w:ind w:left="126"/>
              <w:rPr>
                <w:color w:val="auto"/>
              </w:rPr>
            </w:pPr>
            <w:r>
              <w:rPr>
                <w:color w:val="auto"/>
                <w:spacing w:val="7"/>
              </w:rPr>
              <w:t>制动系统</w:t>
            </w:r>
          </w:p>
        </w:tc>
        <w:tc>
          <w:tcPr>
            <w:tcW w:w="2972" w:type="dxa"/>
            <w:noWrap w:val="0"/>
            <w:vAlign w:val="top"/>
          </w:tcPr>
          <w:p w14:paraId="17817F18">
            <w:pPr>
              <w:pStyle w:val="223"/>
              <w:spacing w:before="83" w:line="229" w:lineRule="auto"/>
              <w:ind w:left="968"/>
              <w:rPr>
                <w:color w:val="auto"/>
              </w:rPr>
            </w:pPr>
            <w:r>
              <w:rPr>
                <w:color w:val="auto"/>
                <w:spacing w:val="7"/>
              </w:rPr>
              <w:t>制动器总成</w:t>
            </w:r>
          </w:p>
        </w:tc>
        <w:tc>
          <w:tcPr>
            <w:tcW w:w="2040" w:type="dxa"/>
            <w:noWrap w:val="0"/>
            <w:vAlign w:val="top"/>
          </w:tcPr>
          <w:p w14:paraId="5470C9C4">
            <w:pPr>
              <w:pStyle w:val="223"/>
              <w:spacing w:before="83" w:line="228" w:lineRule="auto"/>
              <w:ind w:left="842"/>
              <w:rPr>
                <w:color w:val="auto"/>
              </w:rPr>
            </w:pPr>
            <w:r>
              <w:rPr>
                <w:color w:val="auto"/>
                <w:spacing w:val="-3"/>
              </w:rPr>
              <w:t>8</w:t>
            </w:r>
            <w:r>
              <w:rPr>
                <w:color w:val="auto"/>
                <w:spacing w:val="-39"/>
              </w:rPr>
              <w:t xml:space="preserve"> </w:t>
            </w:r>
            <w:r>
              <w:rPr>
                <w:color w:val="auto"/>
                <w:spacing w:val="-3"/>
              </w:rPr>
              <w:t>年</w:t>
            </w:r>
          </w:p>
        </w:tc>
      </w:tr>
      <w:tr w14:paraId="0384D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948" w:type="dxa"/>
            <w:vMerge w:val="continue"/>
            <w:tcBorders>
              <w:top w:val="nil"/>
              <w:bottom w:val="nil"/>
            </w:tcBorders>
            <w:noWrap w:val="0"/>
            <w:vAlign w:val="top"/>
          </w:tcPr>
          <w:p w14:paraId="1A0496B3">
            <w:pPr>
              <w:rPr>
                <w:rFonts w:ascii="Arial"/>
                <w:color w:val="auto"/>
                <w:sz w:val="21"/>
              </w:rPr>
            </w:pPr>
          </w:p>
        </w:tc>
        <w:tc>
          <w:tcPr>
            <w:tcW w:w="810" w:type="dxa"/>
            <w:vMerge w:val="continue"/>
            <w:tcBorders>
              <w:top w:val="nil"/>
              <w:bottom w:val="nil"/>
            </w:tcBorders>
            <w:noWrap w:val="0"/>
            <w:vAlign w:val="top"/>
          </w:tcPr>
          <w:p w14:paraId="0F0B0D1B">
            <w:pPr>
              <w:rPr>
                <w:rFonts w:ascii="Arial"/>
                <w:color w:val="auto"/>
                <w:sz w:val="21"/>
              </w:rPr>
            </w:pPr>
          </w:p>
        </w:tc>
        <w:tc>
          <w:tcPr>
            <w:tcW w:w="675" w:type="dxa"/>
            <w:vMerge w:val="continue"/>
            <w:tcBorders>
              <w:top w:val="nil"/>
              <w:bottom w:val="nil"/>
            </w:tcBorders>
            <w:noWrap w:val="0"/>
            <w:vAlign w:val="top"/>
          </w:tcPr>
          <w:p w14:paraId="4E549532">
            <w:pPr>
              <w:rPr>
                <w:rFonts w:ascii="Arial"/>
                <w:color w:val="auto"/>
                <w:sz w:val="21"/>
              </w:rPr>
            </w:pPr>
          </w:p>
        </w:tc>
        <w:tc>
          <w:tcPr>
            <w:tcW w:w="1081" w:type="dxa"/>
            <w:vMerge w:val="continue"/>
            <w:tcBorders>
              <w:top w:val="nil"/>
              <w:bottom w:val="nil"/>
            </w:tcBorders>
            <w:noWrap w:val="0"/>
            <w:vAlign w:val="top"/>
          </w:tcPr>
          <w:p w14:paraId="79889E90">
            <w:pPr>
              <w:rPr>
                <w:rFonts w:ascii="Arial"/>
                <w:color w:val="auto"/>
                <w:sz w:val="21"/>
              </w:rPr>
            </w:pPr>
          </w:p>
        </w:tc>
        <w:tc>
          <w:tcPr>
            <w:tcW w:w="2972" w:type="dxa"/>
            <w:noWrap w:val="0"/>
            <w:vAlign w:val="top"/>
          </w:tcPr>
          <w:p w14:paraId="33E2DA0C">
            <w:pPr>
              <w:pStyle w:val="223"/>
              <w:spacing w:before="111" w:line="228" w:lineRule="auto"/>
              <w:ind w:left="514"/>
              <w:rPr>
                <w:color w:val="auto"/>
              </w:rPr>
            </w:pPr>
            <w:r>
              <w:rPr>
                <w:color w:val="auto"/>
              </w:rPr>
              <w:t>ABS</w:t>
            </w:r>
            <w:r>
              <w:rPr>
                <w:color w:val="auto"/>
                <w:spacing w:val="13"/>
              </w:rPr>
              <w:t>、</w:t>
            </w:r>
            <w:r>
              <w:rPr>
                <w:color w:val="auto"/>
              </w:rPr>
              <w:t>EBS</w:t>
            </w:r>
            <w:r>
              <w:rPr>
                <w:color w:val="auto"/>
                <w:spacing w:val="-39"/>
              </w:rPr>
              <w:t xml:space="preserve"> </w:t>
            </w:r>
            <w:r>
              <w:rPr>
                <w:color w:val="auto"/>
                <w:spacing w:val="13"/>
              </w:rPr>
              <w:t>等电控单元</w:t>
            </w:r>
          </w:p>
        </w:tc>
        <w:tc>
          <w:tcPr>
            <w:tcW w:w="2040" w:type="dxa"/>
            <w:noWrap w:val="0"/>
            <w:vAlign w:val="top"/>
          </w:tcPr>
          <w:p w14:paraId="294AB982">
            <w:pPr>
              <w:pStyle w:val="223"/>
              <w:spacing w:before="111" w:line="228" w:lineRule="auto"/>
              <w:ind w:left="842"/>
              <w:rPr>
                <w:color w:val="auto"/>
              </w:rPr>
            </w:pPr>
            <w:r>
              <w:rPr>
                <w:color w:val="auto"/>
                <w:spacing w:val="-3"/>
              </w:rPr>
              <w:t>8</w:t>
            </w:r>
            <w:r>
              <w:rPr>
                <w:color w:val="auto"/>
                <w:spacing w:val="-39"/>
              </w:rPr>
              <w:t xml:space="preserve"> </w:t>
            </w:r>
            <w:r>
              <w:rPr>
                <w:color w:val="auto"/>
                <w:spacing w:val="-3"/>
              </w:rPr>
              <w:t>年</w:t>
            </w:r>
          </w:p>
        </w:tc>
      </w:tr>
      <w:tr w14:paraId="772BB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48" w:type="dxa"/>
            <w:vMerge w:val="continue"/>
            <w:tcBorders>
              <w:top w:val="nil"/>
              <w:bottom w:val="nil"/>
            </w:tcBorders>
            <w:noWrap w:val="0"/>
            <w:vAlign w:val="top"/>
          </w:tcPr>
          <w:p w14:paraId="3FB0C2E1">
            <w:pPr>
              <w:rPr>
                <w:rFonts w:ascii="Arial"/>
                <w:color w:val="auto"/>
                <w:sz w:val="21"/>
              </w:rPr>
            </w:pPr>
          </w:p>
        </w:tc>
        <w:tc>
          <w:tcPr>
            <w:tcW w:w="810" w:type="dxa"/>
            <w:vMerge w:val="continue"/>
            <w:tcBorders>
              <w:top w:val="nil"/>
              <w:bottom w:val="nil"/>
            </w:tcBorders>
            <w:noWrap w:val="0"/>
            <w:vAlign w:val="top"/>
          </w:tcPr>
          <w:p w14:paraId="3387A2A2">
            <w:pPr>
              <w:rPr>
                <w:rFonts w:ascii="Arial"/>
                <w:color w:val="auto"/>
                <w:sz w:val="21"/>
              </w:rPr>
            </w:pPr>
          </w:p>
        </w:tc>
        <w:tc>
          <w:tcPr>
            <w:tcW w:w="675" w:type="dxa"/>
            <w:vMerge w:val="continue"/>
            <w:tcBorders>
              <w:top w:val="nil"/>
              <w:bottom w:val="nil"/>
            </w:tcBorders>
            <w:noWrap w:val="0"/>
            <w:vAlign w:val="top"/>
          </w:tcPr>
          <w:p w14:paraId="7D48F114">
            <w:pPr>
              <w:rPr>
                <w:rFonts w:ascii="Arial"/>
                <w:color w:val="auto"/>
                <w:sz w:val="21"/>
              </w:rPr>
            </w:pPr>
          </w:p>
        </w:tc>
        <w:tc>
          <w:tcPr>
            <w:tcW w:w="1081" w:type="dxa"/>
            <w:vMerge w:val="continue"/>
            <w:tcBorders>
              <w:top w:val="nil"/>
              <w:bottom w:val="nil"/>
            </w:tcBorders>
            <w:noWrap w:val="0"/>
            <w:vAlign w:val="top"/>
          </w:tcPr>
          <w:p w14:paraId="6496E489">
            <w:pPr>
              <w:rPr>
                <w:rFonts w:ascii="Arial"/>
                <w:color w:val="auto"/>
                <w:sz w:val="21"/>
              </w:rPr>
            </w:pPr>
          </w:p>
        </w:tc>
        <w:tc>
          <w:tcPr>
            <w:tcW w:w="2972" w:type="dxa"/>
            <w:noWrap w:val="0"/>
            <w:vAlign w:val="top"/>
          </w:tcPr>
          <w:p w14:paraId="243EFDB5">
            <w:pPr>
              <w:pStyle w:val="223"/>
              <w:spacing w:before="108" w:line="228" w:lineRule="auto"/>
              <w:ind w:left="1073"/>
              <w:rPr>
                <w:color w:val="auto"/>
              </w:rPr>
            </w:pPr>
            <w:r>
              <w:rPr>
                <w:color w:val="auto"/>
                <w:spacing w:val="7"/>
              </w:rPr>
              <w:t>制动阀类</w:t>
            </w:r>
          </w:p>
        </w:tc>
        <w:tc>
          <w:tcPr>
            <w:tcW w:w="2040" w:type="dxa"/>
            <w:noWrap w:val="0"/>
            <w:vAlign w:val="top"/>
          </w:tcPr>
          <w:p w14:paraId="3212D661">
            <w:pPr>
              <w:pStyle w:val="223"/>
              <w:spacing w:before="108" w:line="228" w:lineRule="auto"/>
              <w:ind w:left="842"/>
              <w:rPr>
                <w:color w:val="auto"/>
              </w:rPr>
            </w:pPr>
            <w:r>
              <w:rPr>
                <w:color w:val="auto"/>
                <w:spacing w:val="-3"/>
              </w:rPr>
              <w:t>8</w:t>
            </w:r>
            <w:r>
              <w:rPr>
                <w:color w:val="auto"/>
                <w:spacing w:val="-39"/>
              </w:rPr>
              <w:t xml:space="preserve"> </w:t>
            </w:r>
            <w:r>
              <w:rPr>
                <w:color w:val="auto"/>
                <w:spacing w:val="-3"/>
              </w:rPr>
              <w:t>年</w:t>
            </w:r>
          </w:p>
        </w:tc>
      </w:tr>
      <w:tr w14:paraId="4ADFC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48" w:type="dxa"/>
            <w:vMerge w:val="continue"/>
            <w:tcBorders>
              <w:top w:val="nil"/>
              <w:bottom w:val="nil"/>
            </w:tcBorders>
            <w:noWrap w:val="0"/>
            <w:vAlign w:val="top"/>
          </w:tcPr>
          <w:p w14:paraId="13AA79F8">
            <w:pPr>
              <w:rPr>
                <w:rFonts w:ascii="Arial"/>
                <w:color w:val="auto"/>
                <w:sz w:val="21"/>
              </w:rPr>
            </w:pPr>
          </w:p>
        </w:tc>
        <w:tc>
          <w:tcPr>
            <w:tcW w:w="810" w:type="dxa"/>
            <w:vMerge w:val="continue"/>
            <w:tcBorders>
              <w:top w:val="nil"/>
              <w:bottom w:val="nil"/>
            </w:tcBorders>
            <w:noWrap w:val="0"/>
            <w:vAlign w:val="top"/>
          </w:tcPr>
          <w:p w14:paraId="0D5F4034">
            <w:pPr>
              <w:rPr>
                <w:rFonts w:ascii="Arial"/>
                <w:color w:val="auto"/>
                <w:sz w:val="21"/>
              </w:rPr>
            </w:pPr>
          </w:p>
        </w:tc>
        <w:tc>
          <w:tcPr>
            <w:tcW w:w="675" w:type="dxa"/>
            <w:vMerge w:val="continue"/>
            <w:tcBorders>
              <w:top w:val="nil"/>
              <w:bottom w:val="nil"/>
            </w:tcBorders>
            <w:noWrap w:val="0"/>
            <w:vAlign w:val="top"/>
          </w:tcPr>
          <w:p w14:paraId="59C4D20F">
            <w:pPr>
              <w:rPr>
                <w:rFonts w:ascii="Arial"/>
                <w:color w:val="auto"/>
                <w:sz w:val="21"/>
              </w:rPr>
            </w:pPr>
          </w:p>
        </w:tc>
        <w:tc>
          <w:tcPr>
            <w:tcW w:w="1081" w:type="dxa"/>
            <w:vMerge w:val="continue"/>
            <w:tcBorders>
              <w:top w:val="nil"/>
              <w:bottom w:val="nil"/>
            </w:tcBorders>
            <w:noWrap w:val="0"/>
            <w:vAlign w:val="top"/>
          </w:tcPr>
          <w:p w14:paraId="1752607F">
            <w:pPr>
              <w:rPr>
                <w:rFonts w:ascii="Arial"/>
                <w:color w:val="auto"/>
                <w:sz w:val="21"/>
              </w:rPr>
            </w:pPr>
          </w:p>
        </w:tc>
        <w:tc>
          <w:tcPr>
            <w:tcW w:w="2972" w:type="dxa"/>
            <w:noWrap w:val="0"/>
            <w:vAlign w:val="top"/>
          </w:tcPr>
          <w:p w14:paraId="344C3CE7">
            <w:pPr>
              <w:pStyle w:val="223"/>
              <w:spacing w:before="106" w:line="229" w:lineRule="auto"/>
              <w:ind w:left="1097"/>
              <w:rPr>
                <w:color w:val="auto"/>
              </w:rPr>
            </w:pPr>
            <w:r>
              <w:rPr>
                <w:color w:val="auto"/>
                <w:spacing w:val="1"/>
              </w:rPr>
              <w:t>电子手刹</w:t>
            </w:r>
          </w:p>
        </w:tc>
        <w:tc>
          <w:tcPr>
            <w:tcW w:w="2040" w:type="dxa"/>
            <w:noWrap w:val="0"/>
            <w:vAlign w:val="top"/>
          </w:tcPr>
          <w:p w14:paraId="3FCD95A2">
            <w:pPr>
              <w:pStyle w:val="223"/>
              <w:spacing w:before="106" w:line="228" w:lineRule="auto"/>
              <w:ind w:left="842"/>
              <w:rPr>
                <w:color w:val="auto"/>
              </w:rPr>
            </w:pPr>
            <w:r>
              <w:rPr>
                <w:color w:val="auto"/>
                <w:spacing w:val="-3"/>
              </w:rPr>
              <w:t>8</w:t>
            </w:r>
            <w:r>
              <w:rPr>
                <w:color w:val="auto"/>
                <w:spacing w:val="-39"/>
              </w:rPr>
              <w:t xml:space="preserve"> </w:t>
            </w:r>
            <w:r>
              <w:rPr>
                <w:color w:val="auto"/>
                <w:spacing w:val="-3"/>
              </w:rPr>
              <w:t>年</w:t>
            </w:r>
          </w:p>
        </w:tc>
      </w:tr>
      <w:tr w14:paraId="038DD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48" w:type="dxa"/>
            <w:vMerge w:val="continue"/>
            <w:tcBorders>
              <w:top w:val="nil"/>
              <w:bottom w:val="nil"/>
            </w:tcBorders>
            <w:noWrap w:val="0"/>
            <w:vAlign w:val="top"/>
          </w:tcPr>
          <w:p w14:paraId="193F0986">
            <w:pPr>
              <w:rPr>
                <w:rFonts w:ascii="Arial"/>
                <w:color w:val="auto"/>
                <w:sz w:val="21"/>
              </w:rPr>
            </w:pPr>
          </w:p>
        </w:tc>
        <w:tc>
          <w:tcPr>
            <w:tcW w:w="810" w:type="dxa"/>
            <w:vMerge w:val="continue"/>
            <w:tcBorders>
              <w:top w:val="nil"/>
              <w:bottom w:val="nil"/>
            </w:tcBorders>
            <w:noWrap w:val="0"/>
            <w:vAlign w:val="top"/>
          </w:tcPr>
          <w:p w14:paraId="5159AE39">
            <w:pPr>
              <w:rPr>
                <w:rFonts w:ascii="Arial"/>
                <w:color w:val="auto"/>
                <w:sz w:val="21"/>
              </w:rPr>
            </w:pPr>
          </w:p>
        </w:tc>
        <w:tc>
          <w:tcPr>
            <w:tcW w:w="675" w:type="dxa"/>
            <w:vMerge w:val="continue"/>
            <w:tcBorders>
              <w:top w:val="nil"/>
            </w:tcBorders>
            <w:noWrap w:val="0"/>
            <w:vAlign w:val="top"/>
          </w:tcPr>
          <w:p w14:paraId="02FC9545">
            <w:pPr>
              <w:rPr>
                <w:rFonts w:ascii="Arial"/>
                <w:color w:val="auto"/>
                <w:sz w:val="21"/>
              </w:rPr>
            </w:pPr>
          </w:p>
        </w:tc>
        <w:tc>
          <w:tcPr>
            <w:tcW w:w="1081" w:type="dxa"/>
            <w:vMerge w:val="continue"/>
            <w:tcBorders>
              <w:top w:val="nil"/>
            </w:tcBorders>
            <w:noWrap w:val="0"/>
            <w:vAlign w:val="top"/>
          </w:tcPr>
          <w:p w14:paraId="2C10606A">
            <w:pPr>
              <w:rPr>
                <w:rFonts w:ascii="Arial"/>
                <w:color w:val="auto"/>
                <w:sz w:val="21"/>
              </w:rPr>
            </w:pPr>
          </w:p>
        </w:tc>
        <w:tc>
          <w:tcPr>
            <w:tcW w:w="2972" w:type="dxa"/>
            <w:noWrap w:val="0"/>
            <w:vAlign w:val="top"/>
          </w:tcPr>
          <w:p w14:paraId="704A5B6F">
            <w:pPr>
              <w:pStyle w:val="223"/>
              <w:spacing w:before="139" w:line="228" w:lineRule="auto"/>
              <w:ind w:left="1177"/>
              <w:rPr>
                <w:color w:val="auto"/>
              </w:rPr>
            </w:pPr>
            <w:r>
              <w:rPr>
                <w:color w:val="auto"/>
                <w:spacing w:val="7"/>
              </w:rPr>
              <w:t>储气筒</w:t>
            </w:r>
          </w:p>
        </w:tc>
        <w:tc>
          <w:tcPr>
            <w:tcW w:w="2040" w:type="dxa"/>
            <w:noWrap w:val="0"/>
            <w:vAlign w:val="top"/>
          </w:tcPr>
          <w:p w14:paraId="2949E4C8">
            <w:pPr>
              <w:pStyle w:val="223"/>
              <w:spacing w:before="139" w:line="228" w:lineRule="auto"/>
              <w:ind w:left="842"/>
              <w:rPr>
                <w:color w:val="auto"/>
              </w:rPr>
            </w:pPr>
            <w:r>
              <w:rPr>
                <w:color w:val="auto"/>
                <w:spacing w:val="-3"/>
              </w:rPr>
              <w:t>8</w:t>
            </w:r>
            <w:r>
              <w:rPr>
                <w:color w:val="auto"/>
                <w:spacing w:val="-39"/>
              </w:rPr>
              <w:t xml:space="preserve"> </w:t>
            </w:r>
            <w:r>
              <w:rPr>
                <w:color w:val="auto"/>
                <w:spacing w:val="-3"/>
              </w:rPr>
              <w:t>年</w:t>
            </w:r>
          </w:p>
        </w:tc>
      </w:tr>
      <w:tr w14:paraId="3A15D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504481EC">
            <w:pPr>
              <w:rPr>
                <w:rFonts w:ascii="Arial"/>
                <w:color w:val="auto"/>
                <w:sz w:val="21"/>
              </w:rPr>
            </w:pPr>
          </w:p>
        </w:tc>
        <w:tc>
          <w:tcPr>
            <w:tcW w:w="810" w:type="dxa"/>
            <w:vMerge w:val="continue"/>
            <w:tcBorders>
              <w:top w:val="nil"/>
              <w:bottom w:val="nil"/>
            </w:tcBorders>
            <w:noWrap w:val="0"/>
            <w:vAlign w:val="top"/>
          </w:tcPr>
          <w:p w14:paraId="4ADAA62C">
            <w:pPr>
              <w:rPr>
                <w:rFonts w:ascii="Arial"/>
                <w:color w:val="auto"/>
                <w:sz w:val="21"/>
              </w:rPr>
            </w:pPr>
          </w:p>
        </w:tc>
        <w:tc>
          <w:tcPr>
            <w:tcW w:w="675" w:type="dxa"/>
            <w:vMerge w:val="restart"/>
            <w:tcBorders>
              <w:bottom w:val="nil"/>
            </w:tcBorders>
            <w:noWrap w:val="0"/>
            <w:vAlign w:val="top"/>
          </w:tcPr>
          <w:p w14:paraId="30BC9DA4">
            <w:pPr>
              <w:rPr>
                <w:rFonts w:ascii="Arial"/>
                <w:color w:val="auto"/>
                <w:sz w:val="21"/>
              </w:rPr>
            </w:pPr>
          </w:p>
        </w:tc>
        <w:tc>
          <w:tcPr>
            <w:tcW w:w="1081" w:type="dxa"/>
            <w:vMerge w:val="restart"/>
            <w:tcBorders>
              <w:bottom w:val="nil"/>
            </w:tcBorders>
            <w:noWrap w:val="0"/>
            <w:vAlign w:val="top"/>
          </w:tcPr>
          <w:p w14:paraId="1F292239">
            <w:pPr>
              <w:pStyle w:val="223"/>
              <w:spacing w:before="244" w:line="229" w:lineRule="auto"/>
              <w:ind w:left="126"/>
              <w:rPr>
                <w:color w:val="auto"/>
              </w:rPr>
            </w:pPr>
            <w:r>
              <w:rPr>
                <w:color w:val="auto"/>
                <w:spacing w:val="7"/>
              </w:rPr>
              <w:t>转向系统</w:t>
            </w:r>
          </w:p>
        </w:tc>
        <w:tc>
          <w:tcPr>
            <w:tcW w:w="2972" w:type="dxa"/>
            <w:noWrap w:val="0"/>
            <w:vAlign w:val="top"/>
          </w:tcPr>
          <w:p w14:paraId="58805CCC">
            <w:pPr>
              <w:pStyle w:val="223"/>
              <w:spacing w:before="69" w:line="229" w:lineRule="auto"/>
              <w:ind w:left="1179"/>
              <w:rPr>
                <w:color w:val="auto"/>
              </w:rPr>
            </w:pPr>
            <w:r>
              <w:rPr>
                <w:color w:val="auto"/>
                <w:spacing w:val="6"/>
              </w:rPr>
              <w:t>转向盘</w:t>
            </w:r>
          </w:p>
        </w:tc>
        <w:tc>
          <w:tcPr>
            <w:tcW w:w="2040" w:type="dxa"/>
            <w:noWrap w:val="0"/>
            <w:vAlign w:val="top"/>
          </w:tcPr>
          <w:p w14:paraId="3542DD06">
            <w:pPr>
              <w:pStyle w:val="223"/>
              <w:spacing w:before="69" w:line="228" w:lineRule="auto"/>
              <w:ind w:left="846"/>
              <w:rPr>
                <w:color w:val="auto"/>
              </w:rPr>
            </w:pPr>
            <w:r>
              <w:rPr>
                <w:color w:val="auto"/>
                <w:spacing w:val="-4"/>
              </w:rPr>
              <w:t>3</w:t>
            </w:r>
            <w:r>
              <w:rPr>
                <w:color w:val="auto"/>
                <w:spacing w:val="-40"/>
              </w:rPr>
              <w:t xml:space="preserve"> </w:t>
            </w:r>
            <w:r>
              <w:rPr>
                <w:color w:val="auto"/>
                <w:spacing w:val="-4"/>
              </w:rPr>
              <w:t>年</w:t>
            </w:r>
          </w:p>
        </w:tc>
      </w:tr>
      <w:tr w14:paraId="19624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948" w:type="dxa"/>
            <w:vMerge w:val="continue"/>
            <w:tcBorders>
              <w:top w:val="nil"/>
            </w:tcBorders>
            <w:noWrap w:val="0"/>
            <w:vAlign w:val="top"/>
          </w:tcPr>
          <w:p w14:paraId="7D973429">
            <w:pPr>
              <w:rPr>
                <w:rFonts w:ascii="Arial"/>
                <w:color w:val="auto"/>
                <w:sz w:val="21"/>
              </w:rPr>
            </w:pPr>
          </w:p>
        </w:tc>
        <w:tc>
          <w:tcPr>
            <w:tcW w:w="810" w:type="dxa"/>
            <w:vMerge w:val="continue"/>
            <w:tcBorders>
              <w:top w:val="nil"/>
            </w:tcBorders>
            <w:noWrap w:val="0"/>
            <w:vAlign w:val="top"/>
          </w:tcPr>
          <w:p w14:paraId="5D392EC6">
            <w:pPr>
              <w:rPr>
                <w:rFonts w:ascii="Arial"/>
                <w:color w:val="auto"/>
                <w:sz w:val="21"/>
              </w:rPr>
            </w:pPr>
          </w:p>
        </w:tc>
        <w:tc>
          <w:tcPr>
            <w:tcW w:w="675" w:type="dxa"/>
            <w:vMerge w:val="continue"/>
            <w:tcBorders>
              <w:top w:val="nil"/>
            </w:tcBorders>
            <w:noWrap w:val="0"/>
            <w:vAlign w:val="top"/>
          </w:tcPr>
          <w:p w14:paraId="51420484">
            <w:pPr>
              <w:rPr>
                <w:rFonts w:ascii="Arial"/>
                <w:color w:val="auto"/>
                <w:sz w:val="21"/>
              </w:rPr>
            </w:pPr>
          </w:p>
        </w:tc>
        <w:tc>
          <w:tcPr>
            <w:tcW w:w="1081" w:type="dxa"/>
            <w:vMerge w:val="continue"/>
            <w:tcBorders>
              <w:top w:val="nil"/>
            </w:tcBorders>
            <w:noWrap w:val="0"/>
            <w:vAlign w:val="top"/>
          </w:tcPr>
          <w:p w14:paraId="1AB681DF">
            <w:pPr>
              <w:rPr>
                <w:rFonts w:ascii="Arial"/>
                <w:color w:val="auto"/>
                <w:sz w:val="21"/>
              </w:rPr>
            </w:pPr>
          </w:p>
        </w:tc>
        <w:tc>
          <w:tcPr>
            <w:tcW w:w="2972" w:type="dxa"/>
            <w:noWrap w:val="0"/>
            <w:vAlign w:val="top"/>
          </w:tcPr>
          <w:p w14:paraId="4BD30EB3">
            <w:pPr>
              <w:pStyle w:val="223"/>
              <w:spacing w:before="69" w:line="228" w:lineRule="auto"/>
              <w:ind w:left="363"/>
              <w:rPr>
                <w:color w:val="auto"/>
              </w:rPr>
            </w:pPr>
            <w:r>
              <w:rPr>
                <w:color w:val="auto"/>
                <w:spacing w:val="5"/>
              </w:rPr>
              <w:t>电动转向油泵（含电机）</w:t>
            </w:r>
          </w:p>
        </w:tc>
        <w:tc>
          <w:tcPr>
            <w:tcW w:w="2040" w:type="dxa"/>
            <w:noWrap w:val="0"/>
            <w:vAlign w:val="top"/>
          </w:tcPr>
          <w:p w14:paraId="018B6802">
            <w:pPr>
              <w:pStyle w:val="223"/>
              <w:spacing w:before="70" w:line="228" w:lineRule="auto"/>
              <w:ind w:left="842"/>
              <w:rPr>
                <w:color w:val="auto"/>
              </w:rPr>
            </w:pPr>
            <w:r>
              <w:rPr>
                <w:color w:val="auto"/>
                <w:spacing w:val="-3"/>
              </w:rPr>
              <w:t>8</w:t>
            </w:r>
            <w:r>
              <w:rPr>
                <w:color w:val="auto"/>
                <w:spacing w:val="-39"/>
              </w:rPr>
              <w:t xml:space="preserve"> </w:t>
            </w:r>
            <w:r>
              <w:rPr>
                <w:color w:val="auto"/>
                <w:spacing w:val="-3"/>
              </w:rPr>
              <w:t>年</w:t>
            </w:r>
          </w:p>
        </w:tc>
      </w:tr>
    </w:tbl>
    <w:p w14:paraId="1A5ABF9F">
      <w:pPr>
        <w:pStyle w:val="17"/>
        <w:tabs>
          <w:tab w:val="left" w:pos="574"/>
        </w:tabs>
        <w:rPr>
          <w:color w:val="auto"/>
        </w:rPr>
      </w:pPr>
    </w:p>
    <w:p w14:paraId="58B9199D">
      <w:pPr>
        <w:rPr>
          <w:color w:val="auto"/>
        </w:rPr>
        <w:sectPr>
          <w:footerReference r:id="rId22" w:type="default"/>
          <w:pgSz w:w="11906" w:h="16839"/>
          <w:pgMar w:top="1431" w:right="1687" w:bottom="1231" w:left="1687" w:header="0" w:footer="984" w:gutter="0"/>
          <w:pgNumType w:fmt="decimal"/>
          <w:cols w:space="720" w:num="1"/>
        </w:sectPr>
      </w:pPr>
    </w:p>
    <w:p w14:paraId="1B3E9402">
      <w:pPr>
        <w:spacing w:line="91" w:lineRule="auto"/>
        <w:rPr>
          <w:rFonts w:ascii="Arial"/>
          <w:color w:val="auto"/>
          <w:sz w:val="2"/>
        </w:rPr>
      </w:pPr>
    </w:p>
    <w:tbl>
      <w:tblPr>
        <w:tblStyle w:val="22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810"/>
        <w:gridCol w:w="675"/>
        <w:gridCol w:w="1081"/>
        <w:gridCol w:w="2972"/>
        <w:gridCol w:w="2040"/>
      </w:tblGrid>
      <w:tr w14:paraId="6034C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48" w:type="dxa"/>
            <w:vMerge w:val="restart"/>
            <w:tcBorders>
              <w:bottom w:val="nil"/>
            </w:tcBorders>
            <w:noWrap w:val="0"/>
            <w:vAlign w:val="top"/>
          </w:tcPr>
          <w:p w14:paraId="3F8E621C">
            <w:pPr>
              <w:rPr>
                <w:rFonts w:ascii="Arial"/>
                <w:color w:val="auto"/>
                <w:sz w:val="21"/>
              </w:rPr>
            </w:pPr>
          </w:p>
        </w:tc>
        <w:tc>
          <w:tcPr>
            <w:tcW w:w="810" w:type="dxa"/>
            <w:vMerge w:val="restart"/>
            <w:tcBorders>
              <w:bottom w:val="nil"/>
            </w:tcBorders>
            <w:noWrap w:val="0"/>
            <w:vAlign w:val="top"/>
          </w:tcPr>
          <w:p w14:paraId="579B4D9F">
            <w:pPr>
              <w:rPr>
                <w:rFonts w:ascii="Arial"/>
                <w:color w:val="auto"/>
                <w:sz w:val="21"/>
              </w:rPr>
            </w:pPr>
          </w:p>
        </w:tc>
        <w:tc>
          <w:tcPr>
            <w:tcW w:w="675" w:type="dxa"/>
            <w:noWrap w:val="0"/>
            <w:vAlign w:val="top"/>
          </w:tcPr>
          <w:p w14:paraId="6B0C14EB">
            <w:pPr>
              <w:rPr>
                <w:rFonts w:ascii="Arial"/>
                <w:color w:val="auto"/>
                <w:sz w:val="21"/>
              </w:rPr>
            </w:pPr>
          </w:p>
        </w:tc>
        <w:tc>
          <w:tcPr>
            <w:tcW w:w="1081" w:type="dxa"/>
            <w:noWrap w:val="0"/>
            <w:vAlign w:val="top"/>
          </w:tcPr>
          <w:p w14:paraId="3ED3534C">
            <w:pPr>
              <w:rPr>
                <w:rFonts w:ascii="Arial"/>
                <w:color w:val="auto"/>
                <w:sz w:val="21"/>
              </w:rPr>
            </w:pPr>
          </w:p>
        </w:tc>
        <w:tc>
          <w:tcPr>
            <w:tcW w:w="2972" w:type="dxa"/>
            <w:noWrap w:val="0"/>
            <w:vAlign w:val="top"/>
          </w:tcPr>
          <w:p w14:paraId="5667C5E4">
            <w:pPr>
              <w:pStyle w:val="223"/>
              <w:spacing w:before="71" w:line="229" w:lineRule="auto"/>
              <w:ind w:left="1179"/>
              <w:rPr>
                <w:color w:val="auto"/>
              </w:rPr>
            </w:pPr>
            <w:r>
              <w:rPr>
                <w:color w:val="auto"/>
                <w:spacing w:val="6"/>
              </w:rPr>
              <w:t>转向器</w:t>
            </w:r>
          </w:p>
        </w:tc>
        <w:tc>
          <w:tcPr>
            <w:tcW w:w="2040" w:type="dxa"/>
            <w:noWrap w:val="0"/>
            <w:vAlign w:val="top"/>
          </w:tcPr>
          <w:p w14:paraId="2CA2874A">
            <w:pPr>
              <w:pStyle w:val="223"/>
              <w:spacing w:before="71" w:line="228" w:lineRule="auto"/>
              <w:ind w:left="842"/>
              <w:rPr>
                <w:color w:val="auto"/>
              </w:rPr>
            </w:pPr>
            <w:r>
              <w:rPr>
                <w:color w:val="auto"/>
                <w:spacing w:val="-3"/>
              </w:rPr>
              <w:t>8</w:t>
            </w:r>
            <w:r>
              <w:rPr>
                <w:color w:val="auto"/>
                <w:spacing w:val="-39"/>
              </w:rPr>
              <w:t xml:space="preserve"> </w:t>
            </w:r>
            <w:r>
              <w:rPr>
                <w:color w:val="auto"/>
                <w:spacing w:val="-3"/>
              </w:rPr>
              <w:t>年</w:t>
            </w:r>
          </w:p>
        </w:tc>
      </w:tr>
      <w:tr w14:paraId="531B8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4F504F88">
            <w:pPr>
              <w:rPr>
                <w:rFonts w:ascii="Arial"/>
                <w:color w:val="auto"/>
                <w:sz w:val="21"/>
              </w:rPr>
            </w:pPr>
          </w:p>
        </w:tc>
        <w:tc>
          <w:tcPr>
            <w:tcW w:w="810" w:type="dxa"/>
            <w:vMerge w:val="continue"/>
            <w:tcBorders>
              <w:top w:val="nil"/>
              <w:bottom w:val="nil"/>
            </w:tcBorders>
            <w:noWrap w:val="0"/>
            <w:vAlign w:val="top"/>
          </w:tcPr>
          <w:p w14:paraId="5985DF9A">
            <w:pPr>
              <w:rPr>
                <w:rFonts w:ascii="Arial"/>
                <w:color w:val="auto"/>
                <w:sz w:val="21"/>
              </w:rPr>
            </w:pPr>
          </w:p>
        </w:tc>
        <w:tc>
          <w:tcPr>
            <w:tcW w:w="675" w:type="dxa"/>
            <w:vMerge w:val="restart"/>
            <w:tcBorders>
              <w:bottom w:val="nil"/>
            </w:tcBorders>
            <w:noWrap w:val="0"/>
            <w:vAlign w:val="top"/>
          </w:tcPr>
          <w:p w14:paraId="2CA4EE68">
            <w:pPr>
              <w:rPr>
                <w:rFonts w:ascii="Arial"/>
                <w:color w:val="auto"/>
                <w:sz w:val="21"/>
              </w:rPr>
            </w:pPr>
          </w:p>
        </w:tc>
        <w:tc>
          <w:tcPr>
            <w:tcW w:w="1081" w:type="dxa"/>
            <w:vMerge w:val="restart"/>
            <w:tcBorders>
              <w:bottom w:val="nil"/>
            </w:tcBorders>
            <w:noWrap w:val="0"/>
            <w:vAlign w:val="top"/>
          </w:tcPr>
          <w:p w14:paraId="7477E2E6">
            <w:pPr>
              <w:spacing w:line="261" w:lineRule="auto"/>
              <w:rPr>
                <w:rFonts w:ascii="Arial"/>
                <w:color w:val="auto"/>
                <w:sz w:val="21"/>
              </w:rPr>
            </w:pPr>
          </w:p>
          <w:p w14:paraId="5C0AFF8A">
            <w:pPr>
              <w:spacing w:line="261" w:lineRule="auto"/>
              <w:rPr>
                <w:rFonts w:ascii="Arial"/>
                <w:color w:val="auto"/>
                <w:sz w:val="21"/>
              </w:rPr>
            </w:pPr>
          </w:p>
          <w:p w14:paraId="772A347E">
            <w:pPr>
              <w:pStyle w:val="223"/>
              <w:spacing w:before="65" w:line="230" w:lineRule="auto"/>
              <w:ind w:left="127"/>
              <w:rPr>
                <w:color w:val="auto"/>
              </w:rPr>
            </w:pPr>
            <w:r>
              <w:rPr>
                <w:color w:val="auto"/>
                <w:spacing w:val="6"/>
              </w:rPr>
              <w:t>冷却系统</w:t>
            </w:r>
          </w:p>
        </w:tc>
        <w:tc>
          <w:tcPr>
            <w:tcW w:w="2972" w:type="dxa"/>
            <w:noWrap w:val="0"/>
            <w:vAlign w:val="top"/>
          </w:tcPr>
          <w:p w14:paraId="5AECFC8F">
            <w:pPr>
              <w:pStyle w:val="223"/>
              <w:spacing w:before="67" w:line="228" w:lineRule="auto"/>
              <w:ind w:left="1177"/>
              <w:rPr>
                <w:color w:val="auto"/>
              </w:rPr>
            </w:pPr>
            <w:r>
              <w:rPr>
                <w:color w:val="auto"/>
                <w:spacing w:val="7"/>
              </w:rPr>
              <w:t>散热器</w:t>
            </w:r>
          </w:p>
        </w:tc>
        <w:tc>
          <w:tcPr>
            <w:tcW w:w="2040" w:type="dxa"/>
            <w:noWrap w:val="0"/>
            <w:vAlign w:val="top"/>
          </w:tcPr>
          <w:p w14:paraId="42342E58">
            <w:pPr>
              <w:pStyle w:val="223"/>
              <w:spacing w:before="67" w:line="228" w:lineRule="auto"/>
              <w:ind w:left="842"/>
              <w:rPr>
                <w:color w:val="auto"/>
              </w:rPr>
            </w:pPr>
            <w:r>
              <w:rPr>
                <w:color w:val="auto"/>
                <w:spacing w:val="-3"/>
              </w:rPr>
              <w:t>8</w:t>
            </w:r>
            <w:r>
              <w:rPr>
                <w:color w:val="auto"/>
                <w:spacing w:val="-39"/>
              </w:rPr>
              <w:t xml:space="preserve"> </w:t>
            </w:r>
            <w:r>
              <w:rPr>
                <w:color w:val="auto"/>
                <w:spacing w:val="-3"/>
              </w:rPr>
              <w:t>年</w:t>
            </w:r>
          </w:p>
        </w:tc>
      </w:tr>
      <w:tr w14:paraId="23EEB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63D55372">
            <w:pPr>
              <w:rPr>
                <w:rFonts w:ascii="Arial"/>
                <w:color w:val="auto"/>
                <w:sz w:val="21"/>
              </w:rPr>
            </w:pPr>
          </w:p>
        </w:tc>
        <w:tc>
          <w:tcPr>
            <w:tcW w:w="810" w:type="dxa"/>
            <w:vMerge w:val="continue"/>
            <w:tcBorders>
              <w:top w:val="nil"/>
              <w:bottom w:val="nil"/>
            </w:tcBorders>
            <w:noWrap w:val="0"/>
            <w:vAlign w:val="top"/>
          </w:tcPr>
          <w:p w14:paraId="1FC84597">
            <w:pPr>
              <w:rPr>
                <w:rFonts w:ascii="Arial"/>
                <w:color w:val="auto"/>
                <w:sz w:val="21"/>
              </w:rPr>
            </w:pPr>
          </w:p>
        </w:tc>
        <w:tc>
          <w:tcPr>
            <w:tcW w:w="675" w:type="dxa"/>
            <w:vMerge w:val="continue"/>
            <w:tcBorders>
              <w:top w:val="nil"/>
              <w:bottom w:val="nil"/>
            </w:tcBorders>
            <w:noWrap w:val="0"/>
            <w:vAlign w:val="top"/>
          </w:tcPr>
          <w:p w14:paraId="68C28468">
            <w:pPr>
              <w:rPr>
                <w:rFonts w:ascii="Arial"/>
                <w:color w:val="auto"/>
                <w:sz w:val="21"/>
              </w:rPr>
            </w:pPr>
          </w:p>
        </w:tc>
        <w:tc>
          <w:tcPr>
            <w:tcW w:w="1081" w:type="dxa"/>
            <w:vMerge w:val="continue"/>
            <w:tcBorders>
              <w:top w:val="nil"/>
              <w:bottom w:val="nil"/>
            </w:tcBorders>
            <w:noWrap w:val="0"/>
            <w:vAlign w:val="top"/>
          </w:tcPr>
          <w:p w14:paraId="4216C5CB">
            <w:pPr>
              <w:rPr>
                <w:rFonts w:ascii="Arial"/>
                <w:color w:val="auto"/>
                <w:sz w:val="21"/>
              </w:rPr>
            </w:pPr>
          </w:p>
        </w:tc>
        <w:tc>
          <w:tcPr>
            <w:tcW w:w="2972" w:type="dxa"/>
            <w:noWrap w:val="0"/>
            <w:vAlign w:val="top"/>
          </w:tcPr>
          <w:p w14:paraId="67C739F5">
            <w:pPr>
              <w:pStyle w:val="223"/>
              <w:spacing w:before="65" w:line="228" w:lineRule="auto"/>
              <w:ind w:left="886"/>
              <w:rPr>
                <w:color w:val="auto"/>
              </w:rPr>
            </w:pPr>
            <w:r>
              <w:rPr>
                <w:color w:val="auto"/>
                <w:spacing w:val="4"/>
              </w:rPr>
              <w:t>电动水泵总成</w:t>
            </w:r>
          </w:p>
        </w:tc>
        <w:tc>
          <w:tcPr>
            <w:tcW w:w="2040" w:type="dxa"/>
            <w:noWrap w:val="0"/>
            <w:vAlign w:val="top"/>
          </w:tcPr>
          <w:p w14:paraId="1D2587C2">
            <w:pPr>
              <w:pStyle w:val="223"/>
              <w:spacing w:before="65" w:line="228" w:lineRule="auto"/>
              <w:ind w:left="842"/>
              <w:rPr>
                <w:color w:val="auto"/>
              </w:rPr>
            </w:pPr>
            <w:r>
              <w:rPr>
                <w:color w:val="auto"/>
                <w:spacing w:val="-3"/>
              </w:rPr>
              <w:t>8</w:t>
            </w:r>
            <w:r>
              <w:rPr>
                <w:color w:val="auto"/>
                <w:spacing w:val="-39"/>
              </w:rPr>
              <w:t xml:space="preserve"> </w:t>
            </w:r>
            <w:r>
              <w:rPr>
                <w:color w:val="auto"/>
                <w:spacing w:val="-3"/>
              </w:rPr>
              <w:t>年</w:t>
            </w:r>
          </w:p>
        </w:tc>
      </w:tr>
      <w:tr w14:paraId="41A82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25F080FE">
            <w:pPr>
              <w:rPr>
                <w:rFonts w:ascii="Arial"/>
                <w:color w:val="auto"/>
                <w:sz w:val="21"/>
              </w:rPr>
            </w:pPr>
          </w:p>
        </w:tc>
        <w:tc>
          <w:tcPr>
            <w:tcW w:w="810" w:type="dxa"/>
            <w:vMerge w:val="continue"/>
            <w:tcBorders>
              <w:top w:val="nil"/>
              <w:bottom w:val="nil"/>
            </w:tcBorders>
            <w:noWrap w:val="0"/>
            <w:vAlign w:val="top"/>
          </w:tcPr>
          <w:p w14:paraId="10D0B068">
            <w:pPr>
              <w:rPr>
                <w:rFonts w:ascii="Arial"/>
                <w:color w:val="auto"/>
                <w:sz w:val="21"/>
              </w:rPr>
            </w:pPr>
          </w:p>
        </w:tc>
        <w:tc>
          <w:tcPr>
            <w:tcW w:w="675" w:type="dxa"/>
            <w:vMerge w:val="continue"/>
            <w:tcBorders>
              <w:top w:val="nil"/>
              <w:bottom w:val="nil"/>
            </w:tcBorders>
            <w:noWrap w:val="0"/>
            <w:vAlign w:val="top"/>
          </w:tcPr>
          <w:p w14:paraId="21EC3079">
            <w:pPr>
              <w:rPr>
                <w:rFonts w:ascii="Arial"/>
                <w:color w:val="auto"/>
                <w:sz w:val="21"/>
              </w:rPr>
            </w:pPr>
          </w:p>
        </w:tc>
        <w:tc>
          <w:tcPr>
            <w:tcW w:w="1081" w:type="dxa"/>
            <w:vMerge w:val="continue"/>
            <w:tcBorders>
              <w:top w:val="nil"/>
              <w:bottom w:val="nil"/>
            </w:tcBorders>
            <w:noWrap w:val="0"/>
            <w:vAlign w:val="top"/>
          </w:tcPr>
          <w:p w14:paraId="49F7AB67">
            <w:pPr>
              <w:rPr>
                <w:rFonts w:ascii="Arial"/>
                <w:color w:val="auto"/>
                <w:sz w:val="21"/>
              </w:rPr>
            </w:pPr>
          </w:p>
        </w:tc>
        <w:tc>
          <w:tcPr>
            <w:tcW w:w="2972" w:type="dxa"/>
            <w:noWrap w:val="0"/>
            <w:vAlign w:val="top"/>
          </w:tcPr>
          <w:p w14:paraId="30425B80">
            <w:pPr>
              <w:pStyle w:val="223"/>
              <w:spacing w:before="65" w:line="229" w:lineRule="auto"/>
              <w:ind w:left="1097"/>
              <w:rPr>
                <w:color w:val="auto"/>
              </w:rPr>
            </w:pPr>
            <w:r>
              <w:rPr>
                <w:color w:val="auto"/>
                <w:spacing w:val="1"/>
              </w:rPr>
              <w:t>电子风扇</w:t>
            </w:r>
          </w:p>
        </w:tc>
        <w:tc>
          <w:tcPr>
            <w:tcW w:w="2040" w:type="dxa"/>
            <w:noWrap w:val="0"/>
            <w:vAlign w:val="top"/>
          </w:tcPr>
          <w:p w14:paraId="49B58149">
            <w:pPr>
              <w:pStyle w:val="223"/>
              <w:spacing w:before="66" w:line="228" w:lineRule="auto"/>
              <w:ind w:left="842"/>
              <w:rPr>
                <w:color w:val="auto"/>
              </w:rPr>
            </w:pPr>
            <w:r>
              <w:rPr>
                <w:color w:val="auto"/>
                <w:spacing w:val="-3"/>
              </w:rPr>
              <w:t>8</w:t>
            </w:r>
            <w:r>
              <w:rPr>
                <w:color w:val="auto"/>
                <w:spacing w:val="-39"/>
              </w:rPr>
              <w:t xml:space="preserve"> </w:t>
            </w:r>
            <w:r>
              <w:rPr>
                <w:color w:val="auto"/>
                <w:spacing w:val="-3"/>
              </w:rPr>
              <w:t>年</w:t>
            </w:r>
          </w:p>
        </w:tc>
      </w:tr>
      <w:tr w14:paraId="19C1D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48" w:type="dxa"/>
            <w:vMerge w:val="continue"/>
            <w:tcBorders>
              <w:top w:val="nil"/>
              <w:bottom w:val="nil"/>
            </w:tcBorders>
            <w:noWrap w:val="0"/>
            <w:vAlign w:val="top"/>
          </w:tcPr>
          <w:p w14:paraId="16AF001C">
            <w:pPr>
              <w:rPr>
                <w:rFonts w:ascii="Arial"/>
                <w:color w:val="auto"/>
                <w:sz w:val="21"/>
              </w:rPr>
            </w:pPr>
          </w:p>
        </w:tc>
        <w:tc>
          <w:tcPr>
            <w:tcW w:w="810" w:type="dxa"/>
            <w:vMerge w:val="continue"/>
            <w:tcBorders>
              <w:top w:val="nil"/>
            </w:tcBorders>
            <w:noWrap w:val="0"/>
            <w:vAlign w:val="top"/>
          </w:tcPr>
          <w:p w14:paraId="45DB25AB">
            <w:pPr>
              <w:rPr>
                <w:rFonts w:ascii="Arial"/>
                <w:color w:val="auto"/>
                <w:sz w:val="21"/>
              </w:rPr>
            </w:pPr>
          </w:p>
        </w:tc>
        <w:tc>
          <w:tcPr>
            <w:tcW w:w="675" w:type="dxa"/>
            <w:vMerge w:val="continue"/>
            <w:tcBorders>
              <w:top w:val="nil"/>
            </w:tcBorders>
            <w:noWrap w:val="0"/>
            <w:vAlign w:val="top"/>
          </w:tcPr>
          <w:p w14:paraId="1385278F">
            <w:pPr>
              <w:rPr>
                <w:rFonts w:ascii="Arial"/>
                <w:color w:val="auto"/>
                <w:sz w:val="21"/>
              </w:rPr>
            </w:pPr>
          </w:p>
        </w:tc>
        <w:tc>
          <w:tcPr>
            <w:tcW w:w="1081" w:type="dxa"/>
            <w:vMerge w:val="continue"/>
            <w:tcBorders>
              <w:top w:val="nil"/>
            </w:tcBorders>
            <w:noWrap w:val="0"/>
            <w:vAlign w:val="top"/>
          </w:tcPr>
          <w:p w14:paraId="55F84846">
            <w:pPr>
              <w:rPr>
                <w:rFonts w:ascii="Arial"/>
                <w:color w:val="auto"/>
                <w:sz w:val="21"/>
              </w:rPr>
            </w:pPr>
          </w:p>
        </w:tc>
        <w:tc>
          <w:tcPr>
            <w:tcW w:w="2972" w:type="dxa"/>
            <w:noWrap w:val="0"/>
            <w:vAlign w:val="top"/>
          </w:tcPr>
          <w:p w14:paraId="12A1E846">
            <w:pPr>
              <w:pStyle w:val="223"/>
              <w:spacing w:before="66" w:line="228" w:lineRule="auto"/>
              <w:ind w:left="1073"/>
              <w:rPr>
                <w:color w:val="auto"/>
              </w:rPr>
            </w:pPr>
            <w:r>
              <w:rPr>
                <w:color w:val="auto"/>
                <w:spacing w:val="7"/>
              </w:rPr>
              <w:t>膨胀水箱</w:t>
            </w:r>
          </w:p>
        </w:tc>
        <w:tc>
          <w:tcPr>
            <w:tcW w:w="2040" w:type="dxa"/>
            <w:noWrap w:val="0"/>
            <w:vAlign w:val="top"/>
          </w:tcPr>
          <w:p w14:paraId="02EA93E8">
            <w:pPr>
              <w:pStyle w:val="223"/>
              <w:spacing w:before="66" w:line="228" w:lineRule="auto"/>
              <w:ind w:left="842"/>
              <w:rPr>
                <w:color w:val="auto"/>
              </w:rPr>
            </w:pPr>
            <w:r>
              <w:rPr>
                <w:color w:val="auto"/>
                <w:spacing w:val="-3"/>
              </w:rPr>
              <w:t>8</w:t>
            </w:r>
            <w:r>
              <w:rPr>
                <w:color w:val="auto"/>
                <w:spacing w:val="-39"/>
              </w:rPr>
              <w:t xml:space="preserve"> </w:t>
            </w:r>
            <w:r>
              <w:rPr>
                <w:color w:val="auto"/>
                <w:spacing w:val="-3"/>
              </w:rPr>
              <w:t>年</w:t>
            </w:r>
          </w:p>
        </w:tc>
      </w:tr>
      <w:tr w14:paraId="6DC35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48" w:type="dxa"/>
            <w:vMerge w:val="continue"/>
            <w:tcBorders>
              <w:top w:val="nil"/>
              <w:bottom w:val="nil"/>
            </w:tcBorders>
            <w:noWrap w:val="0"/>
            <w:vAlign w:val="top"/>
          </w:tcPr>
          <w:p w14:paraId="70CEB304">
            <w:pPr>
              <w:rPr>
                <w:rFonts w:ascii="Arial"/>
                <w:color w:val="auto"/>
                <w:sz w:val="21"/>
              </w:rPr>
            </w:pPr>
          </w:p>
        </w:tc>
        <w:tc>
          <w:tcPr>
            <w:tcW w:w="810" w:type="dxa"/>
            <w:vMerge w:val="restart"/>
            <w:tcBorders>
              <w:bottom w:val="nil"/>
            </w:tcBorders>
            <w:noWrap w:val="0"/>
            <w:vAlign w:val="top"/>
          </w:tcPr>
          <w:p w14:paraId="10969B6A">
            <w:pPr>
              <w:spacing w:line="252" w:lineRule="auto"/>
              <w:rPr>
                <w:rFonts w:ascii="Arial"/>
                <w:color w:val="auto"/>
                <w:sz w:val="21"/>
              </w:rPr>
            </w:pPr>
          </w:p>
          <w:p w14:paraId="3508FAD4">
            <w:pPr>
              <w:spacing w:line="252" w:lineRule="auto"/>
              <w:rPr>
                <w:rFonts w:ascii="Arial"/>
                <w:color w:val="auto"/>
                <w:sz w:val="21"/>
              </w:rPr>
            </w:pPr>
          </w:p>
          <w:p w14:paraId="2E88F0EC">
            <w:pPr>
              <w:spacing w:line="252" w:lineRule="auto"/>
              <w:rPr>
                <w:rFonts w:ascii="Arial"/>
                <w:color w:val="auto"/>
                <w:sz w:val="21"/>
              </w:rPr>
            </w:pPr>
          </w:p>
          <w:p w14:paraId="1090A83D">
            <w:pPr>
              <w:spacing w:line="252" w:lineRule="auto"/>
              <w:rPr>
                <w:rFonts w:ascii="Arial"/>
                <w:color w:val="auto"/>
                <w:sz w:val="21"/>
              </w:rPr>
            </w:pPr>
          </w:p>
          <w:p w14:paraId="76AC661F">
            <w:pPr>
              <w:spacing w:line="252" w:lineRule="auto"/>
              <w:rPr>
                <w:rFonts w:ascii="Arial"/>
                <w:color w:val="auto"/>
                <w:sz w:val="21"/>
              </w:rPr>
            </w:pPr>
          </w:p>
          <w:p w14:paraId="4EFCB382">
            <w:pPr>
              <w:spacing w:line="252" w:lineRule="auto"/>
              <w:rPr>
                <w:rFonts w:ascii="Arial"/>
                <w:color w:val="auto"/>
                <w:sz w:val="21"/>
              </w:rPr>
            </w:pPr>
          </w:p>
          <w:p w14:paraId="05B0B62F">
            <w:pPr>
              <w:spacing w:line="252" w:lineRule="auto"/>
              <w:rPr>
                <w:rFonts w:ascii="Arial"/>
                <w:color w:val="auto"/>
                <w:sz w:val="21"/>
              </w:rPr>
            </w:pPr>
          </w:p>
          <w:p w14:paraId="4C076F87">
            <w:pPr>
              <w:spacing w:line="253" w:lineRule="auto"/>
              <w:rPr>
                <w:rFonts w:ascii="Arial"/>
                <w:color w:val="auto"/>
                <w:sz w:val="21"/>
              </w:rPr>
            </w:pPr>
          </w:p>
          <w:p w14:paraId="626FE61A">
            <w:pPr>
              <w:spacing w:line="253" w:lineRule="auto"/>
              <w:rPr>
                <w:rFonts w:ascii="Arial"/>
                <w:color w:val="auto"/>
                <w:sz w:val="21"/>
              </w:rPr>
            </w:pPr>
          </w:p>
          <w:p w14:paraId="3216ABC5">
            <w:pPr>
              <w:spacing w:line="253" w:lineRule="auto"/>
              <w:rPr>
                <w:rFonts w:ascii="Arial"/>
                <w:color w:val="auto"/>
                <w:sz w:val="21"/>
              </w:rPr>
            </w:pPr>
          </w:p>
          <w:p w14:paraId="208D5A8C">
            <w:pPr>
              <w:spacing w:line="253" w:lineRule="auto"/>
              <w:rPr>
                <w:rFonts w:ascii="Arial"/>
                <w:color w:val="auto"/>
                <w:sz w:val="21"/>
              </w:rPr>
            </w:pPr>
          </w:p>
          <w:p w14:paraId="3B01B8DA">
            <w:pPr>
              <w:spacing w:line="253" w:lineRule="auto"/>
              <w:rPr>
                <w:rFonts w:ascii="Arial"/>
                <w:color w:val="auto"/>
                <w:sz w:val="21"/>
              </w:rPr>
            </w:pPr>
          </w:p>
          <w:p w14:paraId="04F84551">
            <w:pPr>
              <w:spacing w:line="253" w:lineRule="auto"/>
              <w:rPr>
                <w:rFonts w:ascii="Arial"/>
                <w:color w:val="auto"/>
                <w:sz w:val="21"/>
              </w:rPr>
            </w:pPr>
          </w:p>
          <w:p w14:paraId="622439B4">
            <w:pPr>
              <w:pStyle w:val="223"/>
              <w:spacing w:before="65" w:line="189" w:lineRule="auto"/>
              <w:ind w:left="357"/>
              <w:rPr>
                <w:color w:val="auto"/>
              </w:rPr>
            </w:pPr>
            <w:r>
              <w:rPr>
                <w:color w:val="auto"/>
              </w:rPr>
              <w:t>6</w:t>
            </w:r>
          </w:p>
        </w:tc>
        <w:tc>
          <w:tcPr>
            <w:tcW w:w="1756" w:type="dxa"/>
            <w:gridSpan w:val="2"/>
            <w:vMerge w:val="restart"/>
            <w:tcBorders>
              <w:bottom w:val="nil"/>
            </w:tcBorders>
            <w:noWrap w:val="0"/>
            <w:vAlign w:val="top"/>
          </w:tcPr>
          <w:p w14:paraId="29C98E15">
            <w:pPr>
              <w:spacing w:line="250" w:lineRule="auto"/>
              <w:rPr>
                <w:rFonts w:ascii="Arial"/>
                <w:color w:val="auto"/>
                <w:sz w:val="21"/>
              </w:rPr>
            </w:pPr>
          </w:p>
          <w:p w14:paraId="709D5F70">
            <w:pPr>
              <w:spacing w:line="250" w:lineRule="auto"/>
              <w:rPr>
                <w:rFonts w:ascii="Arial"/>
                <w:color w:val="auto"/>
                <w:sz w:val="21"/>
              </w:rPr>
            </w:pPr>
          </w:p>
          <w:p w14:paraId="016278FC">
            <w:pPr>
              <w:spacing w:line="250" w:lineRule="auto"/>
              <w:rPr>
                <w:rFonts w:ascii="Arial"/>
                <w:color w:val="auto"/>
                <w:sz w:val="21"/>
              </w:rPr>
            </w:pPr>
          </w:p>
          <w:p w14:paraId="438C02B6">
            <w:pPr>
              <w:spacing w:line="250" w:lineRule="auto"/>
              <w:rPr>
                <w:rFonts w:ascii="Arial"/>
                <w:color w:val="auto"/>
                <w:sz w:val="21"/>
              </w:rPr>
            </w:pPr>
          </w:p>
          <w:p w14:paraId="18F6F69B">
            <w:pPr>
              <w:spacing w:line="250" w:lineRule="auto"/>
              <w:rPr>
                <w:rFonts w:ascii="Arial"/>
                <w:color w:val="auto"/>
                <w:sz w:val="21"/>
              </w:rPr>
            </w:pPr>
          </w:p>
          <w:p w14:paraId="66D9D617">
            <w:pPr>
              <w:spacing w:line="250" w:lineRule="auto"/>
              <w:rPr>
                <w:rFonts w:ascii="Arial"/>
                <w:color w:val="auto"/>
                <w:sz w:val="21"/>
              </w:rPr>
            </w:pPr>
          </w:p>
          <w:p w14:paraId="489EA21A">
            <w:pPr>
              <w:spacing w:line="250" w:lineRule="auto"/>
              <w:rPr>
                <w:rFonts w:ascii="Arial"/>
                <w:color w:val="auto"/>
                <w:sz w:val="21"/>
              </w:rPr>
            </w:pPr>
          </w:p>
          <w:p w14:paraId="0441D0C7">
            <w:pPr>
              <w:spacing w:line="250" w:lineRule="auto"/>
              <w:rPr>
                <w:rFonts w:ascii="Arial"/>
                <w:color w:val="auto"/>
                <w:sz w:val="21"/>
              </w:rPr>
            </w:pPr>
          </w:p>
          <w:p w14:paraId="6B723F0C">
            <w:pPr>
              <w:spacing w:line="250" w:lineRule="auto"/>
              <w:rPr>
                <w:rFonts w:ascii="Arial"/>
                <w:color w:val="auto"/>
                <w:sz w:val="21"/>
              </w:rPr>
            </w:pPr>
          </w:p>
          <w:p w14:paraId="45CE8A3C">
            <w:pPr>
              <w:spacing w:line="250" w:lineRule="auto"/>
              <w:rPr>
                <w:rFonts w:ascii="Arial"/>
                <w:color w:val="auto"/>
                <w:sz w:val="21"/>
              </w:rPr>
            </w:pPr>
          </w:p>
          <w:p w14:paraId="409EDD38">
            <w:pPr>
              <w:spacing w:line="250" w:lineRule="auto"/>
              <w:rPr>
                <w:rFonts w:ascii="Arial"/>
                <w:color w:val="auto"/>
                <w:sz w:val="21"/>
              </w:rPr>
            </w:pPr>
          </w:p>
          <w:p w14:paraId="281BA25B">
            <w:pPr>
              <w:spacing w:line="250" w:lineRule="auto"/>
              <w:rPr>
                <w:rFonts w:ascii="Arial"/>
                <w:color w:val="auto"/>
                <w:sz w:val="21"/>
              </w:rPr>
            </w:pPr>
          </w:p>
          <w:p w14:paraId="669FA42F">
            <w:pPr>
              <w:spacing w:line="250" w:lineRule="auto"/>
              <w:rPr>
                <w:rFonts w:ascii="Arial"/>
                <w:color w:val="auto"/>
                <w:sz w:val="21"/>
              </w:rPr>
            </w:pPr>
          </w:p>
          <w:p w14:paraId="42AFB5E8">
            <w:pPr>
              <w:pStyle w:val="223"/>
              <w:spacing w:before="65" w:line="228" w:lineRule="auto"/>
              <w:ind w:left="114"/>
              <w:rPr>
                <w:color w:val="auto"/>
              </w:rPr>
            </w:pPr>
            <w:r>
              <w:rPr>
                <w:color w:val="auto"/>
                <w:spacing w:val="7"/>
              </w:rPr>
              <w:t>车辆电子设备</w:t>
            </w:r>
          </w:p>
        </w:tc>
        <w:tc>
          <w:tcPr>
            <w:tcW w:w="2972" w:type="dxa"/>
            <w:noWrap w:val="0"/>
            <w:vAlign w:val="top"/>
          </w:tcPr>
          <w:p w14:paraId="059F1471">
            <w:pPr>
              <w:pStyle w:val="223"/>
              <w:spacing w:before="97" w:line="228" w:lineRule="auto"/>
              <w:ind w:left="549"/>
              <w:rPr>
                <w:color w:val="auto"/>
              </w:rPr>
            </w:pPr>
            <w:r>
              <w:rPr>
                <w:color w:val="auto"/>
                <w:spacing w:val="8"/>
              </w:rPr>
              <w:t>车载智能调度一体机</w:t>
            </w:r>
          </w:p>
        </w:tc>
        <w:tc>
          <w:tcPr>
            <w:tcW w:w="2040" w:type="dxa"/>
            <w:noWrap w:val="0"/>
            <w:vAlign w:val="top"/>
          </w:tcPr>
          <w:p w14:paraId="64CC691C">
            <w:pPr>
              <w:pStyle w:val="223"/>
              <w:spacing w:before="98" w:line="228" w:lineRule="auto"/>
              <w:ind w:left="842"/>
              <w:rPr>
                <w:color w:val="auto"/>
              </w:rPr>
            </w:pPr>
            <w:r>
              <w:rPr>
                <w:color w:val="auto"/>
                <w:spacing w:val="-3"/>
              </w:rPr>
              <w:t>8</w:t>
            </w:r>
            <w:r>
              <w:rPr>
                <w:color w:val="auto"/>
                <w:spacing w:val="-39"/>
              </w:rPr>
              <w:t xml:space="preserve"> </w:t>
            </w:r>
            <w:r>
              <w:rPr>
                <w:color w:val="auto"/>
                <w:spacing w:val="-3"/>
              </w:rPr>
              <w:t>年</w:t>
            </w:r>
          </w:p>
        </w:tc>
      </w:tr>
      <w:tr w14:paraId="5B9C8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48" w:type="dxa"/>
            <w:vMerge w:val="continue"/>
            <w:tcBorders>
              <w:top w:val="nil"/>
              <w:bottom w:val="nil"/>
            </w:tcBorders>
            <w:noWrap w:val="0"/>
            <w:vAlign w:val="top"/>
          </w:tcPr>
          <w:p w14:paraId="4DD181A8">
            <w:pPr>
              <w:rPr>
                <w:rFonts w:ascii="Arial"/>
                <w:color w:val="auto"/>
                <w:sz w:val="21"/>
              </w:rPr>
            </w:pPr>
          </w:p>
        </w:tc>
        <w:tc>
          <w:tcPr>
            <w:tcW w:w="810" w:type="dxa"/>
            <w:vMerge w:val="continue"/>
            <w:tcBorders>
              <w:top w:val="nil"/>
              <w:bottom w:val="nil"/>
            </w:tcBorders>
            <w:noWrap w:val="0"/>
            <w:vAlign w:val="top"/>
          </w:tcPr>
          <w:p w14:paraId="084116CD">
            <w:pPr>
              <w:rPr>
                <w:rFonts w:ascii="Arial"/>
                <w:color w:val="auto"/>
                <w:sz w:val="21"/>
              </w:rPr>
            </w:pPr>
          </w:p>
        </w:tc>
        <w:tc>
          <w:tcPr>
            <w:tcW w:w="1756" w:type="dxa"/>
            <w:gridSpan w:val="2"/>
            <w:vMerge w:val="continue"/>
            <w:tcBorders>
              <w:top w:val="nil"/>
              <w:bottom w:val="nil"/>
            </w:tcBorders>
            <w:noWrap w:val="0"/>
            <w:vAlign w:val="top"/>
          </w:tcPr>
          <w:p w14:paraId="355533E0">
            <w:pPr>
              <w:rPr>
                <w:rFonts w:ascii="Arial"/>
                <w:color w:val="auto"/>
                <w:sz w:val="21"/>
              </w:rPr>
            </w:pPr>
          </w:p>
        </w:tc>
        <w:tc>
          <w:tcPr>
            <w:tcW w:w="2972" w:type="dxa"/>
            <w:noWrap w:val="0"/>
            <w:vAlign w:val="top"/>
          </w:tcPr>
          <w:p w14:paraId="7B06CFA0">
            <w:pPr>
              <w:pStyle w:val="223"/>
              <w:spacing w:before="99" w:line="228" w:lineRule="auto"/>
              <w:ind w:left="659"/>
              <w:rPr>
                <w:color w:val="auto"/>
              </w:rPr>
            </w:pPr>
            <w:r>
              <w:rPr>
                <w:color w:val="auto"/>
                <w:spacing w:val="7"/>
              </w:rPr>
              <w:t>驾驶行为分析终端</w:t>
            </w:r>
          </w:p>
        </w:tc>
        <w:tc>
          <w:tcPr>
            <w:tcW w:w="2040" w:type="dxa"/>
            <w:noWrap w:val="0"/>
            <w:vAlign w:val="top"/>
          </w:tcPr>
          <w:p w14:paraId="66F0E95F">
            <w:pPr>
              <w:pStyle w:val="223"/>
              <w:spacing w:before="99" w:line="228" w:lineRule="auto"/>
              <w:ind w:left="842"/>
              <w:rPr>
                <w:color w:val="auto"/>
              </w:rPr>
            </w:pPr>
            <w:r>
              <w:rPr>
                <w:color w:val="auto"/>
                <w:spacing w:val="-3"/>
              </w:rPr>
              <w:t>8</w:t>
            </w:r>
            <w:r>
              <w:rPr>
                <w:color w:val="auto"/>
                <w:spacing w:val="-39"/>
              </w:rPr>
              <w:t xml:space="preserve"> </w:t>
            </w:r>
            <w:r>
              <w:rPr>
                <w:color w:val="auto"/>
                <w:spacing w:val="-3"/>
              </w:rPr>
              <w:t>年</w:t>
            </w:r>
          </w:p>
        </w:tc>
      </w:tr>
      <w:tr w14:paraId="03A66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948" w:type="dxa"/>
            <w:vMerge w:val="continue"/>
            <w:tcBorders>
              <w:top w:val="nil"/>
              <w:bottom w:val="nil"/>
            </w:tcBorders>
            <w:noWrap w:val="0"/>
            <w:vAlign w:val="top"/>
          </w:tcPr>
          <w:p w14:paraId="6C0194B9">
            <w:pPr>
              <w:rPr>
                <w:rFonts w:ascii="Arial"/>
                <w:color w:val="auto"/>
                <w:sz w:val="21"/>
              </w:rPr>
            </w:pPr>
          </w:p>
        </w:tc>
        <w:tc>
          <w:tcPr>
            <w:tcW w:w="810" w:type="dxa"/>
            <w:vMerge w:val="continue"/>
            <w:tcBorders>
              <w:top w:val="nil"/>
              <w:bottom w:val="nil"/>
            </w:tcBorders>
            <w:noWrap w:val="0"/>
            <w:vAlign w:val="top"/>
          </w:tcPr>
          <w:p w14:paraId="1351F901">
            <w:pPr>
              <w:rPr>
                <w:rFonts w:ascii="Arial"/>
                <w:color w:val="auto"/>
                <w:sz w:val="21"/>
              </w:rPr>
            </w:pPr>
          </w:p>
        </w:tc>
        <w:tc>
          <w:tcPr>
            <w:tcW w:w="1756" w:type="dxa"/>
            <w:gridSpan w:val="2"/>
            <w:vMerge w:val="continue"/>
            <w:tcBorders>
              <w:top w:val="nil"/>
              <w:bottom w:val="nil"/>
            </w:tcBorders>
            <w:noWrap w:val="0"/>
            <w:vAlign w:val="top"/>
          </w:tcPr>
          <w:p w14:paraId="51B791BE">
            <w:pPr>
              <w:rPr>
                <w:rFonts w:ascii="Arial"/>
                <w:color w:val="auto"/>
                <w:sz w:val="21"/>
              </w:rPr>
            </w:pPr>
          </w:p>
        </w:tc>
        <w:tc>
          <w:tcPr>
            <w:tcW w:w="2972" w:type="dxa"/>
            <w:noWrap w:val="0"/>
            <w:vAlign w:val="top"/>
          </w:tcPr>
          <w:p w14:paraId="3D1C7ECB">
            <w:pPr>
              <w:pStyle w:val="223"/>
              <w:spacing w:before="118" w:line="228" w:lineRule="auto"/>
              <w:ind w:left="654"/>
              <w:rPr>
                <w:color w:val="auto"/>
              </w:rPr>
            </w:pPr>
            <w:r>
              <w:rPr>
                <w:color w:val="auto"/>
                <w:spacing w:val="8"/>
              </w:rPr>
              <w:t>车载视频监控系统</w:t>
            </w:r>
          </w:p>
        </w:tc>
        <w:tc>
          <w:tcPr>
            <w:tcW w:w="2040" w:type="dxa"/>
            <w:noWrap w:val="0"/>
            <w:vAlign w:val="top"/>
          </w:tcPr>
          <w:p w14:paraId="0D006ABC">
            <w:pPr>
              <w:pStyle w:val="223"/>
              <w:spacing w:before="118" w:line="228" w:lineRule="auto"/>
              <w:ind w:left="842"/>
              <w:rPr>
                <w:color w:val="auto"/>
              </w:rPr>
            </w:pPr>
            <w:r>
              <w:rPr>
                <w:color w:val="auto"/>
                <w:spacing w:val="-3"/>
              </w:rPr>
              <w:t>8</w:t>
            </w:r>
            <w:r>
              <w:rPr>
                <w:color w:val="auto"/>
                <w:spacing w:val="-39"/>
              </w:rPr>
              <w:t xml:space="preserve"> </w:t>
            </w:r>
            <w:r>
              <w:rPr>
                <w:color w:val="auto"/>
                <w:spacing w:val="-3"/>
              </w:rPr>
              <w:t>年</w:t>
            </w:r>
          </w:p>
        </w:tc>
      </w:tr>
      <w:tr w14:paraId="7B429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48" w:type="dxa"/>
            <w:vMerge w:val="continue"/>
            <w:tcBorders>
              <w:top w:val="nil"/>
              <w:bottom w:val="nil"/>
            </w:tcBorders>
            <w:noWrap w:val="0"/>
            <w:vAlign w:val="top"/>
          </w:tcPr>
          <w:p w14:paraId="1C4F267D">
            <w:pPr>
              <w:rPr>
                <w:rFonts w:ascii="Arial"/>
                <w:color w:val="auto"/>
                <w:sz w:val="21"/>
              </w:rPr>
            </w:pPr>
          </w:p>
        </w:tc>
        <w:tc>
          <w:tcPr>
            <w:tcW w:w="810" w:type="dxa"/>
            <w:vMerge w:val="continue"/>
            <w:tcBorders>
              <w:top w:val="nil"/>
              <w:bottom w:val="nil"/>
            </w:tcBorders>
            <w:noWrap w:val="0"/>
            <w:vAlign w:val="top"/>
          </w:tcPr>
          <w:p w14:paraId="07070B9C">
            <w:pPr>
              <w:rPr>
                <w:rFonts w:ascii="Arial"/>
                <w:color w:val="auto"/>
                <w:sz w:val="21"/>
              </w:rPr>
            </w:pPr>
          </w:p>
        </w:tc>
        <w:tc>
          <w:tcPr>
            <w:tcW w:w="1756" w:type="dxa"/>
            <w:gridSpan w:val="2"/>
            <w:vMerge w:val="continue"/>
            <w:tcBorders>
              <w:top w:val="nil"/>
              <w:bottom w:val="nil"/>
            </w:tcBorders>
            <w:noWrap w:val="0"/>
            <w:vAlign w:val="top"/>
          </w:tcPr>
          <w:p w14:paraId="53E07B5E">
            <w:pPr>
              <w:rPr>
                <w:rFonts w:ascii="Arial"/>
                <w:color w:val="auto"/>
                <w:sz w:val="21"/>
              </w:rPr>
            </w:pPr>
          </w:p>
        </w:tc>
        <w:tc>
          <w:tcPr>
            <w:tcW w:w="2972" w:type="dxa"/>
            <w:noWrap w:val="0"/>
            <w:vAlign w:val="top"/>
          </w:tcPr>
          <w:p w14:paraId="59D80EA5">
            <w:pPr>
              <w:pStyle w:val="223"/>
              <w:spacing w:before="174" w:line="228" w:lineRule="auto"/>
              <w:ind w:left="443"/>
              <w:rPr>
                <w:color w:val="auto"/>
              </w:rPr>
            </w:pPr>
            <w:r>
              <w:rPr>
                <w:color w:val="auto"/>
                <w:spacing w:val="8"/>
              </w:rPr>
              <w:t>车辆辅助安全预警设备</w:t>
            </w:r>
          </w:p>
        </w:tc>
        <w:tc>
          <w:tcPr>
            <w:tcW w:w="2040" w:type="dxa"/>
            <w:noWrap w:val="0"/>
            <w:vAlign w:val="top"/>
          </w:tcPr>
          <w:p w14:paraId="1C32AE35">
            <w:pPr>
              <w:pStyle w:val="223"/>
              <w:spacing w:before="174" w:line="228" w:lineRule="auto"/>
              <w:ind w:left="842"/>
              <w:rPr>
                <w:color w:val="auto"/>
              </w:rPr>
            </w:pPr>
            <w:r>
              <w:rPr>
                <w:color w:val="auto"/>
                <w:spacing w:val="-3"/>
              </w:rPr>
              <w:t>8</w:t>
            </w:r>
            <w:r>
              <w:rPr>
                <w:color w:val="auto"/>
                <w:spacing w:val="-39"/>
              </w:rPr>
              <w:t xml:space="preserve"> </w:t>
            </w:r>
            <w:r>
              <w:rPr>
                <w:color w:val="auto"/>
                <w:spacing w:val="-3"/>
              </w:rPr>
              <w:t>年</w:t>
            </w:r>
          </w:p>
        </w:tc>
      </w:tr>
      <w:tr w14:paraId="4F14D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705D765F">
            <w:pPr>
              <w:rPr>
                <w:rFonts w:ascii="Arial"/>
                <w:color w:val="auto"/>
                <w:sz w:val="21"/>
              </w:rPr>
            </w:pPr>
          </w:p>
        </w:tc>
        <w:tc>
          <w:tcPr>
            <w:tcW w:w="810" w:type="dxa"/>
            <w:vMerge w:val="continue"/>
            <w:tcBorders>
              <w:top w:val="nil"/>
              <w:bottom w:val="nil"/>
            </w:tcBorders>
            <w:noWrap w:val="0"/>
            <w:vAlign w:val="top"/>
          </w:tcPr>
          <w:p w14:paraId="4026240E">
            <w:pPr>
              <w:rPr>
                <w:rFonts w:ascii="Arial"/>
                <w:color w:val="auto"/>
                <w:sz w:val="21"/>
              </w:rPr>
            </w:pPr>
          </w:p>
        </w:tc>
        <w:tc>
          <w:tcPr>
            <w:tcW w:w="1756" w:type="dxa"/>
            <w:gridSpan w:val="2"/>
            <w:vMerge w:val="continue"/>
            <w:tcBorders>
              <w:top w:val="nil"/>
              <w:bottom w:val="nil"/>
            </w:tcBorders>
            <w:noWrap w:val="0"/>
            <w:vAlign w:val="top"/>
          </w:tcPr>
          <w:p w14:paraId="5E500AA4">
            <w:pPr>
              <w:rPr>
                <w:rFonts w:ascii="Arial"/>
                <w:color w:val="auto"/>
                <w:sz w:val="21"/>
              </w:rPr>
            </w:pPr>
          </w:p>
        </w:tc>
        <w:tc>
          <w:tcPr>
            <w:tcW w:w="2972" w:type="dxa"/>
            <w:noWrap w:val="0"/>
            <w:vAlign w:val="top"/>
          </w:tcPr>
          <w:p w14:paraId="01B444C5">
            <w:pPr>
              <w:pStyle w:val="223"/>
              <w:spacing w:before="53" w:line="228" w:lineRule="auto"/>
              <w:ind w:left="863"/>
              <w:rPr>
                <w:color w:val="auto"/>
              </w:rPr>
            </w:pPr>
            <w:r>
              <w:rPr>
                <w:color w:val="auto"/>
                <w:spacing w:val="7"/>
              </w:rPr>
              <w:t>车外监视系统</w:t>
            </w:r>
          </w:p>
        </w:tc>
        <w:tc>
          <w:tcPr>
            <w:tcW w:w="2040" w:type="dxa"/>
            <w:noWrap w:val="0"/>
            <w:vAlign w:val="top"/>
          </w:tcPr>
          <w:p w14:paraId="2E73AD65">
            <w:pPr>
              <w:pStyle w:val="223"/>
              <w:spacing w:before="53" w:line="228" w:lineRule="auto"/>
              <w:ind w:left="842"/>
              <w:rPr>
                <w:color w:val="auto"/>
              </w:rPr>
            </w:pPr>
            <w:r>
              <w:rPr>
                <w:color w:val="auto"/>
                <w:spacing w:val="-3"/>
              </w:rPr>
              <w:t>8</w:t>
            </w:r>
            <w:r>
              <w:rPr>
                <w:color w:val="auto"/>
                <w:spacing w:val="-39"/>
              </w:rPr>
              <w:t xml:space="preserve"> </w:t>
            </w:r>
            <w:r>
              <w:rPr>
                <w:color w:val="auto"/>
                <w:spacing w:val="-3"/>
              </w:rPr>
              <w:t>年</w:t>
            </w:r>
          </w:p>
        </w:tc>
      </w:tr>
      <w:tr w14:paraId="076F5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36E7260F">
            <w:pPr>
              <w:rPr>
                <w:rFonts w:ascii="Arial"/>
                <w:color w:val="auto"/>
                <w:sz w:val="21"/>
              </w:rPr>
            </w:pPr>
          </w:p>
        </w:tc>
        <w:tc>
          <w:tcPr>
            <w:tcW w:w="810" w:type="dxa"/>
            <w:vMerge w:val="continue"/>
            <w:tcBorders>
              <w:top w:val="nil"/>
              <w:bottom w:val="nil"/>
            </w:tcBorders>
            <w:noWrap w:val="0"/>
            <w:vAlign w:val="top"/>
          </w:tcPr>
          <w:p w14:paraId="52091F03">
            <w:pPr>
              <w:rPr>
                <w:rFonts w:ascii="Arial"/>
                <w:color w:val="auto"/>
                <w:sz w:val="21"/>
              </w:rPr>
            </w:pPr>
          </w:p>
        </w:tc>
        <w:tc>
          <w:tcPr>
            <w:tcW w:w="1756" w:type="dxa"/>
            <w:gridSpan w:val="2"/>
            <w:vMerge w:val="continue"/>
            <w:tcBorders>
              <w:top w:val="nil"/>
              <w:bottom w:val="nil"/>
            </w:tcBorders>
            <w:noWrap w:val="0"/>
            <w:vAlign w:val="top"/>
          </w:tcPr>
          <w:p w14:paraId="3CE1527F">
            <w:pPr>
              <w:rPr>
                <w:rFonts w:ascii="Arial"/>
                <w:color w:val="auto"/>
                <w:sz w:val="21"/>
              </w:rPr>
            </w:pPr>
          </w:p>
        </w:tc>
        <w:tc>
          <w:tcPr>
            <w:tcW w:w="2972" w:type="dxa"/>
            <w:noWrap w:val="0"/>
            <w:vAlign w:val="top"/>
          </w:tcPr>
          <w:p w14:paraId="2392985B">
            <w:pPr>
              <w:pStyle w:val="223"/>
              <w:spacing w:before="52" w:line="228" w:lineRule="auto"/>
              <w:ind w:left="969"/>
              <w:rPr>
                <w:color w:val="auto"/>
              </w:rPr>
            </w:pPr>
            <w:r>
              <w:rPr>
                <w:color w:val="auto"/>
                <w:spacing w:val="7"/>
              </w:rPr>
              <w:t>客流统计仪</w:t>
            </w:r>
          </w:p>
        </w:tc>
        <w:tc>
          <w:tcPr>
            <w:tcW w:w="2040" w:type="dxa"/>
            <w:noWrap w:val="0"/>
            <w:vAlign w:val="top"/>
          </w:tcPr>
          <w:p w14:paraId="599C1BDD">
            <w:pPr>
              <w:pStyle w:val="223"/>
              <w:spacing w:before="52" w:line="228" w:lineRule="auto"/>
              <w:ind w:left="842"/>
              <w:rPr>
                <w:color w:val="auto"/>
              </w:rPr>
            </w:pPr>
            <w:r>
              <w:rPr>
                <w:color w:val="auto"/>
                <w:spacing w:val="-3"/>
              </w:rPr>
              <w:t>8</w:t>
            </w:r>
            <w:r>
              <w:rPr>
                <w:color w:val="auto"/>
                <w:spacing w:val="-39"/>
              </w:rPr>
              <w:t xml:space="preserve"> </w:t>
            </w:r>
            <w:r>
              <w:rPr>
                <w:color w:val="auto"/>
                <w:spacing w:val="-3"/>
              </w:rPr>
              <w:t>年</w:t>
            </w:r>
          </w:p>
        </w:tc>
      </w:tr>
      <w:tr w14:paraId="22CEE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73DDAC8C">
            <w:pPr>
              <w:rPr>
                <w:rFonts w:ascii="Arial"/>
                <w:color w:val="auto"/>
                <w:sz w:val="21"/>
              </w:rPr>
            </w:pPr>
          </w:p>
        </w:tc>
        <w:tc>
          <w:tcPr>
            <w:tcW w:w="810" w:type="dxa"/>
            <w:vMerge w:val="continue"/>
            <w:tcBorders>
              <w:top w:val="nil"/>
              <w:bottom w:val="nil"/>
            </w:tcBorders>
            <w:noWrap w:val="0"/>
            <w:vAlign w:val="top"/>
          </w:tcPr>
          <w:p w14:paraId="7644DCD5">
            <w:pPr>
              <w:rPr>
                <w:rFonts w:ascii="Arial"/>
                <w:color w:val="auto"/>
                <w:sz w:val="21"/>
              </w:rPr>
            </w:pPr>
          </w:p>
        </w:tc>
        <w:tc>
          <w:tcPr>
            <w:tcW w:w="1756" w:type="dxa"/>
            <w:gridSpan w:val="2"/>
            <w:vMerge w:val="continue"/>
            <w:tcBorders>
              <w:top w:val="nil"/>
              <w:bottom w:val="nil"/>
            </w:tcBorders>
            <w:noWrap w:val="0"/>
            <w:vAlign w:val="top"/>
          </w:tcPr>
          <w:p w14:paraId="0116EFE0">
            <w:pPr>
              <w:rPr>
                <w:rFonts w:ascii="Arial"/>
                <w:color w:val="auto"/>
                <w:sz w:val="21"/>
              </w:rPr>
            </w:pPr>
          </w:p>
        </w:tc>
        <w:tc>
          <w:tcPr>
            <w:tcW w:w="2972" w:type="dxa"/>
            <w:noWrap w:val="0"/>
            <w:vAlign w:val="top"/>
          </w:tcPr>
          <w:p w14:paraId="15F7BA46">
            <w:pPr>
              <w:pStyle w:val="223"/>
              <w:spacing w:before="52" w:line="228" w:lineRule="auto"/>
              <w:ind w:left="704"/>
              <w:rPr>
                <w:color w:val="auto"/>
              </w:rPr>
            </w:pPr>
            <w:r>
              <w:rPr>
                <w:color w:val="auto"/>
                <w:spacing w:val="5"/>
              </w:rPr>
              <w:t>电子路牌、</w:t>
            </w:r>
            <w:r>
              <w:rPr>
                <w:color w:val="auto"/>
              </w:rPr>
              <w:t>LED</w:t>
            </w:r>
            <w:r>
              <w:rPr>
                <w:color w:val="auto"/>
                <w:spacing w:val="-38"/>
              </w:rPr>
              <w:t xml:space="preserve"> </w:t>
            </w:r>
            <w:r>
              <w:rPr>
                <w:color w:val="auto"/>
                <w:spacing w:val="5"/>
              </w:rPr>
              <w:t>屏</w:t>
            </w:r>
          </w:p>
        </w:tc>
        <w:tc>
          <w:tcPr>
            <w:tcW w:w="2040" w:type="dxa"/>
            <w:noWrap w:val="0"/>
            <w:vAlign w:val="top"/>
          </w:tcPr>
          <w:p w14:paraId="321BF681">
            <w:pPr>
              <w:pStyle w:val="223"/>
              <w:spacing w:before="52" w:line="228" w:lineRule="auto"/>
              <w:ind w:left="842"/>
              <w:rPr>
                <w:color w:val="auto"/>
              </w:rPr>
            </w:pPr>
            <w:r>
              <w:rPr>
                <w:rFonts w:hint="eastAsia"/>
                <w:color w:val="auto"/>
                <w:spacing w:val="-3"/>
                <w:lang w:val="en-US" w:eastAsia="zh-CN"/>
              </w:rPr>
              <w:t>3</w:t>
            </w:r>
            <w:r>
              <w:rPr>
                <w:color w:val="auto"/>
                <w:spacing w:val="-3"/>
              </w:rPr>
              <w:t>年</w:t>
            </w:r>
          </w:p>
        </w:tc>
      </w:tr>
      <w:tr w14:paraId="473B4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47173494">
            <w:pPr>
              <w:rPr>
                <w:rFonts w:ascii="Arial"/>
                <w:color w:val="auto"/>
                <w:sz w:val="21"/>
              </w:rPr>
            </w:pPr>
          </w:p>
        </w:tc>
        <w:tc>
          <w:tcPr>
            <w:tcW w:w="810" w:type="dxa"/>
            <w:vMerge w:val="continue"/>
            <w:tcBorders>
              <w:top w:val="nil"/>
              <w:bottom w:val="nil"/>
            </w:tcBorders>
            <w:noWrap w:val="0"/>
            <w:vAlign w:val="top"/>
          </w:tcPr>
          <w:p w14:paraId="0BD7406C">
            <w:pPr>
              <w:rPr>
                <w:rFonts w:ascii="Arial"/>
                <w:color w:val="auto"/>
                <w:sz w:val="21"/>
              </w:rPr>
            </w:pPr>
          </w:p>
        </w:tc>
        <w:tc>
          <w:tcPr>
            <w:tcW w:w="1756" w:type="dxa"/>
            <w:gridSpan w:val="2"/>
            <w:vMerge w:val="continue"/>
            <w:tcBorders>
              <w:top w:val="nil"/>
              <w:bottom w:val="nil"/>
            </w:tcBorders>
            <w:noWrap w:val="0"/>
            <w:vAlign w:val="top"/>
          </w:tcPr>
          <w:p w14:paraId="76D02550">
            <w:pPr>
              <w:rPr>
                <w:rFonts w:ascii="Arial"/>
                <w:color w:val="auto"/>
                <w:sz w:val="21"/>
              </w:rPr>
            </w:pPr>
          </w:p>
        </w:tc>
        <w:tc>
          <w:tcPr>
            <w:tcW w:w="2972" w:type="dxa"/>
            <w:noWrap w:val="0"/>
            <w:vAlign w:val="top"/>
          </w:tcPr>
          <w:p w14:paraId="75E469F6">
            <w:pPr>
              <w:pStyle w:val="223"/>
              <w:spacing w:before="51" w:line="229" w:lineRule="auto"/>
              <w:ind w:left="992"/>
              <w:rPr>
                <w:color w:val="auto"/>
              </w:rPr>
            </w:pPr>
            <w:r>
              <w:rPr>
                <w:color w:val="auto"/>
              </w:rPr>
              <w:t>LCD</w:t>
            </w:r>
            <w:r>
              <w:rPr>
                <w:color w:val="auto"/>
                <w:spacing w:val="-35"/>
              </w:rPr>
              <w:t xml:space="preserve"> </w:t>
            </w:r>
            <w:r>
              <w:rPr>
                <w:color w:val="auto"/>
                <w:spacing w:val="8"/>
              </w:rPr>
              <w:t>导乘屏</w:t>
            </w:r>
          </w:p>
        </w:tc>
        <w:tc>
          <w:tcPr>
            <w:tcW w:w="2040" w:type="dxa"/>
            <w:noWrap w:val="0"/>
            <w:vAlign w:val="top"/>
          </w:tcPr>
          <w:p w14:paraId="0ED69CD3">
            <w:pPr>
              <w:pStyle w:val="223"/>
              <w:spacing w:before="52" w:line="228" w:lineRule="auto"/>
              <w:ind w:left="842"/>
              <w:rPr>
                <w:color w:val="auto"/>
              </w:rPr>
            </w:pPr>
            <w:r>
              <w:rPr>
                <w:rFonts w:hint="eastAsia"/>
                <w:color w:val="auto"/>
                <w:spacing w:val="-3"/>
                <w:lang w:val="en-US" w:eastAsia="zh-CN"/>
              </w:rPr>
              <w:t>3</w:t>
            </w:r>
            <w:r>
              <w:rPr>
                <w:color w:val="auto"/>
                <w:spacing w:val="-39"/>
              </w:rPr>
              <w:t xml:space="preserve"> </w:t>
            </w:r>
            <w:r>
              <w:rPr>
                <w:color w:val="auto"/>
                <w:spacing w:val="-3"/>
              </w:rPr>
              <w:t>年</w:t>
            </w:r>
          </w:p>
        </w:tc>
      </w:tr>
      <w:tr w14:paraId="3C478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4A536A86">
            <w:pPr>
              <w:rPr>
                <w:rFonts w:ascii="Arial"/>
                <w:color w:val="auto"/>
                <w:sz w:val="21"/>
              </w:rPr>
            </w:pPr>
          </w:p>
        </w:tc>
        <w:tc>
          <w:tcPr>
            <w:tcW w:w="810" w:type="dxa"/>
            <w:vMerge w:val="continue"/>
            <w:tcBorders>
              <w:top w:val="nil"/>
              <w:bottom w:val="nil"/>
            </w:tcBorders>
            <w:noWrap w:val="0"/>
            <w:vAlign w:val="top"/>
          </w:tcPr>
          <w:p w14:paraId="5F223ACD">
            <w:pPr>
              <w:rPr>
                <w:rFonts w:ascii="Arial"/>
                <w:color w:val="auto"/>
                <w:sz w:val="21"/>
              </w:rPr>
            </w:pPr>
          </w:p>
        </w:tc>
        <w:tc>
          <w:tcPr>
            <w:tcW w:w="1756" w:type="dxa"/>
            <w:gridSpan w:val="2"/>
            <w:vMerge w:val="continue"/>
            <w:tcBorders>
              <w:top w:val="nil"/>
              <w:bottom w:val="nil"/>
            </w:tcBorders>
            <w:noWrap w:val="0"/>
            <w:vAlign w:val="top"/>
          </w:tcPr>
          <w:p w14:paraId="447DB4E1">
            <w:pPr>
              <w:rPr>
                <w:rFonts w:ascii="Arial"/>
                <w:color w:val="auto"/>
                <w:sz w:val="21"/>
              </w:rPr>
            </w:pPr>
          </w:p>
        </w:tc>
        <w:tc>
          <w:tcPr>
            <w:tcW w:w="2972" w:type="dxa"/>
            <w:noWrap w:val="0"/>
            <w:vAlign w:val="top"/>
          </w:tcPr>
          <w:p w14:paraId="7A2BC763">
            <w:pPr>
              <w:pStyle w:val="223"/>
              <w:spacing w:before="51" w:line="228" w:lineRule="auto"/>
              <w:ind w:left="863"/>
              <w:rPr>
                <w:color w:val="auto"/>
              </w:rPr>
            </w:pPr>
            <w:r>
              <w:rPr>
                <w:color w:val="auto"/>
                <w:spacing w:val="7"/>
              </w:rPr>
              <w:t>车辆数据模块</w:t>
            </w:r>
          </w:p>
        </w:tc>
        <w:tc>
          <w:tcPr>
            <w:tcW w:w="2040" w:type="dxa"/>
            <w:noWrap w:val="0"/>
            <w:vAlign w:val="top"/>
          </w:tcPr>
          <w:p w14:paraId="14CBB6FA">
            <w:pPr>
              <w:pStyle w:val="223"/>
              <w:spacing w:before="51" w:line="228" w:lineRule="auto"/>
              <w:ind w:left="842"/>
              <w:rPr>
                <w:color w:val="auto"/>
              </w:rPr>
            </w:pPr>
            <w:r>
              <w:rPr>
                <w:color w:val="auto"/>
                <w:spacing w:val="-3"/>
              </w:rPr>
              <w:t>8</w:t>
            </w:r>
            <w:r>
              <w:rPr>
                <w:color w:val="auto"/>
                <w:spacing w:val="-39"/>
              </w:rPr>
              <w:t xml:space="preserve"> </w:t>
            </w:r>
            <w:r>
              <w:rPr>
                <w:color w:val="auto"/>
                <w:spacing w:val="-3"/>
              </w:rPr>
              <w:t>年</w:t>
            </w:r>
          </w:p>
        </w:tc>
      </w:tr>
      <w:tr w14:paraId="421F7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48" w:type="dxa"/>
            <w:vMerge w:val="continue"/>
            <w:tcBorders>
              <w:top w:val="nil"/>
              <w:bottom w:val="nil"/>
            </w:tcBorders>
            <w:noWrap w:val="0"/>
            <w:vAlign w:val="top"/>
          </w:tcPr>
          <w:p w14:paraId="04C50BFA">
            <w:pPr>
              <w:rPr>
                <w:rFonts w:ascii="Arial"/>
                <w:color w:val="auto"/>
                <w:sz w:val="21"/>
              </w:rPr>
            </w:pPr>
          </w:p>
        </w:tc>
        <w:tc>
          <w:tcPr>
            <w:tcW w:w="810" w:type="dxa"/>
            <w:vMerge w:val="continue"/>
            <w:tcBorders>
              <w:top w:val="nil"/>
              <w:bottom w:val="nil"/>
            </w:tcBorders>
            <w:noWrap w:val="0"/>
            <w:vAlign w:val="top"/>
          </w:tcPr>
          <w:p w14:paraId="52A8CBFA">
            <w:pPr>
              <w:rPr>
                <w:rFonts w:ascii="Arial"/>
                <w:color w:val="auto"/>
                <w:sz w:val="21"/>
              </w:rPr>
            </w:pPr>
          </w:p>
        </w:tc>
        <w:tc>
          <w:tcPr>
            <w:tcW w:w="1756" w:type="dxa"/>
            <w:gridSpan w:val="2"/>
            <w:vMerge w:val="continue"/>
            <w:tcBorders>
              <w:top w:val="nil"/>
              <w:bottom w:val="nil"/>
            </w:tcBorders>
            <w:noWrap w:val="0"/>
            <w:vAlign w:val="top"/>
          </w:tcPr>
          <w:p w14:paraId="10CAE019">
            <w:pPr>
              <w:rPr>
                <w:rFonts w:ascii="Arial"/>
                <w:color w:val="auto"/>
                <w:sz w:val="21"/>
              </w:rPr>
            </w:pPr>
          </w:p>
        </w:tc>
        <w:tc>
          <w:tcPr>
            <w:tcW w:w="2972" w:type="dxa"/>
            <w:noWrap w:val="0"/>
            <w:vAlign w:val="top"/>
          </w:tcPr>
          <w:p w14:paraId="2D9828B8">
            <w:pPr>
              <w:pStyle w:val="223"/>
              <w:spacing w:before="53" w:line="228" w:lineRule="auto"/>
              <w:ind w:left="863"/>
              <w:rPr>
                <w:color w:val="auto"/>
              </w:rPr>
            </w:pPr>
            <w:r>
              <w:rPr>
                <w:color w:val="auto"/>
                <w:spacing w:val="7"/>
              </w:rPr>
              <w:t>车身控制模块</w:t>
            </w:r>
          </w:p>
        </w:tc>
        <w:tc>
          <w:tcPr>
            <w:tcW w:w="2040" w:type="dxa"/>
            <w:noWrap w:val="0"/>
            <w:vAlign w:val="top"/>
          </w:tcPr>
          <w:p w14:paraId="247E55A1">
            <w:pPr>
              <w:pStyle w:val="223"/>
              <w:spacing w:before="53" w:line="228" w:lineRule="auto"/>
              <w:ind w:left="842"/>
              <w:rPr>
                <w:color w:val="auto"/>
              </w:rPr>
            </w:pPr>
            <w:r>
              <w:rPr>
                <w:color w:val="auto"/>
                <w:spacing w:val="-3"/>
              </w:rPr>
              <w:t>8</w:t>
            </w:r>
            <w:r>
              <w:rPr>
                <w:color w:val="auto"/>
                <w:spacing w:val="-39"/>
              </w:rPr>
              <w:t xml:space="preserve"> </w:t>
            </w:r>
            <w:r>
              <w:rPr>
                <w:color w:val="auto"/>
                <w:spacing w:val="-3"/>
              </w:rPr>
              <w:t>年</w:t>
            </w:r>
          </w:p>
        </w:tc>
      </w:tr>
      <w:tr w14:paraId="73577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948" w:type="dxa"/>
            <w:vMerge w:val="continue"/>
            <w:tcBorders>
              <w:top w:val="nil"/>
              <w:bottom w:val="nil"/>
            </w:tcBorders>
            <w:noWrap w:val="0"/>
            <w:vAlign w:val="top"/>
          </w:tcPr>
          <w:p w14:paraId="2F2C9F31">
            <w:pPr>
              <w:rPr>
                <w:rFonts w:ascii="Arial"/>
                <w:color w:val="auto"/>
                <w:sz w:val="21"/>
              </w:rPr>
            </w:pPr>
          </w:p>
        </w:tc>
        <w:tc>
          <w:tcPr>
            <w:tcW w:w="810" w:type="dxa"/>
            <w:vMerge w:val="continue"/>
            <w:tcBorders>
              <w:top w:val="nil"/>
              <w:bottom w:val="nil"/>
            </w:tcBorders>
            <w:noWrap w:val="0"/>
            <w:vAlign w:val="top"/>
          </w:tcPr>
          <w:p w14:paraId="64F5C74E">
            <w:pPr>
              <w:rPr>
                <w:rFonts w:ascii="Arial"/>
                <w:color w:val="auto"/>
                <w:sz w:val="21"/>
              </w:rPr>
            </w:pPr>
          </w:p>
        </w:tc>
        <w:tc>
          <w:tcPr>
            <w:tcW w:w="1756" w:type="dxa"/>
            <w:gridSpan w:val="2"/>
            <w:vMerge w:val="continue"/>
            <w:tcBorders>
              <w:top w:val="nil"/>
              <w:bottom w:val="nil"/>
            </w:tcBorders>
            <w:noWrap w:val="0"/>
            <w:vAlign w:val="top"/>
          </w:tcPr>
          <w:p w14:paraId="24A5E813">
            <w:pPr>
              <w:rPr>
                <w:rFonts w:ascii="Arial"/>
                <w:color w:val="auto"/>
                <w:sz w:val="21"/>
              </w:rPr>
            </w:pPr>
          </w:p>
        </w:tc>
        <w:tc>
          <w:tcPr>
            <w:tcW w:w="2972" w:type="dxa"/>
            <w:noWrap w:val="0"/>
            <w:vAlign w:val="top"/>
          </w:tcPr>
          <w:p w14:paraId="05B89272">
            <w:pPr>
              <w:pStyle w:val="223"/>
              <w:spacing w:before="72" w:line="228" w:lineRule="auto"/>
              <w:ind w:left="970"/>
              <w:rPr>
                <w:color w:val="auto"/>
              </w:rPr>
            </w:pPr>
            <w:r>
              <w:rPr>
                <w:color w:val="auto"/>
                <w:spacing w:val="7"/>
              </w:rPr>
              <w:t>行车记录仪</w:t>
            </w:r>
          </w:p>
        </w:tc>
        <w:tc>
          <w:tcPr>
            <w:tcW w:w="2040" w:type="dxa"/>
            <w:noWrap w:val="0"/>
            <w:vAlign w:val="top"/>
          </w:tcPr>
          <w:p w14:paraId="7D57C80E">
            <w:pPr>
              <w:pStyle w:val="223"/>
              <w:spacing w:before="72" w:line="228" w:lineRule="auto"/>
              <w:ind w:left="842"/>
              <w:rPr>
                <w:color w:val="auto"/>
              </w:rPr>
            </w:pPr>
            <w:r>
              <w:rPr>
                <w:color w:val="auto"/>
                <w:spacing w:val="-3"/>
              </w:rPr>
              <w:t>8</w:t>
            </w:r>
            <w:r>
              <w:rPr>
                <w:color w:val="auto"/>
                <w:spacing w:val="-39"/>
              </w:rPr>
              <w:t xml:space="preserve"> </w:t>
            </w:r>
            <w:r>
              <w:rPr>
                <w:color w:val="auto"/>
                <w:spacing w:val="-3"/>
              </w:rPr>
              <w:t>年</w:t>
            </w:r>
          </w:p>
        </w:tc>
      </w:tr>
      <w:tr w14:paraId="02A96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48" w:type="dxa"/>
            <w:vMerge w:val="continue"/>
            <w:tcBorders>
              <w:top w:val="nil"/>
              <w:bottom w:val="nil"/>
            </w:tcBorders>
            <w:noWrap w:val="0"/>
            <w:vAlign w:val="top"/>
          </w:tcPr>
          <w:p w14:paraId="6E96BC35">
            <w:pPr>
              <w:rPr>
                <w:rFonts w:ascii="Arial"/>
                <w:color w:val="auto"/>
                <w:sz w:val="21"/>
              </w:rPr>
            </w:pPr>
          </w:p>
        </w:tc>
        <w:tc>
          <w:tcPr>
            <w:tcW w:w="810" w:type="dxa"/>
            <w:vMerge w:val="continue"/>
            <w:tcBorders>
              <w:top w:val="nil"/>
            </w:tcBorders>
            <w:noWrap w:val="0"/>
            <w:vAlign w:val="top"/>
          </w:tcPr>
          <w:p w14:paraId="76091172">
            <w:pPr>
              <w:rPr>
                <w:rFonts w:ascii="Arial"/>
                <w:color w:val="auto"/>
                <w:sz w:val="21"/>
              </w:rPr>
            </w:pPr>
          </w:p>
        </w:tc>
        <w:tc>
          <w:tcPr>
            <w:tcW w:w="1756" w:type="dxa"/>
            <w:gridSpan w:val="2"/>
            <w:vMerge w:val="continue"/>
            <w:tcBorders>
              <w:top w:val="nil"/>
            </w:tcBorders>
            <w:noWrap w:val="0"/>
            <w:vAlign w:val="top"/>
          </w:tcPr>
          <w:p w14:paraId="54E08003">
            <w:pPr>
              <w:rPr>
                <w:rFonts w:ascii="Arial"/>
                <w:color w:val="auto"/>
                <w:sz w:val="21"/>
              </w:rPr>
            </w:pPr>
          </w:p>
        </w:tc>
        <w:tc>
          <w:tcPr>
            <w:tcW w:w="2972" w:type="dxa"/>
            <w:noWrap w:val="0"/>
            <w:vAlign w:val="top"/>
          </w:tcPr>
          <w:p w14:paraId="6F59AF23">
            <w:pPr>
              <w:pStyle w:val="223"/>
              <w:spacing w:before="52" w:line="228" w:lineRule="auto"/>
              <w:ind w:left="549"/>
              <w:rPr>
                <w:color w:val="auto"/>
              </w:rPr>
            </w:pPr>
            <w:r>
              <w:rPr>
                <w:color w:val="auto"/>
                <w:spacing w:val="16"/>
              </w:rPr>
              <w:t>车辆仪表和</w:t>
            </w:r>
            <w:r>
              <w:rPr>
                <w:color w:val="auto"/>
              </w:rPr>
              <w:t>CAN</w:t>
            </w:r>
            <w:r>
              <w:rPr>
                <w:color w:val="auto"/>
                <w:spacing w:val="-34"/>
              </w:rPr>
              <w:t xml:space="preserve"> </w:t>
            </w:r>
            <w:r>
              <w:rPr>
                <w:color w:val="auto"/>
                <w:spacing w:val="16"/>
              </w:rPr>
              <w:t>总线</w:t>
            </w:r>
          </w:p>
        </w:tc>
        <w:tc>
          <w:tcPr>
            <w:tcW w:w="2040" w:type="dxa"/>
            <w:noWrap w:val="0"/>
            <w:vAlign w:val="top"/>
          </w:tcPr>
          <w:p w14:paraId="360037E3">
            <w:pPr>
              <w:pStyle w:val="223"/>
              <w:spacing w:before="52" w:line="228" w:lineRule="auto"/>
              <w:ind w:left="842"/>
              <w:rPr>
                <w:color w:val="auto"/>
              </w:rPr>
            </w:pPr>
            <w:r>
              <w:rPr>
                <w:color w:val="auto"/>
                <w:spacing w:val="-3"/>
              </w:rPr>
              <w:t>8</w:t>
            </w:r>
            <w:r>
              <w:rPr>
                <w:color w:val="auto"/>
                <w:spacing w:val="-39"/>
              </w:rPr>
              <w:t xml:space="preserve"> </w:t>
            </w:r>
            <w:r>
              <w:rPr>
                <w:color w:val="auto"/>
                <w:spacing w:val="-3"/>
              </w:rPr>
              <w:t>年</w:t>
            </w:r>
          </w:p>
        </w:tc>
      </w:tr>
      <w:tr w14:paraId="52723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48" w:type="dxa"/>
            <w:vMerge w:val="continue"/>
            <w:tcBorders>
              <w:top w:val="nil"/>
              <w:bottom w:val="nil"/>
            </w:tcBorders>
            <w:noWrap w:val="0"/>
            <w:vAlign w:val="top"/>
          </w:tcPr>
          <w:p w14:paraId="5077EF5F">
            <w:pPr>
              <w:rPr>
                <w:rFonts w:ascii="Arial"/>
                <w:color w:val="auto"/>
                <w:sz w:val="21"/>
              </w:rPr>
            </w:pPr>
          </w:p>
        </w:tc>
        <w:tc>
          <w:tcPr>
            <w:tcW w:w="810" w:type="dxa"/>
            <w:vMerge w:val="restart"/>
            <w:tcBorders>
              <w:bottom w:val="nil"/>
            </w:tcBorders>
            <w:noWrap w:val="0"/>
            <w:vAlign w:val="top"/>
          </w:tcPr>
          <w:p w14:paraId="3737D290">
            <w:pPr>
              <w:spacing w:line="257" w:lineRule="auto"/>
              <w:rPr>
                <w:rFonts w:ascii="Arial"/>
                <w:color w:val="auto"/>
                <w:sz w:val="21"/>
              </w:rPr>
            </w:pPr>
          </w:p>
          <w:p w14:paraId="2BB5DAEB">
            <w:pPr>
              <w:pStyle w:val="223"/>
              <w:spacing w:before="65" w:line="187" w:lineRule="auto"/>
              <w:ind w:left="360"/>
              <w:rPr>
                <w:color w:val="auto"/>
              </w:rPr>
            </w:pPr>
            <w:r>
              <w:rPr>
                <w:color w:val="auto"/>
              </w:rPr>
              <w:t>7</w:t>
            </w:r>
          </w:p>
        </w:tc>
        <w:tc>
          <w:tcPr>
            <w:tcW w:w="1756" w:type="dxa"/>
            <w:gridSpan w:val="2"/>
            <w:vMerge w:val="restart"/>
            <w:tcBorders>
              <w:bottom w:val="nil"/>
            </w:tcBorders>
            <w:noWrap w:val="0"/>
            <w:vAlign w:val="top"/>
          </w:tcPr>
          <w:p w14:paraId="0B242357">
            <w:pPr>
              <w:pStyle w:val="223"/>
              <w:spacing w:before="289" w:line="228" w:lineRule="auto"/>
              <w:ind w:left="288"/>
              <w:rPr>
                <w:color w:val="auto"/>
              </w:rPr>
            </w:pPr>
            <w:r>
              <w:rPr>
                <w:color w:val="auto"/>
                <w:spacing w:val="2"/>
              </w:rPr>
              <w:t>自动灭火系统</w:t>
            </w:r>
          </w:p>
        </w:tc>
        <w:tc>
          <w:tcPr>
            <w:tcW w:w="2972" w:type="dxa"/>
            <w:noWrap w:val="0"/>
            <w:vAlign w:val="top"/>
          </w:tcPr>
          <w:p w14:paraId="3BD37160">
            <w:pPr>
              <w:pStyle w:val="223"/>
              <w:spacing w:before="90" w:line="228" w:lineRule="auto"/>
              <w:ind w:left="572"/>
              <w:rPr>
                <w:color w:val="auto"/>
              </w:rPr>
            </w:pPr>
            <w:r>
              <w:rPr>
                <w:color w:val="auto"/>
                <w:spacing w:val="6"/>
              </w:rPr>
              <w:t>电池箱专用灭火装置</w:t>
            </w:r>
          </w:p>
        </w:tc>
        <w:tc>
          <w:tcPr>
            <w:tcW w:w="2040" w:type="dxa"/>
            <w:noWrap w:val="0"/>
            <w:vAlign w:val="top"/>
          </w:tcPr>
          <w:p w14:paraId="535B0EF1">
            <w:pPr>
              <w:pStyle w:val="223"/>
              <w:spacing w:before="90" w:line="228" w:lineRule="auto"/>
              <w:ind w:left="842"/>
              <w:rPr>
                <w:color w:val="auto"/>
              </w:rPr>
            </w:pPr>
            <w:r>
              <w:rPr>
                <w:color w:val="auto"/>
                <w:spacing w:val="-3"/>
              </w:rPr>
              <w:t>8</w:t>
            </w:r>
            <w:r>
              <w:rPr>
                <w:color w:val="auto"/>
                <w:spacing w:val="-39"/>
              </w:rPr>
              <w:t xml:space="preserve"> </w:t>
            </w:r>
            <w:r>
              <w:rPr>
                <w:color w:val="auto"/>
                <w:spacing w:val="-3"/>
              </w:rPr>
              <w:t>年</w:t>
            </w:r>
          </w:p>
        </w:tc>
      </w:tr>
      <w:tr w14:paraId="6BD2E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48" w:type="dxa"/>
            <w:vMerge w:val="continue"/>
            <w:tcBorders>
              <w:top w:val="nil"/>
              <w:bottom w:val="nil"/>
            </w:tcBorders>
            <w:noWrap w:val="0"/>
            <w:vAlign w:val="top"/>
          </w:tcPr>
          <w:p w14:paraId="7F7B8DDA">
            <w:pPr>
              <w:rPr>
                <w:rFonts w:ascii="Arial"/>
                <w:color w:val="auto"/>
                <w:sz w:val="21"/>
              </w:rPr>
            </w:pPr>
          </w:p>
        </w:tc>
        <w:tc>
          <w:tcPr>
            <w:tcW w:w="810" w:type="dxa"/>
            <w:vMerge w:val="continue"/>
            <w:tcBorders>
              <w:top w:val="nil"/>
            </w:tcBorders>
            <w:noWrap w:val="0"/>
            <w:vAlign w:val="top"/>
          </w:tcPr>
          <w:p w14:paraId="7D32B3F8">
            <w:pPr>
              <w:rPr>
                <w:rFonts w:ascii="Arial"/>
                <w:color w:val="auto"/>
                <w:sz w:val="21"/>
              </w:rPr>
            </w:pPr>
          </w:p>
        </w:tc>
        <w:tc>
          <w:tcPr>
            <w:tcW w:w="1756" w:type="dxa"/>
            <w:gridSpan w:val="2"/>
            <w:vMerge w:val="continue"/>
            <w:tcBorders>
              <w:top w:val="nil"/>
            </w:tcBorders>
            <w:noWrap w:val="0"/>
            <w:vAlign w:val="top"/>
          </w:tcPr>
          <w:p w14:paraId="7FDB1DFF">
            <w:pPr>
              <w:rPr>
                <w:rFonts w:ascii="Arial"/>
                <w:color w:val="auto"/>
                <w:sz w:val="21"/>
              </w:rPr>
            </w:pPr>
          </w:p>
        </w:tc>
        <w:tc>
          <w:tcPr>
            <w:tcW w:w="2972" w:type="dxa"/>
            <w:noWrap w:val="0"/>
            <w:vAlign w:val="top"/>
          </w:tcPr>
          <w:p w14:paraId="1A20793F">
            <w:pPr>
              <w:pStyle w:val="223"/>
              <w:spacing w:before="90" w:line="228" w:lineRule="auto"/>
              <w:ind w:left="553"/>
              <w:rPr>
                <w:color w:val="auto"/>
              </w:rPr>
            </w:pPr>
            <w:r>
              <w:rPr>
                <w:color w:val="auto"/>
                <w:spacing w:val="8"/>
              </w:rPr>
              <w:t>高压仓自动灭火装置</w:t>
            </w:r>
          </w:p>
        </w:tc>
        <w:tc>
          <w:tcPr>
            <w:tcW w:w="2040" w:type="dxa"/>
            <w:noWrap w:val="0"/>
            <w:vAlign w:val="top"/>
          </w:tcPr>
          <w:p w14:paraId="7AFCB98A">
            <w:pPr>
              <w:pStyle w:val="223"/>
              <w:spacing w:before="90" w:line="228" w:lineRule="auto"/>
              <w:ind w:left="842"/>
              <w:rPr>
                <w:color w:val="auto"/>
              </w:rPr>
            </w:pPr>
            <w:r>
              <w:rPr>
                <w:color w:val="auto"/>
                <w:spacing w:val="-3"/>
              </w:rPr>
              <w:t>8</w:t>
            </w:r>
            <w:r>
              <w:rPr>
                <w:color w:val="auto"/>
                <w:spacing w:val="-39"/>
              </w:rPr>
              <w:t xml:space="preserve"> </w:t>
            </w:r>
            <w:r>
              <w:rPr>
                <w:color w:val="auto"/>
                <w:spacing w:val="-3"/>
              </w:rPr>
              <w:t>年</w:t>
            </w:r>
          </w:p>
        </w:tc>
      </w:tr>
      <w:tr w14:paraId="540DA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48" w:type="dxa"/>
            <w:vMerge w:val="continue"/>
            <w:tcBorders>
              <w:top w:val="nil"/>
              <w:bottom w:val="nil"/>
            </w:tcBorders>
            <w:noWrap w:val="0"/>
            <w:vAlign w:val="top"/>
          </w:tcPr>
          <w:p w14:paraId="5DA285A4">
            <w:pPr>
              <w:rPr>
                <w:rFonts w:ascii="Arial"/>
                <w:color w:val="auto"/>
                <w:sz w:val="21"/>
              </w:rPr>
            </w:pPr>
          </w:p>
        </w:tc>
        <w:tc>
          <w:tcPr>
            <w:tcW w:w="810" w:type="dxa"/>
            <w:vMerge w:val="restart"/>
            <w:tcBorders>
              <w:bottom w:val="nil"/>
            </w:tcBorders>
            <w:noWrap w:val="0"/>
            <w:vAlign w:val="top"/>
          </w:tcPr>
          <w:p w14:paraId="4DF9B5DE">
            <w:pPr>
              <w:spacing w:line="256" w:lineRule="auto"/>
              <w:rPr>
                <w:rFonts w:ascii="Arial"/>
                <w:color w:val="auto"/>
                <w:sz w:val="21"/>
              </w:rPr>
            </w:pPr>
          </w:p>
          <w:p w14:paraId="3A598C1F">
            <w:pPr>
              <w:pStyle w:val="223"/>
              <w:spacing w:before="65" w:line="189" w:lineRule="auto"/>
              <w:ind w:left="356"/>
              <w:rPr>
                <w:color w:val="auto"/>
              </w:rPr>
            </w:pPr>
            <w:r>
              <w:rPr>
                <w:color w:val="auto"/>
              </w:rPr>
              <w:t>8</w:t>
            </w:r>
          </w:p>
        </w:tc>
        <w:tc>
          <w:tcPr>
            <w:tcW w:w="1756" w:type="dxa"/>
            <w:gridSpan w:val="2"/>
            <w:vMerge w:val="restart"/>
            <w:tcBorders>
              <w:bottom w:val="nil"/>
            </w:tcBorders>
            <w:noWrap w:val="0"/>
            <w:vAlign w:val="top"/>
          </w:tcPr>
          <w:p w14:paraId="7C089A01">
            <w:pPr>
              <w:pStyle w:val="223"/>
              <w:spacing w:before="289" w:line="230" w:lineRule="auto"/>
              <w:ind w:left="469"/>
              <w:rPr>
                <w:color w:val="auto"/>
              </w:rPr>
            </w:pPr>
            <w:r>
              <w:rPr>
                <w:color w:val="auto"/>
                <w:spacing w:val="5"/>
              </w:rPr>
              <w:t>空调系统</w:t>
            </w:r>
          </w:p>
        </w:tc>
        <w:tc>
          <w:tcPr>
            <w:tcW w:w="2972" w:type="dxa"/>
            <w:noWrap w:val="0"/>
            <w:vAlign w:val="top"/>
          </w:tcPr>
          <w:p w14:paraId="138CB6CA">
            <w:pPr>
              <w:pStyle w:val="223"/>
              <w:spacing w:before="90" w:line="229" w:lineRule="auto"/>
              <w:ind w:left="549"/>
              <w:rPr>
                <w:color w:val="auto"/>
              </w:rPr>
            </w:pPr>
            <w:r>
              <w:rPr>
                <w:color w:val="auto"/>
                <w:spacing w:val="8"/>
              </w:rPr>
              <w:t>冷暖一体电空调总成</w:t>
            </w:r>
          </w:p>
        </w:tc>
        <w:tc>
          <w:tcPr>
            <w:tcW w:w="2040" w:type="dxa"/>
            <w:noWrap w:val="0"/>
            <w:vAlign w:val="top"/>
          </w:tcPr>
          <w:p w14:paraId="0780FD92">
            <w:pPr>
              <w:pStyle w:val="223"/>
              <w:spacing w:before="91" w:line="228" w:lineRule="auto"/>
              <w:ind w:left="842"/>
              <w:rPr>
                <w:color w:val="auto"/>
              </w:rPr>
            </w:pPr>
            <w:r>
              <w:rPr>
                <w:color w:val="auto"/>
                <w:spacing w:val="-3"/>
              </w:rPr>
              <w:t>8</w:t>
            </w:r>
            <w:r>
              <w:rPr>
                <w:color w:val="auto"/>
                <w:spacing w:val="-39"/>
              </w:rPr>
              <w:t xml:space="preserve"> </w:t>
            </w:r>
            <w:r>
              <w:rPr>
                <w:color w:val="auto"/>
                <w:spacing w:val="-3"/>
              </w:rPr>
              <w:t>年</w:t>
            </w:r>
          </w:p>
        </w:tc>
      </w:tr>
      <w:tr w14:paraId="2C114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948" w:type="dxa"/>
            <w:vMerge w:val="continue"/>
            <w:tcBorders>
              <w:top w:val="nil"/>
              <w:bottom w:val="nil"/>
            </w:tcBorders>
            <w:noWrap w:val="0"/>
            <w:vAlign w:val="top"/>
          </w:tcPr>
          <w:p w14:paraId="2A365508">
            <w:pPr>
              <w:rPr>
                <w:rFonts w:ascii="Arial"/>
                <w:color w:val="auto"/>
                <w:sz w:val="21"/>
              </w:rPr>
            </w:pPr>
          </w:p>
        </w:tc>
        <w:tc>
          <w:tcPr>
            <w:tcW w:w="810" w:type="dxa"/>
            <w:vMerge w:val="continue"/>
            <w:tcBorders>
              <w:top w:val="nil"/>
            </w:tcBorders>
            <w:noWrap w:val="0"/>
            <w:vAlign w:val="top"/>
          </w:tcPr>
          <w:p w14:paraId="407AC0BB">
            <w:pPr>
              <w:rPr>
                <w:rFonts w:ascii="Arial"/>
                <w:color w:val="auto"/>
                <w:sz w:val="21"/>
              </w:rPr>
            </w:pPr>
          </w:p>
        </w:tc>
        <w:tc>
          <w:tcPr>
            <w:tcW w:w="1756" w:type="dxa"/>
            <w:gridSpan w:val="2"/>
            <w:vMerge w:val="continue"/>
            <w:tcBorders>
              <w:top w:val="nil"/>
            </w:tcBorders>
            <w:noWrap w:val="0"/>
            <w:vAlign w:val="top"/>
          </w:tcPr>
          <w:p w14:paraId="75982C52">
            <w:pPr>
              <w:rPr>
                <w:rFonts w:ascii="Arial"/>
                <w:color w:val="auto"/>
                <w:sz w:val="21"/>
              </w:rPr>
            </w:pPr>
          </w:p>
        </w:tc>
        <w:tc>
          <w:tcPr>
            <w:tcW w:w="2972" w:type="dxa"/>
            <w:noWrap w:val="0"/>
            <w:vAlign w:val="top"/>
          </w:tcPr>
          <w:p w14:paraId="73FC6E56">
            <w:pPr>
              <w:pStyle w:val="223"/>
              <w:spacing w:before="90" w:line="228" w:lineRule="auto"/>
              <w:ind w:left="1097"/>
              <w:rPr>
                <w:color w:val="auto"/>
              </w:rPr>
            </w:pPr>
            <w:r>
              <w:rPr>
                <w:color w:val="auto"/>
                <w:spacing w:val="1"/>
              </w:rPr>
              <w:t>电除霜机</w:t>
            </w:r>
          </w:p>
        </w:tc>
        <w:tc>
          <w:tcPr>
            <w:tcW w:w="2040" w:type="dxa"/>
            <w:noWrap w:val="0"/>
            <w:vAlign w:val="top"/>
          </w:tcPr>
          <w:p w14:paraId="666AEA64">
            <w:pPr>
              <w:pStyle w:val="223"/>
              <w:spacing w:before="91" w:line="228" w:lineRule="auto"/>
              <w:ind w:left="842"/>
              <w:rPr>
                <w:color w:val="auto"/>
              </w:rPr>
            </w:pPr>
            <w:r>
              <w:rPr>
                <w:color w:val="auto"/>
                <w:spacing w:val="-3"/>
              </w:rPr>
              <w:t>8</w:t>
            </w:r>
            <w:r>
              <w:rPr>
                <w:color w:val="auto"/>
                <w:spacing w:val="-39"/>
              </w:rPr>
              <w:t xml:space="preserve"> </w:t>
            </w:r>
            <w:r>
              <w:rPr>
                <w:color w:val="auto"/>
                <w:spacing w:val="-3"/>
              </w:rPr>
              <w:t>年</w:t>
            </w:r>
          </w:p>
        </w:tc>
      </w:tr>
      <w:tr w14:paraId="01E4E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42CC3E2F">
            <w:pPr>
              <w:rPr>
                <w:rFonts w:ascii="Arial"/>
                <w:color w:val="auto"/>
                <w:sz w:val="21"/>
              </w:rPr>
            </w:pPr>
          </w:p>
        </w:tc>
        <w:tc>
          <w:tcPr>
            <w:tcW w:w="810" w:type="dxa"/>
            <w:vMerge w:val="restart"/>
            <w:noWrap w:val="0"/>
            <w:vAlign w:val="center"/>
          </w:tcPr>
          <w:p w14:paraId="3A5E63E7">
            <w:pPr>
              <w:pStyle w:val="223"/>
              <w:spacing w:before="143" w:line="190" w:lineRule="auto"/>
              <w:ind w:left="318" w:leftChars="0"/>
              <w:jc w:val="both"/>
              <w:rPr>
                <w:rFonts w:ascii="Arial"/>
                <w:color w:val="auto"/>
                <w:sz w:val="21"/>
              </w:rPr>
            </w:pPr>
            <w:r>
              <w:rPr>
                <w:rFonts w:hint="eastAsia"/>
                <w:color w:val="auto"/>
                <w:spacing w:val="-7"/>
                <w:lang w:val="en-US" w:eastAsia="zh-CN"/>
              </w:rPr>
              <w:t>9</w:t>
            </w:r>
          </w:p>
        </w:tc>
        <w:tc>
          <w:tcPr>
            <w:tcW w:w="1756" w:type="dxa"/>
            <w:gridSpan w:val="2"/>
            <w:vMerge w:val="restart"/>
            <w:noWrap w:val="0"/>
            <w:vAlign w:val="center"/>
          </w:tcPr>
          <w:p w14:paraId="29D847FA">
            <w:pPr>
              <w:pStyle w:val="223"/>
              <w:spacing w:before="112" w:line="228" w:lineRule="auto"/>
              <w:ind w:left="267" w:leftChars="0"/>
              <w:jc w:val="both"/>
              <w:rPr>
                <w:rFonts w:ascii="Arial"/>
                <w:color w:val="auto"/>
                <w:sz w:val="21"/>
              </w:rPr>
            </w:pPr>
            <w:r>
              <w:rPr>
                <w:color w:val="auto"/>
                <w:spacing w:val="5"/>
              </w:rPr>
              <w:t>易损、易耗件</w:t>
            </w:r>
          </w:p>
        </w:tc>
        <w:tc>
          <w:tcPr>
            <w:tcW w:w="2972" w:type="dxa"/>
            <w:noWrap w:val="0"/>
            <w:vAlign w:val="top"/>
          </w:tcPr>
          <w:p w14:paraId="7BCAFAF4">
            <w:pPr>
              <w:pStyle w:val="223"/>
              <w:spacing w:before="209" w:line="229" w:lineRule="auto"/>
              <w:ind w:left="1179"/>
              <w:rPr>
                <w:color w:val="auto"/>
              </w:rPr>
            </w:pPr>
            <w:r>
              <w:rPr>
                <w:color w:val="auto"/>
                <w:spacing w:val="6"/>
              </w:rPr>
              <w:t>制动片</w:t>
            </w:r>
          </w:p>
        </w:tc>
        <w:tc>
          <w:tcPr>
            <w:tcW w:w="2040" w:type="dxa"/>
            <w:noWrap w:val="0"/>
            <w:vAlign w:val="top"/>
          </w:tcPr>
          <w:p w14:paraId="5B53ABC4">
            <w:pPr>
              <w:pStyle w:val="223"/>
              <w:spacing w:before="52" w:line="261" w:lineRule="auto"/>
              <w:ind w:left="290" w:right="109" w:hanging="171"/>
              <w:rPr>
                <w:color w:val="auto"/>
              </w:rPr>
            </w:pPr>
            <w:r>
              <w:rPr>
                <w:color w:val="auto"/>
              </w:rPr>
              <w:t>常规磨损不保修，保</w:t>
            </w:r>
            <w:r>
              <w:rPr>
                <w:color w:val="auto"/>
                <w:spacing w:val="5"/>
              </w:rPr>
              <w:t xml:space="preserve"> </w:t>
            </w:r>
            <w:r>
              <w:rPr>
                <w:color w:val="auto"/>
                <w:spacing w:val="8"/>
              </w:rPr>
              <w:t>养周期自行更换</w:t>
            </w:r>
          </w:p>
        </w:tc>
      </w:tr>
      <w:tr w14:paraId="15A2D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49310D02">
            <w:pPr>
              <w:rPr>
                <w:rFonts w:ascii="Arial"/>
                <w:color w:val="auto"/>
                <w:sz w:val="21"/>
              </w:rPr>
            </w:pPr>
          </w:p>
        </w:tc>
        <w:tc>
          <w:tcPr>
            <w:tcW w:w="810" w:type="dxa"/>
            <w:vMerge w:val="continue"/>
            <w:noWrap w:val="0"/>
            <w:vAlign w:val="top"/>
          </w:tcPr>
          <w:p w14:paraId="61D7FE0B">
            <w:pPr>
              <w:rPr>
                <w:rFonts w:ascii="Arial"/>
                <w:color w:val="auto"/>
                <w:sz w:val="21"/>
              </w:rPr>
            </w:pPr>
          </w:p>
        </w:tc>
        <w:tc>
          <w:tcPr>
            <w:tcW w:w="1756" w:type="dxa"/>
            <w:gridSpan w:val="2"/>
            <w:vMerge w:val="continue"/>
            <w:noWrap w:val="0"/>
            <w:vAlign w:val="top"/>
          </w:tcPr>
          <w:p w14:paraId="532162C5">
            <w:pPr>
              <w:rPr>
                <w:rFonts w:ascii="Arial"/>
                <w:color w:val="auto"/>
                <w:sz w:val="21"/>
              </w:rPr>
            </w:pPr>
          </w:p>
        </w:tc>
        <w:tc>
          <w:tcPr>
            <w:tcW w:w="2972" w:type="dxa"/>
            <w:noWrap w:val="0"/>
            <w:vAlign w:val="top"/>
          </w:tcPr>
          <w:p w14:paraId="294B01D7">
            <w:pPr>
              <w:pStyle w:val="223"/>
              <w:spacing w:before="210" w:line="229" w:lineRule="auto"/>
              <w:ind w:left="1179"/>
              <w:rPr>
                <w:color w:val="auto"/>
              </w:rPr>
            </w:pPr>
            <w:r>
              <w:rPr>
                <w:color w:val="auto"/>
                <w:spacing w:val="6"/>
              </w:rPr>
              <w:t>制动盘</w:t>
            </w:r>
          </w:p>
        </w:tc>
        <w:tc>
          <w:tcPr>
            <w:tcW w:w="2040" w:type="dxa"/>
            <w:noWrap w:val="0"/>
            <w:vAlign w:val="top"/>
          </w:tcPr>
          <w:p w14:paraId="68F0E0DF">
            <w:pPr>
              <w:pStyle w:val="223"/>
              <w:spacing w:before="54" w:line="260" w:lineRule="auto"/>
              <w:ind w:left="290" w:right="109" w:hanging="171"/>
              <w:rPr>
                <w:color w:val="auto"/>
              </w:rPr>
            </w:pPr>
            <w:r>
              <w:rPr>
                <w:color w:val="auto"/>
              </w:rPr>
              <w:t>常规磨损不保修，保</w:t>
            </w:r>
            <w:r>
              <w:rPr>
                <w:color w:val="auto"/>
                <w:spacing w:val="5"/>
              </w:rPr>
              <w:t xml:space="preserve"> </w:t>
            </w:r>
            <w:r>
              <w:rPr>
                <w:color w:val="auto"/>
                <w:spacing w:val="8"/>
              </w:rPr>
              <w:t>养周期自行更换</w:t>
            </w:r>
          </w:p>
        </w:tc>
      </w:tr>
      <w:tr w14:paraId="42924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0ABD9A4E">
            <w:pPr>
              <w:rPr>
                <w:rFonts w:ascii="Arial"/>
                <w:color w:val="auto"/>
                <w:sz w:val="21"/>
              </w:rPr>
            </w:pPr>
          </w:p>
        </w:tc>
        <w:tc>
          <w:tcPr>
            <w:tcW w:w="810" w:type="dxa"/>
            <w:vMerge w:val="continue"/>
            <w:noWrap w:val="0"/>
            <w:vAlign w:val="top"/>
          </w:tcPr>
          <w:p w14:paraId="46EC78FA">
            <w:pPr>
              <w:rPr>
                <w:rFonts w:ascii="Arial"/>
                <w:color w:val="auto"/>
                <w:sz w:val="21"/>
              </w:rPr>
            </w:pPr>
          </w:p>
        </w:tc>
        <w:tc>
          <w:tcPr>
            <w:tcW w:w="1756" w:type="dxa"/>
            <w:gridSpan w:val="2"/>
            <w:vMerge w:val="continue"/>
            <w:noWrap w:val="0"/>
            <w:vAlign w:val="top"/>
          </w:tcPr>
          <w:p w14:paraId="7B0A35D9">
            <w:pPr>
              <w:rPr>
                <w:rFonts w:ascii="Arial"/>
                <w:color w:val="auto"/>
                <w:sz w:val="21"/>
              </w:rPr>
            </w:pPr>
          </w:p>
        </w:tc>
        <w:tc>
          <w:tcPr>
            <w:tcW w:w="2972" w:type="dxa"/>
            <w:noWrap w:val="0"/>
            <w:vAlign w:val="top"/>
          </w:tcPr>
          <w:p w14:paraId="175FF884">
            <w:pPr>
              <w:pStyle w:val="223"/>
              <w:spacing w:before="210" w:line="229" w:lineRule="auto"/>
              <w:ind w:left="1186"/>
              <w:rPr>
                <w:color w:val="auto"/>
              </w:rPr>
            </w:pPr>
            <w:r>
              <w:rPr>
                <w:color w:val="auto"/>
                <w:spacing w:val="4"/>
              </w:rPr>
              <w:t>雨刮片</w:t>
            </w:r>
          </w:p>
        </w:tc>
        <w:tc>
          <w:tcPr>
            <w:tcW w:w="2040" w:type="dxa"/>
            <w:noWrap w:val="0"/>
            <w:vAlign w:val="top"/>
          </w:tcPr>
          <w:p w14:paraId="6BF8E134">
            <w:pPr>
              <w:pStyle w:val="223"/>
              <w:spacing w:before="54" w:line="260" w:lineRule="auto"/>
              <w:ind w:left="290" w:right="109" w:hanging="171"/>
              <w:rPr>
                <w:color w:val="auto"/>
              </w:rPr>
            </w:pPr>
            <w:r>
              <w:rPr>
                <w:color w:val="auto"/>
              </w:rPr>
              <w:t>常规磨损不保修，保</w:t>
            </w:r>
            <w:r>
              <w:rPr>
                <w:color w:val="auto"/>
                <w:spacing w:val="5"/>
              </w:rPr>
              <w:t xml:space="preserve"> </w:t>
            </w:r>
            <w:r>
              <w:rPr>
                <w:color w:val="auto"/>
                <w:spacing w:val="8"/>
              </w:rPr>
              <w:t>养周期自行更换</w:t>
            </w:r>
          </w:p>
        </w:tc>
      </w:tr>
      <w:tr w14:paraId="6DBC3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8" w:type="dxa"/>
            <w:vMerge w:val="continue"/>
            <w:tcBorders>
              <w:top w:val="nil"/>
              <w:bottom w:val="nil"/>
            </w:tcBorders>
            <w:noWrap w:val="0"/>
            <w:vAlign w:val="top"/>
          </w:tcPr>
          <w:p w14:paraId="20D3E033">
            <w:pPr>
              <w:rPr>
                <w:rFonts w:ascii="Arial"/>
                <w:color w:val="auto"/>
                <w:sz w:val="21"/>
              </w:rPr>
            </w:pPr>
          </w:p>
        </w:tc>
        <w:tc>
          <w:tcPr>
            <w:tcW w:w="810" w:type="dxa"/>
            <w:vMerge w:val="continue"/>
            <w:noWrap w:val="0"/>
            <w:vAlign w:val="top"/>
          </w:tcPr>
          <w:p w14:paraId="31EABA31">
            <w:pPr>
              <w:rPr>
                <w:rFonts w:ascii="Arial"/>
                <w:color w:val="auto"/>
                <w:sz w:val="21"/>
              </w:rPr>
            </w:pPr>
          </w:p>
        </w:tc>
        <w:tc>
          <w:tcPr>
            <w:tcW w:w="1756" w:type="dxa"/>
            <w:gridSpan w:val="2"/>
            <w:vMerge w:val="continue"/>
            <w:noWrap w:val="0"/>
            <w:vAlign w:val="top"/>
          </w:tcPr>
          <w:p w14:paraId="6435C519">
            <w:pPr>
              <w:rPr>
                <w:rFonts w:ascii="Arial"/>
                <w:color w:val="auto"/>
                <w:sz w:val="21"/>
              </w:rPr>
            </w:pPr>
          </w:p>
        </w:tc>
        <w:tc>
          <w:tcPr>
            <w:tcW w:w="2972" w:type="dxa"/>
            <w:noWrap w:val="0"/>
            <w:vAlign w:val="top"/>
          </w:tcPr>
          <w:p w14:paraId="6712859D">
            <w:pPr>
              <w:pStyle w:val="223"/>
              <w:spacing w:before="210" w:line="228" w:lineRule="auto"/>
              <w:ind w:left="759"/>
              <w:rPr>
                <w:color w:val="auto"/>
              </w:rPr>
            </w:pPr>
            <w:r>
              <w:rPr>
                <w:color w:val="auto"/>
                <w:spacing w:val="8"/>
              </w:rPr>
              <w:t>压缩空气干燥器</w:t>
            </w:r>
          </w:p>
        </w:tc>
        <w:tc>
          <w:tcPr>
            <w:tcW w:w="2040" w:type="dxa"/>
            <w:noWrap w:val="0"/>
            <w:vAlign w:val="top"/>
          </w:tcPr>
          <w:p w14:paraId="371FE46E">
            <w:pPr>
              <w:pStyle w:val="223"/>
              <w:spacing w:before="55" w:line="260" w:lineRule="auto"/>
              <w:ind w:left="290" w:right="109" w:hanging="141"/>
              <w:rPr>
                <w:color w:val="auto"/>
              </w:rPr>
            </w:pPr>
            <w:r>
              <w:rPr>
                <w:color w:val="auto"/>
                <w:spacing w:val="-3"/>
              </w:rPr>
              <w:t>自然损耗不保修，保</w:t>
            </w:r>
            <w:r>
              <w:rPr>
                <w:color w:val="auto"/>
                <w:spacing w:val="2"/>
              </w:rPr>
              <w:t xml:space="preserve"> </w:t>
            </w:r>
            <w:r>
              <w:rPr>
                <w:color w:val="auto"/>
                <w:spacing w:val="8"/>
              </w:rPr>
              <w:t>养周期自行更换</w:t>
            </w:r>
          </w:p>
        </w:tc>
      </w:tr>
      <w:tr w14:paraId="3CD6C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8" w:type="dxa"/>
            <w:vMerge w:val="continue"/>
            <w:tcBorders>
              <w:top w:val="nil"/>
              <w:bottom w:val="nil"/>
            </w:tcBorders>
            <w:noWrap w:val="0"/>
            <w:vAlign w:val="top"/>
          </w:tcPr>
          <w:p w14:paraId="521175D4">
            <w:pPr>
              <w:rPr>
                <w:rFonts w:ascii="Arial"/>
                <w:color w:val="auto"/>
                <w:sz w:val="21"/>
              </w:rPr>
            </w:pPr>
          </w:p>
        </w:tc>
        <w:tc>
          <w:tcPr>
            <w:tcW w:w="810" w:type="dxa"/>
            <w:vMerge w:val="continue"/>
            <w:noWrap w:val="0"/>
            <w:vAlign w:val="top"/>
          </w:tcPr>
          <w:p w14:paraId="33715707">
            <w:pPr>
              <w:rPr>
                <w:rFonts w:ascii="Arial"/>
                <w:color w:val="auto"/>
                <w:sz w:val="21"/>
              </w:rPr>
            </w:pPr>
          </w:p>
        </w:tc>
        <w:tc>
          <w:tcPr>
            <w:tcW w:w="1756" w:type="dxa"/>
            <w:gridSpan w:val="2"/>
            <w:vMerge w:val="continue"/>
            <w:noWrap w:val="0"/>
            <w:vAlign w:val="top"/>
          </w:tcPr>
          <w:p w14:paraId="778682A1">
            <w:pPr>
              <w:rPr>
                <w:rFonts w:ascii="Arial"/>
                <w:color w:val="auto"/>
                <w:sz w:val="21"/>
              </w:rPr>
            </w:pPr>
          </w:p>
        </w:tc>
        <w:tc>
          <w:tcPr>
            <w:tcW w:w="2972" w:type="dxa"/>
            <w:noWrap w:val="0"/>
            <w:vAlign w:val="top"/>
          </w:tcPr>
          <w:p w14:paraId="142F94F8">
            <w:pPr>
              <w:pStyle w:val="223"/>
              <w:spacing w:before="210" w:line="229" w:lineRule="auto"/>
              <w:ind w:left="655"/>
              <w:rPr>
                <w:color w:val="auto"/>
              </w:rPr>
            </w:pPr>
            <w:r>
              <w:rPr>
                <w:color w:val="auto"/>
                <w:spacing w:val="8"/>
              </w:rPr>
              <w:t>各种油液、润滑脂</w:t>
            </w:r>
          </w:p>
        </w:tc>
        <w:tc>
          <w:tcPr>
            <w:tcW w:w="2040" w:type="dxa"/>
            <w:noWrap w:val="0"/>
            <w:vAlign w:val="top"/>
          </w:tcPr>
          <w:p w14:paraId="183D5D07">
            <w:pPr>
              <w:pStyle w:val="223"/>
              <w:spacing w:before="55" w:line="260" w:lineRule="auto"/>
              <w:ind w:left="290" w:right="125" w:hanging="122"/>
              <w:rPr>
                <w:color w:val="auto"/>
              </w:rPr>
            </w:pPr>
            <w:r>
              <w:rPr>
                <w:color w:val="auto"/>
                <w:spacing w:val="4"/>
              </w:rPr>
              <w:t>自然损耗不保修,保</w:t>
            </w:r>
            <w:r>
              <w:rPr>
                <w:color w:val="auto"/>
                <w:spacing w:val="3"/>
              </w:rPr>
              <w:t xml:space="preserve"> </w:t>
            </w:r>
            <w:r>
              <w:rPr>
                <w:color w:val="auto"/>
                <w:spacing w:val="8"/>
              </w:rPr>
              <w:t>养周期自行更换</w:t>
            </w:r>
          </w:p>
        </w:tc>
      </w:tr>
      <w:tr w14:paraId="6CD90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48" w:type="dxa"/>
            <w:vMerge w:val="continue"/>
            <w:tcBorders>
              <w:top w:val="nil"/>
              <w:bottom w:val="nil"/>
            </w:tcBorders>
            <w:noWrap w:val="0"/>
            <w:vAlign w:val="top"/>
          </w:tcPr>
          <w:p w14:paraId="60C6E697">
            <w:pPr>
              <w:rPr>
                <w:rFonts w:ascii="Arial"/>
                <w:color w:val="auto"/>
                <w:sz w:val="21"/>
              </w:rPr>
            </w:pPr>
          </w:p>
        </w:tc>
        <w:tc>
          <w:tcPr>
            <w:tcW w:w="810" w:type="dxa"/>
            <w:vMerge w:val="continue"/>
            <w:noWrap w:val="0"/>
            <w:vAlign w:val="top"/>
          </w:tcPr>
          <w:p w14:paraId="5BB73DA4">
            <w:pPr>
              <w:rPr>
                <w:rFonts w:ascii="Arial"/>
                <w:color w:val="auto"/>
                <w:sz w:val="21"/>
              </w:rPr>
            </w:pPr>
          </w:p>
        </w:tc>
        <w:tc>
          <w:tcPr>
            <w:tcW w:w="1756" w:type="dxa"/>
            <w:gridSpan w:val="2"/>
            <w:vMerge w:val="continue"/>
            <w:noWrap w:val="0"/>
            <w:vAlign w:val="top"/>
          </w:tcPr>
          <w:p w14:paraId="06EA2526">
            <w:pPr>
              <w:rPr>
                <w:rFonts w:ascii="Arial"/>
                <w:color w:val="auto"/>
                <w:sz w:val="21"/>
              </w:rPr>
            </w:pPr>
          </w:p>
        </w:tc>
        <w:tc>
          <w:tcPr>
            <w:tcW w:w="2972" w:type="dxa"/>
            <w:noWrap w:val="0"/>
            <w:vAlign w:val="top"/>
          </w:tcPr>
          <w:p w14:paraId="5ECF2235">
            <w:pPr>
              <w:pStyle w:val="223"/>
              <w:spacing w:before="210" w:line="228" w:lineRule="auto"/>
              <w:ind w:left="1075"/>
              <w:rPr>
                <w:color w:val="auto"/>
              </w:rPr>
            </w:pPr>
            <w:r>
              <w:rPr>
                <w:color w:val="auto"/>
                <w:spacing w:val="6"/>
              </w:rPr>
              <w:t>各类油封</w:t>
            </w:r>
          </w:p>
        </w:tc>
        <w:tc>
          <w:tcPr>
            <w:tcW w:w="2040" w:type="dxa"/>
            <w:noWrap w:val="0"/>
            <w:vAlign w:val="top"/>
          </w:tcPr>
          <w:p w14:paraId="003CB9A3">
            <w:pPr>
              <w:pStyle w:val="223"/>
              <w:spacing w:before="53" w:line="261" w:lineRule="auto"/>
              <w:ind w:left="289" w:right="125" w:hanging="151"/>
              <w:rPr>
                <w:color w:val="auto"/>
              </w:rPr>
            </w:pPr>
            <w:r>
              <w:rPr>
                <w:color w:val="auto"/>
                <w:spacing w:val="7"/>
              </w:rPr>
              <w:t>常规磨损不保修,保</w:t>
            </w:r>
            <w:r>
              <w:rPr>
                <w:color w:val="auto"/>
                <w:spacing w:val="6"/>
              </w:rPr>
              <w:t xml:space="preserve"> </w:t>
            </w:r>
            <w:r>
              <w:rPr>
                <w:color w:val="auto"/>
                <w:spacing w:val="8"/>
              </w:rPr>
              <w:t>养周期自行更换</w:t>
            </w:r>
          </w:p>
        </w:tc>
      </w:tr>
      <w:tr w14:paraId="1B9EF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1E2057CC">
            <w:pPr>
              <w:rPr>
                <w:rFonts w:ascii="Arial"/>
                <w:color w:val="auto"/>
                <w:sz w:val="21"/>
              </w:rPr>
            </w:pPr>
          </w:p>
        </w:tc>
        <w:tc>
          <w:tcPr>
            <w:tcW w:w="810" w:type="dxa"/>
            <w:vMerge w:val="continue"/>
            <w:noWrap w:val="0"/>
            <w:vAlign w:val="top"/>
          </w:tcPr>
          <w:p w14:paraId="00E4D4CC">
            <w:pPr>
              <w:rPr>
                <w:rFonts w:ascii="Arial"/>
                <w:color w:val="auto"/>
                <w:sz w:val="21"/>
              </w:rPr>
            </w:pPr>
          </w:p>
        </w:tc>
        <w:tc>
          <w:tcPr>
            <w:tcW w:w="1756" w:type="dxa"/>
            <w:gridSpan w:val="2"/>
            <w:vMerge w:val="continue"/>
            <w:noWrap w:val="0"/>
            <w:vAlign w:val="top"/>
          </w:tcPr>
          <w:p w14:paraId="23488E6B">
            <w:pPr>
              <w:rPr>
                <w:rFonts w:ascii="Arial"/>
                <w:color w:val="auto"/>
                <w:sz w:val="21"/>
              </w:rPr>
            </w:pPr>
          </w:p>
        </w:tc>
        <w:tc>
          <w:tcPr>
            <w:tcW w:w="2972" w:type="dxa"/>
            <w:noWrap w:val="0"/>
            <w:vAlign w:val="top"/>
          </w:tcPr>
          <w:p w14:paraId="40045606">
            <w:pPr>
              <w:pStyle w:val="223"/>
              <w:spacing w:before="212" w:line="228" w:lineRule="auto"/>
              <w:ind w:right="9"/>
              <w:jc w:val="right"/>
              <w:rPr>
                <w:color w:val="auto"/>
              </w:rPr>
            </w:pPr>
            <w:r>
              <w:rPr>
                <w:color w:val="auto"/>
                <w:spacing w:val="2"/>
              </w:rPr>
              <w:t>各类滤芯（含一次性更换总成）</w:t>
            </w:r>
          </w:p>
        </w:tc>
        <w:tc>
          <w:tcPr>
            <w:tcW w:w="2040" w:type="dxa"/>
            <w:noWrap w:val="0"/>
            <w:vAlign w:val="top"/>
          </w:tcPr>
          <w:p w14:paraId="10E70528">
            <w:pPr>
              <w:pStyle w:val="223"/>
              <w:spacing w:before="56" w:line="259" w:lineRule="auto"/>
              <w:ind w:left="290" w:right="125" w:hanging="122"/>
              <w:rPr>
                <w:color w:val="auto"/>
              </w:rPr>
            </w:pPr>
            <w:r>
              <w:rPr>
                <w:color w:val="auto"/>
                <w:spacing w:val="4"/>
              </w:rPr>
              <w:t>自然损耗不保修,保</w:t>
            </w:r>
            <w:r>
              <w:rPr>
                <w:color w:val="auto"/>
                <w:spacing w:val="3"/>
              </w:rPr>
              <w:t xml:space="preserve"> </w:t>
            </w:r>
            <w:r>
              <w:rPr>
                <w:color w:val="auto"/>
                <w:spacing w:val="8"/>
              </w:rPr>
              <w:t>养周期自行更换</w:t>
            </w:r>
          </w:p>
        </w:tc>
      </w:tr>
      <w:tr w14:paraId="507EA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48" w:type="dxa"/>
            <w:vMerge w:val="continue"/>
            <w:tcBorders>
              <w:top w:val="nil"/>
            </w:tcBorders>
            <w:noWrap w:val="0"/>
            <w:vAlign w:val="top"/>
          </w:tcPr>
          <w:p w14:paraId="59ABC38B">
            <w:pPr>
              <w:rPr>
                <w:rFonts w:ascii="Arial"/>
                <w:color w:val="auto"/>
                <w:sz w:val="21"/>
              </w:rPr>
            </w:pPr>
          </w:p>
        </w:tc>
        <w:tc>
          <w:tcPr>
            <w:tcW w:w="810" w:type="dxa"/>
            <w:vMerge w:val="continue"/>
            <w:noWrap w:val="0"/>
            <w:vAlign w:val="top"/>
          </w:tcPr>
          <w:p w14:paraId="7EC76F55">
            <w:pPr>
              <w:rPr>
                <w:rFonts w:ascii="Arial"/>
                <w:color w:val="auto"/>
                <w:sz w:val="21"/>
              </w:rPr>
            </w:pPr>
          </w:p>
        </w:tc>
        <w:tc>
          <w:tcPr>
            <w:tcW w:w="1756" w:type="dxa"/>
            <w:gridSpan w:val="2"/>
            <w:vMerge w:val="continue"/>
            <w:noWrap w:val="0"/>
            <w:vAlign w:val="top"/>
          </w:tcPr>
          <w:p w14:paraId="25FDBD08">
            <w:pPr>
              <w:rPr>
                <w:rFonts w:ascii="Arial"/>
                <w:color w:val="auto"/>
                <w:sz w:val="21"/>
              </w:rPr>
            </w:pPr>
          </w:p>
        </w:tc>
        <w:tc>
          <w:tcPr>
            <w:tcW w:w="2972" w:type="dxa"/>
            <w:noWrap w:val="0"/>
            <w:vAlign w:val="top"/>
          </w:tcPr>
          <w:p w14:paraId="6C06D114">
            <w:pPr>
              <w:pStyle w:val="223"/>
              <w:spacing w:before="111" w:line="228" w:lineRule="auto"/>
              <w:ind w:left="1179"/>
              <w:rPr>
                <w:color w:val="auto"/>
              </w:rPr>
            </w:pPr>
            <w:r>
              <w:rPr>
                <w:color w:val="auto"/>
                <w:spacing w:val="6"/>
              </w:rPr>
              <w:t>制冷剂</w:t>
            </w:r>
          </w:p>
        </w:tc>
        <w:tc>
          <w:tcPr>
            <w:tcW w:w="2040" w:type="dxa"/>
            <w:noWrap w:val="0"/>
            <w:vAlign w:val="top"/>
          </w:tcPr>
          <w:p w14:paraId="14A40255">
            <w:pPr>
              <w:pStyle w:val="223"/>
              <w:spacing w:before="112" w:line="228" w:lineRule="auto"/>
              <w:ind w:left="324"/>
              <w:rPr>
                <w:color w:val="auto"/>
              </w:rPr>
            </w:pPr>
            <w:r>
              <w:rPr>
                <w:color w:val="auto"/>
                <w:spacing w:val="3"/>
              </w:rPr>
              <w:t>自然损耗不保修</w:t>
            </w:r>
          </w:p>
        </w:tc>
      </w:tr>
    </w:tbl>
    <w:p w14:paraId="5D949592">
      <w:pPr>
        <w:pStyle w:val="17"/>
        <w:tabs>
          <w:tab w:val="left" w:pos="574"/>
        </w:tabs>
        <w:spacing w:line="207" w:lineRule="exact"/>
        <w:rPr>
          <w:color w:val="auto"/>
          <w:sz w:val="18"/>
        </w:rPr>
      </w:pPr>
    </w:p>
    <w:p w14:paraId="3D3F9721">
      <w:pPr>
        <w:spacing w:line="207" w:lineRule="exact"/>
        <w:rPr>
          <w:color w:val="auto"/>
          <w:sz w:val="18"/>
          <w:szCs w:val="18"/>
        </w:rPr>
        <w:sectPr>
          <w:footerReference r:id="rId23" w:type="default"/>
          <w:pgSz w:w="11906" w:h="16839"/>
          <w:pgMar w:top="1431" w:right="1687" w:bottom="1231" w:left="1687" w:header="0" w:footer="984" w:gutter="0"/>
          <w:pgNumType w:fmt="decimal"/>
          <w:cols w:space="720" w:num="1"/>
        </w:sectPr>
      </w:pPr>
    </w:p>
    <w:p w14:paraId="3758F299">
      <w:pPr>
        <w:spacing w:line="91" w:lineRule="auto"/>
        <w:rPr>
          <w:rFonts w:ascii="Arial"/>
          <w:color w:val="auto"/>
          <w:sz w:val="2"/>
        </w:rPr>
      </w:pPr>
    </w:p>
    <w:tbl>
      <w:tblPr>
        <w:tblStyle w:val="22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810"/>
        <w:gridCol w:w="1756"/>
        <w:gridCol w:w="2972"/>
        <w:gridCol w:w="2040"/>
      </w:tblGrid>
      <w:tr w14:paraId="6F94E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48" w:type="dxa"/>
            <w:vMerge w:val="restart"/>
            <w:tcBorders>
              <w:bottom w:val="nil"/>
            </w:tcBorders>
            <w:noWrap w:val="0"/>
            <w:vAlign w:val="top"/>
          </w:tcPr>
          <w:p w14:paraId="7BCF2625">
            <w:pPr>
              <w:rPr>
                <w:rFonts w:ascii="Arial"/>
                <w:color w:val="auto"/>
                <w:sz w:val="21"/>
              </w:rPr>
            </w:pPr>
          </w:p>
        </w:tc>
        <w:tc>
          <w:tcPr>
            <w:tcW w:w="810" w:type="dxa"/>
            <w:vMerge w:val="restart"/>
            <w:noWrap w:val="0"/>
            <w:vAlign w:val="top"/>
          </w:tcPr>
          <w:p w14:paraId="1AF4446A">
            <w:pPr>
              <w:pStyle w:val="223"/>
              <w:spacing w:before="143" w:line="190" w:lineRule="auto"/>
              <w:ind w:left="318"/>
              <w:rPr>
                <w:rFonts w:hint="eastAsia" w:eastAsia="宋体"/>
                <w:color w:val="auto"/>
                <w:lang w:eastAsia="zh-CN"/>
              </w:rPr>
            </w:pPr>
            <w:r>
              <w:rPr>
                <w:rFonts w:hint="eastAsia"/>
                <w:color w:val="auto"/>
                <w:spacing w:val="-7"/>
                <w:lang w:val="en-US" w:eastAsia="zh-CN"/>
              </w:rPr>
              <w:t>9</w:t>
            </w:r>
          </w:p>
        </w:tc>
        <w:tc>
          <w:tcPr>
            <w:tcW w:w="1756" w:type="dxa"/>
            <w:vMerge w:val="restart"/>
            <w:noWrap w:val="0"/>
            <w:vAlign w:val="top"/>
          </w:tcPr>
          <w:p w14:paraId="0C2ED95A">
            <w:pPr>
              <w:pStyle w:val="223"/>
              <w:spacing w:before="112" w:line="228" w:lineRule="auto"/>
              <w:ind w:left="267"/>
              <w:rPr>
                <w:color w:val="auto"/>
              </w:rPr>
            </w:pPr>
            <w:r>
              <w:rPr>
                <w:color w:val="auto"/>
                <w:spacing w:val="5"/>
              </w:rPr>
              <w:t>易损、易耗件</w:t>
            </w:r>
          </w:p>
        </w:tc>
        <w:tc>
          <w:tcPr>
            <w:tcW w:w="2972" w:type="dxa"/>
            <w:noWrap w:val="0"/>
            <w:vAlign w:val="top"/>
          </w:tcPr>
          <w:p w14:paraId="5610BD28">
            <w:pPr>
              <w:pStyle w:val="223"/>
              <w:spacing w:before="111" w:line="229" w:lineRule="auto"/>
              <w:ind w:left="1180"/>
              <w:rPr>
                <w:color w:val="auto"/>
              </w:rPr>
            </w:pPr>
            <w:r>
              <w:rPr>
                <w:color w:val="auto"/>
                <w:spacing w:val="6"/>
              </w:rPr>
              <w:t>冷却液</w:t>
            </w:r>
          </w:p>
        </w:tc>
        <w:tc>
          <w:tcPr>
            <w:tcW w:w="2040" w:type="dxa"/>
            <w:noWrap w:val="0"/>
            <w:vAlign w:val="top"/>
          </w:tcPr>
          <w:p w14:paraId="28922DBD">
            <w:pPr>
              <w:pStyle w:val="223"/>
              <w:spacing w:before="112" w:line="228" w:lineRule="auto"/>
              <w:ind w:left="324"/>
              <w:rPr>
                <w:color w:val="auto"/>
              </w:rPr>
            </w:pPr>
            <w:r>
              <w:rPr>
                <w:color w:val="auto"/>
                <w:spacing w:val="3"/>
              </w:rPr>
              <w:t>自然损耗不保修</w:t>
            </w:r>
          </w:p>
        </w:tc>
      </w:tr>
      <w:tr w14:paraId="3C82D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48" w:type="dxa"/>
            <w:vMerge w:val="continue"/>
            <w:tcBorders>
              <w:top w:val="nil"/>
              <w:bottom w:val="nil"/>
            </w:tcBorders>
            <w:noWrap w:val="0"/>
            <w:vAlign w:val="top"/>
          </w:tcPr>
          <w:p w14:paraId="5FDC7DFB">
            <w:pPr>
              <w:rPr>
                <w:rFonts w:ascii="Arial"/>
                <w:color w:val="auto"/>
                <w:sz w:val="21"/>
              </w:rPr>
            </w:pPr>
          </w:p>
        </w:tc>
        <w:tc>
          <w:tcPr>
            <w:tcW w:w="810" w:type="dxa"/>
            <w:vMerge w:val="continue"/>
            <w:noWrap w:val="0"/>
            <w:vAlign w:val="top"/>
          </w:tcPr>
          <w:p w14:paraId="01FBE0CB">
            <w:pPr>
              <w:rPr>
                <w:rFonts w:ascii="Arial"/>
                <w:color w:val="auto"/>
                <w:sz w:val="21"/>
              </w:rPr>
            </w:pPr>
          </w:p>
        </w:tc>
        <w:tc>
          <w:tcPr>
            <w:tcW w:w="1756" w:type="dxa"/>
            <w:vMerge w:val="continue"/>
            <w:noWrap w:val="0"/>
            <w:vAlign w:val="top"/>
          </w:tcPr>
          <w:p w14:paraId="0065E19B">
            <w:pPr>
              <w:rPr>
                <w:rFonts w:ascii="Arial"/>
                <w:color w:val="auto"/>
                <w:sz w:val="21"/>
              </w:rPr>
            </w:pPr>
          </w:p>
        </w:tc>
        <w:tc>
          <w:tcPr>
            <w:tcW w:w="2972" w:type="dxa"/>
            <w:noWrap w:val="0"/>
            <w:vAlign w:val="top"/>
          </w:tcPr>
          <w:p w14:paraId="35BBB8D8">
            <w:pPr>
              <w:spacing w:line="297" w:lineRule="auto"/>
              <w:rPr>
                <w:rFonts w:ascii="Arial"/>
                <w:color w:val="auto"/>
                <w:sz w:val="21"/>
              </w:rPr>
            </w:pPr>
          </w:p>
          <w:p w14:paraId="512975AE">
            <w:pPr>
              <w:pStyle w:val="223"/>
              <w:spacing w:before="65" w:line="230" w:lineRule="auto"/>
              <w:ind w:left="1285"/>
              <w:rPr>
                <w:color w:val="auto"/>
              </w:rPr>
            </w:pPr>
            <w:r>
              <w:rPr>
                <w:color w:val="auto"/>
                <w:spacing w:val="3"/>
              </w:rPr>
              <w:t>油漆</w:t>
            </w:r>
          </w:p>
        </w:tc>
        <w:tc>
          <w:tcPr>
            <w:tcW w:w="2040" w:type="dxa"/>
            <w:noWrap w:val="0"/>
            <w:vAlign w:val="top"/>
          </w:tcPr>
          <w:p w14:paraId="114804DF">
            <w:pPr>
              <w:pStyle w:val="223"/>
              <w:spacing w:before="52" w:line="229" w:lineRule="auto"/>
              <w:ind w:left="118"/>
              <w:rPr>
                <w:color w:val="auto"/>
              </w:rPr>
            </w:pPr>
            <w:r>
              <w:rPr>
                <w:color w:val="auto"/>
              </w:rPr>
              <w:t>正常褪色、老化不保</w:t>
            </w:r>
          </w:p>
          <w:p w14:paraId="5ED3E620">
            <w:pPr>
              <w:pStyle w:val="223"/>
              <w:spacing w:before="64" w:line="228" w:lineRule="auto"/>
              <w:ind w:left="133"/>
              <w:rPr>
                <w:color w:val="auto"/>
              </w:rPr>
            </w:pPr>
            <w:r>
              <w:rPr>
                <w:color w:val="auto"/>
                <w:spacing w:val="3"/>
              </w:rPr>
              <w:t>修</w:t>
            </w:r>
            <w:r>
              <w:rPr>
                <w:color w:val="auto"/>
                <w:spacing w:val="-53"/>
              </w:rPr>
              <w:t xml:space="preserve"> </w:t>
            </w:r>
            <w:r>
              <w:rPr>
                <w:color w:val="auto"/>
                <w:spacing w:val="3"/>
              </w:rPr>
              <w:t>;大面积掉漆等异</w:t>
            </w:r>
          </w:p>
          <w:p w14:paraId="3F5F333C">
            <w:pPr>
              <w:pStyle w:val="223"/>
              <w:spacing w:before="64" w:line="228" w:lineRule="auto"/>
              <w:ind w:left="714"/>
              <w:rPr>
                <w:color w:val="auto"/>
              </w:rPr>
            </w:pPr>
            <w:r>
              <w:rPr>
                <w:color w:val="auto"/>
                <w:spacing w:val="5"/>
              </w:rPr>
              <w:t>常索赔</w:t>
            </w:r>
          </w:p>
        </w:tc>
      </w:tr>
      <w:tr w14:paraId="73406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948" w:type="dxa"/>
            <w:vMerge w:val="continue"/>
            <w:tcBorders>
              <w:top w:val="nil"/>
              <w:bottom w:val="nil"/>
            </w:tcBorders>
            <w:noWrap w:val="0"/>
            <w:vAlign w:val="top"/>
          </w:tcPr>
          <w:p w14:paraId="39A00917">
            <w:pPr>
              <w:rPr>
                <w:rFonts w:ascii="Arial"/>
                <w:color w:val="auto"/>
                <w:sz w:val="21"/>
              </w:rPr>
            </w:pPr>
          </w:p>
        </w:tc>
        <w:tc>
          <w:tcPr>
            <w:tcW w:w="810" w:type="dxa"/>
            <w:vMerge w:val="continue"/>
            <w:noWrap w:val="0"/>
            <w:vAlign w:val="top"/>
          </w:tcPr>
          <w:p w14:paraId="74BF2811">
            <w:pPr>
              <w:rPr>
                <w:rFonts w:ascii="Arial"/>
                <w:color w:val="auto"/>
                <w:sz w:val="21"/>
              </w:rPr>
            </w:pPr>
          </w:p>
        </w:tc>
        <w:tc>
          <w:tcPr>
            <w:tcW w:w="1756" w:type="dxa"/>
            <w:vMerge w:val="continue"/>
            <w:noWrap w:val="0"/>
            <w:vAlign w:val="top"/>
          </w:tcPr>
          <w:p w14:paraId="0C08A516">
            <w:pPr>
              <w:rPr>
                <w:rFonts w:ascii="Arial"/>
                <w:color w:val="auto"/>
                <w:sz w:val="21"/>
              </w:rPr>
            </w:pPr>
          </w:p>
        </w:tc>
        <w:tc>
          <w:tcPr>
            <w:tcW w:w="2972" w:type="dxa"/>
            <w:noWrap w:val="0"/>
            <w:vAlign w:val="top"/>
          </w:tcPr>
          <w:p w14:paraId="63CEFD1B">
            <w:pPr>
              <w:pStyle w:val="223"/>
              <w:spacing w:before="108" w:line="229" w:lineRule="auto"/>
              <w:ind w:left="1281"/>
              <w:rPr>
                <w:color w:val="auto"/>
              </w:rPr>
            </w:pPr>
            <w:r>
              <w:rPr>
                <w:color w:val="auto"/>
                <w:spacing w:val="5"/>
              </w:rPr>
              <w:t>灯泡</w:t>
            </w:r>
          </w:p>
        </w:tc>
        <w:tc>
          <w:tcPr>
            <w:tcW w:w="2040" w:type="dxa"/>
            <w:noWrap w:val="0"/>
            <w:vAlign w:val="top"/>
          </w:tcPr>
          <w:p w14:paraId="3C7A1914">
            <w:pPr>
              <w:pStyle w:val="223"/>
              <w:spacing w:before="107" w:line="226" w:lineRule="auto"/>
              <w:ind w:left="240"/>
              <w:rPr>
                <w:color w:val="auto"/>
              </w:rPr>
            </w:pPr>
            <w:r>
              <w:rPr>
                <w:color w:val="auto"/>
                <w:spacing w:val="2"/>
              </w:rPr>
              <w:t>不保修,</w:t>
            </w:r>
            <w:r>
              <w:rPr>
                <w:color w:val="auto"/>
                <w:spacing w:val="-54"/>
              </w:rPr>
              <w:t xml:space="preserve"> </w:t>
            </w:r>
            <w:r>
              <w:rPr>
                <w:color w:val="auto"/>
                <w:spacing w:val="2"/>
              </w:rPr>
              <w:t>自行更换</w:t>
            </w:r>
          </w:p>
        </w:tc>
      </w:tr>
      <w:tr w14:paraId="092BD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48" w:type="dxa"/>
            <w:vMerge w:val="continue"/>
            <w:tcBorders>
              <w:top w:val="nil"/>
              <w:bottom w:val="nil"/>
            </w:tcBorders>
            <w:noWrap w:val="0"/>
            <w:vAlign w:val="top"/>
          </w:tcPr>
          <w:p w14:paraId="3D9A11C2">
            <w:pPr>
              <w:rPr>
                <w:rFonts w:ascii="Arial"/>
                <w:color w:val="auto"/>
                <w:sz w:val="21"/>
              </w:rPr>
            </w:pPr>
          </w:p>
        </w:tc>
        <w:tc>
          <w:tcPr>
            <w:tcW w:w="810" w:type="dxa"/>
            <w:vMerge w:val="continue"/>
            <w:noWrap w:val="0"/>
            <w:vAlign w:val="top"/>
          </w:tcPr>
          <w:p w14:paraId="2705D348">
            <w:pPr>
              <w:rPr>
                <w:rFonts w:ascii="Arial"/>
                <w:color w:val="auto"/>
                <w:sz w:val="21"/>
              </w:rPr>
            </w:pPr>
          </w:p>
        </w:tc>
        <w:tc>
          <w:tcPr>
            <w:tcW w:w="1756" w:type="dxa"/>
            <w:vMerge w:val="continue"/>
            <w:noWrap w:val="0"/>
            <w:vAlign w:val="top"/>
          </w:tcPr>
          <w:p w14:paraId="4F5CAB23">
            <w:pPr>
              <w:rPr>
                <w:rFonts w:ascii="Arial"/>
                <w:color w:val="auto"/>
                <w:sz w:val="21"/>
              </w:rPr>
            </w:pPr>
          </w:p>
        </w:tc>
        <w:tc>
          <w:tcPr>
            <w:tcW w:w="2972" w:type="dxa"/>
            <w:noWrap w:val="0"/>
            <w:vAlign w:val="top"/>
          </w:tcPr>
          <w:p w14:paraId="384FC574">
            <w:pPr>
              <w:pStyle w:val="223"/>
              <w:spacing w:before="109" w:line="229" w:lineRule="auto"/>
              <w:ind w:left="966"/>
              <w:rPr>
                <w:color w:val="auto"/>
              </w:rPr>
            </w:pPr>
            <w:r>
              <w:rPr>
                <w:color w:val="auto"/>
                <w:spacing w:val="8"/>
              </w:rPr>
              <w:t>低压保险丝</w:t>
            </w:r>
          </w:p>
        </w:tc>
        <w:tc>
          <w:tcPr>
            <w:tcW w:w="2040" w:type="dxa"/>
            <w:noWrap w:val="0"/>
            <w:vAlign w:val="top"/>
          </w:tcPr>
          <w:p w14:paraId="049EF919">
            <w:pPr>
              <w:pStyle w:val="223"/>
              <w:spacing w:before="108" w:line="226" w:lineRule="auto"/>
              <w:ind w:left="240"/>
              <w:rPr>
                <w:color w:val="auto"/>
              </w:rPr>
            </w:pPr>
            <w:r>
              <w:rPr>
                <w:color w:val="auto"/>
                <w:spacing w:val="2"/>
              </w:rPr>
              <w:t>不保修,</w:t>
            </w:r>
            <w:r>
              <w:rPr>
                <w:color w:val="auto"/>
                <w:spacing w:val="-54"/>
              </w:rPr>
              <w:t xml:space="preserve"> </w:t>
            </w:r>
            <w:r>
              <w:rPr>
                <w:color w:val="auto"/>
                <w:spacing w:val="2"/>
              </w:rPr>
              <w:t>自行更换</w:t>
            </w:r>
          </w:p>
        </w:tc>
      </w:tr>
      <w:tr w14:paraId="3CD71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55690D61">
            <w:pPr>
              <w:rPr>
                <w:rFonts w:ascii="Arial"/>
                <w:color w:val="auto"/>
                <w:sz w:val="21"/>
              </w:rPr>
            </w:pPr>
          </w:p>
        </w:tc>
        <w:tc>
          <w:tcPr>
            <w:tcW w:w="810" w:type="dxa"/>
            <w:vMerge w:val="continue"/>
            <w:noWrap w:val="0"/>
            <w:vAlign w:val="top"/>
          </w:tcPr>
          <w:p w14:paraId="5459FAC3">
            <w:pPr>
              <w:rPr>
                <w:rFonts w:ascii="Arial"/>
                <w:color w:val="auto"/>
                <w:sz w:val="21"/>
              </w:rPr>
            </w:pPr>
          </w:p>
        </w:tc>
        <w:tc>
          <w:tcPr>
            <w:tcW w:w="1756" w:type="dxa"/>
            <w:vMerge w:val="continue"/>
            <w:noWrap w:val="0"/>
            <w:vAlign w:val="top"/>
          </w:tcPr>
          <w:p w14:paraId="6CEF8E1F">
            <w:pPr>
              <w:rPr>
                <w:rFonts w:ascii="Arial"/>
                <w:color w:val="auto"/>
                <w:sz w:val="21"/>
              </w:rPr>
            </w:pPr>
          </w:p>
        </w:tc>
        <w:tc>
          <w:tcPr>
            <w:tcW w:w="2972" w:type="dxa"/>
            <w:noWrap w:val="0"/>
            <w:vAlign w:val="top"/>
          </w:tcPr>
          <w:p w14:paraId="23888B53">
            <w:pPr>
              <w:pStyle w:val="223"/>
              <w:spacing w:before="210" w:line="228" w:lineRule="auto"/>
              <w:ind w:left="966"/>
              <w:rPr>
                <w:color w:val="auto"/>
              </w:rPr>
            </w:pPr>
            <w:r>
              <w:rPr>
                <w:color w:val="auto"/>
                <w:spacing w:val="8"/>
              </w:rPr>
              <w:t>低压</w:t>
            </w:r>
            <w:r>
              <w:rPr>
                <w:rFonts w:hint="eastAsia"/>
                <w:color w:val="auto"/>
                <w:spacing w:val="8"/>
                <w:lang w:val="en-US" w:eastAsia="zh-CN"/>
              </w:rPr>
              <w:t>锂</w:t>
            </w:r>
            <w:r>
              <w:rPr>
                <w:color w:val="auto"/>
                <w:spacing w:val="8"/>
              </w:rPr>
              <w:t>电池</w:t>
            </w:r>
          </w:p>
        </w:tc>
        <w:tc>
          <w:tcPr>
            <w:tcW w:w="2040" w:type="dxa"/>
            <w:noWrap w:val="0"/>
            <w:vAlign w:val="top"/>
          </w:tcPr>
          <w:p w14:paraId="3F7724D4">
            <w:pPr>
              <w:pStyle w:val="223"/>
              <w:spacing w:before="54" w:line="260" w:lineRule="auto"/>
              <w:ind w:left="817" w:right="154" w:hanging="644"/>
              <w:rPr>
                <w:color w:val="auto"/>
              </w:rPr>
            </w:pPr>
            <w:r>
              <w:rPr>
                <w:rFonts w:hint="eastAsia"/>
                <w:color w:val="auto"/>
                <w:spacing w:val="4"/>
                <w:lang w:val="en-US" w:eastAsia="zh-CN"/>
              </w:rPr>
              <w:t>8</w:t>
            </w:r>
            <w:r>
              <w:rPr>
                <w:color w:val="auto"/>
                <w:spacing w:val="4"/>
              </w:rPr>
              <w:t>年,质保期满自行</w:t>
            </w:r>
            <w:r>
              <w:rPr>
                <w:color w:val="auto"/>
              </w:rPr>
              <w:t xml:space="preserve"> </w:t>
            </w:r>
            <w:r>
              <w:rPr>
                <w:color w:val="auto"/>
                <w:spacing w:val="3"/>
              </w:rPr>
              <w:t>更新</w:t>
            </w:r>
          </w:p>
        </w:tc>
      </w:tr>
      <w:tr w14:paraId="57479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48" w:type="dxa"/>
            <w:vMerge w:val="continue"/>
            <w:tcBorders>
              <w:top w:val="nil"/>
              <w:bottom w:val="nil"/>
            </w:tcBorders>
            <w:noWrap w:val="0"/>
            <w:vAlign w:val="top"/>
          </w:tcPr>
          <w:p w14:paraId="4B406FDA">
            <w:pPr>
              <w:rPr>
                <w:rFonts w:ascii="Arial"/>
                <w:color w:val="auto"/>
                <w:sz w:val="21"/>
              </w:rPr>
            </w:pPr>
          </w:p>
        </w:tc>
        <w:tc>
          <w:tcPr>
            <w:tcW w:w="810" w:type="dxa"/>
            <w:vMerge w:val="continue"/>
            <w:noWrap w:val="0"/>
            <w:vAlign w:val="top"/>
          </w:tcPr>
          <w:p w14:paraId="36F7B2EF">
            <w:pPr>
              <w:rPr>
                <w:rFonts w:ascii="Arial"/>
                <w:color w:val="auto"/>
                <w:sz w:val="21"/>
              </w:rPr>
            </w:pPr>
          </w:p>
        </w:tc>
        <w:tc>
          <w:tcPr>
            <w:tcW w:w="1756" w:type="dxa"/>
            <w:vMerge w:val="continue"/>
            <w:noWrap w:val="0"/>
            <w:vAlign w:val="top"/>
          </w:tcPr>
          <w:p w14:paraId="7D4F2364">
            <w:pPr>
              <w:rPr>
                <w:rFonts w:ascii="Arial"/>
                <w:color w:val="auto"/>
                <w:sz w:val="21"/>
              </w:rPr>
            </w:pPr>
          </w:p>
        </w:tc>
        <w:tc>
          <w:tcPr>
            <w:tcW w:w="2972" w:type="dxa"/>
            <w:noWrap w:val="0"/>
            <w:vAlign w:val="top"/>
          </w:tcPr>
          <w:p w14:paraId="00D0BE37">
            <w:pPr>
              <w:pStyle w:val="223"/>
              <w:spacing w:before="110" w:line="228" w:lineRule="auto"/>
              <w:ind w:left="861"/>
              <w:rPr>
                <w:color w:val="auto"/>
              </w:rPr>
            </w:pPr>
            <w:r>
              <w:rPr>
                <w:color w:val="auto"/>
                <w:spacing w:val="8"/>
              </w:rPr>
              <w:t>手提式灭火器</w:t>
            </w:r>
          </w:p>
        </w:tc>
        <w:tc>
          <w:tcPr>
            <w:tcW w:w="2040" w:type="dxa"/>
            <w:noWrap w:val="0"/>
            <w:vAlign w:val="top"/>
          </w:tcPr>
          <w:p w14:paraId="4006EA7A">
            <w:pPr>
              <w:pStyle w:val="223"/>
              <w:spacing w:before="110" w:line="228" w:lineRule="auto"/>
              <w:ind w:left="187"/>
              <w:rPr>
                <w:color w:val="auto"/>
              </w:rPr>
            </w:pPr>
            <w:r>
              <w:rPr>
                <w:color w:val="auto"/>
                <w:spacing w:val="8"/>
              </w:rPr>
              <w:t>质保期满自行更新</w:t>
            </w:r>
          </w:p>
        </w:tc>
      </w:tr>
      <w:tr w14:paraId="2EC57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48" w:type="dxa"/>
            <w:vMerge w:val="continue"/>
            <w:tcBorders>
              <w:top w:val="nil"/>
              <w:bottom w:val="nil"/>
            </w:tcBorders>
            <w:noWrap w:val="0"/>
            <w:vAlign w:val="top"/>
          </w:tcPr>
          <w:p w14:paraId="0DF7B564">
            <w:pPr>
              <w:rPr>
                <w:rFonts w:ascii="Arial"/>
                <w:color w:val="auto"/>
                <w:sz w:val="21"/>
              </w:rPr>
            </w:pPr>
          </w:p>
        </w:tc>
        <w:tc>
          <w:tcPr>
            <w:tcW w:w="810" w:type="dxa"/>
            <w:vMerge w:val="continue"/>
            <w:noWrap w:val="0"/>
            <w:vAlign w:val="top"/>
          </w:tcPr>
          <w:p w14:paraId="2695DE95">
            <w:pPr>
              <w:rPr>
                <w:rFonts w:ascii="Arial"/>
                <w:color w:val="auto"/>
                <w:sz w:val="21"/>
              </w:rPr>
            </w:pPr>
          </w:p>
        </w:tc>
        <w:tc>
          <w:tcPr>
            <w:tcW w:w="1756" w:type="dxa"/>
            <w:vMerge w:val="continue"/>
            <w:noWrap w:val="0"/>
            <w:vAlign w:val="top"/>
          </w:tcPr>
          <w:p w14:paraId="5E668B60">
            <w:pPr>
              <w:rPr>
                <w:rFonts w:ascii="Arial"/>
                <w:color w:val="auto"/>
                <w:sz w:val="21"/>
              </w:rPr>
            </w:pPr>
          </w:p>
        </w:tc>
        <w:tc>
          <w:tcPr>
            <w:tcW w:w="2972" w:type="dxa"/>
            <w:noWrap w:val="0"/>
            <w:vAlign w:val="top"/>
          </w:tcPr>
          <w:p w14:paraId="2A4F4FCF">
            <w:pPr>
              <w:pStyle w:val="223"/>
              <w:spacing w:before="211" w:line="228" w:lineRule="auto"/>
              <w:ind w:left="1281"/>
              <w:rPr>
                <w:color w:val="auto"/>
              </w:rPr>
            </w:pPr>
            <w:r>
              <w:rPr>
                <w:color w:val="auto"/>
                <w:spacing w:val="4"/>
              </w:rPr>
              <w:t>轮胎</w:t>
            </w:r>
          </w:p>
        </w:tc>
        <w:tc>
          <w:tcPr>
            <w:tcW w:w="2040" w:type="dxa"/>
            <w:noWrap w:val="0"/>
            <w:vAlign w:val="top"/>
          </w:tcPr>
          <w:p w14:paraId="1B14839A">
            <w:pPr>
              <w:pStyle w:val="223"/>
              <w:spacing w:before="54" w:line="260" w:lineRule="auto"/>
              <w:ind w:left="293" w:right="125" w:hanging="155"/>
              <w:rPr>
                <w:color w:val="auto"/>
              </w:rPr>
            </w:pPr>
            <w:r>
              <w:rPr>
                <w:color w:val="auto"/>
                <w:spacing w:val="3"/>
              </w:rPr>
              <w:t>常规磨损不保修</w:t>
            </w:r>
            <w:r>
              <w:rPr>
                <w:color w:val="auto"/>
                <w:spacing w:val="-58"/>
              </w:rPr>
              <w:t xml:space="preserve"> </w:t>
            </w:r>
            <w:r>
              <w:rPr>
                <w:color w:val="auto"/>
                <w:spacing w:val="3"/>
              </w:rPr>
              <w:t>;异</w:t>
            </w:r>
            <w:r>
              <w:rPr>
                <w:color w:val="auto"/>
              </w:rPr>
              <w:t xml:space="preserve"> </w:t>
            </w:r>
            <w:r>
              <w:rPr>
                <w:color w:val="auto"/>
                <w:spacing w:val="7"/>
              </w:rPr>
              <w:t>常损坏质量索赔</w:t>
            </w:r>
          </w:p>
        </w:tc>
      </w:tr>
      <w:tr w14:paraId="4FFDA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948" w:type="dxa"/>
            <w:vMerge w:val="continue"/>
            <w:tcBorders>
              <w:top w:val="nil"/>
            </w:tcBorders>
            <w:noWrap w:val="0"/>
            <w:vAlign w:val="top"/>
          </w:tcPr>
          <w:p w14:paraId="6D8AB702">
            <w:pPr>
              <w:rPr>
                <w:rFonts w:ascii="Arial"/>
                <w:color w:val="auto"/>
                <w:sz w:val="21"/>
              </w:rPr>
            </w:pPr>
          </w:p>
        </w:tc>
        <w:tc>
          <w:tcPr>
            <w:tcW w:w="810" w:type="dxa"/>
            <w:vMerge w:val="continue"/>
            <w:noWrap w:val="0"/>
            <w:vAlign w:val="top"/>
          </w:tcPr>
          <w:p w14:paraId="6FD9501C">
            <w:pPr>
              <w:rPr>
                <w:rFonts w:ascii="Arial"/>
                <w:color w:val="auto"/>
                <w:sz w:val="21"/>
              </w:rPr>
            </w:pPr>
          </w:p>
        </w:tc>
        <w:tc>
          <w:tcPr>
            <w:tcW w:w="1756" w:type="dxa"/>
            <w:vMerge w:val="continue"/>
            <w:noWrap w:val="0"/>
            <w:vAlign w:val="top"/>
          </w:tcPr>
          <w:p w14:paraId="79EA1463">
            <w:pPr>
              <w:rPr>
                <w:rFonts w:ascii="Arial"/>
                <w:color w:val="auto"/>
                <w:sz w:val="21"/>
              </w:rPr>
            </w:pPr>
          </w:p>
        </w:tc>
        <w:tc>
          <w:tcPr>
            <w:tcW w:w="2972" w:type="dxa"/>
            <w:noWrap w:val="0"/>
            <w:vAlign w:val="top"/>
          </w:tcPr>
          <w:p w14:paraId="33BDCDDC">
            <w:pPr>
              <w:pStyle w:val="223"/>
              <w:spacing w:before="91" w:line="228" w:lineRule="auto"/>
              <w:ind w:left="1177"/>
              <w:rPr>
                <w:color w:val="auto"/>
              </w:rPr>
            </w:pPr>
            <w:r>
              <w:rPr>
                <w:color w:val="auto"/>
                <w:spacing w:val="7"/>
              </w:rPr>
              <w:t>橡胶件</w:t>
            </w:r>
          </w:p>
        </w:tc>
        <w:tc>
          <w:tcPr>
            <w:tcW w:w="2040" w:type="dxa"/>
            <w:noWrap w:val="0"/>
            <w:vAlign w:val="top"/>
          </w:tcPr>
          <w:p w14:paraId="70BEAD21">
            <w:pPr>
              <w:pStyle w:val="223"/>
              <w:spacing w:before="91" w:line="228" w:lineRule="auto"/>
              <w:ind w:left="294"/>
              <w:rPr>
                <w:color w:val="auto"/>
              </w:rPr>
            </w:pPr>
            <w:r>
              <w:rPr>
                <w:color w:val="auto"/>
                <w:spacing w:val="7"/>
              </w:rPr>
              <w:t>常规磨损不保修</w:t>
            </w:r>
          </w:p>
        </w:tc>
      </w:tr>
    </w:tbl>
    <w:p w14:paraId="6B9599BF">
      <w:pPr>
        <w:spacing w:before="172" w:line="230" w:lineRule="auto"/>
        <w:ind w:left="123"/>
        <w:rPr>
          <w:color w:val="auto"/>
          <w:kern w:val="44"/>
          <w:sz w:val="44"/>
          <w:szCs w:val="44"/>
          <w:highlight w:val="none"/>
        </w:rPr>
      </w:pPr>
      <w:r>
        <w:rPr>
          <w:rFonts w:ascii="宋体" w:hAnsi="宋体" w:eastAsia="宋体" w:cs="宋体"/>
          <w:color w:val="auto"/>
          <w:spacing w:val="2"/>
          <w:sz w:val="20"/>
          <w:szCs w:val="20"/>
        </w:rPr>
        <w:t>备注</w:t>
      </w:r>
      <w:r>
        <w:rPr>
          <w:rFonts w:ascii="宋体" w:hAnsi="宋体" w:eastAsia="宋体" w:cs="宋体"/>
          <w:color w:val="auto"/>
          <w:spacing w:val="-59"/>
          <w:sz w:val="20"/>
          <w:szCs w:val="20"/>
        </w:rPr>
        <w:t xml:space="preserve"> </w:t>
      </w:r>
      <w:r>
        <w:rPr>
          <w:rFonts w:ascii="宋体" w:hAnsi="宋体" w:eastAsia="宋体" w:cs="宋体"/>
          <w:color w:val="auto"/>
          <w:spacing w:val="2"/>
          <w:sz w:val="20"/>
          <w:szCs w:val="20"/>
        </w:rPr>
        <w:t>:</w:t>
      </w:r>
    </w:p>
    <w:p w14:paraId="1A125071">
      <w:pPr>
        <w:spacing w:before="192" w:line="228" w:lineRule="auto"/>
        <w:ind w:left="120"/>
        <w:rPr>
          <w:rFonts w:hint="eastAsia" w:ascii="宋体" w:hAnsi="宋体" w:eastAsia="宋体" w:cs="宋体"/>
          <w:color w:val="auto"/>
          <w:spacing w:val="8"/>
          <w:sz w:val="20"/>
          <w:szCs w:val="20"/>
          <w:highlight w:val="none"/>
          <w:lang w:eastAsia="zh-CN"/>
        </w:rPr>
      </w:pPr>
      <w:bookmarkStart w:id="111" w:name="_Toc397330521"/>
      <w:bookmarkStart w:id="112" w:name="_Toc263083265"/>
      <w:bookmarkStart w:id="113" w:name="_Toc29158565"/>
      <w:bookmarkStart w:id="114" w:name="_Toc97372533"/>
      <w:r>
        <w:rPr>
          <w:rFonts w:ascii="宋体" w:hAnsi="宋体" w:eastAsia="宋体" w:cs="宋体"/>
          <w:color w:val="auto"/>
          <w:spacing w:val="7"/>
          <w:sz w:val="20"/>
          <w:szCs w:val="20"/>
          <w:highlight w:val="none"/>
        </w:rPr>
        <w:t>1、</w:t>
      </w:r>
      <w:r>
        <w:rPr>
          <w:rFonts w:hint="eastAsia" w:ascii="宋体" w:hAnsi="宋体" w:eastAsia="宋体" w:cs="宋体"/>
          <w:color w:val="auto"/>
          <w:spacing w:val="8"/>
          <w:sz w:val="20"/>
          <w:szCs w:val="20"/>
          <w:highlight w:val="none"/>
        </w:rPr>
        <w:t>质保内容包括总成件</w:t>
      </w:r>
      <w:r>
        <w:rPr>
          <w:rFonts w:hint="eastAsia" w:ascii="宋体" w:hAnsi="宋体" w:cs="宋体"/>
          <w:color w:val="auto"/>
          <w:spacing w:val="8"/>
          <w:sz w:val="20"/>
          <w:szCs w:val="20"/>
          <w:highlight w:val="none"/>
          <w:lang w:eastAsia="zh-CN"/>
        </w:rPr>
        <w:t>（</w:t>
      </w:r>
      <w:r>
        <w:rPr>
          <w:rFonts w:hint="eastAsia" w:ascii="宋体" w:hAnsi="宋体" w:cs="宋体"/>
          <w:color w:val="auto"/>
          <w:spacing w:val="8"/>
          <w:sz w:val="20"/>
          <w:szCs w:val="20"/>
          <w:highlight w:val="none"/>
          <w:lang w:val="en-US" w:eastAsia="zh-CN"/>
        </w:rPr>
        <w:t>包括所有配件</w:t>
      </w:r>
      <w:r>
        <w:rPr>
          <w:rFonts w:hint="eastAsia" w:ascii="宋体" w:hAnsi="宋体" w:cs="宋体"/>
          <w:color w:val="auto"/>
          <w:spacing w:val="8"/>
          <w:sz w:val="20"/>
          <w:szCs w:val="20"/>
          <w:highlight w:val="none"/>
          <w:lang w:eastAsia="zh-CN"/>
        </w:rPr>
        <w:t>）</w:t>
      </w:r>
      <w:r>
        <w:rPr>
          <w:rFonts w:hint="eastAsia" w:ascii="宋体" w:hAnsi="宋体" w:eastAsia="宋体" w:cs="宋体"/>
          <w:color w:val="auto"/>
          <w:spacing w:val="8"/>
          <w:sz w:val="20"/>
          <w:szCs w:val="20"/>
          <w:highlight w:val="none"/>
        </w:rPr>
        <w:t>、所属配件、易损件及工时</w:t>
      </w:r>
      <w:r>
        <w:rPr>
          <w:rFonts w:hint="eastAsia" w:ascii="宋体" w:hAnsi="宋体" w:cs="宋体"/>
          <w:color w:val="auto"/>
          <w:spacing w:val="8"/>
          <w:sz w:val="20"/>
          <w:szCs w:val="20"/>
          <w:highlight w:val="none"/>
          <w:lang w:eastAsia="zh-CN"/>
        </w:rPr>
        <w:t>。</w:t>
      </w:r>
    </w:p>
    <w:p w14:paraId="2696AA34">
      <w:pPr>
        <w:spacing w:before="193" w:line="228" w:lineRule="auto"/>
        <w:ind w:left="136"/>
        <w:rPr>
          <w:rFonts w:ascii="宋体" w:hAnsi="宋体" w:eastAsia="宋体" w:cs="宋体"/>
          <w:color w:val="auto"/>
          <w:sz w:val="20"/>
          <w:szCs w:val="20"/>
          <w:highlight w:val="none"/>
        </w:rPr>
      </w:pPr>
      <w:r>
        <w:rPr>
          <w:rFonts w:hint="eastAsia" w:ascii="宋体" w:hAnsi="宋体" w:cs="宋体"/>
          <w:color w:val="auto"/>
          <w:spacing w:val="7"/>
          <w:sz w:val="20"/>
          <w:szCs w:val="20"/>
          <w:highlight w:val="none"/>
          <w:lang w:val="en-US" w:eastAsia="zh-CN"/>
        </w:rPr>
        <w:t>2、</w:t>
      </w:r>
      <w:r>
        <w:rPr>
          <w:rFonts w:ascii="宋体" w:hAnsi="宋体" w:eastAsia="宋体" w:cs="宋体"/>
          <w:color w:val="auto"/>
          <w:spacing w:val="7"/>
          <w:sz w:val="20"/>
          <w:szCs w:val="20"/>
          <w:highlight w:val="none"/>
        </w:rPr>
        <w:t>表中未列出的车辆其它总成及零件的</w:t>
      </w:r>
      <w:r>
        <w:rPr>
          <w:rFonts w:ascii="宋体" w:hAnsi="宋体" w:eastAsia="宋体" w:cs="宋体"/>
          <w:color w:val="auto"/>
          <w:spacing w:val="6"/>
          <w:sz w:val="20"/>
          <w:szCs w:val="20"/>
          <w:highlight w:val="none"/>
        </w:rPr>
        <w:t>保修期，</w:t>
      </w:r>
      <w:r>
        <w:rPr>
          <w:rFonts w:ascii="宋体" w:hAnsi="宋体" w:eastAsia="宋体" w:cs="宋体"/>
          <w:color w:val="auto"/>
          <w:spacing w:val="-50"/>
          <w:sz w:val="20"/>
          <w:szCs w:val="20"/>
          <w:highlight w:val="none"/>
        </w:rPr>
        <w:t xml:space="preserve"> </w:t>
      </w:r>
      <w:r>
        <w:rPr>
          <w:rFonts w:ascii="宋体" w:hAnsi="宋体" w:eastAsia="宋体" w:cs="宋体"/>
          <w:color w:val="auto"/>
          <w:spacing w:val="6"/>
          <w:sz w:val="20"/>
          <w:szCs w:val="20"/>
          <w:highlight w:val="none"/>
        </w:rPr>
        <w:t>自车辆验收合格之日起</w:t>
      </w:r>
      <w:r>
        <w:rPr>
          <w:rFonts w:ascii="宋体" w:hAnsi="宋体" w:eastAsia="宋体" w:cs="宋体"/>
          <w:color w:val="auto"/>
          <w:spacing w:val="-33"/>
          <w:sz w:val="20"/>
          <w:szCs w:val="20"/>
          <w:highlight w:val="none"/>
        </w:rPr>
        <w:t xml:space="preserve"> </w:t>
      </w:r>
      <w:r>
        <w:rPr>
          <w:rFonts w:ascii="宋体" w:hAnsi="宋体" w:eastAsia="宋体" w:cs="宋体"/>
          <w:color w:val="auto"/>
          <w:spacing w:val="6"/>
          <w:sz w:val="20"/>
          <w:szCs w:val="20"/>
          <w:highlight w:val="none"/>
        </w:rPr>
        <w:t>3</w:t>
      </w:r>
      <w:r>
        <w:rPr>
          <w:rFonts w:ascii="宋体" w:hAnsi="宋体" w:eastAsia="宋体" w:cs="宋体"/>
          <w:color w:val="auto"/>
          <w:spacing w:val="-39"/>
          <w:sz w:val="20"/>
          <w:szCs w:val="20"/>
          <w:highlight w:val="none"/>
        </w:rPr>
        <w:t xml:space="preserve"> </w:t>
      </w:r>
      <w:r>
        <w:rPr>
          <w:rFonts w:ascii="宋体" w:hAnsi="宋体" w:eastAsia="宋体" w:cs="宋体"/>
          <w:color w:val="auto"/>
          <w:spacing w:val="6"/>
          <w:sz w:val="20"/>
          <w:szCs w:val="20"/>
          <w:highlight w:val="none"/>
        </w:rPr>
        <w:t>年。</w:t>
      </w:r>
    </w:p>
    <w:p w14:paraId="6A96B71B">
      <w:pPr>
        <w:spacing w:before="191" w:line="317" w:lineRule="auto"/>
        <w:ind w:left="121" w:right="114" w:firstLine="1"/>
        <w:rPr>
          <w:rFonts w:ascii="宋体" w:hAnsi="宋体" w:eastAsia="宋体" w:cs="宋体"/>
          <w:color w:val="auto"/>
          <w:spacing w:val="5"/>
          <w:sz w:val="20"/>
          <w:szCs w:val="20"/>
          <w:highlight w:val="none"/>
        </w:rPr>
      </w:pPr>
      <w:r>
        <w:rPr>
          <w:rFonts w:hint="eastAsia" w:ascii="宋体" w:hAnsi="宋体" w:cs="宋体"/>
          <w:color w:val="auto"/>
          <w:spacing w:val="7"/>
          <w:sz w:val="20"/>
          <w:szCs w:val="20"/>
          <w:highlight w:val="none"/>
          <w:lang w:val="en-US" w:eastAsia="zh-CN"/>
        </w:rPr>
        <w:t>3</w:t>
      </w:r>
      <w:r>
        <w:rPr>
          <w:rFonts w:ascii="宋体" w:hAnsi="宋体" w:eastAsia="宋体" w:cs="宋体"/>
          <w:color w:val="auto"/>
          <w:spacing w:val="7"/>
          <w:sz w:val="20"/>
          <w:szCs w:val="20"/>
          <w:highlight w:val="none"/>
        </w:rPr>
        <w:t>、 投标单位响应延长整车</w:t>
      </w:r>
      <w:r>
        <w:rPr>
          <w:rFonts w:hint="eastAsia" w:ascii="宋体" w:hAnsi="宋体" w:cs="宋体"/>
          <w:color w:val="auto"/>
          <w:spacing w:val="7"/>
          <w:sz w:val="20"/>
          <w:szCs w:val="20"/>
          <w:highlight w:val="none"/>
          <w:lang w:val="en-US" w:eastAsia="zh-CN"/>
        </w:rPr>
        <w:t>或部分总成</w:t>
      </w:r>
      <w:r>
        <w:rPr>
          <w:rFonts w:ascii="宋体" w:hAnsi="宋体" w:eastAsia="宋体" w:cs="宋体"/>
          <w:color w:val="auto"/>
          <w:spacing w:val="7"/>
          <w:sz w:val="20"/>
          <w:szCs w:val="20"/>
          <w:highlight w:val="none"/>
        </w:rPr>
        <w:t>质保期的，按响应</w:t>
      </w:r>
      <w:r>
        <w:rPr>
          <w:rFonts w:ascii="宋体" w:hAnsi="宋体" w:eastAsia="宋体" w:cs="宋体"/>
          <w:color w:val="auto"/>
          <w:spacing w:val="5"/>
          <w:sz w:val="20"/>
          <w:szCs w:val="20"/>
          <w:highlight w:val="none"/>
        </w:rPr>
        <w:t>年限执行。</w:t>
      </w:r>
    </w:p>
    <w:p w14:paraId="46A4E0D7">
      <w:pPr>
        <w:spacing w:before="192" w:line="228" w:lineRule="auto"/>
        <w:ind w:left="120"/>
        <w:rPr>
          <w:rFonts w:ascii="宋体" w:hAnsi="宋体" w:eastAsia="宋体" w:cs="宋体"/>
          <w:color w:val="auto"/>
          <w:spacing w:val="8"/>
          <w:sz w:val="20"/>
          <w:szCs w:val="20"/>
          <w:highlight w:val="none"/>
        </w:rPr>
      </w:pPr>
      <w:r>
        <w:rPr>
          <w:rFonts w:hint="eastAsia" w:ascii="宋体" w:hAnsi="宋体" w:cs="宋体"/>
          <w:color w:val="auto"/>
          <w:spacing w:val="8"/>
          <w:sz w:val="20"/>
          <w:szCs w:val="20"/>
          <w:highlight w:val="none"/>
          <w:lang w:val="en-US" w:eastAsia="zh-CN"/>
        </w:rPr>
        <w:t>4</w:t>
      </w:r>
      <w:r>
        <w:rPr>
          <w:rFonts w:ascii="宋体" w:hAnsi="宋体" w:eastAsia="宋体" w:cs="宋体"/>
          <w:color w:val="auto"/>
          <w:spacing w:val="8"/>
          <w:sz w:val="20"/>
          <w:szCs w:val="20"/>
          <w:highlight w:val="none"/>
        </w:rPr>
        <w:t>、</w:t>
      </w:r>
      <w:r>
        <w:rPr>
          <w:rFonts w:ascii="宋体" w:hAnsi="宋体" w:eastAsia="宋体" w:cs="宋体"/>
          <w:color w:val="auto"/>
          <w:spacing w:val="-39"/>
          <w:sz w:val="20"/>
          <w:szCs w:val="20"/>
          <w:highlight w:val="none"/>
        </w:rPr>
        <w:t xml:space="preserve"> </w:t>
      </w:r>
      <w:r>
        <w:rPr>
          <w:rFonts w:ascii="宋体" w:hAnsi="宋体" w:eastAsia="宋体" w:cs="宋体"/>
          <w:color w:val="auto"/>
          <w:spacing w:val="8"/>
          <w:sz w:val="20"/>
          <w:szCs w:val="20"/>
          <w:highlight w:val="none"/>
        </w:rPr>
        <w:t>保修期限自车辆验收合格之日起开始执行。</w:t>
      </w:r>
    </w:p>
    <w:p w14:paraId="36B6EF67">
      <w:pPr>
        <w:adjustRightInd w:val="0"/>
        <w:snapToGrid w:val="0"/>
        <w:spacing w:line="360" w:lineRule="auto"/>
        <w:contextualSpacing/>
        <w:rPr>
          <w:rFonts w:ascii="宋体" w:hAnsi="宋体"/>
          <w:color w:val="auto"/>
          <w:szCs w:val="21"/>
          <w:highlight w:val="none"/>
        </w:rPr>
        <w:sectPr>
          <w:pgSz w:w="11907" w:h="16840"/>
          <w:pgMar w:top="1304" w:right="1588" w:bottom="1304" w:left="1588" w:header="720" w:footer="720" w:gutter="0"/>
          <w:pgNumType w:fmt="decimal"/>
          <w:cols w:space="720" w:num="1"/>
          <w:titlePg/>
          <w:docGrid w:linePitch="285" w:charSpace="0"/>
        </w:sectPr>
      </w:pPr>
    </w:p>
    <w:bookmarkEnd w:id="111"/>
    <w:p w14:paraId="1C2952E1">
      <w:pPr>
        <w:rPr>
          <w:color w:val="auto"/>
          <w:kern w:val="44"/>
          <w:highlight w:val="none"/>
        </w:rPr>
      </w:pPr>
      <w:bookmarkStart w:id="115" w:name="_Toc435088080"/>
    </w:p>
    <w:p w14:paraId="5E8A9980">
      <w:pPr>
        <w:pStyle w:val="41"/>
        <w:spacing w:after="240"/>
        <w:rPr>
          <w:rFonts w:ascii="Times New Roman" w:hAnsi="Times New Roman"/>
          <w:color w:val="auto"/>
          <w:kern w:val="44"/>
          <w:highlight w:val="none"/>
        </w:rPr>
      </w:pPr>
      <w:r>
        <w:rPr>
          <w:rFonts w:ascii="Times New Roman" w:hAnsi="Times New Roman"/>
          <w:color w:val="auto"/>
          <w:kern w:val="44"/>
          <w:highlight w:val="none"/>
        </w:rPr>
        <w:t>第</w:t>
      </w:r>
      <w:r>
        <w:rPr>
          <w:rFonts w:hint="eastAsia" w:ascii="Times New Roman" w:hAnsi="Times New Roman"/>
          <w:color w:val="auto"/>
          <w:kern w:val="44"/>
          <w:highlight w:val="none"/>
        </w:rPr>
        <w:t>六</w:t>
      </w:r>
      <w:r>
        <w:rPr>
          <w:rFonts w:ascii="Times New Roman" w:hAnsi="Times New Roman"/>
          <w:color w:val="auto"/>
          <w:kern w:val="44"/>
          <w:highlight w:val="none"/>
        </w:rPr>
        <w:t>部分拟签订的合同</w:t>
      </w:r>
    </w:p>
    <w:p w14:paraId="6AAFD71C">
      <w:pPr>
        <w:tabs>
          <w:tab w:val="left" w:pos="6120"/>
        </w:tabs>
        <w:spacing w:line="360" w:lineRule="auto"/>
        <w:ind w:right="483" w:firstLine="315" w:firstLineChars="150"/>
        <w:jc w:val="left"/>
        <w:rPr>
          <w:rFonts w:ascii="宋体" w:hAnsi="宋体"/>
          <w:color w:val="auto"/>
          <w:szCs w:val="21"/>
          <w:highlight w:val="none"/>
        </w:rPr>
      </w:pPr>
      <w:r>
        <w:rPr>
          <w:rFonts w:hint="eastAsia"/>
          <w:color w:val="auto"/>
          <w:szCs w:val="24"/>
          <w:highlight w:val="none"/>
        </w:rPr>
        <w:t>（投标供应商</w:t>
      </w:r>
      <w:r>
        <w:rPr>
          <w:rFonts w:hint="eastAsia" w:ascii="宋体" w:hAnsi="宋体" w:cs="Arial"/>
          <w:color w:val="auto"/>
          <w:kern w:val="0"/>
          <w:szCs w:val="21"/>
          <w:highlight w:val="none"/>
        </w:rPr>
        <w:t>为代理商的，提供的制造商针对本项目的唯一授权函范围仅限本次采购的货物标的，后续的技术协议等由采购人和制造商协商签订。）</w:t>
      </w:r>
    </w:p>
    <w:p w14:paraId="483377A5">
      <w:pPr>
        <w:tabs>
          <w:tab w:val="left" w:pos="6120"/>
        </w:tabs>
        <w:spacing w:line="360" w:lineRule="auto"/>
        <w:ind w:right="483" w:firstLine="315" w:firstLineChars="150"/>
        <w:jc w:val="left"/>
        <w:rPr>
          <w:rFonts w:ascii="宋体" w:hAnsi="宋体"/>
          <w:color w:val="auto"/>
          <w:szCs w:val="21"/>
          <w:highlight w:val="none"/>
        </w:rPr>
      </w:pPr>
    </w:p>
    <w:p w14:paraId="036AB152">
      <w:pPr>
        <w:tabs>
          <w:tab w:val="left" w:pos="6120"/>
        </w:tabs>
        <w:spacing w:line="360" w:lineRule="auto"/>
        <w:ind w:right="483" w:firstLine="315" w:firstLineChars="150"/>
        <w:jc w:val="left"/>
        <w:rPr>
          <w:rFonts w:ascii="宋体" w:hAnsi="宋体"/>
          <w:color w:val="auto"/>
          <w:szCs w:val="21"/>
          <w:highlight w:val="none"/>
          <w:u w:val="single"/>
        </w:rPr>
      </w:pPr>
      <w:r>
        <w:rPr>
          <w:rFonts w:hint="eastAsia" w:ascii="宋体" w:hAnsi="宋体"/>
          <w:color w:val="auto"/>
          <w:szCs w:val="21"/>
          <w:highlight w:val="none"/>
        </w:rPr>
        <w:t>甲方：                 合同编号：</w:t>
      </w:r>
    </w:p>
    <w:p w14:paraId="5AE1081E">
      <w:pPr>
        <w:tabs>
          <w:tab w:val="left" w:pos="6120"/>
        </w:tabs>
        <w:spacing w:line="360" w:lineRule="auto"/>
        <w:ind w:right="483" w:firstLine="315" w:firstLineChars="150"/>
        <w:rPr>
          <w:rFonts w:ascii="宋体" w:hAnsi="宋体"/>
          <w:color w:val="auto"/>
          <w:szCs w:val="21"/>
          <w:highlight w:val="none"/>
          <w:u w:val="single"/>
        </w:rPr>
      </w:pPr>
      <w:r>
        <w:rPr>
          <w:rFonts w:hint="eastAsia" w:ascii="宋体" w:hAnsi="宋体"/>
          <w:color w:val="auto"/>
          <w:szCs w:val="21"/>
          <w:highlight w:val="none"/>
        </w:rPr>
        <w:t>乙方：                 签订时间：</w:t>
      </w:r>
    </w:p>
    <w:p w14:paraId="67D6B76B">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合同相关方就下列货物的买卖协商一致，订立以下条款共同遵守。</w:t>
      </w:r>
    </w:p>
    <w:p w14:paraId="2896951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一、商品情况：</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260"/>
        <w:gridCol w:w="1080"/>
        <w:gridCol w:w="1492"/>
        <w:gridCol w:w="1260"/>
        <w:gridCol w:w="1595"/>
      </w:tblGrid>
      <w:tr w14:paraId="0623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900" w:type="dxa"/>
            <w:vAlign w:val="center"/>
          </w:tcPr>
          <w:p w14:paraId="74587702">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080" w:type="dxa"/>
            <w:vAlign w:val="center"/>
          </w:tcPr>
          <w:p w14:paraId="1C210E60">
            <w:pPr>
              <w:spacing w:line="360" w:lineRule="auto"/>
              <w:jc w:val="center"/>
              <w:rPr>
                <w:rFonts w:ascii="宋体" w:hAnsi="宋体"/>
                <w:color w:val="auto"/>
                <w:szCs w:val="21"/>
                <w:highlight w:val="none"/>
              </w:rPr>
            </w:pPr>
            <w:r>
              <w:rPr>
                <w:rFonts w:hint="eastAsia" w:ascii="宋体" w:hAnsi="宋体"/>
                <w:color w:val="auto"/>
                <w:szCs w:val="21"/>
                <w:highlight w:val="none"/>
              </w:rPr>
              <w:t>品 名</w:t>
            </w:r>
          </w:p>
        </w:tc>
        <w:tc>
          <w:tcPr>
            <w:tcW w:w="1260" w:type="dxa"/>
            <w:vAlign w:val="center"/>
          </w:tcPr>
          <w:p w14:paraId="012660A7">
            <w:pPr>
              <w:spacing w:line="360" w:lineRule="auto"/>
              <w:jc w:val="center"/>
              <w:rPr>
                <w:rFonts w:ascii="宋体" w:hAnsi="宋体"/>
                <w:color w:val="auto"/>
                <w:szCs w:val="21"/>
                <w:highlight w:val="none"/>
              </w:rPr>
            </w:pPr>
            <w:r>
              <w:rPr>
                <w:rFonts w:hint="eastAsia" w:ascii="宋体" w:hAnsi="宋体"/>
                <w:color w:val="auto"/>
                <w:szCs w:val="21"/>
                <w:highlight w:val="none"/>
              </w:rPr>
              <w:t>车辆型号</w:t>
            </w:r>
          </w:p>
        </w:tc>
        <w:tc>
          <w:tcPr>
            <w:tcW w:w="1080" w:type="dxa"/>
            <w:vAlign w:val="center"/>
          </w:tcPr>
          <w:p w14:paraId="1792E153">
            <w:pPr>
              <w:spacing w:line="360" w:lineRule="auto"/>
              <w:jc w:val="center"/>
              <w:rPr>
                <w:rFonts w:ascii="宋体" w:hAnsi="宋体"/>
                <w:color w:val="auto"/>
                <w:szCs w:val="21"/>
                <w:highlight w:val="none"/>
              </w:rPr>
            </w:pPr>
            <w:r>
              <w:rPr>
                <w:rFonts w:hint="eastAsia" w:ascii="宋体" w:hAnsi="宋体"/>
                <w:color w:val="auto"/>
                <w:szCs w:val="21"/>
                <w:highlight w:val="none"/>
              </w:rPr>
              <w:t>数量(辆)</w:t>
            </w:r>
          </w:p>
        </w:tc>
        <w:tc>
          <w:tcPr>
            <w:tcW w:w="1492" w:type="dxa"/>
            <w:vAlign w:val="center"/>
          </w:tcPr>
          <w:p w14:paraId="029F064A">
            <w:pPr>
              <w:spacing w:line="360" w:lineRule="auto"/>
              <w:jc w:val="center"/>
              <w:rPr>
                <w:rFonts w:ascii="宋体" w:hAnsi="宋体"/>
                <w:color w:val="auto"/>
                <w:szCs w:val="21"/>
                <w:highlight w:val="none"/>
              </w:rPr>
            </w:pPr>
            <w:r>
              <w:rPr>
                <w:rFonts w:hint="eastAsia" w:ascii="宋体" w:hAnsi="宋体"/>
                <w:color w:val="auto"/>
                <w:szCs w:val="21"/>
                <w:highlight w:val="none"/>
              </w:rPr>
              <w:t>单价（元/辆）</w:t>
            </w:r>
          </w:p>
        </w:tc>
        <w:tc>
          <w:tcPr>
            <w:tcW w:w="1260" w:type="dxa"/>
            <w:vAlign w:val="center"/>
          </w:tcPr>
          <w:p w14:paraId="6CF1B22B">
            <w:pPr>
              <w:spacing w:line="360" w:lineRule="auto"/>
              <w:jc w:val="center"/>
              <w:rPr>
                <w:rFonts w:ascii="宋体" w:hAnsi="宋体"/>
                <w:color w:val="auto"/>
                <w:szCs w:val="21"/>
                <w:highlight w:val="none"/>
              </w:rPr>
            </w:pPr>
            <w:r>
              <w:rPr>
                <w:rFonts w:hint="eastAsia" w:ascii="宋体" w:hAnsi="宋体"/>
                <w:color w:val="auto"/>
                <w:szCs w:val="21"/>
                <w:highlight w:val="none"/>
              </w:rPr>
              <w:t>总价（元）</w:t>
            </w:r>
          </w:p>
        </w:tc>
        <w:tc>
          <w:tcPr>
            <w:tcW w:w="1595" w:type="dxa"/>
            <w:vAlign w:val="center"/>
          </w:tcPr>
          <w:p w14:paraId="715FC55A">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1A64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900" w:type="dxa"/>
            <w:vAlign w:val="center"/>
          </w:tcPr>
          <w:p w14:paraId="1EAD0408">
            <w:pPr>
              <w:spacing w:line="360" w:lineRule="auto"/>
              <w:jc w:val="center"/>
              <w:rPr>
                <w:rFonts w:ascii="宋体" w:hAnsi="宋体"/>
                <w:color w:val="auto"/>
                <w:szCs w:val="21"/>
                <w:highlight w:val="none"/>
              </w:rPr>
            </w:pPr>
          </w:p>
        </w:tc>
        <w:tc>
          <w:tcPr>
            <w:tcW w:w="1080" w:type="dxa"/>
            <w:vAlign w:val="center"/>
          </w:tcPr>
          <w:p w14:paraId="45BB381B">
            <w:pPr>
              <w:spacing w:line="360" w:lineRule="auto"/>
              <w:jc w:val="center"/>
              <w:rPr>
                <w:rFonts w:ascii="宋体" w:hAnsi="宋体"/>
                <w:color w:val="auto"/>
                <w:szCs w:val="21"/>
                <w:highlight w:val="none"/>
              </w:rPr>
            </w:pPr>
          </w:p>
        </w:tc>
        <w:tc>
          <w:tcPr>
            <w:tcW w:w="1260" w:type="dxa"/>
            <w:vAlign w:val="center"/>
          </w:tcPr>
          <w:p w14:paraId="1C62C890">
            <w:pPr>
              <w:spacing w:line="360" w:lineRule="auto"/>
              <w:jc w:val="center"/>
              <w:rPr>
                <w:rFonts w:ascii="宋体" w:hAnsi="宋体"/>
                <w:color w:val="auto"/>
                <w:szCs w:val="21"/>
                <w:highlight w:val="none"/>
              </w:rPr>
            </w:pPr>
          </w:p>
        </w:tc>
        <w:tc>
          <w:tcPr>
            <w:tcW w:w="1080" w:type="dxa"/>
            <w:vAlign w:val="center"/>
          </w:tcPr>
          <w:p w14:paraId="33384D52">
            <w:pPr>
              <w:spacing w:line="360" w:lineRule="auto"/>
              <w:jc w:val="center"/>
              <w:rPr>
                <w:rFonts w:ascii="宋体" w:hAnsi="宋体"/>
                <w:color w:val="auto"/>
                <w:szCs w:val="21"/>
                <w:highlight w:val="none"/>
              </w:rPr>
            </w:pPr>
          </w:p>
        </w:tc>
        <w:tc>
          <w:tcPr>
            <w:tcW w:w="1492" w:type="dxa"/>
            <w:vAlign w:val="center"/>
          </w:tcPr>
          <w:p w14:paraId="062AE816">
            <w:pPr>
              <w:spacing w:line="360" w:lineRule="auto"/>
              <w:jc w:val="center"/>
              <w:rPr>
                <w:rFonts w:ascii="宋体" w:hAnsi="宋体"/>
                <w:color w:val="auto"/>
                <w:szCs w:val="21"/>
                <w:highlight w:val="none"/>
              </w:rPr>
            </w:pPr>
          </w:p>
        </w:tc>
        <w:tc>
          <w:tcPr>
            <w:tcW w:w="1260" w:type="dxa"/>
            <w:vAlign w:val="center"/>
          </w:tcPr>
          <w:p w14:paraId="29A9BAAC">
            <w:pPr>
              <w:spacing w:line="360" w:lineRule="auto"/>
              <w:jc w:val="center"/>
              <w:rPr>
                <w:rFonts w:ascii="宋体" w:hAnsi="宋体"/>
                <w:color w:val="auto"/>
                <w:szCs w:val="21"/>
                <w:highlight w:val="none"/>
              </w:rPr>
            </w:pPr>
          </w:p>
        </w:tc>
        <w:tc>
          <w:tcPr>
            <w:tcW w:w="1595" w:type="dxa"/>
            <w:vAlign w:val="center"/>
          </w:tcPr>
          <w:p w14:paraId="325D5923">
            <w:pPr>
              <w:spacing w:line="360" w:lineRule="auto"/>
              <w:rPr>
                <w:rFonts w:ascii="宋体" w:hAnsi="宋体"/>
                <w:color w:val="auto"/>
                <w:szCs w:val="21"/>
                <w:highlight w:val="none"/>
              </w:rPr>
            </w:pPr>
          </w:p>
        </w:tc>
      </w:tr>
      <w:tr w14:paraId="1A87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240" w:type="dxa"/>
            <w:gridSpan w:val="3"/>
            <w:vAlign w:val="center"/>
          </w:tcPr>
          <w:p w14:paraId="46C0FBB7">
            <w:pPr>
              <w:spacing w:line="360" w:lineRule="auto"/>
              <w:jc w:val="center"/>
              <w:rPr>
                <w:rFonts w:ascii="宋体" w:hAnsi="宋体"/>
                <w:color w:val="auto"/>
                <w:szCs w:val="21"/>
                <w:highlight w:val="none"/>
              </w:rPr>
            </w:pPr>
            <w:r>
              <w:rPr>
                <w:rFonts w:hint="eastAsia" w:ascii="宋体" w:hAnsi="宋体"/>
                <w:color w:val="auto"/>
                <w:szCs w:val="21"/>
                <w:highlight w:val="none"/>
              </w:rPr>
              <w:t>合计金额（大写）</w:t>
            </w:r>
          </w:p>
        </w:tc>
        <w:tc>
          <w:tcPr>
            <w:tcW w:w="5427" w:type="dxa"/>
            <w:gridSpan w:val="4"/>
            <w:vAlign w:val="center"/>
          </w:tcPr>
          <w:p w14:paraId="77168536">
            <w:pPr>
              <w:spacing w:line="360" w:lineRule="auto"/>
              <w:rPr>
                <w:rFonts w:ascii="宋体" w:hAnsi="宋体"/>
                <w:color w:val="auto"/>
                <w:szCs w:val="21"/>
                <w:highlight w:val="none"/>
              </w:rPr>
            </w:pPr>
          </w:p>
        </w:tc>
      </w:tr>
    </w:tbl>
    <w:p w14:paraId="185D9412">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二、质量要求、技术标准：</w:t>
      </w:r>
      <w:r>
        <w:rPr>
          <w:rFonts w:hint="eastAsia" w:ascii="宋体" w:hAnsi="宋体"/>
          <w:color w:val="auto"/>
          <w:szCs w:val="21"/>
          <w:highlight w:val="none"/>
          <w:u w:val="single"/>
        </w:rPr>
        <w:t xml:space="preserve"> 按企业制造标准出厂，符合国家法规要求 。</w:t>
      </w:r>
    </w:p>
    <w:p w14:paraId="2A31216D">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三、交货时间、地点、方式：</w:t>
      </w:r>
      <w:r>
        <w:rPr>
          <w:rFonts w:hint="eastAsia" w:ascii="宋体" w:hAnsi="宋体"/>
          <w:color w:val="auto"/>
          <w:szCs w:val="21"/>
          <w:highlight w:val="none"/>
          <w:u w:val="single"/>
        </w:rPr>
        <w:t xml:space="preserve">     年   月  日前交    辆车，由乙方上完牌后送达甲方指定地点。</w:t>
      </w:r>
    </w:p>
    <w:p w14:paraId="3EFA13B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四、运输方式及费用负担：</w:t>
      </w:r>
      <w:r>
        <w:rPr>
          <w:rFonts w:hint="eastAsia" w:ascii="宋体" w:hAnsi="宋体"/>
          <w:color w:val="auto"/>
          <w:szCs w:val="21"/>
          <w:highlight w:val="none"/>
          <w:u w:val="single"/>
        </w:rPr>
        <w:t>运输方式由乙方自选，费用由乙方负担。</w:t>
      </w:r>
    </w:p>
    <w:p w14:paraId="57999B55">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五、合理损耗及计算方法：</w:t>
      </w:r>
      <w:r>
        <w:rPr>
          <w:rFonts w:hint="eastAsia" w:ascii="宋体" w:hAnsi="宋体"/>
          <w:color w:val="auto"/>
          <w:szCs w:val="21"/>
          <w:highlight w:val="none"/>
          <w:u w:val="single"/>
        </w:rPr>
        <w:t xml:space="preserve">无损耗。 </w:t>
      </w:r>
    </w:p>
    <w:p w14:paraId="035843B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六、包装标准、包装物的供应与回收：</w:t>
      </w:r>
      <w:r>
        <w:rPr>
          <w:rFonts w:hint="eastAsia" w:ascii="宋体" w:hAnsi="宋体"/>
          <w:color w:val="auto"/>
          <w:szCs w:val="21"/>
          <w:highlight w:val="none"/>
          <w:u w:val="single"/>
        </w:rPr>
        <w:t xml:space="preserve">  无包装。</w:t>
      </w:r>
    </w:p>
    <w:p w14:paraId="361B457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七、验收：</w:t>
      </w:r>
      <w:r>
        <w:rPr>
          <w:color w:val="auto"/>
          <w:szCs w:val="21"/>
          <w:highlight w:val="none"/>
        </w:rPr>
        <w:t>供</w:t>
      </w:r>
      <w:r>
        <w:rPr>
          <w:rFonts w:ascii="宋体" w:hAnsi="宋体"/>
          <w:color w:val="auto"/>
          <w:szCs w:val="21"/>
          <w:highlight w:val="none"/>
        </w:rPr>
        <w:t>应方交货时，经使用方外观等验收及上牌检测，空调客车符合GB7258-2012《机动车运行安全技术条件》并能正常使用（空调、暖风系统须符合《</w:t>
      </w:r>
      <w:r>
        <w:rPr>
          <w:rFonts w:hint="eastAsia" w:ascii="宋体" w:hAnsi="宋体"/>
          <w:color w:val="auto"/>
          <w:szCs w:val="21"/>
          <w:highlight w:val="none"/>
        </w:rPr>
        <w:t>客车空调系统技术条件》要求</w:t>
      </w:r>
      <w:r>
        <w:rPr>
          <w:color w:val="auto"/>
          <w:szCs w:val="21"/>
          <w:highlight w:val="none"/>
        </w:rPr>
        <w:t>）。双方办理交接手续。</w:t>
      </w:r>
    </w:p>
    <w:p w14:paraId="73A6E3E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八、随机备品、配件、工具数量及供应方法：</w:t>
      </w:r>
      <w:r>
        <w:rPr>
          <w:rFonts w:hint="eastAsia" w:ascii="宋体" w:hAnsi="宋体"/>
          <w:color w:val="auto"/>
          <w:szCs w:val="21"/>
          <w:highlight w:val="none"/>
          <w:u w:val="single"/>
        </w:rPr>
        <w:t xml:space="preserve"> 随车配备技术文件壹套、随车工具壹套</w:t>
      </w:r>
      <w:r>
        <w:rPr>
          <w:rFonts w:hint="eastAsia" w:ascii="宋体" w:hAnsi="宋体"/>
          <w:color w:val="auto"/>
          <w:szCs w:val="21"/>
          <w:highlight w:val="none"/>
        </w:rPr>
        <w:t>。</w:t>
      </w:r>
    </w:p>
    <w:p w14:paraId="116069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九、结算方式及期限：</w:t>
      </w:r>
    </w:p>
    <w:p w14:paraId="28184557">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乙方</w:t>
      </w:r>
      <w:r>
        <w:rPr>
          <w:rFonts w:ascii="宋体" w:hAnsi="宋体"/>
          <w:color w:val="auto"/>
          <w:szCs w:val="21"/>
          <w:highlight w:val="none"/>
        </w:rPr>
        <w:t>随货提交车辆的全额购车发票</w:t>
      </w:r>
      <w:r>
        <w:rPr>
          <w:rFonts w:hint="eastAsia" w:ascii="宋体" w:hAnsi="宋体"/>
          <w:color w:val="auto"/>
          <w:szCs w:val="21"/>
          <w:highlight w:val="none"/>
        </w:rPr>
        <w:t>，甲方</w:t>
      </w:r>
      <w:r>
        <w:rPr>
          <w:rFonts w:ascii="宋体" w:hAnsi="宋体"/>
          <w:color w:val="auto"/>
          <w:szCs w:val="21"/>
          <w:highlight w:val="none"/>
        </w:rPr>
        <w:t>在货到验收合格上牌后</w:t>
      </w:r>
      <w:r>
        <w:rPr>
          <w:rFonts w:hint="eastAsia" w:ascii="宋体" w:hAnsi="宋体"/>
          <w:color w:val="auto"/>
          <w:szCs w:val="21"/>
          <w:highlight w:val="none"/>
        </w:rPr>
        <w:t>10个工作日内支付合同结算价的30%</w:t>
      </w:r>
      <w:r>
        <w:rPr>
          <w:rFonts w:ascii="宋体" w:hAnsi="宋体"/>
          <w:color w:val="auto"/>
          <w:szCs w:val="21"/>
          <w:highlight w:val="none"/>
        </w:rPr>
        <w:t>；使用</w:t>
      </w:r>
      <w:r>
        <w:rPr>
          <w:rFonts w:hint="eastAsia" w:ascii="宋体" w:hAnsi="宋体"/>
          <w:color w:val="auto"/>
          <w:szCs w:val="21"/>
          <w:highlight w:val="none"/>
        </w:rPr>
        <w:t>叁个</w:t>
      </w:r>
      <w:r>
        <w:rPr>
          <w:rFonts w:ascii="宋体" w:hAnsi="宋体"/>
          <w:color w:val="auto"/>
          <w:szCs w:val="21"/>
          <w:highlight w:val="none"/>
        </w:rPr>
        <w:t>月后车辆磨合期无重大质量问题</w:t>
      </w:r>
      <w:r>
        <w:rPr>
          <w:rFonts w:hint="eastAsia" w:ascii="宋体" w:hAnsi="宋体"/>
          <w:color w:val="auto"/>
          <w:szCs w:val="21"/>
          <w:highlight w:val="none"/>
        </w:rPr>
        <w:t>，乙方</w:t>
      </w:r>
      <w:r>
        <w:rPr>
          <w:rFonts w:ascii="宋体" w:hAnsi="宋体"/>
          <w:color w:val="auto"/>
          <w:szCs w:val="21"/>
          <w:highlight w:val="none"/>
        </w:rPr>
        <w:t>开具</w:t>
      </w:r>
      <w:r>
        <w:rPr>
          <w:rFonts w:hint="eastAsia" w:ascii="宋体" w:hAnsi="宋体"/>
          <w:color w:val="auto"/>
          <w:szCs w:val="21"/>
          <w:highlight w:val="none"/>
        </w:rPr>
        <w:t>交付车辆</w:t>
      </w:r>
      <w:r>
        <w:rPr>
          <w:rFonts w:ascii="宋体" w:hAnsi="宋体"/>
          <w:color w:val="auto"/>
          <w:szCs w:val="21"/>
          <w:highlight w:val="none"/>
        </w:rPr>
        <w:t>合同</w:t>
      </w:r>
      <w:r>
        <w:rPr>
          <w:rFonts w:hint="eastAsia" w:ascii="宋体" w:hAnsi="宋体"/>
          <w:color w:val="auto"/>
          <w:szCs w:val="21"/>
          <w:highlight w:val="none"/>
        </w:rPr>
        <w:t>结算价60</w:t>
      </w:r>
      <w:r>
        <w:rPr>
          <w:rFonts w:ascii="宋体" w:hAnsi="宋体"/>
          <w:color w:val="auto"/>
          <w:szCs w:val="21"/>
          <w:highlight w:val="none"/>
        </w:rPr>
        <w:t>﹪的等额收据</w:t>
      </w:r>
      <w:r>
        <w:rPr>
          <w:rFonts w:hint="eastAsia" w:ascii="宋体" w:hAnsi="宋体"/>
          <w:color w:val="auto"/>
          <w:szCs w:val="21"/>
          <w:highlight w:val="none"/>
        </w:rPr>
        <w:t>，甲方</w:t>
      </w:r>
      <w:r>
        <w:rPr>
          <w:rFonts w:ascii="宋体" w:hAnsi="宋体"/>
          <w:color w:val="auto"/>
          <w:szCs w:val="21"/>
          <w:highlight w:val="none"/>
        </w:rPr>
        <w:t>在收到收据后</w:t>
      </w:r>
      <w:r>
        <w:rPr>
          <w:rFonts w:hint="eastAsia" w:ascii="宋体" w:hAnsi="宋体"/>
          <w:color w:val="auto"/>
          <w:szCs w:val="21"/>
          <w:highlight w:val="none"/>
        </w:rPr>
        <w:t>10个工作日内支付收据金额</w:t>
      </w:r>
      <w:r>
        <w:rPr>
          <w:rFonts w:ascii="宋体" w:hAnsi="宋体"/>
          <w:color w:val="auto"/>
          <w:szCs w:val="21"/>
          <w:highlight w:val="none"/>
        </w:rPr>
        <w:t>。</w:t>
      </w:r>
    </w:p>
    <w:p w14:paraId="5D50462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2、整车质量保证期到期甲方确认无异议后，乙方</w:t>
      </w:r>
      <w:r>
        <w:rPr>
          <w:rFonts w:ascii="宋体" w:hAnsi="宋体"/>
          <w:color w:val="auto"/>
          <w:szCs w:val="21"/>
          <w:highlight w:val="none"/>
        </w:rPr>
        <w:t>开具</w:t>
      </w:r>
      <w:r>
        <w:rPr>
          <w:rFonts w:hint="eastAsia" w:ascii="宋体" w:hAnsi="宋体"/>
          <w:color w:val="auto"/>
          <w:szCs w:val="21"/>
          <w:highlight w:val="none"/>
        </w:rPr>
        <w:t>交付车辆</w:t>
      </w:r>
      <w:r>
        <w:rPr>
          <w:rFonts w:ascii="宋体" w:hAnsi="宋体"/>
          <w:color w:val="auto"/>
          <w:szCs w:val="21"/>
          <w:highlight w:val="none"/>
        </w:rPr>
        <w:t>合同</w:t>
      </w:r>
      <w:r>
        <w:rPr>
          <w:rFonts w:hint="eastAsia" w:ascii="宋体" w:hAnsi="宋体"/>
          <w:color w:val="auto"/>
          <w:szCs w:val="21"/>
          <w:highlight w:val="none"/>
        </w:rPr>
        <w:t>结算价5</w:t>
      </w:r>
      <w:r>
        <w:rPr>
          <w:rFonts w:ascii="宋体" w:hAnsi="宋体"/>
          <w:color w:val="auto"/>
          <w:szCs w:val="21"/>
          <w:highlight w:val="none"/>
        </w:rPr>
        <w:t>﹪的等额收据</w:t>
      </w:r>
      <w:r>
        <w:rPr>
          <w:rFonts w:hint="eastAsia" w:ascii="宋体" w:hAnsi="宋体"/>
          <w:color w:val="auto"/>
          <w:szCs w:val="21"/>
          <w:highlight w:val="none"/>
        </w:rPr>
        <w:t>，甲方</w:t>
      </w:r>
      <w:r>
        <w:rPr>
          <w:rFonts w:ascii="宋体" w:hAnsi="宋体"/>
          <w:color w:val="auto"/>
          <w:szCs w:val="21"/>
          <w:highlight w:val="none"/>
        </w:rPr>
        <w:t>在收到收据后</w:t>
      </w:r>
      <w:r>
        <w:rPr>
          <w:rFonts w:hint="eastAsia" w:ascii="宋体" w:hAnsi="宋体"/>
          <w:color w:val="auto"/>
          <w:szCs w:val="21"/>
          <w:highlight w:val="none"/>
        </w:rPr>
        <w:t>10个工作日内支付收据金额。</w:t>
      </w:r>
    </w:p>
    <w:p w14:paraId="56B1089B">
      <w:pPr>
        <w:spacing w:line="360" w:lineRule="auto"/>
        <w:ind w:firstLine="420" w:firstLineChars="200"/>
        <w:rPr>
          <w:rFonts w:hint="eastAsia" w:ascii="宋体" w:hAnsi="宋体"/>
          <w:color w:val="FF0000"/>
          <w:szCs w:val="21"/>
          <w:highlight w:val="none"/>
          <w:lang w:eastAsia="zh-CN"/>
        </w:rPr>
      </w:pPr>
      <w:r>
        <w:rPr>
          <w:rFonts w:hint="eastAsia" w:ascii="宋体" w:hAnsi="宋体"/>
          <w:color w:val="auto"/>
          <w:szCs w:val="21"/>
          <w:highlight w:val="none"/>
        </w:rPr>
        <w:t>3、主要部件八年质量保证期到期甲方确认无异议后，乙方开具交付车辆</w:t>
      </w:r>
      <w:r>
        <w:rPr>
          <w:rFonts w:ascii="宋体" w:hAnsi="宋体"/>
          <w:color w:val="auto"/>
          <w:szCs w:val="21"/>
          <w:highlight w:val="none"/>
        </w:rPr>
        <w:t>合同</w:t>
      </w:r>
      <w:r>
        <w:rPr>
          <w:rFonts w:hint="eastAsia" w:ascii="宋体" w:hAnsi="宋体"/>
          <w:color w:val="auto"/>
          <w:szCs w:val="21"/>
          <w:highlight w:val="none"/>
        </w:rPr>
        <w:t>结算价5</w:t>
      </w:r>
      <w:r>
        <w:rPr>
          <w:rFonts w:ascii="宋体" w:hAnsi="宋体"/>
          <w:color w:val="auto"/>
          <w:szCs w:val="21"/>
          <w:highlight w:val="none"/>
        </w:rPr>
        <w:t>﹪的等额收据</w:t>
      </w:r>
      <w:r>
        <w:rPr>
          <w:rFonts w:hint="eastAsia" w:ascii="宋体" w:hAnsi="宋体"/>
          <w:color w:val="auto"/>
          <w:szCs w:val="21"/>
          <w:highlight w:val="none"/>
        </w:rPr>
        <w:t>，甲方</w:t>
      </w:r>
      <w:r>
        <w:rPr>
          <w:rFonts w:ascii="宋体" w:hAnsi="宋体"/>
          <w:color w:val="auto"/>
          <w:szCs w:val="21"/>
          <w:highlight w:val="none"/>
        </w:rPr>
        <w:t>在收到收据后</w:t>
      </w:r>
      <w:r>
        <w:rPr>
          <w:rFonts w:hint="eastAsia" w:ascii="宋体" w:hAnsi="宋体"/>
          <w:color w:val="auto"/>
          <w:szCs w:val="21"/>
          <w:highlight w:val="none"/>
        </w:rPr>
        <w:t>10个工作日内支付收据金额。乙方可以在整车质量保证期到期后向甲方提供对等金额的银行保函，甲方在收到对等金额的银行保函后10个工作日内向乙方支付5%的主要部件八年质量保证金，银行保函在主要部件八年质保期满后一次结清（不计利息）。</w:t>
      </w:r>
    </w:p>
    <w:p w14:paraId="2CAD50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十、产品保修期及售后服务：</w:t>
      </w:r>
    </w:p>
    <w:p w14:paraId="2771C283">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（一）整车质量保证期</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个月，具体零部件的保修期限见客车产品《质量保修手册》和《售后服务守则》。在质量保证期内由供方负责车辆“三包”服务，最终使需方满意为止。</w:t>
      </w:r>
    </w:p>
    <w:p w14:paraId="5097BC6E">
      <w:pPr>
        <w:pStyle w:val="18"/>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（二）在车辆交付时，乙方派人员到甲方进行指导服务，并提供人员培训服务与技术支持。必要时甲方将派员到乙方进行技术培训。</w:t>
      </w:r>
    </w:p>
    <w:p w14:paraId="7F757193">
      <w:pPr>
        <w:pStyle w:val="18"/>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（三）乙方须配合甲方完成上牌工作，对上牌过程中出现的质量相关问题负责。</w:t>
      </w:r>
    </w:p>
    <w:p w14:paraId="32012E6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十一、违约责任：</w:t>
      </w:r>
    </w:p>
    <w:p w14:paraId="53E332E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（一）乙方未能按合同要求及时交货</w:t>
      </w:r>
      <w:r>
        <w:rPr>
          <w:rFonts w:ascii="宋体" w:hAnsi="宋体"/>
          <w:color w:val="auto"/>
          <w:szCs w:val="21"/>
          <w:highlight w:val="none"/>
        </w:rPr>
        <w:t>，每延期一天，</w:t>
      </w:r>
      <w:r>
        <w:rPr>
          <w:rFonts w:hint="eastAsia" w:ascii="宋体" w:hAnsi="宋体"/>
          <w:color w:val="auto"/>
          <w:szCs w:val="21"/>
          <w:highlight w:val="none"/>
        </w:rPr>
        <w:t>须</w:t>
      </w:r>
      <w:r>
        <w:rPr>
          <w:rFonts w:ascii="宋体" w:hAnsi="宋体"/>
          <w:color w:val="auto"/>
          <w:szCs w:val="21"/>
          <w:highlight w:val="none"/>
        </w:rPr>
        <w:t>支付</w:t>
      </w:r>
      <w:r>
        <w:rPr>
          <w:rFonts w:hint="eastAsia" w:ascii="宋体" w:hAnsi="宋体"/>
          <w:color w:val="auto"/>
          <w:szCs w:val="21"/>
          <w:highlight w:val="none"/>
        </w:rPr>
        <w:t>逾期交车部分总金额的</w:t>
      </w:r>
      <w:r>
        <w:rPr>
          <w:rFonts w:hint="eastAsia" w:ascii="宋体" w:hAnsi="宋体"/>
          <w:color w:val="auto"/>
          <w:szCs w:val="21"/>
          <w:highlight w:val="none"/>
          <w:u w:val="single"/>
        </w:rPr>
        <w:t>千分之一</w:t>
      </w:r>
      <w:r>
        <w:rPr>
          <w:rFonts w:ascii="宋体" w:hAnsi="宋体"/>
          <w:color w:val="auto"/>
          <w:szCs w:val="21"/>
          <w:highlight w:val="none"/>
        </w:rPr>
        <w:t>违约金</w:t>
      </w:r>
      <w:r>
        <w:rPr>
          <w:rFonts w:hint="eastAsia" w:ascii="宋体" w:hAnsi="宋体"/>
          <w:color w:val="auto"/>
          <w:szCs w:val="21"/>
          <w:highlight w:val="none"/>
        </w:rPr>
        <w:t>；甲方未能按期付款，每</w:t>
      </w:r>
      <w:r>
        <w:rPr>
          <w:rFonts w:ascii="宋体" w:hAnsi="宋体"/>
          <w:color w:val="auto"/>
          <w:szCs w:val="21"/>
          <w:highlight w:val="none"/>
        </w:rPr>
        <w:t>延期一天</w:t>
      </w:r>
      <w:r>
        <w:rPr>
          <w:rFonts w:hint="eastAsia" w:ascii="宋体" w:hAnsi="宋体"/>
          <w:color w:val="auto"/>
          <w:szCs w:val="21"/>
          <w:highlight w:val="none"/>
        </w:rPr>
        <w:t>，须</w:t>
      </w:r>
      <w:r>
        <w:rPr>
          <w:rFonts w:ascii="宋体" w:hAnsi="宋体"/>
          <w:color w:val="auto"/>
          <w:szCs w:val="21"/>
          <w:highlight w:val="none"/>
        </w:rPr>
        <w:t>支付</w:t>
      </w:r>
      <w:r>
        <w:rPr>
          <w:rFonts w:hint="eastAsia" w:ascii="宋体" w:hAnsi="宋体"/>
          <w:color w:val="auto"/>
          <w:szCs w:val="21"/>
          <w:highlight w:val="none"/>
        </w:rPr>
        <w:t>逾期付款部分</w:t>
      </w:r>
      <w:r>
        <w:rPr>
          <w:rFonts w:hint="eastAsia" w:ascii="宋体" w:hAnsi="宋体"/>
          <w:color w:val="auto"/>
          <w:szCs w:val="21"/>
          <w:highlight w:val="none"/>
          <w:u w:val="single"/>
        </w:rPr>
        <w:t>千分之一</w:t>
      </w:r>
      <w:r>
        <w:rPr>
          <w:rFonts w:ascii="宋体" w:hAnsi="宋体"/>
          <w:color w:val="auto"/>
          <w:szCs w:val="21"/>
          <w:highlight w:val="none"/>
        </w:rPr>
        <w:t>违约金</w:t>
      </w:r>
      <w:r>
        <w:rPr>
          <w:rFonts w:hint="eastAsia" w:ascii="宋体" w:hAnsi="宋体"/>
          <w:color w:val="auto"/>
          <w:szCs w:val="21"/>
          <w:highlight w:val="none"/>
        </w:rPr>
        <w:t>。</w:t>
      </w:r>
    </w:p>
    <w:p w14:paraId="31F314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（二）供方未能在合同规定的时间内交货，需方有权拒付货款。</w:t>
      </w:r>
    </w:p>
    <w:p w14:paraId="230A184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（三）交货逾期累计达到</w:t>
      </w:r>
      <w:r>
        <w:rPr>
          <w:rFonts w:hint="eastAsia" w:ascii="宋体" w:hAnsi="宋体"/>
          <w:color w:val="auto"/>
          <w:szCs w:val="21"/>
          <w:highlight w:val="none"/>
          <w:u w:val="single"/>
        </w:rPr>
        <w:t>7</w:t>
      </w:r>
      <w:r>
        <w:rPr>
          <w:rFonts w:hint="eastAsia" w:ascii="宋体" w:hAnsi="宋体"/>
          <w:color w:val="auto"/>
          <w:szCs w:val="21"/>
          <w:highlight w:val="none"/>
        </w:rPr>
        <w:t>天，需方有权调整或解除合同。</w:t>
      </w:r>
    </w:p>
    <w:p w14:paraId="64B731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（四）供方未能按时完成交货任务，需方有权拒绝其参加今后同类招标项目。</w:t>
      </w:r>
    </w:p>
    <w:p w14:paraId="5936FF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（五）发生下列情况时，甲方有权在质量保证金中扣除由于乙方原因给甲方带来的损失或延期支付质量保证金，直至乙方的产品或服务满足甲方的要求。</w:t>
      </w:r>
    </w:p>
    <w:p w14:paraId="2AE8204F">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1、乙方产品在质量保证期内发生严重故障，或通过服务不能解决的。</w:t>
      </w:r>
    </w:p>
    <w:p w14:paraId="3F7E215A">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2、乙方不能提供对甲方公开承诺的服务内容。</w:t>
      </w:r>
    </w:p>
    <w:p w14:paraId="5800EA4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十二、</w:t>
      </w:r>
      <w:r>
        <w:rPr>
          <w:rFonts w:ascii="宋体" w:hAnsi="宋体"/>
          <w:color w:val="auto"/>
          <w:szCs w:val="21"/>
          <w:highlight w:val="none"/>
        </w:rPr>
        <w:t>合同争议的解决方式：本合同发生的</w:t>
      </w:r>
      <w:r>
        <w:rPr>
          <w:rFonts w:hint="eastAsia" w:ascii="宋体" w:hAnsi="宋体"/>
          <w:color w:val="auto"/>
          <w:szCs w:val="21"/>
          <w:highlight w:val="none"/>
        </w:rPr>
        <w:t>争议</w:t>
      </w:r>
      <w:r>
        <w:rPr>
          <w:rFonts w:ascii="宋体" w:hAnsi="宋体"/>
          <w:color w:val="auto"/>
          <w:szCs w:val="21"/>
          <w:highlight w:val="none"/>
        </w:rPr>
        <w:t>，由双方当事人协商解决，也可以由当地</w:t>
      </w:r>
      <w:r>
        <w:rPr>
          <w:rFonts w:hint="eastAsia" w:ascii="宋体" w:hAnsi="宋体"/>
          <w:color w:val="auto"/>
          <w:szCs w:val="21"/>
          <w:highlight w:val="none"/>
        </w:rPr>
        <w:t>有关</w:t>
      </w:r>
      <w:r>
        <w:rPr>
          <w:rFonts w:ascii="宋体" w:hAnsi="宋体"/>
          <w:color w:val="auto"/>
          <w:szCs w:val="21"/>
          <w:highlight w:val="none"/>
        </w:rPr>
        <w:t>部门调解；协商或调解不成的，按下列第</w:t>
      </w:r>
      <w:r>
        <w:rPr>
          <w:rFonts w:hint="eastAsia" w:ascii="宋体" w:hAnsi="宋体"/>
          <w:color w:val="auto"/>
          <w:szCs w:val="21"/>
          <w:highlight w:val="none"/>
          <w:u w:val="single"/>
        </w:rPr>
        <w:t>二</w:t>
      </w:r>
      <w:r>
        <w:rPr>
          <w:rFonts w:ascii="宋体" w:hAnsi="宋体"/>
          <w:color w:val="auto"/>
          <w:szCs w:val="21"/>
          <w:highlight w:val="none"/>
        </w:rPr>
        <w:t>种方式解决</w:t>
      </w:r>
      <w:r>
        <w:rPr>
          <w:rFonts w:hint="eastAsia" w:ascii="宋体" w:hAnsi="宋体"/>
          <w:color w:val="auto"/>
          <w:szCs w:val="21"/>
          <w:highlight w:val="none"/>
        </w:rPr>
        <w:t>。</w:t>
      </w:r>
    </w:p>
    <w:p w14:paraId="0F82EBF3">
      <w:pPr>
        <w:spacing w:line="360" w:lineRule="auto"/>
        <w:ind w:firstLine="420" w:firstLineChars="200"/>
        <w:rPr>
          <w:rFonts w:ascii="宋体" w:hAnsi="宋体"/>
          <w:color w:val="auto"/>
          <w:szCs w:val="21"/>
          <w:highlight w:val="none"/>
        </w:rPr>
      </w:pPr>
      <w:r>
        <w:rPr>
          <w:rFonts w:ascii="宋体" w:hAnsi="宋体"/>
          <w:color w:val="auto"/>
          <w:szCs w:val="21"/>
          <w:highlight w:val="none"/>
        </w:rPr>
        <w:t>（一）提交仲裁委员会仲裁</w:t>
      </w:r>
      <w:r>
        <w:rPr>
          <w:rFonts w:hint="eastAsia" w:ascii="宋体" w:hAnsi="宋体"/>
          <w:color w:val="auto"/>
          <w:szCs w:val="21"/>
          <w:highlight w:val="none"/>
        </w:rPr>
        <w:t xml:space="preserve">。 </w:t>
      </w:r>
    </w:p>
    <w:p w14:paraId="28CDA267">
      <w:pPr>
        <w:spacing w:line="360" w:lineRule="auto"/>
        <w:ind w:firstLine="420" w:firstLineChars="200"/>
        <w:rPr>
          <w:rFonts w:ascii="宋体" w:hAnsi="宋体"/>
          <w:color w:val="auto"/>
          <w:szCs w:val="21"/>
          <w:highlight w:val="none"/>
        </w:rPr>
      </w:pPr>
      <w:r>
        <w:rPr>
          <w:rFonts w:ascii="宋体" w:hAnsi="宋体"/>
          <w:color w:val="auto"/>
          <w:szCs w:val="21"/>
          <w:highlight w:val="none"/>
        </w:rPr>
        <w:t>（二）依法向</w:t>
      </w:r>
      <w:r>
        <w:rPr>
          <w:rFonts w:hint="eastAsia" w:ascii="宋体" w:hAnsi="宋体"/>
          <w:color w:val="auto"/>
          <w:szCs w:val="21"/>
          <w:highlight w:val="none"/>
          <w:u w:val="single"/>
        </w:rPr>
        <w:t xml:space="preserve">  甲方所在地  </w:t>
      </w:r>
      <w:r>
        <w:rPr>
          <w:rFonts w:ascii="宋体" w:hAnsi="宋体"/>
          <w:color w:val="auto"/>
          <w:szCs w:val="21"/>
          <w:highlight w:val="none"/>
        </w:rPr>
        <w:t>人民法院起诉 。</w:t>
      </w:r>
    </w:p>
    <w:p w14:paraId="1054453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十三、本合同一式</w:t>
      </w:r>
      <w:r>
        <w:rPr>
          <w:rFonts w:hint="eastAsia" w:ascii="宋体" w:hAnsi="宋体"/>
          <w:color w:val="auto"/>
          <w:szCs w:val="21"/>
          <w:highlight w:val="none"/>
          <w:u w:val="single"/>
        </w:rPr>
        <w:t>陆</w:t>
      </w:r>
      <w:r>
        <w:rPr>
          <w:rFonts w:hint="eastAsia" w:ascii="宋体" w:hAnsi="宋体"/>
          <w:color w:val="auto"/>
          <w:szCs w:val="21"/>
          <w:highlight w:val="none"/>
        </w:rPr>
        <w:t>份，甲方</w:t>
      </w:r>
      <w:r>
        <w:rPr>
          <w:rFonts w:hint="eastAsia" w:ascii="宋体" w:hAnsi="宋体"/>
          <w:color w:val="auto"/>
          <w:szCs w:val="21"/>
          <w:highlight w:val="none"/>
          <w:u w:val="single"/>
        </w:rPr>
        <w:t>肆</w:t>
      </w:r>
      <w:r>
        <w:rPr>
          <w:rFonts w:hint="eastAsia" w:ascii="宋体" w:hAnsi="宋体"/>
          <w:color w:val="auto"/>
          <w:szCs w:val="21"/>
          <w:highlight w:val="none"/>
        </w:rPr>
        <w:t>份，乙方</w:t>
      </w:r>
      <w:r>
        <w:rPr>
          <w:rFonts w:hint="eastAsia" w:ascii="宋体" w:hAnsi="宋体"/>
          <w:color w:val="auto"/>
          <w:szCs w:val="21"/>
          <w:highlight w:val="none"/>
          <w:u w:val="single"/>
        </w:rPr>
        <w:t xml:space="preserve"> 贰 </w:t>
      </w:r>
      <w:r>
        <w:rPr>
          <w:rFonts w:hint="eastAsia" w:ascii="宋体" w:hAnsi="宋体"/>
          <w:color w:val="auto"/>
          <w:szCs w:val="21"/>
          <w:highlight w:val="none"/>
        </w:rPr>
        <w:t>份，自双方签字盖章后生效。</w:t>
      </w:r>
    </w:p>
    <w:p w14:paraId="359287C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十四、其他约定事项：</w:t>
      </w:r>
    </w:p>
    <w:p w14:paraId="6C55A769">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（一）</w:t>
      </w:r>
      <w:r>
        <w:rPr>
          <w:rFonts w:hint="eastAsia" w:ascii="宋体" w:hAnsi="宋体"/>
          <w:color w:val="auto"/>
          <w:szCs w:val="21"/>
          <w:highlight w:val="none"/>
          <w:u w:val="single"/>
        </w:rPr>
        <w:t>车辆详细要求见附件一技术协议。</w:t>
      </w:r>
    </w:p>
    <w:p w14:paraId="59C14F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车辆技术协议、车辆招标文件、乙方投标文件与本合同具有同等法律效力，当车辆技术协议、车辆招标文件、乙方投标文件与本合同有冲突部分以本合同为准，当车辆招标文件、乙方投标文件与技术协议有冲突部分以技术协议为准。</w:t>
      </w:r>
    </w:p>
    <w:p w14:paraId="53620F6E">
      <w:pPr>
        <w:numPr>
          <w:ilvl w:val="0"/>
          <w:numId w:val="7"/>
        </w:numPr>
        <w:spacing w:line="360" w:lineRule="auto"/>
        <w:rPr>
          <w:rFonts w:ascii="宋体" w:hAnsi="宋体"/>
          <w:color w:val="auto"/>
          <w:szCs w:val="21"/>
          <w:highlight w:val="none"/>
        </w:rPr>
      </w:pPr>
      <w:r>
        <w:rPr>
          <w:rFonts w:hint="eastAsia" w:ascii="宋体" w:hAnsi="宋体"/>
          <w:color w:val="auto"/>
          <w:szCs w:val="21"/>
          <w:highlight w:val="none"/>
        </w:rPr>
        <w:t>甲方要求乙方开具整车发票时，乙方必须提供配件材料清单。</w:t>
      </w:r>
    </w:p>
    <w:p w14:paraId="31D96ACE">
      <w:pPr>
        <w:numPr>
          <w:ilvl w:val="0"/>
          <w:numId w:val="7"/>
        </w:numPr>
        <w:spacing w:line="360" w:lineRule="auto"/>
        <w:rPr>
          <w:rFonts w:ascii="宋体" w:hAnsi="宋体"/>
          <w:color w:val="auto"/>
          <w:szCs w:val="21"/>
          <w:highlight w:val="none"/>
        </w:rPr>
      </w:pPr>
      <w:r>
        <w:rPr>
          <w:rFonts w:hint="eastAsia" w:ascii="宋体" w:hAnsi="宋体"/>
          <w:color w:val="auto"/>
          <w:szCs w:val="21"/>
          <w:highlight w:val="none"/>
        </w:rPr>
        <w:t xml:space="preserve">其余未尽事宜，双方协商解决。 </w:t>
      </w:r>
    </w:p>
    <w:p w14:paraId="43718F20">
      <w:pPr>
        <w:pStyle w:val="23"/>
        <w:snapToGrid w:val="0"/>
        <w:ind w:firstLine="420" w:firstLineChars="200"/>
        <w:rPr>
          <w:rFonts w:hAnsi="宋体"/>
          <w:color w:val="auto"/>
          <w:sz w:val="21"/>
          <w:szCs w:val="21"/>
          <w:highlight w:val="none"/>
        </w:rPr>
      </w:pPr>
    </w:p>
    <w:p w14:paraId="2727A050">
      <w:pPr>
        <w:pStyle w:val="23"/>
        <w:snapToGrid w:val="0"/>
        <w:ind w:firstLine="420" w:firstLineChars="200"/>
        <w:rPr>
          <w:rFonts w:hAnsi="宋体"/>
          <w:color w:val="auto"/>
          <w:sz w:val="21"/>
          <w:szCs w:val="21"/>
          <w:highlight w:val="none"/>
        </w:rPr>
      </w:pPr>
      <w:r>
        <w:rPr>
          <w:rFonts w:hAnsi="宋体"/>
          <w:color w:val="auto"/>
          <w:sz w:val="21"/>
          <w:szCs w:val="21"/>
          <w:highlight w:val="none"/>
        </w:rPr>
        <w:t>甲方：</w:t>
      </w:r>
      <w:r>
        <w:rPr>
          <w:rFonts w:hint="eastAsia" w:hAnsi="宋体"/>
          <w:color w:val="auto"/>
          <w:sz w:val="21"/>
          <w:szCs w:val="21"/>
          <w:highlight w:val="none"/>
        </w:rPr>
        <w:t>乙方</w:t>
      </w:r>
      <w:r>
        <w:rPr>
          <w:rFonts w:hAnsi="宋体"/>
          <w:color w:val="auto"/>
          <w:sz w:val="21"/>
          <w:szCs w:val="21"/>
          <w:highlight w:val="none"/>
        </w:rPr>
        <w:t>：</w:t>
      </w:r>
    </w:p>
    <w:p w14:paraId="2B054838">
      <w:pPr>
        <w:pStyle w:val="23"/>
        <w:snapToGrid w:val="0"/>
        <w:ind w:firstLine="420" w:firstLineChars="200"/>
        <w:rPr>
          <w:rFonts w:hAnsi="宋体"/>
          <w:color w:val="auto"/>
          <w:sz w:val="21"/>
          <w:szCs w:val="21"/>
          <w:highlight w:val="none"/>
        </w:rPr>
      </w:pPr>
      <w:r>
        <w:rPr>
          <w:rFonts w:hAnsi="宋体"/>
          <w:color w:val="auto"/>
          <w:sz w:val="21"/>
          <w:szCs w:val="21"/>
          <w:highlight w:val="none"/>
        </w:rPr>
        <w:t xml:space="preserve">地址：                                   地址： </w:t>
      </w:r>
    </w:p>
    <w:p w14:paraId="0291625B">
      <w:pPr>
        <w:pStyle w:val="23"/>
        <w:snapToGrid w:val="0"/>
        <w:ind w:firstLine="420" w:firstLineChars="200"/>
        <w:rPr>
          <w:rFonts w:hAnsi="宋体"/>
          <w:color w:val="auto"/>
          <w:sz w:val="21"/>
          <w:szCs w:val="21"/>
          <w:highlight w:val="none"/>
        </w:rPr>
      </w:pPr>
      <w:r>
        <w:rPr>
          <w:rFonts w:hAnsi="宋体"/>
          <w:color w:val="auto"/>
          <w:sz w:val="21"/>
          <w:szCs w:val="21"/>
          <w:highlight w:val="none"/>
        </w:rPr>
        <w:t>法定</w:t>
      </w:r>
      <w:r>
        <w:rPr>
          <w:rFonts w:hint="eastAsia" w:hAnsi="宋体"/>
          <w:color w:val="auto"/>
          <w:sz w:val="21"/>
          <w:szCs w:val="21"/>
          <w:highlight w:val="none"/>
        </w:rPr>
        <w:t>（授权）</w:t>
      </w:r>
      <w:r>
        <w:rPr>
          <w:rFonts w:hAnsi="宋体"/>
          <w:color w:val="auto"/>
          <w:sz w:val="21"/>
          <w:szCs w:val="21"/>
          <w:highlight w:val="none"/>
        </w:rPr>
        <w:t>代表人：                     法定</w:t>
      </w:r>
      <w:r>
        <w:rPr>
          <w:rFonts w:hint="eastAsia" w:hAnsi="宋体"/>
          <w:color w:val="auto"/>
          <w:sz w:val="21"/>
          <w:szCs w:val="21"/>
          <w:highlight w:val="none"/>
        </w:rPr>
        <w:t>（授权）</w:t>
      </w:r>
      <w:r>
        <w:rPr>
          <w:rFonts w:hAnsi="宋体"/>
          <w:color w:val="auto"/>
          <w:sz w:val="21"/>
          <w:szCs w:val="21"/>
          <w:highlight w:val="none"/>
        </w:rPr>
        <w:t>代表人：</w:t>
      </w:r>
    </w:p>
    <w:p w14:paraId="22A5A186">
      <w:pPr>
        <w:pStyle w:val="23"/>
        <w:snapToGrid w:val="0"/>
        <w:ind w:firstLine="420" w:firstLineChars="200"/>
        <w:rPr>
          <w:rFonts w:hAnsi="宋体"/>
          <w:color w:val="auto"/>
          <w:sz w:val="21"/>
          <w:szCs w:val="21"/>
          <w:highlight w:val="none"/>
        </w:rPr>
      </w:pPr>
      <w:r>
        <w:rPr>
          <w:rFonts w:hAnsi="宋体"/>
          <w:color w:val="auto"/>
          <w:sz w:val="21"/>
          <w:szCs w:val="21"/>
          <w:highlight w:val="none"/>
        </w:rPr>
        <w:t>签</w:t>
      </w:r>
      <w:r>
        <w:rPr>
          <w:rFonts w:hint="eastAsia" w:hAnsi="宋体"/>
          <w:color w:val="auto"/>
          <w:sz w:val="21"/>
          <w:szCs w:val="21"/>
          <w:highlight w:val="none"/>
        </w:rPr>
        <w:t>字日期</w:t>
      </w:r>
      <w:r>
        <w:rPr>
          <w:rFonts w:hAnsi="宋体"/>
          <w:color w:val="auto"/>
          <w:sz w:val="21"/>
          <w:szCs w:val="21"/>
          <w:highlight w:val="none"/>
        </w:rPr>
        <w:t>：      年  月  日  签</w:t>
      </w:r>
      <w:r>
        <w:rPr>
          <w:rFonts w:hint="eastAsia" w:hAnsi="宋体"/>
          <w:color w:val="auto"/>
          <w:sz w:val="21"/>
          <w:szCs w:val="21"/>
          <w:highlight w:val="none"/>
        </w:rPr>
        <w:t>字</w:t>
      </w:r>
      <w:r>
        <w:rPr>
          <w:rFonts w:hAnsi="宋体"/>
          <w:color w:val="auto"/>
          <w:sz w:val="21"/>
          <w:szCs w:val="21"/>
          <w:highlight w:val="none"/>
        </w:rPr>
        <w:t>日期：      年  月  日</w:t>
      </w:r>
    </w:p>
    <w:bookmarkEnd w:id="112"/>
    <w:bookmarkEnd w:id="113"/>
    <w:bookmarkEnd w:id="114"/>
    <w:bookmarkEnd w:id="115"/>
    <w:p w14:paraId="7BA257A3">
      <w:pPr>
        <w:ind w:firstLine="2731" w:firstLineChars="1626"/>
        <w:rPr>
          <w:b/>
          <w:bCs/>
          <w:color w:val="auto"/>
          <w:kern w:val="44"/>
          <w:sz w:val="32"/>
          <w:szCs w:val="32"/>
          <w:highlight w:val="none"/>
        </w:rPr>
      </w:pPr>
      <w:r>
        <w:rPr>
          <w:color w:val="auto"/>
          <w:w w:val="80"/>
          <w:szCs w:val="24"/>
          <w:highlight w:val="none"/>
        </w:rPr>
        <w:br w:type="page"/>
      </w:r>
      <w:bookmarkStart w:id="116" w:name="_Toc435088081"/>
      <w:r>
        <w:rPr>
          <w:rFonts w:hint="eastAsia"/>
          <w:b/>
          <w:bCs/>
          <w:color w:val="auto"/>
          <w:kern w:val="44"/>
          <w:sz w:val="32"/>
          <w:szCs w:val="32"/>
          <w:highlight w:val="none"/>
        </w:rPr>
        <w:t>第七部分格式与表格</w:t>
      </w:r>
      <w:bookmarkEnd w:id="0"/>
      <w:bookmarkEnd w:id="116"/>
    </w:p>
    <w:p w14:paraId="6CD33A59">
      <w:pPr>
        <w:jc w:val="center"/>
        <w:rPr>
          <w:b/>
          <w:bCs/>
          <w:color w:val="auto"/>
          <w:kern w:val="44"/>
          <w:sz w:val="32"/>
          <w:szCs w:val="32"/>
          <w:highlight w:val="none"/>
        </w:rPr>
      </w:pPr>
    </w:p>
    <w:p w14:paraId="398FD3AF">
      <w:pPr>
        <w:spacing w:line="360" w:lineRule="auto"/>
        <w:rPr>
          <w:rFonts w:ascii="宋体" w:hAnsi="宋体" w:cs="宋体"/>
          <w:color w:val="auto"/>
          <w:szCs w:val="21"/>
          <w:highlight w:val="none"/>
        </w:rPr>
      </w:pPr>
      <w:r>
        <w:rPr>
          <w:rFonts w:hint="eastAsia" w:ascii="宋体" w:hAnsi="宋体" w:cs="宋体"/>
          <w:color w:val="auto"/>
          <w:szCs w:val="21"/>
          <w:highlight w:val="none"/>
        </w:rPr>
        <w:t>1.所有投标文件的外包装封面格式：</w:t>
      </w:r>
    </w:p>
    <w:p w14:paraId="6E20718A">
      <w:pPr>
        <w:spacing w:line="360" w:lineRule="auto"/>
        <w:jc w:val="center"/>
        <w:rPr>
          <w:rFonts w:ascii="宋体" w:hAnsi="宋体" w:cs="宋体"/>
          <w:bCs/>
          <w:color w:val="auto"/>
          <w:szCs w:val="21"/>
          <w:highlight w:val="none"/>
        </w:rPr>
      </w:pPr>
    </w:p>
    <w:p w14:paraId="3A0E80C1">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投 标 文 件</w:t>
      </w:r>
    </w:p>
    <w:p w14:paraId="139A295D">
      <w:pPr>
        <w:spacing w:line="360" w:lineRule="auto"/>
        <w:rPr>
          <w:rFonts w:ascii="宋体" w:hAnsi="宋体" w:cs="宋体"/>
          <w:bCs/>
          <w:color w:val="auto"/>
          <w:szCs w:val="21"/>
          <w:highlight w:val="none"/>
        </w:rPr>
      </w:pPr>
    </w:p>
    <w:p w14:paraId="5BC5A98F">
      <w:pPr>
        <w:spacing w:line="360" w:lineRule="auto"/>
        <w:rPr>
          <w:rFonts w:ascii="宋体" w:hAnsi="宋体" w:cs="宋体"/>
          <w:bCs/>
          <w:color w:val="auto"/>
          <w:szCs w:val="21"/>
          <w:highlight w:val="none"/>
        </w:rPr>
      </w:pPr>
    </w:p>
    <w:p w14:paraId="0F5AB743">
      <w:pPr>
        <w:spacing w:line="360" w:lineRule="auto"/>
        <w:ind w:firstLine="1785" w:firstLineChars="850"/>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14:paraId="4D3808E6">
      <w:pPr>
        <w:spacing w:line="360" w:lineRule="auto"/>
        <w:ind w:firstLine="1785" w:firstLineChars="850"/>
        <w:rPr>
          <w:rFonts w:ascii="宋体" w:hAnsi="宋体" w:cs="宋体"/>
          <w:bCs/>
          <w:color w:val="auto"/>
          <w:szCs w:val="21"/>
          <w:highlight w:val="none"/>
        </w:rPr>
      </w:pPr>
      <w:r>
        <w:rPr>
          <w:rFonts w:hint="eastAsia" w:ascii="宋体" w:hAnsi="宋体" w:cs="宋体"/>
          <w:bCs/>
          <w:color w:val="auto"/>
          <w:szCs w:val="21"/>
          <w:highlight w:val="none"/>
        </w:rPr>
        <w:t xml:space="preserve">项目编号： </w:t>
      </w:r>
    </w:p>
    <w:p w14:paraId="7251E4A7">
      <w:pPr>
        <w:spacing w:line="360" w:lineRule="auto"/>
        <w:ind w:firstLine="1785" w:firstLineChars="850"/>
        <w:rPr>
          <w:rFonts w:ascii="宋体" w:hAnsi="宋体" w:cs="宋体"/>
          <w:bCs/>
          <w:color w:val="auto"/>
          <w:szCs w:val="21"/>
          <w:highlight w:val="none"/>
        </w:rPr>
      </w:pPr>
      <w:r>
        <w:rPr>
          <w:rFonts w:hint="eastAsia" w:ascii="宋体" w:hAnsi="宋体" w:cs="宋体"/>
          <w:bCs/>
          <w:color w:val="auto"/>
          <w:szCs w:val="21"/>
          <w:highlight w:val="none"/>
        </w:rPr>
        <w:t xml:space="preserve">投标文件名称：资格证明文件/报价文件/技术商务文件 </w:t>
      </w:r>
    </w:p>
    <w:p w14:paraId="6BB22350">
      <w:pPr>
        <w:pStyle w:val="8"/>
        <w:spacing w:line="360" w:lineRule="auto"/>
        <w:ind w:firstLine="1785" w:firstLineChars="850"/>
        <w:rPr>
          <w:rFonts w:hAnsi="宋体" w:cs="宋体"/>
          <w:bCs/>
          <w:color w:val="auto"/>
          <w:szCs w:val="21"/>
          <w:highlight w:val="none"/>
        </w:rPr>
      </w:pPr>
      <w:r>
        <w:rPr>
          <w:rFonts w:hint="eastAsia" w:hAnsi="宋体" w:cs="宋体"/>
          <w:bCs/>
          <w:color w:val="auto"/>
          <w:szCs w:val="21"/>
          <w:highlight w:val="none"/>
        </w:rPr>
        <w:t>投标人名称（盖章）：</w:t>
      </w:r>
    </w:p>
    <w:p w14:paraId="21BD740E">
      <w:pPr>
        <w:pStyle w:val="8"/>
        <w:spacing w:line="360" w:lineRule="auto"/>
        <w:ind w:firstLine="1785" w:firstLineChars="850"/>
        <w:rPr>
          <w:rFonts w:hAnsi="宋体" w:cs="宋体"/>
          <w:bCs/>
          <w:color w:val="auto"/>
          <w:szCs w:val="21"/>
          <w:highlight w:val="none"/>
        </w:rPr>
      </w:pPr>
      <w:r>
        <w:rPr>
          <w:rFonts w:hint="eastAsia" w:hAnsi="宋体" w:cs="宋体"/>
          <w:bCs/>
          <w:color w:val="auto"/>
          <w:szCs w:val="21"/>
          <w:highlight w:val="none"/>
        </w:rPr>
        <w:t>投标人地址：</w:t>
      </w:r>
    </w:p>
    <w:p w14:paraId="228C80B3">
      <w:pPr>
        <w:pStyle w:val="8"/>
        <w:spacing w:line="360" w:lineRule="auto"/>
        <w:ind w:firstLine="1785" w:firstLineChars="850"/>
        <w:rPr>
          <w:rFonts w:hAnsi="宋体" w:cs="宋体"/>
          <w:bCs/>
          <w:color w:val="auto"/>
          <w:szCs w:val="21"/>
          <w:highlight w:val="none"/>
        </w:rPr>
      </w:pPr>
      <w:r>
        <w:rPr>
          <w:rFonts w:hint="eastAsia" w:hAnsi="宋体" w:cs="宋体"/>
          <w:bCs/>
          <w:color w:val="auto"/>
          <w:szCs w:val="21"/>
          <w:highlight w:val="none"/>
        </w:rPr>
        <w:t>法定代表人或授权代表人（签字或盖章）</w:t>
      </w:r>
    </w:p>
    <w:p w14:paraId="14289DCE">
      <w:pPr>
        <w:pStyle w:val="8"/>
        <w:spacing w:line="360" w:lineRule="auto"/>
        <w:ind w:firstLine="1785" w:firstLineChars="850"/>
        <w:rPr>
          <w:rFonts w:hAnsi="宋体" w:cs="宋体"/>
          <w:bCs/>
          <w:color w:val="auto"/>
          <w:szCs w:val="21"/>
          <w:highlight w:val="none"/>
        </w:rPr>
      </w:pPr>
      <w:r>
        <w:rPr>
          <w:rFonts w:hint="eastAsia" w:hAnsi="宋体" w:cs="宋体"/>
          <w:color w:val="auto"/>
          <w:szCs w:val="21"/>
          <w:highlight w:val="none"/>
        </w:rPr>
        <w:t xml:space="preserve">                  开标时启封</w:t>
      </w:r>
    </w:p>
    <w:p w14:paraId="49E55E71">
      <w:pPr>
        <w:spacing w:line="360" w:lineRule="auto"/>
        <w:ind w:firstLine="3570" w:firstLineChars="1700"/>
        <w:rPr>
          <w:rFonts w:ascii="宋体" w:hAnsi="宋体" w:cs="宋体"/>
          <w:bCs/>
          <w:color w:val="auto"/>
          <w:szCs w:val="21"/>
          <w:highlight w:val="none"/>
        </w:rPr>
      </w:pPr>
    </w:p>
    <w:p w14:paraId="353B3B70">
      <w:pPr>
        <w:spacing w:line="360" w:lineRule="auto"/>
        <w:ind w:firstLine="645"/>
        <w:jc w:val="center"/>
        <w:rPr>
          <w:rFonts w:ascii="宋体" w:hAnsi="宋体" w:cs="宋体"/>
          <w:bCs/>
          <w:color w:val="auto"/>
          <w:szCs w:val="21"/>
          <w:highlight w:val="none"/>
        </w:rPr>
      </w:pPr>
      <w:r>
        <w:rPr>
          <w:rFonts w:hint="eastAsia" w:ascii="宋体" w:hAnsi="宋体" w:cs="宋体"/>
          <w:bCs/>
          <w:color w:val="auto"/>
          <w:szCs w:val="21"/>
          <w:highlight w:val="none"/>
        </w:rPr>
        <w:t xml:space="preserve">                        年  月  日</w:t>
      </w:r>
    </w:p>
    <w:p w14:paraId="2262E0DD">
      <w:pPr>
        <w:spacing w:line="360" w:lineRule="auto"/>
        <w:jc w:val="center"/>
        <w:outlineLvl w:val="1"/>
        <w:rPr>
          <w:rFonts w:ascii="宋体" w:hAnsi="宋体" w:cs="宋体"/>
          <w:color w:val="auto"/>
          <w:szCs w:val="21"/>
          <w:highlight w:val="none"/>
        </w:rPr>
      </w:pPr>
    </w:p>
    <w:p w14:paraId="4EEBFB69">
      <w:pPr>
        <w:spacing w:line="360" w:lineRule="auto"/>
        <w:rPr>
          <w:rFonts w:ascii="宋体" w:hAnsi="宋体" w:cs="宋体"/>
          <w:color w:val="auto"/>
          <w:szCs w:val="21"/>
          <w:highlight w:val="none"/>
        </w:rPr>
      </w:pPr>
    </w:p>
    <w:p w14:paraId="122DFFB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2.封面格式： </w:t>
      </w:r>
    </w:p>
    <w:p w14:paraId="74672590">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正本</w:t>
      </w:r>
    </w:p>
    <w:p w14:paraId="3BB42C12">
      <w:pPr>
        <w:spacing w:line="360" w:lineRule="auto"/>
        <w:rPr>
          <w:rFonts w:ascii="宋体" w:hAnsi="宋体" w:cs="宋体"/>
          <w:bCs/>
          <w:color w:val="auto"/>
          <w:szCs w:val="21"/>
          <w:highlight w:val="none"/>
        </w:rPr>
      </w:pPr>
    </w:p>
    <w:p w14:paraId="4F4D5ACF">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投 标 文 件</w:t>
      </w:r>
    </w:p>
    <w:p w14:paraId="5ADFDF57">
      <w:pPr>
        <w:spacing w:line="360" w:lineRule="auto"/>
        <w:rPr>
          <w:rFonts w:ascii="宋体" w:hAnsi="宋体" w:cs="宋体"/>
          <w:bCs/>
          <w:color w:val="auto"/>
          <w:szCs w:val="21"/>
          <w:highlight w:val="none"/>
        </w:rPr>
      </w:pPr>
    </w:p>
    <w:p w14:paraId="42CF7477">
      <w:pPr>
        <w:spacing w:line="360" w:lineRule="auto"/>
        <w:rPr>
          <w:rFonts w:ascii="宋体" w:hAnsi="宋体" w:cs="宋体"/>
          <w:bCs/>
          <w:color w:val="auto"/>
          <w:szCs w:val="21"/>
          <w:highlight w:val="none"/>
        </w:rPr>
      </w:pPr>
    </w:p>
    <w:p w14:paraId="266C5B48">
      <w:pPr>
        <w:spacing w:line="360" w:lineRule="auto"/>
        <w:ind w:firstLine="1575" w:firstLineChars="750"/>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14:paraId="0908D715">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               项目编号：  </w:t>
      </w:r>
    </w:p>
    <w:p w14:paraId="46E5F5BC">
      <w:pPr>
        <w:spacing w:line="360" w:lineRule="auto"/>
        <w:ind w:firstLine="1575" w:firstLineChars="750"/>
        <w:rPr>
          <w:rFonts w:ascii="宋体" w:hAnsi="宋体" w:cs="宋体"/>
          <w:bCs/>
          <w:color w:val="auto"/>
          <w:szCs w:val="21"/>
          <w:highlight w:val="none"/>
        </w:rPr>
      </w:pPr>
      <w:r>
        <w:rPr>
          <w:rFonts w:hint="eastAsia" w:ascii="宋体" w:hAnsi="宋体" w:cs="宋体"/>
          <w:bCs/>
          <w:color w:val="auto"/>
          <w:szCs w:val="21"/>
          <w:highlight w:val="none"/>
        </w:rPr>
        <w:t>投标文件名称：资格证明文件/报价文件/技术商务文件</w:t>
      </w:r>
    </w:p>
    <w:p w14:paraId="16B0058A">
      <w:pPr>
        <w:pStyle w:val="8"/>
        <w:spacing w:line="360" w:lineRule="auto"/>
        <w:ind w:firstLine="1575" w:firstLineChars="750"/>
        <w:rPr>
          <w:rFonts w:hAnsi="宋体" w:cs="宋体"/>
          <w:bCs/>
          <w:color w:val="auto"/>
          <w:szCs w:val="21"/>
          <w:highlight w:val="none"/>
        </w:rPr>
      </w:pPr>
      <w:r>
        <w:rPr>
          <w:rFonts w:hint="eastAsia" w:hAnsi="宋体" w:cs="宋体"/>
          <w:bCs/>
          <w:color w:val="auto"/>
          <w:szCs w:val="21"/>
          <w:highlight w:val="none"/>
        </w:rPr>
        <w:t>投标人名称（盖章）：</w:t>
      </w:r>
    </w:p>
    <w:p w14:paraId="7D94D654">
      <w:pPr>
        <w:pStyle w:val="8"/>
        <w:spacing w:line="360" w:lineRule="auto"/>
        <w:ind w:firstLine="1575" w:firstLineChars="750"/>
        <w:rPr>
          <w:rFonts w:hAnsi="宋体" w:cs="宋体"/>
          <w:bCs/>
          <w:color w:val="auto"/>
          <w:szCs w:val="21"/>
          <w:highlight w:val="none"/>
        </w:rPr>
      </w:pPr>
      <w:r>
        <w:rPr>
          <w:rFonts w:hint="eastAsia" w:hAnsi="宋体" w:cs="宋体"/>
          <w:bCs/>
          <w:color w:val="auto"/>
          <w:szCs w:val="21"/>
          <w:highlight w:val="none"/>
        </w:rPr>
        <w:t>投标人地址：</w:t>
      </w:r>
    </w:p>
    <w:p w14:paraId="69440E3F">
      <w:pPr>
        <w:pStyle w:val="8"/>
        <w:spacing w:line="360" w:lineRule="auto"/>
        <w:ind w:firstLine="840" w:firstLineChars="400"/>
        <w:rPr>
          <w:rFonts w:hAnsi="宋体" w:cs="宋体"/>
          <w:bCs/>
          <w:color w:val="auto"/>
          <w:szCs w:val="21"/>
          <w:highlight w:val="none"/>
        </w:rPr>
      </w:pPr>
    </w:p>
    <w:p w14:paraId="6967EBBD">
      <w:pPr>
        <w:pStyle w:val="8"/>
        <w:spacing w:line="360" w:lineRule="auto"/>
        <w:ind w:firstLine="873" w:firstLineChars="416"/>
        <w:rPr>
          <w:rFonts w:hAnsi="宋体" w:cs="宋体"/>
          <w:color w:val="auto"/>
          <w:szCs w:val="21"/>
          <w:highlight w:val="none"/>
        </w:rPr>
      </w:pPr>
    </w:p>
    <w:p w14:paraId="46980FDB">
      <w:pPr>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rPr>
        <w:t>授权代表签章：</w:t>
      </w:r>
    </w:p>
    <w:p w14:paraId="4F85B004">
      <w:pPr>
        <w:spacing w:line="360" w:lineRule="auto"/>
        <w:ind w:firstLine="645"/>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1D07D920">
      <w:pPr>
        <w:pStyle w:val="18"/>
        <w:tabs>
          <w:tab w:val="left" w:pos="4841"/>
        </w:tabs>
        <w:rPr>
          <w:rFonts w:ascii="宋体" w:hAnsi="宋体"/>
          <w:b/>
          <w:color w:val="auto"/>
          <w:sz w:val="28"/>
          <w:szCs w:val="28"/>
          <w:highlight w:val="none"/>
        </w:rPr>
      </w:pPr>
    </w:p>
    <w:p w14:paraId="64741A45">
      <w:pPr>
        <w:pStyle w:val="18"/>
        <w:tabs>
          <w:tab w:val="left" w:pos="4841"/>
        </w:tabs>
        <w:rPr>
          <w:rFonts w:ascii="宋体" w:hAnsi="宋体"/>
          <w:b/>
          <w:color w:val="auto"/>
          <w:sz w:val="28"/>
          <w:szCs w:val="28"/>
          <w:highlight w:val="none"/>
        </w:rPr>
      </w:pPr>
    </w:p>
    <w:p w14:paraId="6C214452">
      <w:pPr>
        <w:pStyle w:val="3"/>
        <w:spacing w:before="0" w:after="0" w:line="240" w:lineRule="auto"/>
        <w:ind w:right="-567"/>
        <w:jc w:val="left"/>
        <w:rPr>
          <w:rFonts w:ascii="宋体" w:hAnsi="宋体" w:eastAsia="宋体" w:cs="宋体"/>
          <w:b w:val="0"/>
          <w:color w:val="auto"/>
          <w:sz w:val="21"/>
          <w:szCs w:val="21"/>
          <w:highlight w:val="none"/>
        </w:rPr>
      </w:pPr>
      <w:bookmarkStart w:id="117" w:name="_Toc97372565"/>
      <w:r>
        <w:rPr>
          <w:rFonts w:hint="eastAsia" w:ascii="宋体" w:hAnsi="宋体" w:eastAsia="宋体" w:cs="宋体"/>
          <w:b w:val="0"/>
          <w:color w:val="auto"/>
          <w:sz w:val="21"/>
          <w:szCs w:val="21"/>
          <w:highlight w:val="none"/>
        </w:rPr>
        <w:t xml:space="preserve">格式一 </w:t>
      </w:r>
      <w:bookmarkEnd w:id="117"/>
    </w:p>
    <w:p w14:paraId="11D8A659">
      <w:pPr>
        <w:pStyle w:val="2"/>
        <w:spacing w:line="360" w:lineRule="exact"/>
        <w:rPr>
          <w:rFonts w:hAnsi="宋体" w:cs="宋体"/>
          <w:color w:val="auto"/>
          <w:sz w:val="21"/>
          <w:szCs w:val="21"/>
          <w:highlight w:val="none"/>
        </w:rPr>
      </w:pPr>
      <w:bookmarkStart w:id="118" w:name="_Toc496003216"/>
      <w:bookmarkStart w:id="119" w:name="_Toc498429649"/>
      <w:r>
        <w:rPr>
          <w:rFonts w:hint="eastAsia" w:hAnsi="宋体" w:cs="宋体"/>
          <w:color w:val="auto"/>
          <w:sz w:val="21"/>
          <w:szCs w:val="21"/>
          <w:highlight w:val="none"/>
        </w:rPr>
        <w:t>投标函</w:t>
      </w:r>
      <w:bookmarkEnd w:id="118"/>
      <w:bookmarkEnd w:id="119"/>
    </w:p>
    <w:p w14:paraId="6BD1B653">
      <w:pPr>
        <w:spacing w:line="360" w:lineRule="exact"/>
        <w:rPr>
          <w:rFonts w:ascii="宋体" w:hAnsi="宋体" w:cs="宋体"/>
          <w:color w:val="auto"/>
          <w:w w:val="80"/>
          <w:szCs w:val="21"/>
          <w:highlight w:val="none"/>
        </w:rPr>
      </w:pPr>
    </w:p>
    <w:p w14:paraId="50D052CE">
      <w:pPr>
        <w:pStyle w:val="18"/>
        <w:spacing w:line="360" w:lineRule="auto"/>
        <w:ind w:firstLine="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致：中冠工程管理咨询有限公司</w:t>
      </w:r>
    </w:p>
    <w:p w14:paraId="00BCB1A1">
      <w:pPr>
        <w:pStyle w:val="18"/>
        <w:spacing w:line="360" w:lineRule="auto"/>
        <w:ind w:firstLine="490"/>
        <w:contextualSpacing/>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（全权代表姓名、职务）</w:t>
      </w:r>
      <w:r>
        <w:rPr>
          <w:rFonts w:hint="eastAsia" w:ascii="宋体" w:hAnsi="宋体" w:eastAsia="宋体" w:cs="宋体"/>
          <w:color w:val="auto"/>
          <w:sz w:val="21"/>
          <w:szCs w:val="21"/>
          <w:highlight w:val="none"/>
        </w:rPr>
        <w:t>为本公司合法代理人，参加贵方组织的</w:t>
      </w:r>
      <w:r>
        <w:rPr>
          <w:rFonts w:hint="eastAsia" w:ascii="宋体" w:hAnsi="宋体" w:eastAsia="宋体" w:cs="宋体"/>
          <w:color w:val="auto"/>
          <w:sz w:val="21"/>
          <w:szCs w:val="21"/>
          <w:highlight w:val="none"/>
          <w:u w:val="single"/>
        </w:rPr>
        <w:t>（采购编号、采购项目名称）</w:t>
      </w:r>
      <w:r>
        <w:rPr>
          <w:rFonts w:hint="eastAsia" w:ascii="宋体" w:hAnsi="宋体" w:eastAsia="宋体" w:cs="宋体"/>
          <w:color w:val="auto"/>
          <w:sz w:val="21"/>
          <w:szCs w:val="21"/>
          <w:highlight w:val="none"/>
        </w:rPr>
        <w:t>招投标活动，代表本公司处理招投标活动中的一切事宜。在此：</w:t>
      </w:r>
    </w:p>
    <w:p w14:paraId="3594AA36">
      <w:pPr>
        <w:pStyle w:val="18"/>
        <w:tabs>
          <w:tab w:val="left" w:pos="426"/>
        </w:tabs>
        <w:spacing w:line="360" w:lineRule="auto"/>
        <w:ind w:firstLine="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1、提供采购文件中“投标须知”规定的全部投标文件资料：</w:t>
      </w:r>
    </w:p>
    <w:p w14:paraId="5E822379">
      <w:pPr>
        <w:pStyle w:val="18"/>
        <w:tabs>
          <w:tab w:val="left" w:pos="993"/>
        </w:tabs>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（1）资格证明文件：正本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份；</w:t>
      </w:r>
    </w:p>
    <w:p w14:paraId="6858714D">
      <w:pPr>
        <w:pStyle w:val="18"/>
        <w:tabs>
          <w:tab w:val="left" w:pos="993"/>
        </w:tabs>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（2）报价文件：正本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份；</w:t>
      </w:r>
    </w:p>
    <w:p w14:paraId="019171F5">
      <w:pPr>
        <w:pStyle w:val="18"/>
        <w:tabs>
          <w:tab w:val="left" w:pos="993"/>
        </w:tabs>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（3）技术商务文件：正本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份；</w:t>
      </w:r>
    </w:p>
    <w:p w14:paraId="08FF346A">
      <w:pPr>
        <w:pStyle w:val="18"/>
        <w:tabs>
          <w:tab w:val="left" w:pos="426"/>
        </w:tabs>
        <w:spacing w:line="360" w:lineRule="auto"/>
        <w:ind w:firstLine="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2、据此函，签字代表宣布并承诺如下：</w:t>
      </w:r>
    </w:p>
    <w:p w14:paraId="043B3851">
      <w:pPr>
        <w:pStyle w:val="18"/>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我们已详细审查全部“招标文件”，包括修改文件（如有）以及全部参考资料和有关附件，我们完全理解并同意放弃对这方面提出任何异议的权利。已经了解对于招标文件、采购过程、采购结果有依法进行询问、质疑、投诉的权利及相关渠道和要求。</w:t>
      </w:r>
    </w:p>
    <w:p w14:paraId="6672DD66">
      <w:pPr>
        <w:pStyle w:val="18"/>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（2）本投标自开标之日起天内有效。</w:t>
      </w:r>
    </w:p>
    <w:p w14:paraId="354B0DE5">
      <w:pPr>
        <w:pStyle w:val="18"/>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（3）保证遵守招标文件有关条款规定。</w:t>
      </w:r>
    </w:p>
    <w:p w14:paraId="3243F543">
      <w:pPr>
        <w:pStyle w:val="18"/>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（4）保证在中标后忠实地执行与采购人所签署的合同，并承担合同规定的责任义务。保证在中标后按照招标文件的规定支付招标代理服务费。</w:t>
      </w:r>
    </w:p>
    <w:p w14:paraId="53D3F827">
      <w:pPr>
        <w:pStyle w:val="18"/>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（5）承诺应贵方要求提供任何与该项目投标有关的数据、情况和技术资料。</w:t>
      </w:r>
    </w:p>
    <w:p w14:paraId="0732F5E0">
      <w:pPr>
        <w:pStyle w:val="18"/>
        <w:tabs>
          <w:tab w:val="left" w:pos="426"/>
        </w:tabs>
        <w:spacing w:line="360" w:lineRule="auto"/>
        <w:ind w:firstLine="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3、与本投标有关的一切往来通讯请寄：</w:t>
      </w:r>
    </w:p>
    <w:p w14:paraId="01F6FE64">
      <w:pPr>
        <w:pStyle w:val="18"/>
        <w:spacing w:line="360" w:lineRule="auto"/>
        <w:ind w:left="480" w:firstLine="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4F567285">
      <w:pPr>
        <w:pStyle w:val="18"/>
        <w:spacing w:line="360" w:lineRule="auto"/>
        <w:ind w:left="480" w:firstLine="0"/>
        <w:contextualSpacing/>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邮编：              电话：              传真：</w:t>
      </w:r>
    </w:p>
    <w:p w14:paraId="162447BF">
      <w:pPr>
        <w:pStyle w:val="18"/>
        <w:spacing w:line="360" w:lineRule="auto"/>
        <w:ind w:firstLine="0"/>
        <w:contextualSpacing/>
        <w:rPr>
          <w:rFonts w:ascii="宋体" w:hAnsi="宋体" w:eastAsia="宋体" w:cs="宋体"/>
          <w:color w:val="auto"/>
          <w:sz w:val="21"/>
          <w:szCs w:val="21"/>
          <w:highlight w:val="none"/>
        </w:rPr>
      </w:pPr>
    </w:p>
    <w:p w14:paraId="0A0C3EC7">
      <w:pPr>
        <w:pStyle w:val="18"/>
        <w:spacing w:line="360" w:lineRule="auto"/>
        <w:ind w:firstLine="0"/>
        <w:contextualSpacing/>
        <w:rPr>
          <w:rFonts w:ascii="宋体" w:hAnsi="宋体" w:eastAsia="宋体" w:cs="宋体"/>
          <w:color w:val="auto"/>
          <w:sz w:val="21"/>
          <w:szCs w:val="21"/>
          <w:highlight w:val="none"/>
        </w:rPr>
      </w:pPr>
    </w:p>
    <w:p w14:paraId="2E1989EE">
      <w:pPr>
        <w:pStyle w:val="18"/>
        <w:tabs>
          <w:tab w:val="left" w:pos="4185"/>
        </w:tabs>
        <w:spacing w:line="360" w:lineRule="auto"/>
        <w:ind w:firstLine="315" w:firstLineChars="15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投标人（盖章）：            </w:t>
      </w:r>
    </w:p>
    <w:p w14:paraId="683AEB20">
      <w:pPr>
        <w:pStyle w:val="18"/>
        <w:tabs>
          <w:tab w:val="left" w:pos="4185"/>
        </w:tabs>
        <w:spacing w:line="360" w:lineRule="auto"/>
        <w:ind w:firstLine="315" w:firstLineChars="15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法定代表人或授权代表人（签字或盖章）：</w:t>
      </w:r>
    </w:p>
    <w:p w14:paraId="697156CC">
      <w:pPr>
        <w:pStyle w:val="18"/>
        <w:tabs>
          <w:tab w:val="left" w:pos="4841"/>
        </w:tabs>
        <w:spacing w:line="360" w:lineRule="auto"/>
        <w:ind w:firstLine="0"/>
        <w:contextualSpacing/>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b/>
      </w:r>
    </w:p>
    <w:p w14:paraId="155F17B1">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eastAsia="zh-CN"/>
        </w:rPr>
        <w:t>2024年</w:t>
      </w:r>
      <w:r>
        <w:rPr>
          <w:rFonts w:hint="eastAsia" w:ascii="宋体" w:hAnsi="宋体" w:eastAsia="宋体" w:cs="宋体"/>
          <w:color w:val="auto"/>
          <w:sz w:val="21"/>
          <w:szCs w:val="21"/>
          <w:highlight w:val="none"/>
        </w:rPr>
        <w:t xml:space="preserve"> 月  日</w:t>
      </w:r>
    </w:p>
    <w:p w14:paraId="739ADE1E">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p>
    <w:p w14:paraId="2BDB61AE">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p>
    <w:p w14:paraId="731D3402">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p>
    <w:p w14:paraId="4F2BFE36">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p>
    <w:p w14:paraId="286167CE">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p>
    <w:p w14:paraId="481BD837">
      <w:pPr>
        <w:pStyle w:val="18"/>
        <w:tabs>
          <w:tab w:val="left" w:pos="4841"/>
        </w:tabs>
        <w:ind w:firstLine="0"/>
        <w:rPr>
          <w:rFonts w:ascii="宋体" w:hAnsi="宋体"/>
          <w:b/>
          <w:color w:val="auto"/>
          <w:sz w:val="28"/>
          <w:szCs w:val="28"/>
          <w:highlight w:val="none"/>
        </w:rPr>
      </w:pPr>
    </w:p>
    <w:p w14:paraId="3962EF3B">
      <w:pPr>
        <w:pStyle w:val="18"/>
        <w:tabs>
          <w:tab w:val="left" w:pos="4841"/>
        </w:tabs>
        <w:rPr>
          <w:rFonts w:hint="eastAsia" w:ascii="宋体" w:hAnsi="宋体" w:eastAsia="宋体" w:cs="宋体"/>
          <w:bCs/>
          <w:color w:val="auto"/>
          <w:sz w:val="21"/>
          <w:szCs w:val="21"/>
          <w:highlight w:val="none"/>
        </w:rPr>
      </w:pPr>
    </w:p>
    <w:p w14:paraId="470E98FF">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格式二</w:t>
      </w:r>
    </w:p>
    <w:p w14:paraId="381F1A28">
      <w:pPr>
        <w:pStyle w:val="18"/>
        <w:ind w:firstLine="0"/>
        <w:jc w:val="center"/>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技术商务分自评表</w:t>
      </w:r>
    </w:p>
    <w:p w14:paraId="2AB6064E">
      <w:pPr>
        <w:pStyle w:val="18"/>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招标编号：</w:t>
      </w:r>
      <w:r>
        <w:rPr>
          <w:rFonts w:ascii="宋体" w:hAnsi="宋体" w:eastAsia="宋体" w:cs="宋体"/>
          <w:bCs/>
          <w:color w:val="auto"/>
          <w:sz w:val="21"/>
          <w:szCs w:val="21"/>
          <w:highlight w:val="none"/>
        </w:rPr>
        <w:tab/>
      </w:r>
      <w:r>
        <w:rPr>
          <w:rFonts w:ascii="宋体" w:hAnsi="宋体" w:eastAsia="宋体" w:cs="宋体"/>
          <w:bCs/>
          <w:color w:val="auto"/>
          <w:sz w:val="21"/>
          <w:szCs w:val="21"/>
          <w:highlight w:val="none"/>
        </w:rPr>
        <w:t>项目名称：</w:t>
      </w:r>
    </w:p>
    <w:tbl>
      <w:tblPr>
        <w:tblStyle w:val="45"/>
        <w:tblW w:w="10491" w:type="dxa"/>
        <w:tblInd w:w="-98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7939"/>
        <w:gridCol w:w="992"/>
        <w:gridCol w:w="993"/>
      </w:tblGrid>
      <w:tr w14:paraId="348C32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Borders>
              <w:top w:val="single" w:color="auto" w:sz="4" w:space="0"/>
              <w:bottom w:val="single" w:color="auto" w:sz="4" w:space="0"/>
            </w:tcBorders>
            <w:tcMar>
              <w:left w:w="0" w:type="dxa"/>
              <w:right w:w="0" w:type="dxa"/>
            </w:tcMar>
            <w:vAlign w:val="center"/>
          </w:tcPr>
          <w:p w14:paraId="5EB4A866">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7939" w:type="dxa"/>
            <w:tcBorders>
              <w:top w:val="single" w:color="auto" w:sz="4" w:space="0"/>
              <w:bottom w:val="single" w:color="auto" w:sz="4" w:space="0"/>
            </w:tcBorders>
            <w:tcMar>
              <w:left w:w="0" w:type="dxa"/>
              <w:right w:w="0" w:type="dxa"/>
            </w:tcMar>
            <w:vAlign w:val="center"/>
          </w:tcPr>
          <w:p w14:paraId="2FC5020F">
            <w:pPr>
              <w:pStyle w:val="18"/>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评分标准</w:t>
            </w:r>
          </w:p>
        </w:tc>
        <w:tc>
          <w:tcPr>
            <w:tcW w:w="992" w:type="dxa"/>
            <w:tcBorders>
              <w:top w:val="single" w:color="auto" w:sz="4" w:space="0"/>
              <w:bottom w:val="single" w:color="auto" w:sz="4" w:space="0"/>
            </w:tcBorders>
            <w:tcMar>
              <w:left w:w="0" w:type="dxa"/>
              <w:right w:w="0" w:type="dxa"/>
            </w:tcMar>
            <w:vAlign w:val="center"/>
          </w:tcPr>
          <w:p w14:paraId="0A24317C">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自评分</w:t>
            </w:r>
          </w:p>
        </w:tc>
        <w:tc>
          <w:tcPr>
            <w:tcW w:w="993" w:type="dxa"/>
            <w:tcBorders>
              <w:top w:val="single" w:color="auto" w:sz="4" w:space="0"/>
              <w:bottom w:val="single" w:color="auto" w:sz="4" w:space="0"/>
            </w:tcBorders>
            <w:tcMar>
              <w:left w:w="0" w:type="dxa"/>
              <w:right w:w="0" w:type="dxa"/>
            </w:tcMar>
            <w:vAlign w:val="center"/>
          </w:tcPr>
          <w:p w14:paraId="13CCD247">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页码</w:t>
            </w:r>
          </w:p>
        </w:tc>
      </w:tr>
      <w:tr w14:paraId="7CF7E8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Borders>
              <w:top w:val="single" w:color="auto" w:sz="4" w:space="0"/>
            </w:tcBorders>
            <w:tcMar>
              <w:left w:w="0" w:type="dxa"/>
              <w:right w:w="0" w:type="dxa"/>
            </w:tcMar>
            <w:vAlign w:val="center"/>
          </w:tcPr>
          <w:p w14:paraId="63B8533E">
            <w:pPr>
              <w:pStyle w:val="18"/>
              <w:ind w:firstLine="0"/>
              <w:jc w:val="center"/>
              <w:rPr>
                <w:rFonts w:ascii="宋体" w:hAnsi="宋体" w:eastAsia="宋体" w:cs="宋体"/>
                <w:bCs/>
                <w:color w:val="auto"/>
                <w:sz w:val="21"/>
                <w:szCs w:val="21"/>
                <w:highlight w:val="none"/>
              </w:rPr>
            </w:pPr>
          </w:p>
        </w:tc>
        <w:tc>
          <w:tcPr>
            <w:tcW w:w="7939" w:type="dxa"/>
            <w:tcBorders>
              <w:top w:val="single" w:color="auto" w:sz="4" w:space="0"/>
            </w:tcBorders>
            <w:tcMar>
              <w:left w:w="0" w:type="dxa"/>
              <w:right w:w="0" w:type="dxa"/>
            </w:tcMar>
            <w:vAlign w:val="center"/>
          </w:tcPr>
          <w:p w14:paraId="20DE7DDA">
            <w:pPr>
              <w:pStyle w:val="18"/>
              <w:ind w:firstLine="0"/>
              <w:rPr>
                <w:rFonts w:ascii="宋体" w:hAnsi="宋体" w:eastAsia="宋体" w:cs="宋体"/>
                <w:color w:val="auto"/>
                <w:sz w:val="21"/>
                <w:szCs w:val="21"/>
                <w:highlight w:val="none"/>
              </w:rPr>
            </w:pPr>
          </w:p>
        </w:tc>
        <w:tc>
          <w:tcPr>
            <w:tcW w:w="992" w:type="dxa"/>
            <w:tcBorders>
              <w:top w:val="single" w:color="auto" w:sz="4" w:space="0"/>
            </w:tcBorders>
            <w:tcMar>
              <w:left w:w="0" w:type="dxa"/>
              <w:right w:w="0" w:type="dxa"/>
            </w:tcMar>
            <w:vAlign w:val="center"/>
          </w:tcPr>
          <w:p w14:paraId="1EA52A94">
            <w:pPr>
              <w:pStyle w:val="18"/>
              <w:jc w:val="center"/>
              <w:rPr>
                <w:rFonts w:ascii="宋体" w:hAnsi="宋体" w:eastAsia="宋体" w:cs="宋体"/>
                <w:bCs/>
                <w:color w:val="auto"/>
                <w:sz w:val="21"/>
                <w:szCs w:val="21"/>
                <w:highlight w:val="none"/>
              </w:rPr>
            </w:pPr>
          </w:p>
        </w:tc>
        <w:tc>
          <w:tcPr>
            <w:tcW w:w="993" w:type="dxa"/>
            <w:tcBorders>
              <w:top w:val="single" w:color="auto" w:sz="4" w:space="0"/>
            </w:tcBorders>
            <w:tcMar>
              <w:left w:w="0" w:type="dxa"/>
              <w:right w:w="0" w:type="dxa"/>
            </w:tcMar>
            <w:vAlign w:val="center"/>
          </w:tcPr>
          <w:p w14:paraId="48DCFE9B">
            <w:pPr>
              <w:pStyle w:val="18"/>
              <w:jc w:val="center"/>
              <w:rPr>
                <w:rFonts w:ascii="宋体" w:hAnsi="宋体" w:eastAsia="宋体" w:cs="宋体"/>
                <w:bCs/>
                <w:color w:val="auto"/>
                <w:sz w:val="21"/>
                <w:szCs w:val="21"/>
                <w:highlight w:val="none"/>
              </w:rPr>
            </w:pPr>
          </w:p>
        </w:tc>
      </w:tr>
      <w:tr w14:paraId="1A86F7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4336A4FF">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47FE64BA">
            <w:pPr>
              <w:spacing w:line="360" w:lineRule="exact"/>
              <w:rPr>
                <w:rFonts w:ascii="宋体" w:hAnsi="宋体" w:cs="宋体"/>
                <w:color w:val="auto"/>
                <w:szCs w:val="21"/>
                <w:highlight w:val="none"/>
              </w:rPr>
            </w:pPr>
          </w:p>
        </w:tc>
        <w:tc>
          <w:tcPr>
            <w:tcW w:w="992" w:type="dxa"/>
            <w:tcMar>
              <w:left w:w="0" w:type="dxa"/>
              <w:right w:w="0" w:type="dxa"/>
            </w:tcMar>
            <w:vAlign w:val="center"/>
          </w:tcPr>
          <w:p w14:paraId="0886F76D">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06F21B54">
            <w:pPr>
              <w:pStyle w:val="18"/>
              <w:jc w:val="center"/>
              <w:rPr>
                <w:rFonts w:ascii="宋体" w:hAnsi="宋体" w:eastAsia="宋体" w:cs="宋体"/>
                <w:bCs/>
                <w:color w:val="auto"/>
                <w:sz w:val="21"/>
                <w:szCs w:val="21"/>
                <w:highlight w:val="none"/>
              </w:rPr>
            </w:pPr>
          </w:p>
        </w:tc>
      </w:tr>
      <w:tr w14:paraId="38A8AD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5DC6DDF2">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5B85F9CB">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04D18316">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2B493EFD">
            <w:pPr>
              <w:pStyle w:val="18"/>
              <w:jc w:val="center"/>
              <w:rPr>
                <w:rFonts w:ascii="宋体" w:hAnsi="宋体" w:eastAsia="宋体" w:cs="宋体"/>
                <w:bCs/>
                <w:color w:val="auto"/>
                <w:sz w:val="21"/>
                <w:szCs w:val="21"/>
                <w:highlight w:val="none"/>
              </w:rPr>
            </w:pPr>
          </w:p>
        </w:tc>
      </w:tr>
      <w:tr w14:paraId="76ADBF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676BCEF9">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5B25BFA8">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5BC33052">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651DE5B9">
            <w:pPr>
              <w:pStyle w:val="18"/>
              <w:jc w:val="center"/>
              <w:rPr>
                <w:rFonts w:ascii="宋体" w:hAnsi="宋体" w:eastAsia="宋体" w:cs="宋体"/>
                <w:bCs/>
                <w:color w:val="auto"/>
                <w:sz w:val="21"/>
                <w:szCs w:val="21"/>
                <w:highlight w:val="none"/>
              </w:rPr>
            </w:pPr>
          </w:p>
        </w:tc>
      </w:tr>
      <w:tr w14:paraId="32B68C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6F763415">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2BAE2844">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48CCC9F8">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3C26DD91">
            <w:pPr>
              <w:pStyle w:val="18"/>
              <w:jc w:val="center"/>
              <w:rPr>
                <w:rFonts w:ascii="宋体" w:hAnsi="宋体" w:eastAsia="宋体" w:cs="宋体"/>
                <w:bCs/>
                <w:color w:val="auto"/>
                <w:sz w:val="21"/>
                <w:szCs w:val="21"/>
                <w:highlight w:val="none"/>
              </w:rPr>
            </w:pPr>
          </w:p>
        </w:tc>
      </w:tr>
      <w:tr w14:paraId="51C9CA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693446F3">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tcPr>
          <w:p w14:paraId="6285781D">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1EC9286C">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26641846">
            <w:pPr>
              <w:pStyle w:val="18"/>
              <w:jc w:val="center"/>
              <w:rPr>
                <w:rFonts w:ascii="宋体" w:hAnsi="宋体" w:eastAsia="宋体" w:cs="宋体"/>
                <w:bCs/>
                <w:color w:val="auto"/>
                <w:sz w:val="21"/>
                <w:szCs w:val="21"/>
                <w:highlight w:val="none"/>
              </w:rPr>
            </w:pPr>
          </w:p>
        </w:tc>
      </w:tr>
      <w:tr w14:paraId="224795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373F4A97">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tcPr>
          <w:p w14:paraId="001B164F">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69CCA907">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56C5D374">
            <w:pPr>
              <w:pStyle w:val="18"/>
              <w:jc w:val="center"/>
              <w:rPr>
                <w:rFonts w:ascii="宋体" w:hAnsi="宋体" w:eastAsia="宋体" w:cs="宋体"/>
                <w:bCs/>
                <w:color w:val="auto"/>
                <w:sz w:val="21"/>
                <w:szCs w:val="21"/>
                <w:highlight w:val="none"/>
              </w:rPr>
            </w:pPr>
          </w:p>
        </w:tc>
      </w:tr>
      <w:tr w14:paraId="1177EA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332841EF">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6A1532DF">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0AEA2EFF">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4DAB565E">
            <w:pPr>
              <w:pStyle w:val="18"/>
              <w:jc w:val="center"/>
              <w:rPr>
                <w:rFonts w:ascii="宋体" w:hAnsi="宋体" w:eastAsia="宋体" w:cs="宋体"/>
                <w:bCs/>
                <w:color w:val="auto"/>
                <w:sz w:val="21"/>
                <w:szCs w:val="21"/>
                <w:highlight w:val="none"/>
              </w:rPr>
            </w:pPr>
          </w:p>
        </w:tc>
      </w:tr>
      <w:tr w14:paraId="639821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5A712453">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5DFA6BD3">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272621E6">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0C332395">
            <w:pPr>
              <w:pStyle w:val="18"/>
              <w:jc w:val="center"/>
              <w:rPr>
                <w:rFonts w:ascii="宋体" w:hAnsi="宋体" w:eastAsia="宋体" w:cs="宋体"/>
                <w:bCs/>
                <w:color w:val="auto"/>
                <w:sz w:val="21"/>
                <w:szCs w:val="21"/>
                <w:highlight w:val="none"/>
              </w:rPr>
            </w:pPr>
          </w:p>
        </w:tc>
      </w:tr>
      <w:tr w14:paraId="47CD5B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659D80FC">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180F7C20">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02E70D0B">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44DC13AC">
            <w:pPr>
              <w:pStyle w:val="18"/>
              <w:jc w:val="center"/>
              <w:rPr>
                <w:rFonts w:ascii="宋体" w:hAnsi="宋体" w:eastAsia="宋体" w:cs="宋体"/>
                <w:bCs/>
                <w:color w:val="auto"/>
                <w:sz w:val="21"/>
                <w:szCs w:val="21"/>
                <w:highlight w:val="none"/>
              </w:rPr>
            </w:pPr>
          </w:p>
        </w:tc>
      </w:tr>
      <w:tr w14:paraId="2F8325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5445EF57">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71339A68">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255C04E5">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2607F2EF">
            <w:pPr>
              <w:pStyle w:val="18"/>
              <w:jc w:val="center"/>
              <w:rPr>
                <w:rFonts w:ascii="宋体" w:hAnsi="宋体" w:eastAsia="宋体" w:cs="宋体"/>
                <w:bCs/>
                <w:color w:val="auto"/>
                <w:sz w:val="21"/>
                <w:szCs w:val="21"/>
                <w:highlight w:val="none"/>
              </w:rPr>
            </w:pPr>
          </w:p>
        </w:tc>
      </w:tr>
      <w:tr w14:paraId="7ACCB7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61C056B0">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tcPr>
          <w:p w14:paraId="6A6FD6B8">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4A9890F7">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2FE981C8">
            <w:pPr>
              <w:pStyle w:val="18"/>
              <w:jc w:val="center"/>
              <w:rPr>
                <w:rFonts w:ascii="宋体" w:hAnsi="宋体" w:eastAsia="宋体" w:cs="宋体"/>
                <w:bCs/>
                <w:color w:val="auto"/>
                <w:sz w:val="21"/>
                <w:szCs w:val="21"/>
                <w:highlight w:val="none"/>
              </w:rPr>
            </w:pPr>
          </w:p>
        </w:tc>
      </w:tr>
      <w:tr w14:paraId="36355D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8506" w:type="dxa"/>
            <w:gridSpan w:val="2"/>
            <w:tcMar>
              <w:left w:w="0" w:type="dxa"/>
              <w:right w:w="0" w:type="dxa"/>
            </w:tcMar>
            <w:vAlign w:val="center"/>
          </w:tcPr>
          <w:p w14:paraId="37703FA2">
            <w:pPr>
              <w:spacing w:line="360" w:lineRule="exact"/>
              <w:jc w:val="center"/>
              <w:rPr>
                <w:rFonts w:ascii="宋体" w:hAnsi="宋体"/>
                <w:color w:val="auto"/>
                <w:szCs w:val="21"/>
                <w:highlight w:val="none"/>
              </w:rPr>
            </w:pPr>
            <w:r>
              <w:rPr>
                <w:rFonts w:hint="eastAsia" w:ascii="宋体" w:hAnsi="宋体"/>
                <w:color w:val="auto"/>
                <w:szCs w:val="21"/>
                <w:highlight w:val="none"/>
              </w:rPr>
              <w:t>合  计</w:t>
            </w:r>
          </w:p>
        </w:tc>
        <w:tc>
          <w:tcPr>
            <w:tcW w:w="992" w:type="dxa"/>
            <w:tcMar>
              <w:left w:w="0" w:type="dxa"/>
              <w:right w:w="0" w:type="dxa"/>
            </w:tcMar>
            <w:vAlign w:val="center"/>
          </w:tcPr>
          <w:p w14:paraId="2340A19E">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47736688">
            <w:pPr>
              <w:pStyle w:val="18"/>
              <w:jc w:val="center"/>
              <w:rPr>
                <w:rFonts w:ascii="宋体" w:hAnsi="宋体" w:eastAsia="宋体" w:cs="宋体"/>
                <w:bCs/>
                <w:color w:val="auto"/>
                <w:sz w:val="21"/>
                <w:szCs w:val="21"/>
                <w:highlight w:val="none"/>
              </w:rPr>
            </w:pPr>
          </w:p>
        </w:tc>
      </w:tr>
    </w:tbl>
    <w:p w14:paraId="175389E1">
      <w:pPr>
        <w:pStyle w:val="18"/>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备注：</w:t>
      </w:r>
      <w:r>
        <w:rPr>
          <w:rFonts w:hint="eastAsia" w:ascii="宋体" w:hAnsi="宋体" w:eastAsia="宋体" w:cs="宋体"/>
          <w:bCs/>
          <w:color w:val="auto"/>
          <w:sz w:val="21"/>
          <w:szCs w:val="21"/>
          <w:highlight w:val="none"/>
        </w:rPr>
        <w:t>页码</w:t>
      </w:r>
      <w:r>
        <w:rPr>
          <w:rFonts w:ascii="宋体" w:hAnsi="宋体" w:eastAsia="宋体" w:cs="宋体"/>
          <w:bCs/>
          <w:color w:val="auto"/>
          <w:sz w:val="21"/>
          <w:szCs w:val="21"/>
          <w:highlight w:val="none"/>
        </w:rPr>
        <w:t>内填写评分标准对应的投标文件所在页码</w:t>
      </w:r>
      <w:r>
        <w:rPr>
          <w:rFonts w:hint="eastAsia" w:ascii="宋体" w:hAnsi="宋体" w:eastAsia="宋体" w:cs="宋体"/>
          <w:bCs/>
          <w:color w:val="auto"/>
          <w:sz w:val="21"/>
          <w:szCs w:val="21"/>
          <w:highlight w:val="none"/>
        </w:rPr>
        <w:t>。</w:t>
      </w:r>
    </w:p>
    <w:p w14:paraId="43800FED">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投标人（盖章）：</w:t>
      </w:r>
    </w:p>
    <w:p w14:paraId="5A947E14">
      <w:pPr>
        <w:pStyle w:val="18"/>
        <w:jc w:val="left"/>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法定代表人或授权代表人（签字或盖章）</w:t>
      </w:r>
      <w:r>
        <w:rPr>
          <w:rFonts w:hint="eastAsia" w:ascii="宋体" w:hAnsi="宋体" w:eastAsia="宋体" w:cs="宋体"/>
          <w:bCs/>
          <w:color w:val="auto"/>
          <w:sz w:val="21"/>
          <w:szCs w:val="21"/>
          <w:highlight w:val="none"/>
        </w:rPr>
        <w:t xml:space="preserve">：                         </w:t>
      </w:r>
    </w:p>
    <w:p w14:paraId="173AD3B2">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日期：</w:t>
      </w:r>
    </w:p>
    <w:p w14:paraId="1AD801C3">
      <w:pPr>
        <w:pStyle w:val="18"/>
        <w:tabs>
          <w:tab w:val="left" w:pos="4841"/>
        </w:tabs>
        <w:rPr>
          <w:rFonts w:ascii="宋体" w:hAnsi="宋体" w:eastAsia="宋体" w:cs="宋体"/>
          <w:bCs/>
          <w:color w:val="auto"/>
          <w:sz w:val="21"/>
          <w:szCs w:val="21"/>
          <w:highlight w:val="none"/>
        </w:rPr>
      </w:pPr>
    </w:p>
    <w:p w14:paraId="725B06E6">
      <w:pPr>
        <w:pStyle w:val="18"/>
        <w:tabs>
          <w:tab w:val="left" w:pos="4841"/>
        </w:tabs>
        <w:rPr>
          <w:rFonts w:ascii="宋体" w:hAnsi="宋体" w:eastAsia="宋体" w:cs="宋体"/>
          <w:bCs/>
          <w:color w:val="auto"/>
          <w:sz w:val="21"/>
          <w:szCs w:val="21"/>
          <w:highlight w:val="none"/>
        </w:rPr>
        <w:sectPr>
          <w:pgSz w:w="11907" w:h="16840"/>
          <w:pgMar w:top="1304" w:right="1588" w:bottom="1304" w:left="1588" w:header="720" w:footer="720" w:gutter="0"/>
          <w:pgNumType w:fmt="decimal"/>
          <w:cols w:space="720" w:num="1"/>
          <w:titlePg/>
          <w:docGrid w:linePitch="285" w:charSpace="0"/>
        </w:sectPr>
      </w:pPr>
    </w:p>
    <w:p w14:paraId="60E91B45">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格式三</w:t>
      </w:r>
    </w:p>
    <w:p w14:paraId="2DA96E55">
      <w:pPr>
        <w:pStyle w:val="18"/>
        <w:tabs>
          <w:tab w:val="left" w:pos="4841"/>
        </w:tabs>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投标一览表（</w:t>
      </w:r>
      <w:r>
        <w:rPr>
          <w:rFonts w:hint="eastAsia" w:ascii="宋体" w:hAnsi="宋体" w:eastAsia="宋体" w:cs="宋体"/>
          <w:bCs/>
          <w:color w:val="auto"/>
          <w:sz w:val="21"/>
          <w:szCs w:val="21"/>
          <w:highlight w:val="none"/>
          <w:lang w:eastAsia="zh-CN"/>
        </w:rPr>
        <w:t>标项（子包）</w:t>
      </w:r>
      <w:r>
        <w:rPr>
          <w:rFonts w:hint="eastAsia" w:ascii="宋体" w:hAnsi="宋体" w:eastAsia="宋体" w:cs="宋体"/>
          <w:bCs/>
          <w:color w:val="auto"/>
          <w:sz w:val="21"/>
          <w:szCs w:val="21"/>
          <w:highlight w:val="none"/>
        </w:rPr>
        <w:t>一）</w:t>
      </w:r>
    </w:p>
    <w:p w14:paraId="54948830">
      <w:pPr>
        <w:pStyle w:val="18"/>
        <w:rPr>
          <w:rFonts w:ascii="宋体" w:hAnsi="宋体" w:eastAsia="宋体" w:cs="宋体"/>
          <w:bCs/>
          <w:color w:val="auto"/>
          <w:sz w:val="21"/>
          <w:szCs w:val="21"/>
          <w:highlight w:val="none"/>
        </w:rPr>
      </w:pPr>
    </w:p>
    <w:p w14:paraId="5432318B">
      <w:pPr>
        <w:pStyle w:val="18"/>
        <w:rPr>
          <w:rFonts w:ascii="宋体" w:hAnsi="宋体"/>
          <w:color w:val="auto"/>
          <w:highlight w:val="none"/>
          <w:u w:val="single"/>
        </w:rPr>
      </w:pPr>
      <w:r>
        <w:rPr>
          <w:rFonts w:hint="eastAsia" w:ascii="宋体" w:hAnsi="宋体"/>
          <w:color w:val="auto"/>
          <w:highlight w:val="none"/>
        </w:rPr>
        <w:t>招标项目名称：</w:t>
      </w:r>
      <w:r>
        <w:rPr>
          <w:rFonts w:hint="eastAsia" w:ascii="宋体" w:hAnsi="宋体"/>
          <w:color w:val="auto"/>
          <w:highlight w:val="none"/>
          <w:lang w:val="en-US" w:eastAsia="zh-CN"/>
        </w:rPr>
        <w:t xml:space="preserve">     </w:t>
      </w:r>
      <w:r>
        <w:rPr>
          <w:rFonts w:hint="eastAsia" w:ascii="宋体" w:hAnsi="宋体"/>
          <w:color w:val="auto"/>
          <w:highlight w:val="none"/>
        </w:rPr>
        <w:t>招标编号：</w:t>
      </w:r>
      <w:r>
        <w:rPr>
          <w:rFonts w:hint="eastAsia" w:ascii="宋体" w:hAnsi="宋体"/>
          <w:color w:val="auto"/>
          <w:highlight w:val="none"/>
          <w:lang w:val="en-US" w:eastAsia="zh-CN"/>
        </w:rPr>
        <w:t xml:space="preserve">           </w:t>
      </w:r>
      <w:r>
        <w:rPr>
          <w:rFonts w:hint="eastAsia" w:ascii="宋体" w:hAnsi="宋体"/>
          <w:color w:val="auto"/>
          <w:highlight w:val="none"/>
          <w:lang w:eastAsia="zh-CN"/>
        </w:rPr>
        <w:t>标项（子包）</w:t>
      </w:r>
      <w:r>
        <w:rPr>
          <w:rFonts w:hint="eastAsia" w:ascii="宋体" w:hAnsi="宋体"/>
          <w:color w:val="auto"/>
          <w:highlight w:val="none"/>
        </w:rPr>
        <w:t>号：</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9"/>
        <w:gridCol w:w="1734"/>
        <w:gridCol w:w="2093"/>
        <w:gridCol w:w="2703"/>
      </w:tblGrid>
      <w:tr w14:paraId="776F5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72D860C1">
            <w:pPr>
              <w:snapToGrid w:val="0"/>
              <w:spacing w:before="50" w:after="50"/>
              <w:jc w:val="center"/>
              <w:rPr>
                <w:rFonts w:ascii="宋体" w:hAnsi="宋体"/>
                <w:color w:val="auto"/>
                <w:szCs w:val="21"/>
                <w:highlight w:val="none"/>
              </w:rPr>
            </w:pPr>
            <w:r>
              <w:rPr>
                <w:rFonts w:hint="eastAsia" w:ascii="宋体" w:hAnsi="宋体"/>
                <w:color w:val="auto"/>
                <w:szCs w:val="21"/>
                <w:highlight w:val="none"/>
              </w:rPr>
              <w:t>货物名称</w:t>
            </w:r>
          </w:p>
        </w:tc>
        <w:tc>
          <w:tcPr>
            <w:tcW w:w="1734" w:type="dxa"/>
            <w:tcBorders>
              <w:top w:val="single" w:color="auto" w:sz="4" w:space="0"/>
              <w:left w:val="single" w:color="auto" w:sz="4" w:space="0"/>
              <w:bottom w:val="single" w:color="auto" w:sz="4" w:space="0"/>
              <w:right w:val="single" w:color="auto" w:sz="4" w:space="0"/>
            </w:tcBorders>
            <w:vAlign w:val="center"/>
          </w:tcPr>
          <w:p w14:paraId="164F4DF1">
            <w:pPr>
              <w:snapToGrid w:val="0"/>
              <w:spacing w:before="50" w:after="50"/>
              <w:jc w:val="center"/>
              <w:rPr>
                <w:rFonts w:ascii="宋体" w:hAnsi="宋体"/>
                <w:color w:val="auto"/>
                <w:szCs w:val="21"/>
                <w:highlight w:val="none"/>
              </w:rPr>
            </w:pPr>
            <w:r>
              <w:rPr>
                <w:rFonts w:ascii="宋体" w:hAnsi="宋体"/>
                <w:color w:val="auto"/>
                <w:szCs w:val="21"/>
                <w:highlight w:val="none"/>
              </w:rPr>
              <w:t>品牌及型号</w:t>
            </w:r>
          </w:p>
        </w:tc>
        <w:tc>
          <w:tcPr>
            <w:tcW w:w="2093" w:type="dxa"/>
            <w:tcBorders>
              <w:top w:val="single" w:color="auto" w:sz="4" w:space="0"/>
              <w:left w:val="single" w:color="auto" w:sz="4" w:space="0"/>
              <w:bottom w:val="single" w:color="auto" w:sz="4" w:space="0"/>
              <w:right w:val="single" w:color="auto" w:sz="4" w:space="0"/>
            </w:tcBorders>
            <w:vAlign w:val="center"/>
          </w:tcPr>
          <w:p w14:paraId="10ACB938">
            <w:pPr>
              <w:snapToGrid w:val="0"/>
              <w:spacing w:before="50" w:after="50"/>
              <w:jc w:val="center"/>
              <w:rPr>
                <w:rFonts w:ascii="宋体" w:hAnsi="宋体"/>
                <w:color w:val="auto"/>
                <w:szCs w:val="21"/>
                <w:highlight w:val="none"/>
              </w:rPr>
            </w:pPr>
            <w:r>
              <w:rPr>
                <w:rFonts w:hint="eastAsia" w:ascii="宋体" w:hAnsi="宋体"/>
                <w:color w:val="auto"/>
                <w:szCs w:val="21"/>
                <w:highlight w:val="none"/>
              </w:rPr>
              <w:t>数量（辆）</w:t>
            </w:r>
          </w:p>
        </w:tc>
        <w:tc>
          <w:tcPr>
            <w:tcW w:w="2703" w:type="dxa"/>
            <w:tcBorders>
              <w:top w:val="single" w:color="auto" w:sz="4" w:space="0"/>
              <w:left w:val="single" w:color="auto" w:sz="4" w:space="0"/>
              <w:bottom w:val="single" w:color="auto" w:sz="4" w:space="0"/>
              <w:right w:val="single" w:color="auto" w:sz="4" w:space="0"/>
            </w:tcBorders>
            <w:vAlign w:val="center"/>
          </w:tcPr>
          <w:p w14:paraId="08AA8538">
            <w:pPr>
              <w:snapToGrid w:val="0"/>
              <w:spacing w:before="50" w:after="50"/>
              <w:jc w:val="center"/>
              <w:rPr>
                <w:rFonts w:ascii="宋体" w:hAnsi="宋体"/>
                <w:color w:val="auto"/>
                <w:szCs w:val="21"/>
                <w:highlight w:val="none"/>
              </w:rPr>
            </w:pPr>
            <w:r>
              <w:rPr>
                <w:rFonts w:hint="eastAsia" w:ascii="宋体" w:hAnsi="宋体"/>
                <w:color w:val="auto"/>
                <w:szCs w:val="21"/>
                <w:highlight w:val="none"/>
              </w:rPr>
              <w:t>投标单价</w:t>
            </w:r>
          </w:p>
        </w:tc>
      </w:tr>
      <w:tr w14:paraId="40D23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5"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43C4B262">
            <w:pPr>
              <w:snapToGrid w:val="0"/>
              <w:spacing w:before="50" w:after="50"/>
              <w:jc w:val="center"/>
              <w:rPr>
                <w:rFonts w:ascii="宋体" w:hAnsi="宋体"/>
                <w:color w:val="auto"/>
                <w:szCs w:val="21"/>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67B45639">
            <w:pPr>
              <w:snapToGrid w:val="0"/>
              <w:spacing w:before="50" w:after="50"/>
              <w:jc w:val="left"/>
              <w:rPr>
                <w:rFonts w:ascii="宋体" w:hAnsi="宋体" w:eastAsia="方正书宋简体"/>
                <w:color w:val="auto"/>
                <w:sz w:val="24"/>
                <w:szCs w:val="22"/>
                <w:highlight w:val="none"/>
              </w:rPr>
            </w:pPr>
          </w:p>
        </w:tc>
        <w:tc>
          <w:tcPr>
            <w:tcW w:w="2093" w:type="dxa"/>
            <w:tcBorders>
              <w:top w:val="single" w:color="auto" w:sz="4" w:space="0"/>
              <w:left w:val="single" w:color="auto" w:sz="4" w:space="0"/>
              <w:bottom w:val="single" w:color="auto" w:sz="4" w:space="0"/>
              <w:right w:val="single" w:color="auto" w:sz="4" w:space="0"/>
            </w:tcBorders>
            <w:vAlign w:val="center"/>
          </w:tcPr>
          <w:p w14:paraId="3EDCC5FD">
            <w:pPr>
              <w:snapToGrid w:val="0"/>
              <w:spacing w:before="50" w:after="50"/>
              <w:jc w:val="center"/>
              <w:rPr>
                <w:rFonts w:hint="default" w:ascii="宋体" w:hAnsi="宋体" w:eastAsia="方正书宋简体"/>
                <w:color w:val="auto"/>
                <w:sz w:val="24"/>
                <w:szCs w:val="22"/>
                <w:highlight w:val="none"/>
                <w:lang w:val="en-US" w:eastAsia="zh-CN"/>
              </w:rPr>
            </w:pPr>
            <w:r>
              <w:rPr>
                <w:rFonts w:hint="eastAsia" w:ascii="宋体" w:hAnsi="宋体" w:eastAsia="方正书宋简体"/>
                <w:color w:val="auto"/>
                <w:sz w:val="24"/>
                <w:szCs w:val="22"/>
                <w:highlight w:val="none"/>
                <w:lang w:val="en-US" w:eastAsia="zh-CN"/>
              </w:rPr>
              <w:t>17</w:t>
            </w:r>
          </w:p>
        </w:tc>
        <w:tc>
          <w:tcPr>
            <w:tcW w:w="2703" w:type="dxa"/>
            <w:tcBorders>
              <w:top w:val="single" w:color="auto" w:sz="4" w:space="0"/>
              <w:left w:val="single" w:color="auto" w:sz="4" w:space="0"/>
              <w:right w:val="single" w:color="auto" w:sz="4" w:space="0"/>
            </w:tcBorders>
            <w:vAlign w:val="center"/>
          </w:tcPr>
          <w:p w14:paraId="1E42AFE4">
            <w:pPr>
              <w:snapToGrid w:val="0"/>
              <w:spacing w:before="50" w:after="50" w:line="360" w:lineRule="auto"/>
              <w:jc w:val="center"/>
              <w:rPr>
                <w:rFonts w:ascii="宋体" w:hAnsi="宋体" w:eastAsia="方正书宋简体"/>
                <w:color w:val="auto"/>
                <w:sz w:val="24"/>
                <w:szCs w:val="22"/>
                <w:highlight w:val="none"/>
              </w:rPr>
            </w:pPr>
          </w:p>
        </w:tc>
      </w:tr>
      <w:tr w14:paraId="546A0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5"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79020023">
            <w:pPr>
              <w:snapToGrid w:val="0"/>
              <w:spacing w:before="50" w:after="50"/>
              <w:jc w:val="center"/>
              <w:rPr>
                <w:rFonts w:ascii="宋体" w:hAnsi="宋体"/>
                <w:color w:val="auto"/>
                <w:szCs w:val="21"/>
                <w:highlight w:val="none"/>
              </w:rPr>
            </w:pPr>
            <w:r>
              <w:rPr>
                <w:rFonts w:ascii="宋体" w:hAnsi="宋体"/>
                <w:color w:val="auto"/>
                <w:szCs w:val="21"/>
                <w:highlight w:val="none"/>
              </w:rPr>
              <w:t>交货期</w:t>
            </w:r>
          </w:p>
        </w:tc>
        <w:tc>
          <w:tcPr>
            <w:tcW w:w="6530" w:type="dxa"/>
            <w:gridSpan w:val="3"/>
            <w:tcBorders>
              <w:top w:val="single" w:color="auto" w:sz="4" w:space="0"/>
              <w:left w:val="single" w:color="auto" w:sz="4" w:space="0"/>
              <w:bottom w:val="single" w:color="auto" w:sz="4" w:space="0"/>
              <w:right w:val="single" w:color="auto" w:sz="4" w:space="0"/>
            </w:tcBorders>
            <w:vAlign w:val="center"/>
          </w:tcPr>
          <w:p w14:paraId="14A17975">
            <w:pPr>
              <w:snapToGrid w:val="0"/>
              <w:spacing w:before="50" w:after="50" w:line="360" w:lineRule="auto"/>
              <w:jc w:val="center"/>
              <w:rPr>
                <w:rFonts w:ascii="宋体" w:hAnsi="宋体" w:eastAsia="方正书宋简体"/>
                <w:color w:val="auto"/>
                <w:sz w:val="24"/>
                <w:szCs w:val="22"/>
                <w:highlight w:val="none"/>
              </w:rPr>
            </w:pPr>
          </w:p>
        </w:tc>
      </w:tr>
      <w:tr w14:paraId="0A8A8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5"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29C77522">
            <w:pPr>
              <w:snapToGrid w:val="0"/>
              <w:spacing w:before="50" w:after="50"/>
              <w:jc w:val="center"/>
              <w:rPr>
                <w:rFonts w:ascii="宋体" w:hAnsi="宋体"/>
                <w:color w:val="auto"/>
                <w:szCs w:val="21"/>
                <w:highlight w:val="none"/>
              </w:rPr>
            </w:pPr>
            <w:r>
              <w:rPr>
                <w:rFonts w:hint="eastAsia" w:ascii="宋体" w:hAnsi="宋体"/>
                <w:color w:val="auto"/>
                <w:szCs w:val="21"/>
                <w:highlight w:val="none"/>
              </w:rPr>
              <w:t>合价</w:t>
            </w:r>
          </w:p>
        </w:tc>
        <w:tc>
          <w:tcPr>
            <w:tcW w:w="6530" w:type="dxa"/>
            <w:gridSpan w:val="3"/>
            <w:tcBorders>
              <w:top w:val="single" w:color="auto" w:sz="4" w:space="0"/>
              <w:left w:val="single" w:color="auto" w:sz="4" w:space="0"/>
              <w:bottom w:val="single" w:color="auto" w:sz="4" w:space="0"/>
              <w:right w:val="single" w:color="auto" w:sz="4" w:space="0"/>
            </w:tcBorders>
            <w:vAlign w:val="center"/>
          </w:tcPr>
          <w:p w14:paraId="1712A4BD">
            <w:pPr>
              <w:snapToGrid w:val="0"/>
              <w:spacing w:before="50" w:after="50" w:line="360" w:lineRule="auto"/>
              <w:jc w:val="center"/>
              <w:rPr>
                <w:rFonts w:ascii="宋体" w:hAnsi="宋体" w:eastAsia="方正书宋简体"/>
                <w:color w:val="auto"/>
                <w:sz w:val="24"/>
                <w:szCs w:val="22"/>
                <w:highlight w:val="none"/>
              </w:rPr>
            </w:pPr>
          </w:p>
        </w:tc>
      </w:tr>
      <w:tr w14:paraId="46177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8"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4A5CA57D">
            <w:pPr>
              <w:snapToGrid w:val="0"/>
              <w:spacing w:before="50" w:after="50"/>
              <w:jc w:val="center"/>
              <w:rPr>
                <w:rFonts w:ascii="宋体" w:hAnsi="宋体"/>
                <w:color w:val="auto"/>
                <w:szCs w:val="21"/>
                <w:highlight w:val="none"/>
              </w:rPr>
            </w:pPr>
            <w:r>
              <w:rPr>
                <w:rFonts w:hint="eastAsia" w:ascii="宋体" w:hAnsi="宋体"/>
                <w:color w:val="auto"/>
                <w:szCs w:val="21"/>
                <w:highlight w:val="none"/>
              </w:rPr>
              <w:t>投标声明</w:t>
            </w:r>
          </w:p>
        </w:tc>
        <w:tc>
          <w:tcPr>
            <w:tcW w:w="6530" w:type="dxa"/>
            <w:gridSpan w:val="3"/>
            <w:tcBorders>
              <w:top w:val="single" w:color="auto" w:sz="4" w:space="0"/>
              <w:left w:val="single" w:color="auto" w:sz="4" w:space="0"/>
              <w:bottom w:val="single" w:color="auto" w:sz="4" w:space="0"/>
              <w:right w:val="single" w:color="auto" w:sz="4" w:space="0"/>
            </w:tcBorders>
            <w:vAlign w:val="center"/>
          </w:tcPr>
          <w:p w14:paraId="5E253B0A">
            <w:pPr>
              <w:snapToGrid w:val="0"/>
              <w:spacing w:before="50" w:after="50"/>
              <w:rPr>
                <w:rFonts w:ascii="宋体" w:hAnsi="宋体"/>
                <w:color w:val="auto"/>
                <w:szCs w:val="21"/>
                <w:highlight w:val="none"/>
              </w:rPr>
            </w:pPr>
            <w:r>
              <w:rPr>
                <w:rFonts w:ascii="宋体" w:hAnsi="宋体"/>
                <w:color w:val="auto"/>
                <w:szCs w:val="21"/>
                <w:highlight w:val="none"/>
              </w:rPr>
              <w:t>本投标人已充分知悉采购文件中对采购数量的规定</w:t>
            </w:r>
            <w:r>
              <w:rPr>
                <w:rFonts w:hint="eastAsia" w:ascii="宋体" w:hAnsi="宋体"/>
                <w:color w:val="auto"/>
                <w:szCs w:val="21"/>
                <w:highlight w:val="none"/>
              </w:rPr>
              <w:t>，</w:t>
            </w:r>
            <w:r>
              <w:rPr>
                <w:rFonts w:hint="eastAsia"/>
                <w:color w:val="auto"/>
                <w:szCs w:val="24"/>
                <w:highlight w:val="none"/>
              </w:rPr>
              <w:t>结算时按实际交付数量和中标单价结算，如实际交付数量和采购文件内所述数量不符，本投标人无异议并承诺不提出索赔。</w:t>
            </w:r>
          </w:p>
        </w:tc>
      </w:tr>
    </w:tbl>
    <w:p w14:paraId="1D2CA317">
      <w:pPr>
        <w:pStyle w:val="18"/>
        <w:tabs>
          <w:tab w:val="left" w:pos="4841"/>
        </w:tabs>
        <w:ind w:firstLine="0"/>
        <w:rPr>
          <w:rFonts w:ascii="宋体" w:hAnsi="宋体" w:eastAsia="宋体" w:cs="宋体"/>
          <w:bCs/>
          <w:color w:val="auto"/>
          <w:sz w:val="21"/>
          <w:szCs w:val="21"/>
          <w:highlight w:val="none"/>
        </w:rPr>
      </w:pPr>
    </w:p>
    <w:p w14:paraId="22AA7B2A">
      <w:pPr>
        <w:spacing w:line="340" w:lineRule="exact"/>
        <w:ind w:left="-108" w:right="-113"/>
        <w:contextualSpacing/>
        <w:jc w:val="left"/>
        <w:rPr>
          <w:color w:val="auto"/>
          <w:szCs w:val="24"/>
          <w:highlight w:val="none"/>
        </w:rPr>
      </w:pPr>
    </w:p>
    <w:p w14:paraId="55124FCB">
      <w:pPr>
        <w:pStyle w:val="18"/>
        <w:tabs>
          <w:tab w:val="left" w:pos="4841"/>
        </w:tabs>
        <w:ind w:firstLine="0"/>
        <w:rPr>
          <w:rFonts w:ascii="宋体" w:hAnsi="宋体" w:eastAsia="宋体" w:cs="宋体"/>
          <w:bCs/>
          <w:color w:val="auto"/>
          <w:sz w:val="21"/>
          <w:szCs w:val="21"/>
          <w:highlight w:val="none"/>
        </w:rPr>
      </w:pPr>
    </w:p>
    <w:p w14:paraId="153980B0">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 标 人  （盖章）：</w:t>
      </w:r>
    </w:p>
    <w:p w14:paraId="559816ED">
      <w:pPr>
        <w:pStyle w:val="18"/>
        <w:tabs>
          <w:tab w:val="left" w:pos="4841"/>
        </w:tabs>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法定代表人或授权代表人（签字或盖章）</w:t>
      </w:r>
      <w:r>
        <w:rPr>
          <w:rFonts w:hint="eastAsia" w:ascii="宋体" w:hAnsi="宋体" w:eastAsia="宋体" w:cs="宋体"/>
          <w:bCs/>
          <w:color w:val="auto"/>
          <w:sz w:val="21"/>
          <w:szCs w:val="21"/>
          <w:highlight w:val="none"/>
        </w:rPr>
        <w:t>：</w:t>
      </w:r>
    </w:p>
    <w:p w14:paraId="2465264C">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             期：</w:t>
      </w:r>
    </w:p>
    <w:p w14:paraId="2ACB13B7">
      <w:pPr>
        <w:pStyle w:val="18"/>
        <w:rPr>
          <w:rFonts w:ascii="宋体" w:hAnsi="宋体"/>
          <w:b/>
          <w:color w:val="auto"/>
          <w:sz w:val="28"/>
          <w:szCs w:val="28"/>
          <w:highlight w:val="none"/>
        </w:rPr>
        <w:sectPr>
          <w:pgSz w:w="11907" w:h="16840"/>
          <w:pgMar w:top="1304" w:right="1588" w:bottom="1304" w:left="1588" w:header="720" w:footer="720" w:gutter="0"/>
          <w:pgNumType w:fmt="decimal"/>
          <w:cols w:space="720" w:num="1"/>
          <w:titlePg/>
          <w:docGrid w:linePitch="285" w:charSpace="0"/>
        </w:sectPr>
      </w:pPr>
    </w:p>
    <w:p w14:paraId="5C70B074">
      <w:pPr>
        <w:pStyle w:val="18"/>
        <w:rPr>
          <w:rFonts w:ascii="宋体" w:hAnsi="宋体"/>
          <w:b/>
          <w:color w:val="auto"/>
          <w:sz w:val="28"/>
          <w:szCs w:val="28"/>
          <w:highlight w:val="none"/>
        </w:rPr>
      </w:pPr>
    </w:p>
    <w:p w14:paraId="2051DFB0">
      <w:pPr>
        <w:pStyle w:val="18"/>
        <w:tabs>
          <w:tab w:val="left" w:pos="4841"/>
        </w:tabs>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投标一览表（</w:t>
      </w:r>
      <w:r>
        <w:rPr>
          <w:rFonts w:hint="eastAsia" w:ascii="宋体" w:hAnsi="宋体" w:eastAsia="宋体" w:cs="宋体"/>
          <w:bCs/>
          <w:color w:val="auto"/>
          <w:sz w:val="21"/>
          <w:szCs w:val="21"/>
          <w:highlight w:val="none"/>
          <w:lang w:eastAsia="zh-CN"/>
        </w:rPr>
        <w:t>标项（子包）</w:t>
      </w:r>
      <w:r>
        <w:rPr>
          <w:rFonts w:hint="eastAsia" w:ascii="宋体" w:hAnsi="宋体" w:eastAsia="宋体" w:cs="宋体"/>
          <w:bCs/>
          <w:color w:val="auto"/>
          <w:sz w:val="21"/>
          <w:szCs w:val="21"/>
          <w:highlight w:val="none"/>
        </w:rPr>
        <w:t>二）</w:t>
      </w:r>
    </w:p>
    <w:p w14:paraId="4998DA07">
      <w:pPr>
        <w:pStyle w:val="18"/>
        <w:rPr>
          <w:rFonts w:ascii="宋体" w:hAnsi="宋体" w:eastAsia="宋体" w:cs="宋体"/>
          <w:bCs/>
          <w:color w:val="auto"/>
          <w:sz w:val="21"/>
          <w:szCs w:val="21"/>
          <w:highlight w:val="none"/>
        </w:rPr>
      </w:pPr>
    </w:p>
    <w:p w14:paraId="6E08201A">
      <w:pPr>
        <w:pStyle w:val="18"/>
        <w:rPr>
          <w:rFonts w:ascii="宋体" w:hAnsi="宋体"/>
          <w:color w:val="auto"/>
          <w:highlight w:val="none"/>
          <w:u w:val="single"/>
        </w:rPr>
      </w:pPr>
      <w:r>
        <w:rPr>
          <w:rFonts w:hint="eastAsia" w:ascii="宋体" w:hAnsi="宋体"/>
          <w:color w:val="auto"/>
          <w:highlight w:val="none"/>
        </w:rPr>
        <w:t>招标项目名称：招标编号：</w:t>
      </w:r>
      <w:r>
        <w:rPr>
          <w:rFonts w:hint="eastAsia" w:ascii="宋体" w:hAnsi="宋体"/>
          <w:color w:val="auto"/>
          <w:highlight w:val="none"/>
          <w:lang w:eastAsia="zh-CN"/>
        </w:rPr>
        <w:t>标项（子包）</w:t>
      </w:r>
      <w:r>
        <w:rPr>
          <w:rFonts w:hint="eastAsia" w:ascii="宋体" w:hAnsi="宋体"/>
          <w:color w:val="auto"/>
          <w:highlight w:val="none"/>
        </w:rPr>
        <w:t>号：</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9"/>
        <w:gridCol w:w="1734"/>
        <w:gridCol w:w="2093"/>
        <w:gridCol w:w="2703"/>
      </w:tblGrid>
      <w:tr w14:paraId="038B9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015D9664">
            <w:pPr>
              <w:snapToGrid w:val="0"/>
              <w:spacing w:before="50" w:after="50"/>
              <w:jc w:val="center"/>
              <w:rPr>
                <w:rFonts w:ascii="宋体" w:hAnsi="宋体"/>
                <w:color w:val="auto"/>
                <w:szCs w:val="21"/>
                <w:highlight w:val="none"/>
              </w:rPr>
            </w:pPr>
            <w:r>
              <w:rPr>
                <w:rFonts w:hint="eastAsia" w:ascii="宋体" w:hAnsi="宋体"/>
                <w:color w:val="auto"/>
                <w:szCs w:val="21"/>
                <w:highlight w:val="none"/>
              </w:rPr>
              <w:t>货物名称</w:t>
            </w:r>
          </w:p>
        </w:tc>
        <w:tc>
          <w:tcPr>
            <w:tcW w:w="1734" w:type="dxa"/>
            <w:tcBorders>
              <w:top w:val="single" w:color="auto" w:sz="4" w:space="0"/>
              <w:left w:val="single" w:color="auto" w:sz="4" w:space="0"/>
              <w:bottom w:val="single" w:color="auto" w:sz="4" w:space="0"/>
              <w:right w:val="single" w:color="auto" w:sz="4" w:space="0"/>
            </w:tcBorders>
            <w:vAlign w:val="center"/>
          </w:tcPr>
          <w:p w14:paraId="3BE382B4">
            <w:pPr>
              <w:snapToGrid w:val="0"/>
              <w:spacing w:before="50" w:after="50"/>
              <w:jc w:val="center"/>
              <w:rPr>
                <w:rFonts w:ascii="宋体" w:hAnsi="宋体"/>
                <w:color w:val="auto"/>
                <w:szCs w:val="21"/>
                <w:highlight w:val="none"/>
              </w:rPr>
            </w:pPr>
            <w:r>
              <w:rPr>
                <w:rFonts w:ascii="宋体" w:hAnsi="宋体"/>
                <w:color w:val="auto"/>
                <w:szCs w:val="21"/>
                <w:highlight w:val="none"/>
              </w:rPr>
              <w:t>品牌及型号</w:t>
            </w:r>
          </w:p>
        </w:tc>
        <w:tc>
          <w:tcPr>
            <w:tcW w:w="2093" w:type="dxa"/>
            <w:tcBorders>
              <w:top w:val="single" w:color="auto" w:sz="4" w:space="0"/>
              <w:left w:val="single" w:color="auto" w:sz="4" w:space="0"/>
              <w:bottom w:val="single" w:color="auto" w:sz="4" w:space="0"/>
              <w:right w:val="single" w:color="auto" w:sz="4" w:space="0"/>
            </w:tcBorders>
            <w:vAlign w:val="center"/>
          </w:tcPr>
          <w:p w14:paraId="0B527E6B">
            <w:pPr>
              <w:snapToGrid w:val="0"/>
              <w:spacing w:before="50" w:after="50"/>
              <w:jc w:val="center"/>
              <w:rPr>
                <w:rFonts w:ascii="宋体" w:hAnsi="宋体"/>
                <w:color w:val="auto"/>
                <w:szCs w:val="21"/>
                <w:highlight w:val="none"/>
              </w:rPr>
            </w:pPr>
            <w:r>
              <w:rPr>
                <w:rFonts w:hint="eastAsia" w:ascii="宋体" w:hAnsi="宋体"/>
                <w:color w:val="auto"/>
                <w:szCs w:val="21"/>
                <w:highlight w:val="none"/>
              </w:rPr>
              <w:t>数量（辆）</w:t>
            </w:r>
          </w:p>
        </w:tc>
        <w:tc>
          <w:tcPr>
            <w:tcW w:w="2703" w:type="dxa"/>
            <w:tcBorders>
              <w:top w:val="single" w:color="auto" w:sz="4" w:space="0"/>
              <w:left w:val="single" w:color="auto" w:sz="4" w:space="0"/>
              <w:bottom w:val="single" w:color="auto" w:sz="4" w:space="0"/>
              <w:right w:val="single" w:color="auto" w:sz="4" w:space="0"/>
            </w:tcBorders>
            <w:vAlign w:val="center"/>
          </w:tcPr>
          <w:p w14:paraId="29C34BAB">
            <w:pPr>
              <w:snapToGrid w:val="0"/>
              <w:spacing w:before="50" w:after="50"/>
              <w:jc w:val="center"/>
              <w:rPr>
                <w:rFonts w:ascii="宋体" w:hAnsi="宋体"/>
                <w:color w:val="auto"/>
                <w:szCs w:val="21"/>
                <w:highlight w:val="none"/>
              </w:rPr>
            </w:pPr>
            <w:r>
              <w:rPr>
                <w:rFonts w:hint="eastAsia" w:ascii="宋体" w:hAnsi="宋体"/>
                <w:color w:val="auto"/>
                <w:szCs w:val="21"/>
                <w:highlight w:val="none"/>
              </w:rPr>
              <w:t>投标单价</w:t>
            </w:r>
          </w:p>
        </w:tc>
      </w:tr>
      <w:tr w14:paraId="12240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5"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63435E6D">
            <w:pPr>
              <w:snapToGrid w:val="0"/>
              <w:spacing w:before="50" w:after="50"/>
              <w:jc w:val="center"/>
              <w:rPr>
                <w:rFonts w:ascii="宋体" w:hAnsi="宋体"/>
                <w:color w:val="auto"/>
                <w:szCs w:val="21"/>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4B517C2F">
            <w:pPr>
              <w:snapToGrid w:val="0"/>
              <w:spacing w:before="50" w:after="50"/>
              <w:jc w:val="left"/>
              <w:rPr>
                <w:rFonts w:ascii="宋体" w:hAnsi="宋体" w:eastAsia="方正书宋简体"/>
                <w:color w:val="auto"/>
                <w:sz w:val="24"/>
                <w:szCs w:val="22"/>
                <w:highlight w:val="none"/>
              </w:rPr>
            </w:pPr>
          </w:p>
        </w:tc>
        <w:tc>
          <w:tcPr>
            <w:tcW w:w="2093" w:type="dxa"/>
            <w:tcBorders>
              <w:top w:val="single" w:color="auto" w:sz="4" w:space="0"/>
              <w:left w:val="single" w:color="auto" w:sz="4" w:space="0"/>
              <w:bottom w:val="single" w:color="auto" w:sz="4" w:space="0"/>
              <w:right w:val="single" w:color="auto" w:sz="4" w:space="0"/>
            </w:tcBorders>
            <w:vAlign w:val="center"/>
          </w:tcPr>
          <w:p w14:paraId="100FF413">
            <w:pPr>
              <w:snapToGrid w:val="0"/>
              <w:spacing w:before="50" w:after="50"/>
              <w:jc w:val="center"/>
              <w:rPr>
                <w:rFonts w:hint="default" w:ascii="宋体" w:hAnsi="宋体" w:eastAsia="方正书宋简体"/>
                <w:color w:val="auto"/>
                <w:sz w:val="24"/>
                <w:szCs w:val="22"/>
                <w:highlight w:val="none"/>
                <w:lang w:val="en-US" w:eastAsia="zh-CN"/>
              </w:rPr>
            </w:pPr>
            <w:r>
              <w:rPr>
                <w:rFonts w:hint="eastAsia" w:ascii="宋体" w:hAnsi="宋体" w:eastAsia="方正书宋简体"/>
                <w:color w:val="auto"/>
                <w:sz w:val="24"/>
                <w:szCs w:val="22"/>
                <w:highlight w:val="none"/>
                <w:lang w:val="en-US" w:eastAsia="zh-CN"/>
              </w:rPr>
              <w:t>16</w:t>
            </w:r>
          </w:p>
        </w:tc>
        <w:tc>
          <w:tcPr>
            <w:tcW w:w="2703" w:type="dxa"/>
            <w:tcBorders>
              <w:top w:val="single" w:color="auto" w:sz="4" w:space="0"/>
              <w:left w:val="single" w:color="auto" w:sz="4" w:space="0"/>
              <w:right w:val="single" w:color="auto" w:sz="4" w:space="0"/>
            </w:tcBorders>
            <w:vAlign w:val="center"/>
          </w:tcPr>
          <w:p w14:paraId="61059680">
            <w:pPr>
              <w:snapToGrid w:val="0"/>
              <w:spacing w:before="50" w:after="50" w:line="360" w:lineRule="auto"/>
              <w:jc w:val="center"/>
              <w:rPr>
                <w:rFonts w:ascii="宋体" w:hAnsi="宋体" w:eastAsia="方正书宋简体"/>
                <w:color w:val="auto"/>
                <w:sz w:val="24"/>
                <w:szCs w:val="22"/>
                <w:highlight w:val="none"/>
              </w:rPr>
            </w:pPr>
          </w:p>
        </w:tc>
      </w:tr>
      <w:tr w14:paraId="183C8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5"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0F0F30E5">
            <w:pPr>
              <w:snapToGrid w:val="0"/>
              <w:spacing w:before="50" w:after="50"/>
              <w:jc w:val="center"/>
              <w:rPr>
                <w:rFonts w:ascii="宋体" w:hAnsi="宋体"/>
                <w:color w:val="auto"/>
                <w:szCs w:val="21"/>
                <w:highlight w:val="none"/>
              </w:rPr>
            </w:pPr>
            <w:r>
              <w:rPr>
                <w:rFonts w:ascii="宋体" w:hAnsi="宋体"/>
                <w:color w:val="auto"/>
                <w:szCs w:val="21"/>
                <w:highlight w:val="none"/>
              </w:rPr>
              <w:t>交货期</w:t>
            </w:r>
          </w:p>
        </w:tc>
        <w:tc>
          <w:tcPr>
            <w:tcW w:w="6530" w:type="dxa"/>
            <w:gridSpan w:val="3"/>
            <w:tcBorders>
              <w:top w:val="single" w:color="auto" w:sz="4" w:space="0"/>
              <w:left w:val="single" w:color="auto" w:sz="4" w:space="0"/>
              <w:bottom w:val="single" w:color="auto" w:sz="4" w:space="0"/>
              <w:right w:val="single" w:color="auto" w:sz="4" w:space="0"/>
            </w:tcBorders>
            <w:vAlign w:val="center"/>
          </w:tcPr>
          <w:p w14:paraId="37178708">
            <w:pPr>
              <w:snapToGrid w:val="0"/>
              <w:spacing w:before="50" w:after="50" w:line="360" w:lineRule="auto"/>
              <w:jc w:val="center"/>
              <w:rPr>
                <w:rFonts w:ascii="宋体" w:hAnsi="宋体" w:eastAsia="方正书宋简体"/>
                <w:color w:val="auto"/>
                <w:sz w:val="24"/>
                <w:szCs w:val="22"/>
                <w:highlight w:val="none"/>
              </w:rPr>
            </w:pPr>
          </w:p>
        </w:tc>
      </w:tr>
      <w:tr w14:paraId="2A9A6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5"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0A3638DB">
            <w:pPr>
              <w:snapToGrid w:val="0"/>
              <w:spacing w:before="50" w:after="50"/>
              <w:jc w:val="center"/>
              <w:rPr>
                <w:rFonts w:ascii="宋体" w:hAnsi="宋体"/>
                <w:color w:val="auto"/>
                <w:szCs w:val="21"/>
                <w:highlight w:val="none"/>
              </w:rPr>
            </w:pPr>
            <w:r>
              <w:rPr>
                <w:rFonts w:hint="eastAsia" w:ascii="宋体" w:hAnsi="宋体"/>
                <w:color w:val="auto"/>
                <w:szCs w:val="21"/>
                <w:highlight w:val="none"/>
              </w:rPr>
              <w:t>合价</w:t>
            </w:r>
          </w:p>
        </w:tc>
        <w:tc>
          <w:tcPr>
            <w:tcW w:w="6530" w:type="dxa"/>
            <w:gridSpan w:val="3"/>
            <w:tcBorders>
              <w:top w:val="single" w:color="auto" w:sz="4" w:space="0"/>
              <w:left w:val="single" w:color="auto" w:sz="4" w:space="0"/>
              <w:bottom w:val="single" w:color="auto" w:sz="4" w:space="0"/>
              <w:right w:val="single" w:color="auto" w:sz="4" w:space="0"/>
            </w:tcBorders>
            <w:vAlign w:val="center"/>
          </w:tcPr>
          <w:p w14:paraId="3AB30D84">
            <w:pPr>
              <w:snapToGrid w:val="0"/>
              <w:spacing w:before="50" w:after="50" w:line="360" w:lineRule="auto"/>
              <w:jc w:val="center"/>
              <w:rPr>
                <w:rFonts w:ascii="宋体" w:hAnsi="宋体" w:eastAsia="方正书宋简体"/>
                <w:color w:val="auto"/>
                <w:sz w:val="24"/>
                <w:szCs w:val="22"/>
                <w:highlight w:val="none"/>
              </w:rPr>
            </w:pPr>
          </w:p>
        </w:tc>
      </w:tr>
      <w:tr w14:paraId="0448E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8"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1B0B9DB8">
            <w:pPr>
              <w:snapToGrid w:val="0"/>
              <w:spacing w:before="50" w:after="50"/>
              <w:jc w:val="center"/>
              <w:rPr>
                <w:rFonts w:ascii="宋体" w:hAnsi="宋体"/>
                <w:color w:val="auto"/>
                <w:szCs w:val="21"/>
                <w:highlight w:val="none"/>
              </w:rPr>
            </w:pPr>
            <w:r>
              <w:rPr>
                <w:rFonts w:hint="eastAsia" w:ascii="宋体" w:hAnsi="宋体"/>
                <w:color w:val="auto"/>
                <w:szCs w:val="21"/>
                <w:highlight w:val="none"/>
              </w:rPr>
              <w:t>投标声明</w:t>
            </w:r>
          </w:p>
        </w:tc>
        <w:tc>
          <w:tcPr>
            <w:tcW w:w="6530" w:type="dxa"/>
            <w:gridSpan w:val="3"/>
            <w:tcBorders>
              <w:top w:val="single" w:color="auto" w:sz="4" w:space="0"/>
              <w:left w:val="single" w:color="auto" w:sz="4" w:space="0"/>
              <w:bottom w:val="single" w:color="auto" w:sz="4" w:space="0"/>
              <w:right w:val="single" w:color="auto" w:sz="4" w:space="0"/>
            </w:tcBorders>
            <w:vAlign w:val="center"/>
          </w:tcPr>
          <w:p w14:paraId="25342611">
            <w:pPr>
              <w:snapToGrid w:val="0"/>
              <w:spacing w:before="50" w:after="50"/>
              <w:rPr>
                <w:rFonts w:ascii="宋体" w:hAnsi="宋体"/>
                <w:color w:val="auto"/>
                <w:szCs w:val="21"/>
                <w:highlight w:val="none"/>
              </w:rPr>
            </w:pPr>
            <w:r>
              <w:rPr>
                <w:rFonts w:ascii="宋体" w:hAnsi="宋体"/>
                <w:color w:val="auto"/>
                <w:szCs w:val="21"/>
                <w:highlight w:val="none"/>
              </w:rPr>
              <w:t>本投标人已充分知悉采购文件中对采购数量的规定</w:t>
            </w:r>
            <w:r>
              <w:rPr>
                <w:rFonts w:hint="eastAsia" w:ascii="宋体" w:hAnsi="宋体"/>
                <w:color w:val="auto"/>
                <w:szCs w:val="21"/>
                <w:highlight w:val="none"/>
              </w:rPr>
              <w:t>，</w:t>
            </w:r>
            <w:r>
              <w:rPr>
                <w:rFonts w:hint="eastAsia"/>
                <w:color w:val="auto"/>
                <w:szCs w:val="24"/>
                <w:highlight w:val="none"/>
              </w:rPr>
              <w:t>结算时按实际交付数量和中标单价结算，如实际交付数量和采购文件内所述数量不符，本投标人无异议并承诺不提出索赔。</w:t>
            </w:r>
          </w:p>
        </w:tc>
      </w:tr>
    </w:tbl>
    <w:p w14:paraId="42EAD28F">
      <w:pPr>
        <w:pStyle w:val="18"/>
        <w:tabs>
          <w:tab w:val="left" w:pos="4841"/>
        </w:tabs>
        <w:ind w:firstLine="0"/>
        <w:rPr>
          <w:rFonts w:ascii="宋体" w:hAnsi="宋体" w:eastAsia="宋体" w:cs="宋体"/>
          <w:bCs/>
          <w:color w:val="auto"/>
          <w:sz w:val="21"/>
          <w:szCs w:val="21"/>
          <w:highlight w:val="none"/>
        </w:rPr>
      </w:pPr>
    </w:p>
    <w:p w14:paraId="4E946363">
      <w:pPr>
        <w:spacing w:line="340" w:lineRule="exact"/>
        <w:ind w:left="-108" w:right="-113"/>
        <w:contextualSpacing/>
        <w:jc w:val="left"/>
        <w:rPr>
          <w:color w:val="auto"/>
          <w:szCs w:val="24"/>
          <w:highlight w:val="none"/>
        </w:rPr>
      </w:pPr>
    </w:p>
    <w:p w14:paraId="44BF4897">
      <w:pPr>
        <w:pStyle w:val="18"/>
        <w:tabs>
          <w:tab w:val="left" w:pos="4841"/>
        </w:tabs>
        <w:ind w:firstLine="0"/>
        <w:rPr>
          <w:rFonts w:ascii="宋体" w:hAnsi="宋体" w:eastAsia="宋体" w:cs="宋体"/>
          <w:bCs/>
          <w:color w:val="auto"/>
          <w:sz w:val="21"/>
          <w:szCs w:val="21"/>
          <w:highlight w:val="none"/>
        </w:rPr>
      </w:pPr>
    </w:p>
    <w:p w14:paraId="26A84A85">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 标 人  （盖章）：</w:t>
      </w:r>
    </w:p>
    <w:p w14:paraId="01CC30F6">
      <w:pPr>
        <w:pStyle w:val="18"/>
        <w:tabs>
          <w:tab w:val="left" w:pos="4841"/>
        </w:tabs>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法定代表人或授权代表人（签字或盖章）</w:t>
      </w:r>
      <w:r>
        <w:rPr>
          <w:rFonts w:hint="eastAsia" w:ascii="宋体" w:hAnsi="宋体" w:eastAsia="宋体" w:cs="宋体"/>
          <w:bCs/>
          <w:color w:val="auto"/>
          <w:sz w:val="21"/>
          <w:szCs w:val="21"/>
          <w:highlight w:val="none"/>
        </w:rPr>
        <w:t>：</w:t>
      </w:r>
    </w:p>
    <w:p w14:paraId="7230CE7A">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             期：</w:t>
      </w:r>
    </w:p>
    <w:p w14:paraId="3D49F67A">
      <w:pPr>
        <w:pStyle w:val="18"/>
        <w:rPr>
          <w:rFonts w:ascii="宋体" w:hAnsi="宋体"/>
          <w:b/>
          <w:color w:val="auto"/>
          <w:sz w:val="28"/>
          <w:szCs w:val="28"/>
          <w:highlight w:val="none"/>
        </w:rPr>
        <w:sectPr>
          <w:pgSz w:w="11907" w:h="16840"/>
          <w:pgMar w:top="1304" w:right="1588" w:bottom="1304" w:left="1588" w:header="720" w:footer="720" w:gutter="0"/>
          <w:pgNumType w:fmt="decimal"/>
          <w:cols w:space="720" w:num="1"/>
          <w:titlePg/>
          <w:docGrid w:linePitch="285" w:charSpace="0"/>
        </w:sectPr>
      </w:pPr>
    </w:p>
    <w:p w14:paraId="3FA9A1AD">
      <w:pPr>
        <w:pStyle w:val="18"/>
        <w:rPr>
          <w:rFonts w:ascii="宋体" w:hAnsi="宋体"/>
          <w:b/>
          <w:color w:val="auto"/>
          <w:sz w:val="28"/>
          <w:szCs w:val="28"/>
          <w:highlight w:val="none"/>
        </w:rPr>
      </w:pPr>
    </w:p>
    <w:p w14:paraId="68CD4128">
      <w:pPr>
        <w:pStyle w:val="18"/>
        <w:tabs>
          <w:tab w:val="left" w:pos="4841"/>
        </w:tabs>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投标一览表（</w:t>
      </w:r>
      <w:r>
        <w:rPr>
          <w:rFonts w:hint="eastAsia" w:ascii="宋体" w:hAnsi="宋体" w:eastAsia="宋体" w:cs="宋体"/>
          <w:bCs/>
          <w:color w:val="auto"/>
          <w:sz w:val="21"/>
          <w:szCs w:val="21"/>
          <w:highlight w:val="none"/>
          <w:lang w:eastAsia="zh-CN"/>
        </w:rPr>
        <w:t>标项（子包）</w:t>
      </w:r>
      <w:r>
        <w:rPr>
          <w:rFonts w:hint="eastAsia" w:ascii="宋体" w:hAnsi="宋体" w:eastAsia="宋体" w:cs="宋体"/>
          <w:bCs/>
          <w:color w:val="auto"/>
          <w:sz w:val="21"/>
          <w:szCs w:val="21"/>
          <w:highlight w:val="none"/>
        </w:rPr>
        <w:t>三）</w:t>
      </w:r>
    </w:p>
    <w:p w14:paraId="53BCAAF8">
      <w:pPr>
        <w:pStyle w:val="18"/>
        <w:rPr>
          <w:rFonts w:ascii="宋体" w:hAnsi="宋体" w:eastAsia="宋体" w:cs="宋体"/>
          <w:bCs/>
          <w:color w:val="auto"/>
          <w:sz w:val="21"/>
          <w:szCs w:val="21"/>
          <w:highlight w:val="none"/>
        </w:rPr>
      </w:pPr>
    </w:p>
    <w:p w14:paraId="05EF0742">
      <w:pPr>
        <w:pStyle w:val="18"/>
        <w:rPr>
          <w:rFonts w:ascii="宋体" w:hAnsi="宋体"/>
          <w:color w:val="auto"/>
          <w:highlight w:val="none"/>
          <w:u w:val="single"/>
        </w:rPr>
      </w:pPr>
      <w:r>
        <w:rPr>
          <w:rFonts w:hint="eastAsia" w:ascii="宋体" w:hAnsi="宋体"/>
          <w:color w:val="auto"/>
          <w:highlight w:val="none"/>
        </w:rPr>
        <w:t>招标项目名称：招标编号：</w:t>
      </w:r>
      <w:r>
        <w:rPr>
          <w:rFonts w:hint="eastAsia" w:ascii="宋体" w:hAnsi="宋体"/>
          <w:color w:val="auto"/>
          <w:highlight w:val="none"/>
          <w:lang w:eastAsia="zh-CN"/>
        </w:rPr>
        <w:t>标项（子包）</w:t>
      </w:r>
      <w:r>
        <w:rPr>
          <w:rFonts w:hint="eastAsia" w:ascii="宋体" w:hAnsi="宋体"/>
          <w:color w:val="auto"/>
          <w:highlight w:val="none"/>
        </w:rPr>
        <w:t>号：</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9"/>
        <w:gridCol w:w="1734"/>
        <w:gridCol w:w="2093"/>
        <w:gridCol w:w="2703"/>
      </w:tblGrid>
      <w:tr w14:paraId="6C9A7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2520DB27">
            <w:pPr>
              <w:snapToGrid w:val="0"/>
              <w:spacing w:before="50" w:after="50"/>
              <w:jc w:val="center"/>
              <w:rPr>
                <w:rFonts w:ascii="宋体" w:hAnsi="宋体"/>
                <w:color w:val="auto"/>
                <w:szCs w:val="21"/>
                <w:highlight w:val="none"/>
              </w:rPr>
            </w:pPr>
            <w:r>
              <w:rPr>
                <w:rFonts w:hint="eastAsia" w:ascii="宋体" w:hAnsi="宋体"/>
                <w:color w:val="auto"/>
                <w:szCs w:val="21"/>
                <w:highlight w:val="none"/>
              </w:rPr>
              <w:t>货物名称</w:t>
            </w:r>
          </w:p>
        </w:tc>
        <w:tc>
          <w:tcPr>
            <w:tcW w:w="1734" w:type="dxa"/>
            <w:tcBorders>
              <w:top w:val="single" w:color="auto" w:sz="4" w:space="0"/>
              <w:left w:val="single" w:color="auto" w:sz="4" w:space="0"/>
              <w:bottom w:val="single" w:color="auto" w:sz="4" w:space="0"/>
              <w:right w:val="single" w:color="auto" w:sz="4" w:space="0"/>
            </w:tcBorders>
            <w:vAlign w:val="center"/>
          </w:tcPr>
          <w:p w14:paraId="29B5D4D4">
            <w:pPr>
              <w:snapToGrid w:val="0"/>
              <w:spacing w:before="50" w:after="50"/>
              <w:jc w:val="center"/>
              <w:rPr>
                <w:rFonts w:ascii="宋体" w:hAnsi="宋体"/>
                <w:color w:val="auto"/>
                <w:szCs w:val="21"/>
                <w:highlight w:val="none"/>
              </w:rPr>
            </w:pPr>
            <w:r>
              <w:rPr>
                <w:rFonts w:ascii="宋体" w:hAnsi="宋体"/>
                <w:color w:val="auto"/>
                <w:szCs w:val="21"/>
                <w:highlight w:val="none"/>
              </w:rPr>
              <w:t>品牌及型号</w:t>
            </w:r>
          </w:p>
        </w:tc>
        <w:tc>
          <w:tcPr>
            <w:tcW w:w="2093" w:type="dxa"/>
            <w:tcBorders>
              <w:top w:val="single" w:color="auto" w:sz="4" w:space="0"/>
              <w:left w:val="single" w:color="auto" w:sz="4" w:space="0"/>
              <w:bottom w:val="single" w:color="auto" w:sz="4" w:space="0"/>
              <w:right w:val="single" w:color="auto" w:sz="4" w:space="0"/>
            </w:tcBorders>
            <w:vAlign w:val="center"/>
          </w:tcPr>
          <w:p w14:paraId="1E540A0A">
            <w:pPr>
              <w:snapToGrid w:val="0"/>
              <w:spacing w:before="50" w:after="50"/>
              <w:jc w:val="center"/>
              <w:rPr>
                <w:rFonts w:ascii="宋体" w:hAnsi="宋体"/>
                <w:color w:val="auto"/>
                <w:szCs w:val="21"/>
                <w:highlight w:val="none"/>
              </w:rPr>
            </w:pPr>
            <w:r>
              <w:rPr>
                <w:rFonts w:hint="eastAsia" w:ascii="宋体" w:hAnsi="宋体"/>
                <w:color w:val="auto"/>
                <w:szCs w:val="21"/>
                <w:highlight w:val="none"/>
              </w:rPr>
              <w:t>数量（辆）</w:t>
            </w:r>
          </w:p>
        </w:tc>
        <w:tc>
          <w:tcPr>
            <w:tcW w:w="2703" w:type="dxa"/>
            <w:tcBorders>
              <w:top w:val="single" w:color="auto" w:sz="4" w:space="0"/>
              <w:left w:val="single" w:color="auto" w:sz="4" w:space="0"/>
              <w:bottom w:val="single" w:color="auto" w:sz="4" w:space="0"/>
              <w:right w:val="single" w:color="auto" w:sz="4" w:space="0"/>
            </w:tcBorders>
            <w:vAlign w:val="center"/>
          </w:tcPr>
          <w:p w14:paraId="2CBA01B9">
            <w:pPr>
              <w:snapToGrid w:val="0"/>
              <w:spacing w:before="50" w:after="50"/>
              <w:jc w:val="center"/>
              <w:rPr>
                <w:rFonts w:ascii="宋体" w:hAnsi="宋体"/>
                <w:color w:val="auto"/>
                <w:szCs w:val="21"/>
                <w:highlight w:val="none"/>
              </w:rPr>
            </w:pPr>
            <w:r>
              <w:rPr>
                <w:rFonts w:hint="eastAsia" w:ascii="宋体" w:hAnsi="宋体"/>
                <w:color w:val="auto"/>
                <w:szCs w:val="21"/>
                <w:highlight w:val="none"/>
              </w:rPr>
              <w:t>投标单价</w:t>
            </w:r>
          </w:p>
        </w:tc>
      </w:tr>
      <w:tr w14:paraId="79764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5"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7F5E0DAC">
            <w:pPr>
              <w:snapToGrid w:val="0"/>
              <w:spacing w:before="50" w:after="50"/>
              <w:jc w:val="center"/>
              <w:rPr>
                <w:rFonts w:ascii="宋体" w:hAnsi="宋体"/>
                <w:color w:val="auto"/>
                <w:szCs w:val="21"/>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48E3B2DE">
            <w:pPr>
              <w:snapToGrid w:val="0"/>
              <w:spacing w:before="50" w:after="50"/>
              <w:jc w:val="left"/>
              <w:rPr>
                <w:rFonts w:ascii="宋体" w:hAnsi="宋体" w:eastAsia="方正书宋简体"/>
                <w:color w:val="auto"/>
                <w:sz w:val="24"/>
                <w:szCs w:val="22"/>
                <w:highlight w:val="none"/>
              </w:rPr>
            </w:pPr>
          </w:p>
        </w:tc>
        <w:tc>
          <w:tcPr>
            <w:tcW w:w="2093" w:type="dxa"/>
            <w:tcBorders>
              <w:top w:val="single" w:color="auto" w:sz="4" w:space="0"/>
              <w:left w:val="single" w:color="auto" w:sz="4" w:space="0"/>
              <w:bottom w:val="single" w:color="auto" w:sz="4" w:space="0"/>
              <w:right w:val="single" w:color="auto" w:sz="4" w:space="0"/>
            </w:tcBorders>
            <w:vAlign w:val="center"/>
          </w:tcPr>
          <w:p w14:paraId="2AED4096">
            <w:pPr>
              <w:snapToGrid w:val="0"/>
              <w:spacing w:before="50" w:after="50"/>
              <w:jc w:val="center"/>
              <w:rPr>
                <w:rFonts w:hint="eastAsia" w:ascii="宋体" w:hAnsi="宋体" w:eastAsia="方正书宋简体"/>
                <w:color w:val="auto"/>
                <w:sz w:val="24"/>
                <w:szCs w:val="22"/>
                <w:highlight w:val="none"/>
                <w:lang w:val="en-US" w:eastAsia="zh-CN"/>
              </w:rPr>
            </w:pPr>
            <w:r>
              <w:rPr>
                <w:rFonts w:hint="eastAsia" w:ascii="宋体" w:hAnsi="宋体" w:eastAsia="方正书宋简体"/>
                <w:color w:val="auto"/>
                <w:sz w:val="24"/>
                <w:szCs w:val="22"/>
                <w:highlight w:val="none"/>
                <w:lang w:val="en-US" w:eastAsia="zh-CN"/>
              </w:rPr>
              <w:t>1</w:t>
            </w:r>
          </w:p>
        </w:tc>
        <w:tc>
          <w:tcPr>
            <w:tcW w:w="2703" w:type="dxa"/>
            <w:tcBorders>
              <w:top w:val="single" w:color="auto" w:sz="4" w:space="0"/>
              <w:left w:val="single" w:color="auto" w:sz="4" w:space="0"/>
              <w:right w:val="single" w:color="auto" w:sz="4" w:space="0"/>
            </w:tcBorders>
            <w:vAlign w:val="center"/>
          </w:tcPr>
          <w:p w14:paraId="6597B5DA">
            <w:pPr>
              <w:snapToGrid w:val="0"/>
              <w:spacing w:before="50" w:after="50" w:line="360" w:lineRule="auto"/>
              <w:jc w:val="center"/>
              <w:rPr>
                <w:rFonts w:ascii="宋体" w:hAnsi="宋体" w:eastAsia="方正书宋简体"/>
                <w:color w:val="auto"/>
                <w:sz w:val="24"/>
                <w:szCs w:val="22"/>
                <w:highlight w:val="none"/>
              </w:rPr>
            </w:pPr>
          </w:p>
        </w:tc>
      </w:tr>
      <w:tr w14:paraId="75C71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5"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28B96252">
            <w:pPr>
              <w:snapToGrid w:val="0"/>
              <w:spacing w:before="50" w:after="50"/>
              <w:jc w:val="center"/>
              <w:rPr>
                <w:rFonts w:ascii="宋体" w:hAnsi="宋体"/>
                <w:color w:val="auto"/>
                <w:szCs w:val="21"/>
                <w:highlight w:val="none"/>
              </w:rPr>
            </w:pPr>
            <w:r>
              <w:rPr>
                <w:rFonts w:ascii="宋体" w:hAnsi="宋体"/>
                <w:color w:val="auto"/>
                <w:szCs w:val="21"/>
                <w:highlight w:val="none"/>
              </w:rPr>
              <w:t>交货期</w:t>
            </w:r>
          </w:p>
        </w:tc>
        <w:tc>
          <w:tcPr>
            <w:tcW w:w="6530" w:type="dxa"/>
            <w:gridSpan w:val="3"/>
            <w:tcBorders>
              <w:top w:val="single" w:color="auto" w:sz="4" w:space="0"/>
              <w:left w:val="single" w:color="auto" w:sz="4" w:space="0"/>
              <w:bottom w:val="single" w:color="auto" w:sz="4" w:space="0"/>
              <w:right w:val="single" w:color="auto" w:sz="4" w:space="0"/>
            </w:tcBorders>
            <w:vAlign w:val="center"/>
          </w:tcPr>
          <w:p w14:paraId="6F5CAD1B">
            <w:pPr>
              <w:snapToGrid w:val="0"/>
              <w:spacing w:before="50" w:after="50" w:line="360" w:lineRule="auto"/>
              <w:jc w:val="center"/>
              <w:rPr>
                <w:rFonts w:ascii="宋体" w:hAnsi="宋体" w:eastAsia="方正书宋简体"/>
                <w:color w:val="auto"/>
                <w:sz w:val="24"/>
                <w:szCs w:val="22"/>
                <w:highlight w:val="none"/>
              </w:rPr>
            </w:pPr>
          </w:p>
        </w:tc>
      </w:tr>
      <w:tr w14:paraId="4F3DF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5"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5F2BE08B">
            <w:pPr>
              <w:snapToGrid w:val="0"/>
              <w:spacing w:before="50" w:after="50"/>
              <w:jc w:val="center"/>
              <w:rPr>
                <w:rFonts w:ascii="宋体" w:hAnsi="宋体"/>
                <w:color w:val="auto"/>
                <w:szCs w:val="21"/>
                <w:highlight w:val="none"/>
              </w:rPr>
            </w:pPr>
            <w:r>
              <w:rPr>
                <w:rFonts w:hint="eastAsia" w:ascii="宋体" w:hAnsi="宋体"/>
                <w:color w:val="auto"/>
                <w:szCs w:val="21"/>
                <w:highlight w:val="none"/>
              </w:rPr>
              <w:t>合价</w:t>
            </w:r>
          </w:p>
        </w:tc>
        <w:tc>
          <w:tcPr>
            <w:tcW w:w="6530" w:type="dxa"/>
            <w:gridSpan w:val="3"/>
            <w:tcBorders>
              <w:top w:val="single" w:color="auto" w:sz="4" w:space="0"/>
              <w:left w:val="single" w:color="auto" w:sz="4" w:space="0"/>
              <w:bottom w:val="single" w:color="auto" w:sz="4" w:space="0"/>
              <w:right w:val="single" w:color="auto" w:sz="4" w:space="0"/>
            </w:tcBorders>
            <w:vAlign w:val="center"/>
          </w:tcPr>
          <w:p w14:paraId="2DA391AB">
            <w:pPr>
              <w:snapToGrid w:val="0"/>
              <w:spacing w:before="50" w:after="50" w:line="360" w:lineRule="auto"/>
              <w:jc w:val="center"/>
              <w:rPr>
                <w:rFonts w:ascii="宋体" w:hAnsi="宋体" w:eastAsia="方正书宋简体"/>
                <w:color w:val="auto"/>
                <w:sz w:val="24"/>
                <w:szCs w:val="22"/>
                <w:highlight w:val="none"/>
              </w:rPr>
            </w:pPr>
          </w:p>
        </w:tc>
      </w:tr>
      <w:tr w14:paraId="5748F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8"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0D2C528E">
            <w:pPr>
              <w:snapToGrid w:val="0"/>
              <w:spacing w:before="50" w:after="50"/>
              <w:jc w:val="center"/>
              <w:rPr>
                <w:rFonts w:ascii="宋体" w:hAnsi="宋体"/>
                <w:color w:val="auto"/>
                <w:szCs w:val="21"/>
                <w:highlight w:val="none"/>
              </w:rPr>
            </w:pPr>
            <w:r>
              <w:rPr>
                <w:rFonts w:hint="eastAsia" w:ascii="宋体" w:hAnsi="宋体"/>
                <w:color w:val="auto"/>
                <w:szCs w:val="21"/>
                <w:highlight w:val="none"/>
              </w:rPr>
              <w:t>投标声明</w:t>
            </w:r>
          </w:p>
        </w:tc>
        <w:tc>
          <w:tcPr>
            <w:tcW w:w="6530" w:type="dxa"/>
            <w:gridSpan w:val="3"/>
            <w:tcBorders>
              <w:top w:val="single" w:color="auto" w:sz="4" w:space="0"/>
              <w:left w:val="single" w:color="auto" w:sz="4" w:space="0"/>
              <w:bottom w:val="single" w:color="auto" w:sz="4" w:space="0"/>
              <w:right w:val="single" w:color="auto" w:sz="4" w:space="0"/>
            </w:tcBorders>
            <w:vAlign w:val="center"/>
          </w:tcPr>
          <w:p w14:paraId="67AB3ABC">
            <w:pPr>
              <w:snapToGrid w:val="0"/>
              <w:spacing w:before="50" w:after="50"/>
              <w:rPr>
                <w:rFonts w:ascii="宋体" w:hAnsi="宋体"/>
                <w:color w:val="auto"/>
                <w:szCs w:val="21"/>
                <w:highlight w:val="none"/>
              </w:rPr>
            </w:pPr>
            <w:r>
              <w:rPr>
                <w:rFonts w:ascii="宋体" w:hAnsi="宋体"/>
                <w:color w:val="auto"/>
                <w:szCs w:val="21"/>
                <w:highlight w:val="none"/>
              </w:rPr>
              <w:t>本投标人已充分知悉采购文件中对采购数量的规定</w:t>
            </w:r>
            <w:r>
              <w:rPr>
                <w:rFonts w:hint="eastAsia" w:ascii="宋体" w:hAnsi="宋体"/>
                <w:color w:val="auto"/>
                <w:szCs w:val="21"/>
                <w:highlight w:val="none"/>
              </w:rPr>
              <w:t>，</w:t>
            </w:r>
            <w:r>
              <w:rPr>
                <w:rFonts w:hint="eastAsia"/>
                <w:color w:val="auto"/>
                <w:szCs w:val="24"/>
                <w:highlight w:val="none"/>
              </w:rPr>
              <w:t>结算时按实际交付数量和中标单价结算，如实际交付数量和采购文件内所述数量不符，本投标人无异议并承诺不提出索赔。</w:t>
            </w:r>
          </w:p>
        </w:tc>
      </w:tr>
    </w:tbl>
    <w:p w14:paraId="593D63CB">
      <w:pPr>
        <w:pStyle w:val="18"/>
        <w:tabs>
          <w:tab w:val="left" w:pos="4841"/>
        </w:tabs>
        <w:ind w:firstLine="0"/>
        <w:rPr>
          <w:rFonts w:ascii="宋体" w:hAnsi="宋体" w:eastAsia="宋体" w:cs="宋体"/>
          <w:bCs/>
          <w:color w:val="auto"/>
          <w:sz w:val="21"/>
          <w:szCs w:val="21"/>
          <w:highlight w:val="none"/>
        </w:rPr>
      </w:pPr>
    </w:p>
    <w:p w14:paraId="2490CC8E">
      <w:pPr>
        <w:spacing w:line="340" w:lineRule="exact"/>
        <w:ind w:left="-108" w:right="-113"/>
        <w:contextualSpacing/>
        <w:jc w:val="left"/>
        <w:rPr>
          <w:color w:val="auto"/>
          <w:szCs w:val="24"/>
          <w:highlight w:val="none"/>
        </w:rPr>
      </w:pPr>
    </w:p>
    <w:p w14:paraId="0AE4F86B">
      <w:pPr>
        <w:pStyle w:val="18"/>
        <w:tabs>
          <w:tab w:val="left" w:pos="4841"/>
        </w:tabs>
        <w:ind w:firstLine="0"/>
        <w:rPr>
          <w:rFonts w:ascii="宋体" w:hAnsi="宋体" w:eastAsia="宋体" w:cs="宋体"/>
          <w:bCs/>
          <w:color w:val="auto"/>
          <w:sz w:val="21"/>
          <w:szCs w:val="21"/>
          <w:highlight w:val="none"/>
        </w:rPr>
      </w:pPr>
    </w:p>
    <w:p w14:paraId="4F22858C">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 标 人  （盖章）：</w:t>
      </w:r>
    </w:p>
    <w:p w14:paraId="74AF0E75">
      <w:pPr>
        <w:pStyle w:val="18"/>
        <w:tabs>
          <w:tab w:val="left" w:pos="4841"/>
        </w:tabs>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法定代表人或授权代表人（签字或盖章）</w:t>
      </w:r>
      <w:r>
        <w:rPr>
          <w:rFonts w:hint="eastAsia" w:ascii="宋体" w:hAnsi="宋体" w:eastAsia="宋体" w:cs="宋体"/>
          <w:bCs/>
          <w:color w:val="auto"/>
          <w:sz w:val="21"/>
          <w:szCs w:val="21"/>
          <w:highlight w:val="none"/>
        </w:rPr>
        <w:t>：</w:t>
      </w:r>
    </w:p>
    <w:p w14:paraId="610D5CC1">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             期：</w:t>
      </w:r>
    </w:p>
    <w:p w14:paraId="050DF8B6">
      <w:pPr>
        <w:pStyle w:val="18"/>
        <w:ind w:firstLine="0"/>
        <w:rPr>
          <w:rFonts w:ascii="宋体" w:hAnsi="宋体"/>
          <w:b/>
          <w:color w:val="auto"/>
          <w:sz w:val="28"/>
          <w:szCs w:val="28"/>
          <w:highlight w:val="none"/>
        </w:rPr>
      </w:pPr>
    </w:p>
    <w:p w14:paraId="56EA0C02">
      <w:pPr>
        <w:pStyle w:val="18"/>
        <w:rPr>
          <w:rFonts w:ascii="宋体" w:hAnsi="宋体"/>
          <w:color w:val="auto"/>
          <w:highlight w:val="none"/>
        </w:rPr>
        <w:sectPr>
          <w:pgSz w:w="11907" w:h="16840"/>
          <w:pgMar w:top="1304" w:right="1588" w:bottom="1304" w:left="1588" w:header="720" w:footer="720" w:gutter="0"/>
          <w:pgNumType w:fmt="decimal"/>
          <w:cols w:space="720" w:num="1"/>
          <w:titlePg/>
          <w:docGrid w:linePitch="285" w:charSpace="0"/>
        </w:sectPr>
      </w:pPr>
    </w:p>
    <w:p w14:paraId="1C4D71D4">
      <w:pPr>
        <w:pStyle w:val="18"/>
        <w:tabs>
          <w:tab w:val="left" w:pos="4841"/>
        </w:tabs>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投标一览表（</w:t>
      </w:r>
      <w:r>
        <w:rPr>
          <w:rFonts w:hint="eastAsia" w:ascii="宋体" w:hAnsi="宋体" w:eastAsia="宋体" w:cs="宋体"/>
          <w:bCs/>
          <w:color w:val="auto"/>
          <w:sz w:val="21"/>
          <w:szCs w:val="21"/>
          <w:highlight w:val="none"/>
          <w:lang w:eastAsia="zh-CN"/>
        </w:rPr>
        <w:t>标项（子包）</w:t>
      </w: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rPr>
        <w:t>）</w:t>
      </w:r>
    </w:p>
    <w:p w14:paraId="1C7075C8">
      <w:pPr>
        <w:pStyle w:val="18"/>
        <w:rPr>
          <w:rFonts w:ascii="宋体" w:hAnsi="宋体" w:eastAsia="宋体" w:cs="宋体"/>
          <w:bCs/>
          <w:color w:val="auto"/>
          <w:sz w:val="21"/>
          <w:szCs w:val="21"/>
          <w:highlight w:val="none"/>
        </w:rPr>
      </w:pPr>
    </w:p>
    <w:p w14:paraId="5B893548">
      <w:pPr>
        <w:pStyle w:val="18"/>
        <w:rPr>
          <w:rFonts w:ascii="宋体" w:hAnsi="宋体"/>
          <w:color w:val="auto"/>
          <w:highlight w:val="none"/>
          <w:u w:val="single"/>
        </w:rPr>
      </w:pPr>
      <w:r>
        <w:rPr>
          <w:rFonts w:hint="eastAsia" w:ascii="宋体" w:hAnsi="宋体"/>
          <w:color w:val="auto"/>
          <w:highlight w:val="none"/>
        </w:rPr>
        <w:t>招标项目名称：招标编号：</w:t>
      </w:r>
      <w:r>
        <w:rPr>
          <w:rFonts w:hint="eastAsia" w:ascii="宋体" w:hAnsi="宋体"/>
          <w:color w:val="auto"/>
          <w:highlight w:val="none"/>
          <w:lang w:eastAsia="zh-CN"/>
        </w:rPr>
        <w:t>标项（子包）</w:t>
      </w:r>
      <w:r>
        <w:rPr>
          <w:rFonts w:hint="eastAsia" w:ascii="宋体" w:hAnsi="宋体"/>
          <w:color w:val="auto"/>
          <w:highlight w:val="none"/>
        </w:rPr>
        <w:t>号：</w:t>
      </w: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9"/>
        <w:gridCol w:w="1734"/>
        <w:gridCol w:w="2093"/>
        <w:gridCol w:w="2703"/>
      </w:tblGrid>
      <w:tr w14:paraId="242BE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37F24211">
            <w:pPr>
              <w:snapToGrid w:val="0"/>
              <w:spacing w:before="50" w:after="50"/>
              <w:jc w:val="center"/>
              <w:rPr>
                <w:rFonts w:ascii="宋体" w:hAnsi="宋体"/>
                <w:color w:val="auto"/>
                <w:szCs w:val="21"/>
                <w:highlight w:val="none"/>
              </w:rPr>
            </w:pPr>
            <w:r>
              <w:rPr>
                <w:rFonts w:hint="eastAsia" w:ascii="宋体" w:hAnsi="宋体"/>
                <w:color w:val="auto"/>
                <w:szCs w:val="21"/>
                <w:highlight w:val="none"/>
              </w:rPr>
              <w:t>货物名称</w:t>
            </w:r>
          </w:p>
        </w:tc>
        <w:tc>
          <w:tcPr>
            <w:tcW w:w="1734" w:type="dxa"/>
            <w:tcBorders>
              <w:top w:val="single" w:color="auto" w:sz="4" w:space="0"/>
              <w:left w:val="single" w:color="auto" w:sz="4" w:space="0"/>
              <w:bottom w:val="single" w:color="auto" w:sz="4" w:space="0"/>
              <w:right w:val="single" w:color="auto" w:sz="4" w:space="0"/>
            </w:tcBorders>
            <w:vAlign w:val="center"/>
          </w:tcPr>
          <w:p w14:paraId="26F9E15E">
            <w:pPr>
              <w:snapToGrid w:val="0"/>
              <w:spacing w:before="50" w:after="50"/>
              <w:jc w:val="center"/>
              <w:rPr>
                <w:rFonts w:ascii="宋体" w:hAnsi="宋体"/>
                <w:color w:val="auto"/>
                <w:szCs w:val="21"/>
                <w:highlight w:val="none"/>
              </w:rPr>
            </w:pPr>
            <w:r>
              <w:rPr>
                <w:rFonts w:ascii="宋体" w:hAnsi="宋体"/>
                <w:color w:val="auto"/>
                <w:szCs w:val="21"/>
                <w:highlight w:val="none"/>
              </w:rPr>
              <w:t>品牌及型号</w:t>
            </w:r>
          </w:p>
        </w:tc>
        <w:tc>
          <w:tcPr>
            <w:tcW w:w="2093" w:type="dxa"/>
            <w:tcBorders>
              <w:top w:val="single" w:color="auto" w:sz="4" w:space="0"/>
              <w:left w:val="single" w:color="auto" w:sz="4" w:space="0"/>
              <w:bottom w:val="single" w:color="auto" w:sz="4" w:space="0"/>
              <w:right w:val="single" w:color="auto" w:sz="4" w:space="0"/>
            </w:tcBorders>
            <w:vAlign w:val="center"/>
          </w:tcPr>
          <w:p w14:paraId="670C6745">
            <w:pPr>
              <w:snapToGrid w:val="0"/>
              <w:spacing w:before="50" w:after="50"/>
              <w:jc w:val="center"/>
              <w:rPr>
                <w:rFonts w:ascii="宋体" w:hAnsi="宋体"/>
                <w:color w:val="auto"/>
                <w:szCs w:val="21"/>
                <w:highlight w:val="none"/>
              </w:rPr>
            </w:pPr>
            <w:r>
              <w:rPr>
                <w:rFonts w:hint="eastAsia" w:ascii="宋体" w:hAnsi="宋体"/>
                <w:color w:val="auto"/>
                <w:szCs w:val="21"/>
                <w:highlight w:val="none"/>
              </w:rPr>
              <w:t>数量（辆）</w:t>
            </w:r>
          </w:p>
        </w:tc>
        <w:tc>
          <w:tcPr>
            <w:tcW w:w="2703" w:type="dxa"/>
            <w:tcBorders>
              <w:top w:val="single" w:color="auto" w:sz="4" w:space="0"/>
              <w:left w:val="single" w:color="auto" w:sz="4" w:space="0"/>
              <w:bottom w:val="single" w:color="auto" w:sz="4" w:space="0"/>
              <w:right w:val="single" w:color="auto" w:sz="4" w:space="0"/>
            </w:tcBorders>
            <w:vAlign w:val="center"/>
          </w:tcPr>
          <w:p w14:paraId="660F0747">
            <w:pPr>
              <w:snapToGrid w:val="0"/>
              <w:spacing w:before="50" w:after="50"/>
              <w:jc w:val="center"/>
              <w:rPr>
                <w:rFonts w:ascii="宋体" w:hAnsi="宋体"/>
                <w:color w:val="auto"/>
                <w:szCs w:val="21"/>
                <w:highlight w:val="none"/>
              </w:rPr>
            </w:pPr>
            <w:r>
              <w:rPr>
                <w:rFonts w:hint="eastAsia" w:ascii="宋体" w:hAnsi="宋体"/>
                <w:color w:val="auto"/>
                <w:szCs w:val="21"/>
                <w:highlight w:val="none"/>
              </w:rPr>
              <w:t>投标单价</w:t>
            </w:r>
          </w:p>
        </w:tc>
      </w:tr>
      <w:tr w14:paraId="6B1CC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5"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6BFC5617">
            <w:pPr>
              <w:snapToGrid w:val="0"/>
              <w:spacing w:before="50" w:after="50"/>
              <w:jc w:val="center"/>
              <w:rPr>
                <w:rFonts w:ascii="宋体" w:hAnsi="宋体"/>
                <w:color w:val="auto"/>
                <w:szCs w:val="21"/>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14:paraId="5E260602">
            <w:pPr>
              <w:snapToGrid w:val="0"/>
              <w:spacing w:before="50" w:after="50"/>
              <w:jc w:val="left"/>
              <w:rPr>
                <w:rFonts w:ascii="宋体" w:hAnsi="宋体" w:eastAsia="方正书宋简体"/>
                <w:color w:val="auto"/>
                <w:sz w:val="24"/>
                <w:szCs w:val="22"/>
                <w:highlight w:val="none"/>
              </w:rPr>
            </w:pPr>
          </w:p>
        </w:tc>
        <w:tc>
          <w:tcPr>
            <w:tcW w:w="2093" w:type="dxa"/>
            <w:tcBorders>
              <w:top w:val="single" w:color="auto" w:sz="4" w:space="0"/>
              <w:left w:val="single" w:color="auto" w:sz="4" w:space="0"/>
              <w:bottom w:val="single" w:color="auto" w:sz="4" w:space="0"/>
              <w:right w:val="single" w:color="auto" w:sz="4" w:space="0"/>
            </w:tcBorders>
            <w:vAlign w:val="center"/>
          </w:tcPr>
          <w:p w14:paraId="11B89AD9">
            <w:pPr>
              <w:snapToGrid w:val="0"/>
              <w:spacing w:before="50" w:after="50"/>
              <w:jc w:val="center"/>
              <w:rPr>
                <w:rFonts w:hint="eastAsia" w:ascii="宋体" w:hAnsi="宋体" w:eastAsia="方正书宋简体"/>
                <w:color w:val="auto"/>
                <w:sz w:val="24"/>
                <w:szCs w:val="22"/>
                <w:highlight w:val="none"/>
                <w:lang w:val="en-US" w:eastAsia="zh-CN"/>
              </w:rPr>
            </w:pPr>
            <w:r>
              <w:rPr>
                <w:rFonts w:hint="eastAsia" w:ascii="宋体" w:hAnsi="宋体" w:eastAsia="方正书宋简体"/>
                <w:color w:val="auto"/>
                <w:sz w:val="24"/>
                <w:szCs w:val="22"/>
                <w:highlight w:val="none"/>
                <w:lang w:val="en-US" w:eastAsia="zh-CN"/>
              </w:rPr>
              <w:t>8</w:t>
            </w:r>
          </w:p>
        </w:tc>
        <w:tc>
          <w:tcPr>
            <w:tcW w:w="2703" w:type="dxa"/>
            <w:tcBorders>
              <w:top w:val="single" w:color="auto" w:sz="4" w:space="0"/>
              <w:left w:val="single" w:color="auto" w:sz="4" w:space="0"/>
              <w:right w:val="single" w:color="auto" w:sz="4" w:space="0"/>
            </w:tcBorders>
            <w:vAlign w:val="center"/>
          </w:tcPr>
          <w:p w14:paraId="76BDF06F">
            <w:pPr>
              <w:snapToGrid w:val="0"/>
              <w:spacing w:before="50" w:after="50" w:line="360" w:lineRule="auto"/>
              <w:jc w:val="center"/>
              <w:rPr>
                <w:rFonts w:ascii="宋体" w:hAnsi="宋体" w:eastAsia="方正书宋简体"/>
                <w:color w:val="auto"/>
                <w:sz w:val="24"/>
                <w:szCs w:val="22"/>
                <w:highlight w:val="none"/>
              </w:rPr>
            </w:pPr>
          </w:p>
        </w:tc>
      </w:tr>
      <w:tr w14:paraId="370EB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5"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6AF55C5E">
            <w:pPr>
              <w:snapToGrid w:val="0"/>
              <w:spacing w:before="50" w:after="50"/>
              <w:jc w:val="center"/>
              <w:rPr>
                <w:rFonts w:ascii="宋体" w:hAnsi="宋体"/>
                <w:color w:val="auto"/>
                <w:szCs w:val="21"/>
                <w:highlight w:val="none"/>
              </w:rPr>
            </w:pPr>
            <w:r>
              <w:rPr>
                <w:rFonts w:ascii="宋体" w:hAnsi="宋体"/>
                <w:color w:val="auto"/>
                <w:szCs w:val="21"/>
                <w:highlight w:val="none"/>
              </w:rPr>
              <w:t>交货期</w:t>
            </w:r>
          </w:p>
        </w:tc>
        <w:tc>
          <w:tcPr>
            <w:tcW w:w="6530" w:type="dxa"/>
            <w:gridSpan w:val="3"/>
            <w:tcBorders>
              <w:top w:val="single" w:color="auto" w:sz="4" w:space="0"/>
              <w:left w:val="single" w:color="auto" w:sz="4" w:space="0"/>
              <w:bottom w:val="single" w:color="auto" w:sz="4" w:space="0"/>
              <w:right w:val="single" w:color="auto" w:sz="4" w:space="0"/>
            </w:tcBorders>
            <w:vAlign w:val="center"/>
          </w:tcPr>
          <w:p w14:paraId="5621F9C4">
            <w:pPr>
              <w:snapToGrid w:val="0"/>
              <w:spacing w:before="50" w:after="50" w:line="360" w:lineRule="auto"/>
              <w:jc w:val="center"/>
              <w:rPr>
                <w:rFonts w:ascii="宋体" w:hAnsi="宋体" w:eastAsia="方正书宋简体"/>
                <w:color w:val="auto"/>
                <w:sz w:val="24"/>
                <w:szCs w:val="22"/>
                <w:highlight w:val="none"/>
              </w:rPr>
            </w:pPr>
          </w:p>
        </w:tc>
      </w:tr>
      <w:tr w14:paraId="38884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5"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4AB8FB2C">
            <w:pPr>
              <w:snapToGrid w:val="0"/>
              <w:spacing w:before="50" w:after="50"/>
              <w:jc w:val="center"/>
              <w:rPr>
                <w:rFonts w:ascii="宋体" w:hAnsi="宋体"/>
                <w:color w:val="auto"/>
                <w:szCs w:val="21"/>
                <w:highlight w:val="none"/>
              </w:rPr>
            </w:pPr>
            <w:r>
              <w:rPr>
                <w:rFonts w:hint="eastAsia" w:ascii="宋体" w:hAnsi="宋体"/>
                <w:color w:val="auto"/>
                <w:szCs w:val="21"/>
                <w:highlight w:val="none"/>
              </w:rPr>
              <w:t>合价</w:t>
            </w:r>
          </w:p>
        </w:tc>
        <w:tc>
          <w:tcPr>
            <w:tcW w:w="6530" w:type="dxa"/>
            <w:gridSpan w:val="3"/>
            <w:tcBorders>
              <w:top w:val="single" w:color="auto" w:sz="4" w:space="0"/>
              <w:left w:val="single" w:color="auto" w:sz="4" w:space="0"/>
              <w:bottom w:val="single" w:color="auto" w:sz="4" w:space="0"/>
              <w:right w:val="single" w:color="auto" w:sz="4" w:space="0"/>
            </w:tcBorders>
            <w:vAlign w:val="center"/>
          </w:tcPr>
          <w:p w14:paraId="12C30A3F">
            <w:pPr>
              <w:snapToGrid w:val="0"/>
              <w:spacing w:before="50" w:after="50" w:line="360" w:lineRule="auto"/>
              <w:jc w:val="center"/>
              <w:rPr>
                <w:rFonts w:ascii="宋体" w:hAnsi="宋体" w:eastAsia="方正书宋简体"/>
                <w:color w:val="auto"/>
                <w:sz w:val="24"/>
                <w:szCs w:val="22"/>
                <w:highlight w:val="none"/>
              </w:rPr>
            </w:pPr>
          </w:p>
        </w:tc>
      </w:tr>
      <w:tr w14:paraId="0F992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8"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146C009E">
            <w:pPr>
              <w:snapToGrid w:val="0"/>
              <w:spacing w:before="50" w:after="50"/>
              <w:jc w:val="center"/>
              <w:rPr>
                <w:rFonts w:ascii="宋体" w:hAnsi="宋体"/>
                <w:color w:val="auto"/>
                <w:szCs w:val="21"/>
                <w:highlight w:val="none"/>
              </w:rPr>
            </w:pPr>
            <w:r>
              <w:rPr>
                <w:rFonts w:hint="eastAsia" w:ascii="宋体" w:hAnsi="宋体"/>
                <w:color w:val="auto"/>
                <w:szCs w:val="21"/>
                <w:highlight w:val="none"/>
              </w:rPr>
              <w:t>投标声明</w:t>
            </w:r>
          </w:p>
        </w:tc>
        <w:tc>
          <w:tcPr>
            <w:tcW w:w="6530" w:type="dxa"/>
            <w:gridSpan w:val="3"/>
            <w:tcBorders>
              <w:top w:val="single" w:color="auto" w:sz="4" w:space="0"/>
              <w:left w:val="single" w:color="auto" w:sz="4" w:space="0"/>
              <w:bottom w:val="single" w:color="auto" w:sz="4" w:space="0"/>
              <w:right w:val="single" w:color="auto" w:sz="4" w:space="0"/>
            </w:tcBorders>
            <w:vAlign w:val="center"/>
          </w:tcPr>
          <w:p w14:paraId="36ECE671">
            <w:pPr>
              <w:snapToGrid w:val="0"/>
              <w:spacing w:before="50" w:after="50"/>
              <w:rPr>
                <w:rFonts w:ascii="宋体" w:hAnsi="宋体"/>
                <w:color w:val="auto"/>
                <w:szCs w:val="21"/>
                <w:highlight w:val="none"/>
              </w:rPr>
            </w:pPr>
            <w:r>
              <w:rPr>
                <w:rFonts w:ascii="宋体" w:hAnsi="宋体"/>
                <w:color w:val="auto"/>
                <w:szCs w:val="21"/>
                <w:highlight w:val="none"/>
              </w:rPr>
              <w:t>本投标人已充分知悉采购文件中对采购数量的规定</w:t>
            </w:r>
            <w:r>
              <w:rPr>
                <w:rFonts w:hint="eastAsia" w:ascii="宋体" w:hAnsi="宋体"/>
                <w:color w:val="auto"/>
                <w:szCs w:val="21"/>
                <w:highlight w:val="none"/>
              </w:rPr>
              <w:t>，</w:t>
            </w:r>
            <w:r>
              <w:rPr>
                <w:rFonts w:hint="eastAsia"/>
                <w:color w:val="auto"/>
                <w:szCs w:val="24"/>
                <w:highlight w:val="none"/>
              </w:rPr>
              <w:t>结算时按实际交付数量和中标单价结算，如实际交付数量和采购文件内所述数量不符，本投标人无异议并承诺不提出索赔。</w:t>
            </w:r>
          </w:p>
        </w:tc>
      </w:tr>
    </w:tbl>
    <w:p w14:paraId="57D0FC12">
      <w:pPr>
        <w:pStyle w:val="18"/>
        <w:tabs>
          <w:tab w:val="left" w:pos="4841"/>
        </w:tabs>
        <w:ind w:firstLine="0"/>
        <w:rPr>
          <w:rFonts w:ascii="宋体" w:hAnsi="宋体" w:eastAsia="宋体" w:cs="宋体"/>
          <w:bCs/>
          <w:color w:val="auto"/>
          <w:sz w:val="21"/>
          <w:szCs w:val="21"/>
          <w:highlight w:val="none"/>
        </w:rPr>
      </w:pPr>
    </w:p>
    <w:p w14:paraId="59EB3879">
      <w:pPr>
        <w:spacing w:line="340" w:lineRule="exact"/>
        <w:ind w:left="-108" w:right="-113"/>
        <w:contextualSpacing/>
        <w:jc w:val="left"/>
        <w:rPr>
          <w:color w:val="auto"/>
          <w:szCs w:val="24"/>
          <w:highlight w:val="none"/>
        </w:rPr>
      </w:pPr>
    </w:p>
    <w:p w14:paraId="27A01CE9">
      <w:pPr>
        <w:pStyle w:val="18"/>
        <w:tabs>
          <w:tab w:val="left" w:pos="4841"/>
        </w:tabs>
        <w:ind w:firstLine="0"/>
        <w:rPr>
          <w:rFonts w:ascii="宋体" w:hAnsi="宋体" w:eastAsia="宋体" w:cs="宋体"/>
          <w:bCs/>
          <w:color w:val="auto"/>
          <w:sz w:val="21"/>
          <w:szCs w:val="21"/>
          <w:highlight w:val="none"/>
        </w:rPr>
      </w:pPr>
    </w:p>
    <w:p w14:paraId="04C871C7">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 标 人  （盖章）：</w:t>
      </w:r>
    </w:p>
    <w:p w14:paraId="5BAA20A3">
      <w:pPr>
        <w:pStyle w:val="18"/>
        <w:tabs>
          <w:tab w:val="left" w:pos="4841"/>
        </w:tabs>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法定代表人或授权代表人（签字或盖章）</w:t>
      </w:r>
      <w:r>
        <w:rPr>
          <w:rFonts w:hint="eastAsia" w:ascii="宋体" w:hAnsi="宋体" w:eastAsia="宋体" w:cs="宋体"/>
          <w:bCs/>
          <w:color w:val="auto"/>
          <w:sz w:val="21"/>
          <w:szCs w:val="21"/>
          <w:highlight w:val="none"/>
        </w:rPr>
        <w:t>：</w:t>
      </w:r>
    </w:p>
    <w:p w14:paraId="77DC5541">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             期：</w:t>
      </w:r>
    </w:p>
    <w:p w14:paraId="741CC1BD">
      <w:pPr>
        <w:rPr>
          <w:color w:val="auto"/>
        </w:rPr>
        <w:sectPr>
          <w:pgSz w:w="11907" w:h="16840"/>
          <w:pgMar w:top="1304" w:right="1588" w:bottom="1304" w:left="1588" w:header="720" w:footer="720" w:gutter="0"/>
          <w:pgNumType w:fmt="decimal"/>
          <w:cols w:space="720" w:num="1"/>
          <w:titlePg/>
          <w:docGrid w:linePitch="285" w:charSpace="0"/>
        </w:sectPr>
      </w:pPr>
    </w:p>
    <w:p w14:paraId="05598686">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格式四</w:t>
      </w:r>
    </w:p>
    <w:p w14:paraId="04BF1F0C">
      <w:pPr>
        <w:pStyle w:val="18"/>
        <w:tabs>
          <w:tab w:val="left" w:pos="4841"/>
        </w:tabs>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投标分项报价表</w:t>
      </w:r>
    </w:p>
    <w:p w14:paraId="4A86928D">
      <w:pPr>
        <w:pStyle w:val="18"/>
        <w:spacing w:line="0" w:lineRule="atLeast"/>
        <w:ind w:firstLine="0"/>
        <w:jc w:val="center"/>
        <w:rPr>
          <w:rFonts w:eastAsia="仿宋_GB2312"/>
          <w:color w:val="auto"/>
          <w:w w:val="80"/>
          <w:szCs w:val="24"/>
          <w:highlight w:val="none"/>
          <w:bdr w:val="single" w:color="auto" w:sz="4" w:space="0"/>
          <w:shd w:val="pct10" w:color="auto" w:fill="FFFFFF"/>
        </w:rPr>
      </w:pPr>
      <w:r>
        <w:rPr>
          <w:color w:val="auto"/>
          <w:w w:val="80"/>
          <w:szCs w:val="21"/>
          <w:highlight w:val="none"/>
          <w:bdr w:val="single" w:color="auto" w:sz="4" w:space="0"/>
          <w:shd w:val="pct10" w:color="auto" w:fill="FFFFFF"/>
        </w:rPr>
        <w:t>投标分项报价表或服务费用报价明细表格格式可由投标人要求自行设计</w:t>
      </w:r>
    </w:p>
    <w:p w14:paraId="2071BA0D">
      <w:pPr>
        <w:pStyle w:val="18"/>
        <w:ind w:firstLine="0"/>
        <w:rPr>
          <w:rFonts w:eastAsia="宋体"/>
          <w:color w:val="auto"/>
          <w:w w:val="80"/>
          <w:highlight w:val="none"/>
        </w:rPr>
      </w:pPr>
      <w:r>
        <w:rPr>
          <w:rFonts w:eastAsia="宋体"/>
          <w:color w:val="auto"/>
          <w:w w:val="80"/>
          <w:highlight w:val="none"/>
        </w:rPr>
        <w:t>招标编号：</w:t>
      </w:r>
    </w:p>
    <w:p w14:paraId="03555197">
      <w:pPr>
        <w:pStyle w:val="18"/>
        <w:tabs>
          <w:tab w:val="right" w:pos="8847"/>
        </w:tabs>
        <w:ind w:right="-2" w:firstLine="0"/>
        <w:rPr>
          <w:rFonts w:ascii="宋体" w:hAnsi="宋体"/>
          <w:color w:val="auto"/>
          <w:sz w:val="32"/>
          <w:highlight w:val="none"/>
        </w:rPr>
      </w:pPr>
      <w:r>
        <w:rPr>
          <w:rFonts w:eastAsia="宋体"/>
          <w:color w:val="auto"/>
          <w:w w:val="80"/>
          <w:highlight w:val="none"/>
        </w:rPr>
        <w:t>项目名称：</w:t>
      </w:r>
      <w:r>
        <w:rPr>
          <w:rFonts w:eastAsia="宋体"/>
          <w:color w:val="auto"/>
          <w:w w:val="80"/>
          <w:szCs w:val="21"/>
          <w:highlight w:val="none"/>
        </w:rPr>
        <w:t>单位：人民币元</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518"/>
        <w:gridCol w:w="1591"/>
        <w:gridCol w:w="1139"/>
        <w:gridCol w:w="1782"/>
        <w:gridCol w:w="1781"/>
      </w:tblGrid>
      <w:tr w14:paraId="5822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528" w:type="dxa"/>
            <w:gridSpan w:val="6"/>
            <w:tcBorders>
              <w:bottom w:val="single" w:color="auto" w:sz="4" w:space="0"/>
            </w:tcBorders>
            <w:vAlign w:val="center"/>
          </w:tcPr>
          <w:p w14:paraId="36193CB8">
            <w:pPr>
              <w:pStyle w:val="18"/>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    报    价    组    成（一年）</w:t>
            </w:r>
          </w:p>
        </w:tc>
      </w:tr>
      <w:tr w14:paraId="616B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tcBorders>
              <w:bottom w:val="single" w:color="auto" w:sz="4" w:space="0"/>
            </w:tcBorders>
            <w:vAlign w:val="center"/>
          </w:tcPr>
          <w:p w14:paraId="7D514677">
            <w:pPr>
              <w:pStyle w:val="18"/>
              <w:ind w:firstLine="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货物名称</w:t>
            </w:r>
          </w:p>
        </w:tc>
        <w:tc>
          <w:tcPr>
            <w:tcW w:w="1518" w:type="dxa"/>
            <w:tcBorders>
              <w:bottom w:val="single" w:color="auto" w:sz="4" w:space="0"/>
            </w:tcBorders>
            <w:vAlign w:val="center"/>
          </w:tcPr>
          <w:p w14:paraId="79FC7C48">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详细内容</w:t>
            </w:r>
          </w:p>
        </w:tc>
        <w:tc>
          <w:tcPr>
            <w:tcW w:w="1591" w:type="dxa"/>
            <w:tcBorders>
              <w:bottom w:val="single" w:color="auto" w:sz="4" w:space="0"/>
            </w:tcBorders>
            <w:vAlign w:val="center"/>
          </w:tcPr>
          <w:p w14:paraId="6FB994C1">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单价</w:t>
            </w:r>
          </w:p>
        </w:tc>
        <w:tc>
          <w:tcPr>
            <w:tcW w:w="1139" w:type="dxa"/>
            <w:tcBorders>
              <w:bottom w:val="single" w:color="auto" w:sz="4" w:space="0"/>
            </w:tcBorders>
            <w:vAlign w:val="center"/>
          </w:tcPr>
          <w:p w14:paraId="3FDF5306">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w:t>
            </w:r>
          </w:p>
        </w:tc>
        <w:tc>
          <w:tcPr>
            <w:tcW w:w="1782" w:type="dxa"/>
            <w:tcBorders>
              <w:bottom w:val="single" w:color="auto" w:sz="4" w:space="0"/>
            </w:tcBorders>
            <w:vAlign w:val="center"/>
          </w:tcPr>
          <w:p w14:paraId="5561A1FD">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合价</w:t>
            </w:r>
          </w:p>
        </w:tc>
        <w:tc>
          <w:tcPr>
            <w:tcW w:w="1781" w:type="dxa"/>
            <w:tcBorders>
              <w:bottom w:val="single" w:color="auto" w:sz="4" w:space="0"/>
            </w:tcBorders>
            <w:vAlign w:val="center"/>
          </w:tcPr>
          <w:p w14:paraId="758C1DDB">
            <w:pPr>
              <w:pStyle w:val="18"/>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小计</w:t>
            </w:r>
          </w:p>
        </w:tc>
      </w:tr>
      <w:tr w14:paraId="4E05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restart"/>
            <w:tcBorders>
              <w:top w:val="single" w:color="auto" w:sz="4" w:space="0"/>
            </w:tcBorders>
            <w:vAlign w:val="center"/>
          </w:tcPr>
          <w:p w14:paraId="168A7F40">
            <w:pPr>
              <w:pStyle w:val="18"/>
              <w:rPr>
                <w:rFonts w:ascii="宋体" w:hAnsi="宋体" w:eastAsia="宋体" w:cs="宋体"/>
                <w:bCs/>
                <w:color w:val="auto"/>
                <w:sz w:val="21"/>
                <w:szCs w:val="21"/>
                <w:highlight w:val="none"/>
              </w:rPr>
            </w:pPr>
          </w:p>
        </w:tc>
        <w:tc>
          <w:tcPr>
            <w:tcW w:w="1518" w:type="dxa"/>
            <w:tcBorders>
              <w:top w:val="single" w:color="auto" w:sz="4" w:space="0"/>
            </w:tcBorders>
            <w:vAlign w:val="center"/>
          </w:tcPr>
          <w:p w14:paraId="1B4414CF">
            <w:pPr>
              <w:pStyle w:val="18"/>
              <w:rPr>
                <w:rFonts w:ascii="宋体" w:hAnsi="宋体" w:eastAsia="宋体" w:cs="宋体"/>
                <w:bCs/>
                <w:color w:val="auto"/>
                <w:sz w:val="21"/>
                <w:szCs w:val="21"/>
                <w:highlight w:val="none"/>
              </w:rPr>
            </w:pPr>
          </w:p>
        </w:tc>
        <w:tc>
          <w:tcPr>
            <w:tcW w:w="1591" w:type="dxa"/>
            <w:tcBorders>
              <w:top w:val="single" w:color="auto" w:sz="4" w:space="0"/>
            </w:tcBorders>
            <w:vAlign w:val="center"/>
          </w:tcPr>
          <w:p w14:paraId="79E98E37">
            <w:pPr>
              <w:pStyle w:val="18"/>
              <w:rPr>
                <w:rFonts w:ascii="宋体" w:hAnsi="宋体" w:eastAsia="宋体" w:cs="宋体"/>
                <w:bCs/>
                <w:color w:val="auto"/>
                <w:sz w:val="21"/>
                <w:szCs w:val="21"/>
                <w:highlight w:val="none"/>
              </w:rPr>
            </w:pPr>
          </w:p>
        </w:tc>
        <w:tc>
          <w:tcPr>
            <w:tcW w:w="1139" w:type="dxa"/>
            <w:tcBorders>
              <w:top w:val="single" w:color="auto" w:sz="4" w:space="0"/>
            </w:tcBorders>
            <w:vAlign w:val="center"/>
          </w:tcPr>
          <w:p w14:paraId="66FFABF9">
            <w:pPr>
              <w:pStyle w:val="18"/>
              <w:rPr>
                <w:rFonts w:ascii="宋体" w:hAnsi="宋体" w:eastAsia="宋体" w:cs="宋体"/>
                <w:bCs/>
                <w:color w:val="auto"/>
                <w:sz w:val="21"/>
                <w:szCs w:val="21"/>
                <w:highlight w:val="none"/>
              </w:rPr>
            </w:pPr>
          </w:p>
        </w:tc>
        <w:tc>
          <w:tcPr>
            <w:tcW w:w="1782" w:type="dxa"/>
            <w:tcBorders>
              <w:top w:val="single" w:color="auto" w:sz="4" w:space="0"/>
            </w:tcBorders>
          </w:tcPr>
          <w:p w14:paraId="47E0E4FC">
            <w:pPr>
              <w:pStyle w:val="18"/>
              <w:rPr>
                <w:rFonts w:ascii="宋体" w:hAnsi="宋体" w:eastAsia="宋体" w:cs="宋体"/>
                <w:bCs/>
                <w:color w:val="auto"/>
                <w:sz w:val="21"/>
                <w:szCs w:val="21"/>
                <w:highlight w:val="none"/>
              </w:rPr>
            </w:pPr>
          </w:p>
        </w:tc>
        <w:tc>
          <w:tcPr>
            <w:tcW w:w="1781" w:type="dxa"/>
            <w:tcBorders>
              <w:top w:val="single" w:color="auto" w:sz="4" w:space="0"/>
            </w:tcBorders>
          </w:tcPr>
          <w:p w14:paraId="6B7C1EE3">
            <w:pPr>
              <w:pStyle w:val="18"/>
              <w:rPr>
                <w:rFonts w:ascii="宋体" w:hAnsi="宋体" w:eastAsia="宋体" w:cs="宋体"/>
                <w:bCs/>
                <w:color w:val="auto"/>
                <w:sz w:val="21"/>
                <w:szCs w:val="21"/>
                <w:highlight w:val="none"/>
              </w:rPr>
            </w:pPr>
          </w:p>
        </w:tc>
      </w:tr>
      <w:tr w14:paraId="7FD2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continue"/>
          </w:tcPr>
          <w:p w14:paraId="7FCF0E08">
            <w:pPr>
              <w:pStyle w:val="18"/>
              <w:rPr>
                <w:rFonts w:ascii="宋体" w:hAnsi="宋体" w:eastAsia="宋体" w:cs="宋体"/>
                <w:bCs/>
                <w:color w:val="auto"/>
                <w:sz w:val="21"/>
                <w:szCs w:val="21"/>
                <w:highlight w:val="none"/>
              </w:rPr>
            </w:pPr>
          </w:p>
        </w:tc>
        <w:tc>
          <w:tcPr>
            <w:tcW w:w="1518" w:type="dxa"/>
            <w:vAlign w:val="center"/>
          </w:tcPr>
          <w:p w14:paraId="43358ADB">
            <w:pPr>
              <w:pStyle w:val="18"/>
              <w:rPr>
                <w:rFonts w:ascii="宋体" w:hAnsi="宋体" w:eastAsia="宋体" w:cs="宋体"/>
                <w:bCs/>
                <w:color w:val="auto"/>
                <w:sz w:val="21"/>
                <w:szCs w:val="21"/>
                <w:highlight w:val="none"/>
              </w:rPr>
            </w:pPr>
          </w:p>
        </w:tc>
        <w:tc>
          <w:tcPr>
            <w:tcW w:w="1591" w:type="dxa"/>
            <w:vAlign w:val="center"/>
          </w:tcPr>
          <w:p w14:paraId="2DD53DE4">
            <w:pPr>
              <w:pStyle w:val="18"/>
              <w:rPr>
                <w:rFonts w:ascii="宋体" w:hAnsi="宋体" w:eastAsia="宋体" w:cs="宋体"/>
                <w:bCs/>
                <w:color w:val="auto"/>
                <w:sz w:val="21"/>
                <w:szCs w:val="21"/>
                <w:highlight w:val="none"/>
              </w:rPr>
            </w:pPr>
          </w:p>
        </w:tc>
        <w:tc>
          <w:tcPr>
            <w:tcW w:w="1139" w:type="dxa"/>
            <w:vAlign w:val="center"/>
          </w:tcPr>
          <w:p w14:paraId="7B87D8CD">
            <w:pPr>
              <w:pStyle w:val="18"/>
              <w:rPr>
                <w:rFonts w:ascii="宋体" w:hAnsi="宋体" w:eastAsia="宋体" w:cs="宋体"/>
                <w:bCs/>
                <w:color w:val="auto"/>
                <w:sz w:val="21"/>
                <w:szCs w:val="21"/>
                <w:highlight w:val="none"/>
              </w:rPr>
            </w:pPr>
          </w:p>
        </w:tc>
        <w:tc>
          <w:tcPr>
            <w:tcW w:w="1782" w:type="dxa"/>
          </w:tcPr>
          <w:p w14:paraId="5E9FF7A3">
            <w:pPr>
              <w:pStyle w:val="18"/>
              <w:rPr>
                <w:rFonts w:ascii="宋体" w:hAnsi="宋体" w:eastAsia="宋体" w:cs="宋体"/>
                <w:bCs/>
                <w:color w:val="auto"/>
                <w:sz w:val="21"/>
                <w:szCs w:val="21"/>
                <w:highlight w:val="none"/>
              </w:rPr>
            </w:pPr>
          </w:p>
        </w:tc>
        <w:tc>
          <w:tcPr>
            <w:tcW w:w="1781" w:type="dxa"/>
          </w:tcPr>
          <w:p w14:paraId="3FF1C62A">
            <w:pPr>
              <w:pStyle w:val="18"/>
              <w:rPr>
                <w:rFonts w:ascii="宋体" w:hAnsi="宋体" w:eastAsia="宋体" w:cs="宋体"/>
                <w:bCs/>
                <w:color w:val="auto"/>
                <w:sz w:val="21"/>
                <w:szCs w:val="21"/>
                <w:highlight w:val="none"/>
              </w:rPr>
            </w:pPr>
          </w:p>
        </w:tc>
      </w:tr>
      <w:tr w14:paraId="2FF0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continue"/>
            <w:vAlign w:val="center"/>
          </w:tcPr>
          <w:p w14:paraId="314BAD40">
            <w:pPr>
              <w:pStyle w:val="18"/>
              <w:rPr>
                <w:rFonts w:ascii="宋体" w:hAnsi="宋体" w:eastAsia="宋体" w:cs="宋体"/>
                <w:bCs/>
                <w:color w:val="auto"/>
                <w:sz w:val="21"/>
                <w:szCs w:val="21"/>
                <w:highlight w:val="none"/>
              </w:rPr>
            </w:pPr>
          </w:p>
        </w:tc>
        <w:tc>
          <w:tcPr>
            <w:tcW w:w="1518" w:type="dxa"/>
            <w:vAlign w:val="center"/>
          </w:tcPr>
          <w:p w14:paraId="205F001D">
            <w:pPr>
              <w:pStyle w:val="18"/>
              <w:rPr>
                <w:rFonts w:ascii="宋体" w:hAnsi="宋体" w:eastAsia="宋体" w:cs="宋体"/>
                <w:bCs/>
                <w:color w:val="auto"/>
                <w:sz w:val="21"/>
                <w:szCs w:val="21"/>
                <w:highlight w:val="none"/>
              </w:rPr>
            </w:pPr>
          </w:p>
        </w:tc>
        <w:tc>
          <w:tcPr>
            <w:tcW w:w="1591" w:type="dxa"/>
            <w:vAlign w:val="center"/>
          </w:tcPr>
          <w:p w14:paraId="0A66FBB6">
            <w:pPr>
              <w:pStyle w:val="18"/>
              <w:rPr>
                <w:rFonts w:ascii="宋体" w:hAnsi="宋体" w:eastAsia="宋体" w:cs="宋体"/>
                <w:bCs/>
                <w:color w:val="auto"/>
                <w:sz w:val="21"/>
                <w:szCs w:val="21"/>
                <w:highlight w:val="none"/>
              </w:rPr>
            </w:pPr>
          </w:p>
        </w:tc>
        <w:tc>
          <w:tcPr>
            <w:tcW w:w="1139" w:type="dxa"/>
            <w:vAlign w:val="center"/>
          </w:tcPr>
          <w:p w14:paraId="36514994">
            <w:pPr>
              <w:pStyle w:val="18"/>
              <w:rPr>
                <w:rFonts w:ascii="宋体" w:hAnsi="宋体" w:eastAsia="宋体" w:cs="宋体"/>
                <w:bCs/>
                <w:color w:val="auto"/>
                <w:sz w:val="21"/>
                <w:szCs w:val="21"/>
                <w:highlight w:val="none"/>
              </w:rPr>
            </w:pPr>
          </w:p>
        </w:tc>
        <w:tc>
          <w:tcPr>
            <w:tcW w:w="1782" w:type="dxa"/>
          </w:tcPr>
          <w:p w14:paraId="47EF5414">
            <w:pPr>
              <w:pStyle w:val="18"/>
              <w:rPr>
                <w:rFonts w:ascii="宋体" w:hAnsi="宋体" w:eastAsia="宋体" w:cs="宋体"/>
                <w:bCs/>
                <w:color w:val="auto"/>
                <w:sz w:val="21"/>
                <w:szCs w:val="21"/>
                <w:highlight w:val="none"/>
              </w:rPr>
            </w:pPr>
          </w:p>
        </w:tc>
        <w:tc>
          <w:tcPr>
            <w:tcW w:w="1781" w:type="dxa"/>
          </w:tcPr>
          <w:p w14:paraId="7728E539">
            <w:pPr>
              <w:pStyle w:val="18"/>
              <w:rPr>
                <w:rFonts w:ascii="宋体" w:hAnsi="宋体" w:eastAsia="宋体" w:cs="宋体"/>
                <w:bCs/>
                <w:color w:val="auto"/>
                <w:sz w:val="21"/>
                <w:szCs w:val="21"/>
                <w:highlight w:val="none"/>
              </w:rPr>
            </w:pPr>
          </w:p>
        </w:tc>
      </w:tr>
      <w:tr w14:paraId="2822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continue"/>
            <w:vAlign w:val="center"/>
          </w:tcPr>
          <w:p w14:paraId="02D2D97D">
            <w:pPr>
              <w:pStyle w:val="18"/>
              <w:rPr>
                <w:rFonts w:ascii="宋体" w:hAnsi="宋体" w:eastAsia="宋体" w:cs="宋体"/>
                <w:bCs/>
                <w:color w:val="auto"/>
                <w:sz w:val="21"/>
                <w:szCs w:val="21"/>
                <w:highlight w:val="none"/>
              </w:rPr>
            </w:pPr>
          </w:p>
        </w:tc>
        <w:tc>
          <w:tcPr>
            <w:tcW w:w="1518" w:type="dxa"/>
            <w:vAlign w:val="center"/>
          </w:tcPr>
          <w:p w14:paraId="61C0199D">
            <w:pPr>
              <w:pStyle w:val="18"/>
              <w:rPr>
                <w:rFonts w:ascii="宋体" w:hAnsi="宋体" w:eastAsia="宋体" w:cs="宋体"/>
                <w:bCs/>
                <w:color w:val="auto"/>
                <w:sz w:val="21"/>
                <w:szCs w:val="21"/>
                <w:highlight w:val="none"/>
              </w:rPr>
            </w:pPr>
          </w:p>
        </w:tc>
        <w:tc>
          <w:tcPr>
            <w:tcW w:w="1591" w:type="dxa"/>
            <w:vAlign w:val="center"/>
          </w:tcPr>
          <w:p w14:paraId="13335204">
            <w:pPr>
              <w:pStyle w:val="18"/>
              <w:rPr>
                <w:rFonts w:ascii="宋体" w:hAnsi="宋体" w:eastAsia="宋体" w:cs="宋体"/>
                <w:bCs/>
                <w:color w:val="auto"/>
                <w:sz w:val="21"/>
                <w:szCs w:val="21"/>
                <w:highlight w:val="none"/>
              </w:rPr>
            </w:pPr>
          </w:p>
        </w:tc>
        <w:tc>
          <w:tcPr>
            <w:tcW w:w="1139" w:type="dxa"/>
            <w:vAlign w:val="center"/>
          </w:tcPr>
          <w:p w14:paraId="1C31A9C2">
            <w:pPr>
              <w:pStyle w:val="18"/>
              <w:rPr>
                <w:rFonts w:ascii="宋体" w:hAnsi="宋体" w:eastAsia="宋体" w:cs="宋体"/>
                <w:bCs/>
                <w:color w:val="auto"/>
                <w:sz w:val="21"/>
                <w:szCs w:val="21"/>
                <w:highlight w:val="none"/>
              </w:rPr>
            </w:pPr>
          </w:p>
        </w:tc>
        <w:tc>
          <w:tcPr>
            <w:tcW w:w="1782" w:type="dxa"/>
          </w:tcPr>
          <w:p w14:paraId="55EC9572">
            <w:pPr>
              <w:pStyle w:val="18"/>
              <w:rPr>
                <w:rFonts w:ascii="宋体" w:hAnsi="宋体" w:eastAsia="宋体" w:cs="宋体"/>
                <w:bCs/>
                <w:color w:val="auto"/>
                <w:sz w:val="21"/>
                <w:szCs w:val="21"/>
                <w:highlight w:val="none"/>
              </w:rPr>
            </w:pPr>
          </w:p>
        </w:tc>
        <w:tc>
          <w:tcPr>
            <w:tcW w:w="1781" w:type="dxa"/>
          </w:tcPr>
          <w:p w14:paraId="6A03BB10">
            <w:pPr>
              <w:pStyle w:val="18"/>
              <w:rPr>
                <w:rFonts w:ascii="宋体" w:hAnsi="宋体" w:eastAsia="宋体" w:cs="宋体"/>
                <w:bCs/>
                <w:color w:val="auto"/>
                <w:sz w:val="21"/>
                <w:szCs w:val="21"/>
                <w:highlight w:val="none"/>
              </w:rPr>
            </w:pPr>
          </w:p>
        </w:tc>
      </w:tr>
      <w:tr w14:paraId="3DF0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continue"/>
            <w:vAlign w:val="center"/>
          </w:tcPr>
          <w:p w14:paraId="2C5EE1F9">
            <w:pPr>
              <w:pStyle w:val="18"/>
              <w:rPr>
                <w:rFonts w:ascii="宋体" w:hAnsi="宋体" w:eastAsia="宋体" w:cs="宋体"/>
                <w:bCs/>
                <w:color w:val="auto"/>
                <w:sz w:val="21"/>
                <w:szCs w:val="21"/>
                <w:highlight w:val="none"/>
              </w:rPr>
            </w:pPr>
          </w:p>
        </w:tc>
        <w:tc>
          <w:tcPr>
            <w:tcW w:w="1518" w:type="dxa"/>
            <w:vAlign w:val="center"/>
          </w:tcPr>
          <w:p w14:paraId="7F3B6540">
            <w:pPr>
              <w:pStyle w:val="18"/>
              <w:rPr>
                <w:rFonts w:ascii="宋体" w:hAnsi="宋体" w:eastAsia="宋体" w:cs="宋体"/>
                <w:bCs/>
                <w:color w:val="auto"/>
                <w:sz w:val="21"/>
                <w:szCs w:val="21"/>
                <w:highlight w:val="none"/>
              </w:rPr>
            </w:pPr>
          </w:p>
        </w:tc>
        <w:tc>
          <w:tcPr>
            <w:tcW w:w="1591" w:type="dxa"/>
            <w:vAlign w:val="center"/>
          </w:tcPr>
          <w:p w14:paraId="0D32AD17">
            <w:pPr>
              <w:pStyle w:val="18"/>
              <w:rPr>
                <w:rFonts w:ascii="宋体" w:hAnsi="宋体" w:eastAsia="宋体" w:cs="宋体"/>
                <w:bCs/>
                <w:color w:val="auto"/>
                <w:sz w:val="21"/>
                <w:szCs w:val="21"/>
                <w:highlight w:val="none"/>
              </w:rPr>
            </w:pPr>
          </w:p>
        </w:tc>
        <w:tc>
          <w:tcPr>
            <w:tcW w:w="1139" w:type="dxa"/>
            <w:vAlign w:val="center"/>
          </w:tcPr>
          <w:p w14:paraId="139D6A08">
            <w:pPr>
              <w:pStyle w:val="18"/>
              <w:rPr>
                <w:rFonts w:ascii="宋体" w:hAnsi="宋体" w:eastAsia="宋体" w:cs="宋体"/>
                <w:bCs/>
                <w:color w:val="auto"/>
                <w:sz w:val="21"/>
                <w:szCs w:val="21"/>
                <w:highlight w:val="none"/>
              </w:rPr>
            </w:pPr>
          </w:p>
        </w:tc>
        <w:tc>
          <w:tcPr>
            <w:tcW w:w="1782" w:type="dxa"/>
          </w:tcPr>
          <w:p w14:paraId="3E271A3F">
            <w:pPr>
              <w:pStyle w:val="18"/>
              <w:rPr>
                <w:rFonts w:ascii="宋体" w:hAnsi="宋体" w:eastAsia="宋体" w:cs="宋体"/>
                <w:bCs/>
                <w:color w:val="auto"/>
                <w:sz w:val="21"/>
                <w:szCs w:val="21"/>
                <w:highlight w:val="none"/>
              </w:rPr>
            </w:pPr>
          </w:p>
        </w:tc>
        <w:tc>
          <w:tcPr>
            <w:tcW w:w="1781" w:type="dxa"/>
          </w:tcPr>
          <w:p w14:paraId="15D85760">
            <w:pPr>
              <w:pStyle w:val="18"/>
              <w:rPr>
                <w:rFonts w:ascii="宋体" w:hAnsi="宋体" w:eastAsia="宋体" w:cs="宋体"/>
                <w:bCs/>
                <w:color w:val="auto"/>
                <w:sz w:val="21"/>
                <w:szCs w:val="21"/>
                <w:highlight w:val="none"/>
              </w:rPr>
            </w:pPr>
          </w:p>
        </w:tc>
      </w:tr>
      <w:tr w14:paraId="6A03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restart"/>
          </w:tcPr>
          <w:p w14:paraId="01CD25F4">
            <w:pPr>
              <w:pStyle w:val="18"/>
              <w:rPr>
                <w:rFonts w:ascii="宋体" w:hAnsi="宋体" w:eastAsia="宋体" w:cs="宋体"/>
                <w:bCs/>
                <w:color w:val="auto"/>
                <w:sz w:val="21"/>
                <w:szCs w:val="21"/>
                <w:highlight w:val="none"/>
              </w:rPr>
            </w:pPr>
          </w:p>
        </w:tc>
        <w:tc>
          <w:tcPr>
            <w:tcW w:w="1518" w:type="dxa"/>
            <w:vAlign w:val="center"/>
          </w:tcPr>
          <w:p w14:paraId="5FE779B4">
            <w:pPr>
              <w:pStyle w:val="18"/>
              <w:rPr>
                <w:rFonts w:ascii="宋体" w:hAnsi="宋体" w:eastAsia="宋体" w:cs="宋体"/>
                <w:bCs/>
                <w:color w:val="auto"/>
                <w:sz w:val="21"/>
                <w:szCs w:val="21"/>
                <w:highlight w:val="none"/>
              </w:rPr>
            </w:pPr>
          </w:p>
        </w:tc>
        <w:tc>
          <w:tcPr>
            <w:tcW w:w="1591" w:type="dxa"/>
            <w:vAlign w:val="center"/>
          </w:tcPr>
          <w:p w14:paraId="22031C6F">
            <w:pPr>
              <w:pStyle w:val="18"/>
              <w:rPr>
                <w:rFonts w:ascii="宋体" w:hAnsi="宋体" w:eastAsia="宋体" w:cs="宋体"/>
                <w:bCs/>
                <w:color w:val="auto"/>
                <w:sz w:val="21"/>
                <w:szCs w:val="21"/>
                <w:highlight w:val="none"/>
              </w:rPr>
            </w:pPr>
          </w:p>
        </w:tc>
        <w:tc>
          <w:tcPr>
            <w:tcW w:w="1139" w:type="dxa"/>
            <w:vAlign w:val="center"/>
          </w:tcPr>
          <w:p w14:paraId="41B3DE70">
            <w:pPr>
              <w:pStyle w:val="18"/>
              <w:rPr>
                <w:rFonts w:ascii="宋体" w:hAnsi="宋体" w:eastAsia="宋体" w:cs="宋体"/>
                <w:bCs/>
                <w:color w:val="auto"/>
                <w:sz w:val="21"/>
                <w:szCs w:val="21"/>
                <w:highlight w:val="none"/>
              </w:rPr>
            </w:pPr>
          </w:p>
        </w:tc>
        <w:tc>
          <w:tcPr>
            <w:tcW w:w="1782" w:type="dxa"/>
          </w:tcPr>
          <w:p w14:paraId="402ECFB0">
            <w:pPr>
              <w:pStyle w:val="18"/>
              <w:rPr>
                <w:rFonts w:ascii="宋体" w:hAnsi="宋体" w:eastAsia="宋体" w:cs="宋体"/>
                <w:bCs/>
                <w:color w:val="auto"/>
                <w:sz w:val="21"/>
                <w:szCs w:val="21"/>
                <w:highlight w:val="none"/>
              </w:rPr>
            </w:pPr>
          </w:p>
        </w:tc>
        <w:tc>
          <w:tcPr>
            <w:tcW w:w="1781" w:type="dxa"/>
          </w:tcPr>
          <w:p w14:paraId="59742C3A">
            <w:pPr>
              <w:pStyle w:val="18"/>
              <w:rPr>
                <w:rFonts w:ascii="宋体" w:hAnsi="宋体" w:eastAsia="宋体" w:cs="宋体"/>
                <w:bCs/>
                <w:color w:val="auto"/>
                <w:sz w:val="21"/>
                <w:szCs w:val="21"/>
                <w:highlight w:val="none"/>
              </w:rPr>
            </w:pPr>
          </w:p>
        </w:tc>
      </w:tr>
      <w:tr w14:paraId="0A68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continue"/>
          </w:tcPr>
          <w:p w14:paraId="176724F9">
            <w:pPr>
              <w:pStyle w:val="18"/>
              <w:rPr>
                <w:rFonts w:ascii="宋体" w:hAnsi="宋体" w:eastAsia="宋体" w:cs="宋体"/>
                <w:bCs/>
                <w:color w:val="auto"/>
                <w:sz w:val="21"/>
                <w:szCs w:val="21"/>
                <w:highlight w:val="none"/>
              </w:rPr>
            </w:pPr>
          </w:p>
        </w:tc>
        <w:tc>
          <w:tcPr>
            <w:tcW w:w="1518" w:type="dxa"/>
            <w:vAlign w:val="center"/>
          </w:tcPr>
          <w:p w14:paraId="56586B35">
            <w:pPr>
              <w:pStyle w:val="18"/>
              <w:rPr>
                <w:rFonts w:ascii="宋体" w:hAnsi="宋体" w:eastAsia="宋体" w:cs="宋体"/>
                <w:bCs/>
                <w:color w:val="auto"/>
                <w:sz w:val="21"/>
                <w:szCs w:val="21"/>
                <w:highlight w:val="none"/>
              </w:rPr>
            </w:pPr>
          </w:p>
        </w:tc>
        <w:tc>
          <w:tcPr>
            <w:tcW w:w="1591" w:type="dxa"/>
            <w:vAlign w:val="center"/>
          </w:tcPr>
          <w:p w14:paraId="0CE7940F">
            <w:pPr>
              <w:pStyle w:val="18"/>
              <w:rPr>
                <w:rFonts w:ascii="宋体" w:hAnsi="宋体" w:eastAsia="宋体" w:cs="宋体"/>
                <w:bCs/>
                <w:color w:val="auto"/>
                <w:sz w:val="21"/>
                <w:szCs w:val="21"/>
                <w:highlight w:val="none"/>
              </w:rPr>
            </w:pPr>
          </w:p>
        </w:tc>
        <w:tc>
          <w:tcPr>
            <w:tcW w:w="1139" w:type="dxa"/>
            <w:vAlign w:val="center"/>
          </w:tcPr>
          <w:p w14:paraId="66B1E764">
            <w:pPr>
              <w:pStyle w:val="18"/>
              <w:rPr>
                <w:rFonts w:ascii="宋体" w:hAnsi="宋体" w:eastAsia="宋体" w:cs="宋体"/>
                <w:bCs/>
                <w:color w:val="auto"/>
                <w:sz w:val="21"/>
                <w:szCs w:val="21"/>
                <w:highlight w:val="none"/>
              </w:rPr>
            </w:pPr>
          </w:p>
        </w:tc>
        <w:tc>
          <w:tcPr>
            <w:tcW w:w="1782" w:type="dxa"/>
          </w:tcPr>
          <w:p w14:paraId="731A769C">
            <w:pPr>
              <w:pStyle w:val="18"/>
              <w:rPr>
                <w:rFonts w:ascii="宋体" w:hAnsi="宋体" w:eastAsia="宋体" w:cs="宋体"/>
                <w:bCs/>
                <w:color w:val="auto"/>
                <w:sz w:val="21"/>
                <w:szCs w:val="21"/>
                <w:highlight w:val="none"/>
              </w:rPr>
            </w:pPr>
          </w:p>
        </w:tc>
        <w:tc>
          <w:tcPr>
            <w:tcW w:w="1781" w:type="dxa"/>
          </w:tcPr>
          <w:p w14:paraId="52314E10">
            <w:pPr>
              <w:pStyle w:val="18"/>
              <w:rPr>
                <w:rFonts w:ascii="宋体" w:hAnsi="宋体" w:eastAsia="宋体" w:cs="宋体"/>
                <w:bCs/>
                <w:color w:val="auto"/>
                <w:sz w:val="21"/>
                <w:szCs w:val="21"/>
                <w:highlight w:val="none"/>
              </w:rPr>
            </w:pPr>
          </w:p>
        </w:tc>
      </w:tr>
      <w:tr w14:paraId="5096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continue"/>
          </w:tcPr>
          <w:p w14:paraId="4A7CE58F">
            <w:pPr>
              <w:pStyle w:val="18"/>
              <w:rPr>
                <w:rFonts w:ascii="宋体" w:hAnsi="宋体" w:eastAsia="宋体" w:cs="宋体"/>
                <w:bCs/>
                <w:color w:val="auto"/>
                <w:sz w:val="21"/>
                <w:szCs w:val="21"/>
                <w:highlight w:val="none"/>
              </w:rPr>
            </w:pPr>
          </w:p>
        </w:tc>
        <w:tc>
          <w:tcPr>
            <w:tcW w:w="1518" w:type="dxa"/>
            <w:vAlign w:val="center"/>
          </w:tcPr>
          <w:p w14:paraId="796B3069">
            <w:pPr>
              <w:pStyle w:val="18"/>
              <w:rPr>
                <w:rFonts w:ascii="宋体" w:hAnsi="宋体" w:eastAsia="宋体" w:cs="宋体"/>
                <w:bCs/>
                <w:color w:val="auto"/>
                <w:sz w:val="21"/>
                <w:szCs w:val="21"/>
                <w:highlight w:val="none"/>
              </w:rPr>
            </w:pPr>
          </w:p>
        </w:tc>
        <w:tc>
          <w:tcPr>
            <w:tcW w:w="1591" w:type="dxa"/>
            <w:vAlign w:val="center"/>
          </w:tcPr>
          <w:p w14:paraId="618C85CE">
            <w:pPr>
              <w:pStyle w:val="18"/>
              <w:rPr>
                <w:rFonts w:ascii="宋体" w:hAnsi="宋体" w:eastAsia="宋体" w:cs="宋体"/>
                <w:bCs/>
                <w:color w:val="auto"/>
                <w:sz w:val="21"/>
                <w:szCs w:val="21"/>
                <w:highlight w:val="none"/>
              </w:rPr>
            </w:pPr>
          </w:p>
        </w:tc>
        <w:tc>
          <w:tcPr>
            <w:tcW w:w="1139" w:type="dxa"/>
            <w:vAlign w:val="center"/>
          </w:tcPr>
          <w:p w14:paraId="200BACE5">
            <w:pPr>
              <w:pStyle w:val="18"/>
              <w:rPr>
                <w:rFonts w:ascii="宋体" w:hAnsi="宋体" w:eastAsia="宋体" w:cs="宋体"/>
                <w:bCs/>
                <w:color w:val="auto"/>
                <w:sz w:val="21"/>
                <w:szCs w:val="21"/>
                <w:highlight w:val="none"/>
              </w:rPr>
            </w:pPr>
          </w:p>
        </w:tc>
        <w:tc>
          <w:tcPr>
            <w:tcW w:w="1782" w:type="dxa"/>
          </w:tcPr>
          <w:p w14:paraId="677F066C">
            <w:pPr>
              <w:pStyle w:val="18"/>
              <w:rPr>
                <w:rFonts w:ascii="宋体" w:hAnsi="宋体" w:eastAsia="宋体" w:cs="宋体"/>
                <w:bCs/>
                <w:color w:val="auto"/>
                <w:sz w:val="21"/>
                <w:szCs w:val="21"/>
                <w:highlight w:val="none"/>
              </w:rPr>
            </w:pPr>
          </w:p>
        </w:tc>
        <w:tc>
          <w:tcPr>
            <w:tcW w:w="1781" w:type="dxa"/>
          </w:tcPr>
          <w:p w14:paraId="59A74206">
            <w:pPr>
              <w:pStyle w:val="18"/>
              <w:rPr>
                <w:rFonts w:ascii="宋体" w:hAnsi="宋体" w:eastAsia="宋体" w:cs="宋体"/>
                <w:bCs/>
                <w:color w:val="auto"/>
                <w:sz w:val="21"/>
                <w:szCs w:val="21"/>
                <w:highlight w:val="none"/>
              </w:rPr>
            </w:pPr>
          </w:p>
        </w:tc>
      </w:tr>
      <w:tr w14:paraId="3D95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continue"/>
          </w:tcPr>
          <w:p w14:paraId="1DCFC110">
            <w:pPr>
              <w:pStyle w:val="18"/>
              <w:rPr>
                <w:rFonts w:ascii="宋体" w:hAnsi="宋体" w:eastAsia="宋体" w:cs="宋体"/>
                <w:bCs/>
                <w:color w:val="auto"/>
                <w:sz w:val="21"/>
                <w:szCs w:val="21"/>
                <w:highlight w:val="none"/>
              </w:rPr>
            </w:pPr>
          </w:p>
        </w:tc>
        <w:tc>
          <w:tcPr>
            <w:tcW w:w="1518" w:type="dxa"/>
            <w:vAlign w:val="center"/>
          </w:tcPr>
          <w:p w14:paraId="4A0964C3">
            <w:pPr>
              <w:pStyle w:val="18"/>
              <w:rPr>
                <w:rFonts w:ascii="宋体" w:hAnsi="宋体" w:eastAsia="宋体" w:cs="宋体"/>
                <w:bCs/>
                <w:color w:val="auto"/>
                <w:sz w:val="21"/>
                <w:szCs w:val="21"/>
                <w:highlight w:val="none"/>
              </w:rPr>
            </w:pPr>
          </w:p>
        </w:tc>
        <w:tc>
          <w:tcPr>
            <w:tcW w:w="1591" w:type="dxa"/>
            <w:vAlign w:val="center"/>
          </w:tcPr>
          <w:p w14:paraId="6297BCA7">
            <w:pPr>
              <w:pStyle w:val="18"/>
              <w:rPr>
                <w:rFonts w:ascii="宋体" w:hAnsi="宋体" w:eastAsia="宋体" w:cs="宋体"/>
                <w:bCs/>
                <w:color w:val="auto"/>
                <w:sz w:val="21"/>
                <w:szCs w:val="21"/>
                <w:highlight w:val="none"/>
              </w:rPr>
            </w:pPr>
          </w:p>
        </w:tc>
        <w:tc>
          <w:tcPr>
            <w:tcW w:w="1139" w:type="dxa"/>
            <w:vAlign w:val="center"/>
          </w:tcPr>
          <w:p w14:paraId="33935E4D">
            <w:pPr>
              <w:pStyle w:val="18"/>
              <w:rPr>
                <w:rFonts w:ascii="宋体" w:hAnsi="宋体" w:eastAsia="宋体" w:cs="宋体"/>
                <w:bCs/>
                <w:color w:val="auto"/>
                <w:sz w:val="21"/>
                <w:szCs w:val="21"/>
                <w:highlight w:val="none"/>
              </w:rPr>
            </w:pPr>
          </w:p>
        </w:tc>
        <w:tc>
          <w:tcPr>
            <w:tcW w:w="1782" w:type="dxa"/>
          </w:tcPr>
          <w:p w14:paraId="62AFEFD2">
            <w:pPr>
              <w:pStyle w:val="18"/>
              <w:rPr>
                <w:rFonts w:ascii="宋体" w:hAnsi="宋体" w:eastAsia="宋体" w:cs="宋体"/>
                <w:bCs/>
                <w:color w:val="auto"/>
                <w:sz w:val="21"/>
                <w:szCs w:val="21"/>
                <w:highlight w:val="none"/>
              </w:rPr>
            </w:pPr>
          </w:p>
        </w:tc>
        <w:tc>
          <w:tcPr>
            <w:tcW w:w="1781" w:type="dxa"/>
          </w:tcPr>
          <w:p w14:paraId="1BAD8A9C">
            <w:pPr>
              <w:pStyle w:val="18"/>
              <w:rPr>
                <w:rFonts w:ascii="宋体" w:hAnsi="宋体" w:eastAsia="宋体" w:cs="宋体"/>
                <w:bCs/>
                <w:color w:val="auto"/>
                <w:sz w:val="21"/>
                <w:szCs w:val="21"/>
                <w:highlight w:val="none"/>
              </w:rPr>
            </w:pPr>
          </w:p>
        </w:tc>
      </w:tr>
      <w:tr w14:paraId="51C2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continue"/>
          </w:tcPr>
          <w:p w14:paraId="42895AFC">
            <w:pPr>
              <w:pStyle w:val="18"/>
              <w:rPr>
                <w:rFonts w:ascii="宋体" w:hAnsi="宋体" w:eastAsia="宋体" w:cs="宋体"/>
                <w:bCs/>
                <w:color w:val="auto"/>
                <w:sz w:val="21"/>
                <w:szCs w:val="21"/>
                <w:highlight w:val="none"/>
              </w:rPr>
            </w:pPr>
          </w:p>
        </w:tc>
        <w:tc>
          <w:tcPr>
            <w:tcW w:w="1518" w:type="dxa"/>
            <w:vAlign w:val="center"/>
          </w:tcPr>
          <w:p w14:paraId="1AE7EBAE">
            <w:pPr>
              <w:pStyle w:val="18"/>
              <w:rPr>
                <w:rFonts w:ascii="宋体" w:hAnsi="宋体" w:eastAsia="宋体" w:cs="宋体"/>
                <w:bCs/>
                <w:color w:val="auto"/>
                <w:sz w:val="21"/>
                <w:szCs w:val="21"/>
                <w:highlight w:val="none"/>
              </w:rPr>
            </w:pPr>
          </w:p>
        </w:tc>
        <w:tc>
          <w:tcPr>
            <w:tcW w:w="1591" w:type="dxa"/>
            <w:vAlign w:val="center"/>
          </w:tcPr>
          <w:p w14:paraId="20783715">
            <w:pPr>
              <w:pStyle w:val="18"/>
              <w:rPr>
                <w:rFonts w:ascii="宋体" w:hAnsi="宋体" w:eastAsia="宋体" w:cs="宋体"/>
                <w:bCs/>
                <w:color w:val="auto"/>
                <w:sz w:val="21"/>
                <w:szCs w:val="21"/>
                <w:highlight w:val="none"/>
              </w:rPr>
            </w:pPr>
          </w:p>
        </w:tc>
        <w:tc>
          <w:tcPr>
            <w:tcW w:w="1139" w:type="dxa"/>
            <w:vAlign w:val="center"/>
          </w:tcPr>
          <w:p w14:paraId="061D41B3">
            <w:pPr>
              <w:pStyle w:val="18"/>
              <w:rPr>
                <w:rFonts w:ascii="宋体" w:hAnsi="宋体" w:eastAsia="宋体" w:cs="宋体"/>
                <w:bCs/>
                <w:color w:val="auto"/>
                <w:sz w:val="21"/>
                <w:szCs w:val="21"/>
                <w:highlight w:val="none"/>
              </w:rPr>
            </w:pPr>
          </w:p>
        </w:tc>
        <w:tc>
          <w:tcPr>
            <w:tcW w:w="1782" w:type="dxa"/>
          </w:tcPr>
          <w:p w14:paraId="5CD0FCC6">
            <w:pPr>
              <w:pStyle w:val="18"/>
              <w:rPr>
                <w:rFonts w:ascii="宋体" w:hAnsi="宋体" w:eastAsia="宋体" w:cs="宋体"/>
                <w:bCs/>
                <w:color w:val="auto"/>
                <w:sz w:val="21"/>
                <w:szCs w:val="21"/>
                <w:highlight w:val="none"/>
              </w:rPr>
            </w:pPr>
          </w:p>
        </w:tc>
        <w:tc>
          <w:tcPr>
            <w:tcW w:w="1781" w:type="dxa"/>
          </w:tcPr>
          <w:p w14:paraId="5F7F9B2B">
            <w:pPr>
              <w:pStyle w:val="18"/>
              <w:rPr>
                <w:rFonts w:ascii="宋体" w:hAnsi="宋体" w:eastAsia="宋体" w:cs="宋体"/>
                <w:bCs/>
                <w:color w:val="auto"/>
                <w:sz w:val="21"/>
                <w:szCs w:val="21"/>
                <w:highlight w:val="none"/>
              </w:rPr>
            </w:pPr>
          </w:p>
        </w:tc>
      </w:tr>
      <w:tr w14:paraId="7347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restart"/>
          </w:tcPr>
          <w:p w14:paraId="375040AE">
            <w:pPr>
              <w:pStyle w:val="18"/>
              <w:ind w:firstLine="0"/>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w:t>
            </w:r>
          </w:p>
        </w:tc>
        <w:tc>
          <w:tcPr>
            <w:tcW w:w="1518" w:type="dxa"/>
            <w:vAlign w:val="center"/>
          </w:tcPr>
          <w:p w14:paraId="78EB1321">
            <w:pPr>
              <w:pStyle w:val="18"/>
              <w:rPr>
                <w:rFonts w:ascii="宋体" w:hAnsi="宋体" w:eastAsia="宋体" w:cs="宋体"/>
                <w:bCs/>
                <w:color w:val="auto"/>
                <w:sz w:val="21"/>
                <w:szCs w:val="21"/>
                <w:highlight w:val="none"/>
              </w:rPr>
            </w:pPr>
          </w:p>
        </w:tc>
        <w:tc>
          <w:tcPr>
            <w:tcW w:w="1591" w:type="dxa"/>
            <w:vAlign w:val="center"/>
          </w:tcPr>
          <w:p w14:paraId="036F0F14">
            <w:pPr>
              <w:pStyle w:val="18"/>
              <w:rPr>
                <w:rFonts w:ascii="宋体" w:hAnsi="宋体" w:eastAsia="宋体" w:cs="宋体"/>
                <w:bCs/>
                <w:color w:val="auto"/>
                <w:sz w:val="21"/>
                <w:szCs w:val="21"/>
                <w:highlight w:val="none"/>
              </w:rPr>
            </w:pPr>
          </w:p>
        </w:tc>
        <w:tc>
          <w:tcPr>
            <w:tcW w:w="1139" w:type="dxa"/>
            <w:vAlign w:val="center"/>
          </w:tcPr>
          <w:p w14:paraId="37FEED0B">
            <w:pPr>
              <w:pStyle w:val="18"/>
              <w:rPr>
                <w:rFonts w:ascii="宋体" w:hAnsi="宋体" w:eastAsia="宋体" w:cs="宋体"/>
                <w:bCs/>
                <w:color w:val="auto"/>
                <w:sz w:val="21"/>
                <w:szCs w:val="21"/>
                <w:highlight w:val="none"/>
              </w:rPr>
            </w:pPr>
          </w:p>
        </w:tc>
        <w:tc>
          <w:tcPr>
            <w:tcW w:w="1782" w:type="dxa"/>
          </w:tcPr>
          <w:p w14:paraId="293BE3D9">
            <w:pPr>
              <w:pStyle w:val="18"/>
              <w:rPr>
                <w:rFonts w:ascii="宋体" w:hAnsi="宋体" w:eastAsia="宋体" w:cs="宋体"/>
                <w:bCs/>
                <w:color w:val="auto"/>
                <w:sz w:val="21"/>
                <w:szCs w:val="21"/>
                <w:highlight w:val="none"/>
              </w:rPr>
            </w:pPr>
          </w:p>
        </w:tc>
        <w:tc>
          <w:tcPr>
            <w:tcW w:w="1781" w:type="dxa"/>
          </w:tcPr>
          <w:p w14:paraId="66ECFCC2">
            <w:pPr>
              <w:pStyle w:val="18"/>
              <w:rPr>
                <w:rFonts w:ascii="宋体" w:hAnsi="宋体" w:eastAsia="宋体" w:cs="宋体"/>
                <w:bCs/>
                <w:color w:val="auto"/>
                <w:sz w:val="21"/>
                <w:szCs w:val="21"/>
                <w:highlight w:val="none"/>
              </w:rPr>
            </w:pPr>
          </w:p>
        </w:tc>
      </w:tr>
      <w:tr w14:paraId="54A4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continue"/>
          </w:tcPr>
          <w:p w14:paraId="20956556">
            <w:pPr>
              <w:pStyle w:val="18"/>
              <w:rPr>
                <w:rFonts w:ascii="宋体" w:hAnsi="宋体" w:eastAsia="宋体" w:cs="宋体"/>
                <w:bCs/>
                <w:color w:val="auto"/>
                <w:sz w:val="21"/>
                <w:szCs w:val="21"/>
                <w:highlight w:val="none"/>
              </w:rPr>
            </w:pPr>
          </w:p>
        </w:tc>
        <w:tc>
          <w:tcPr>
            <w:tcW w:w="1518" w:type="dxa"/>
            <w:vAlign w:val="center"/>
          </w:tcPr>
          <w:p w14:paraId="4DBED02C">
            <w:pPr>
              <w:pStyle w:val="18"/>
              <w:rPr>
                <w:rFonts w:ascii="宋体" w:hAnsi="宋体" w:eastAsia="宋体" w:cs="宋体"/>
                <w:bCs/>
                <w:color w:val="auto"/>
                <w:sz w:val="21"/>
                <w:szCs w:val="21"/>
                <w:highlight w:val="none"/>
              </w:rPr>
            </w:pPr>
          </w:p>
        </w:tc>
        <w:tc>
          <w:tcPr>
            <w:tcW w:w="1591" w:type="dxa"/>
            <w:vAlign w:val="center"/>
          </w:tcPr>
          <w:p w14:paraId="11258FA4">
            <w:pPr>
              <w:pStyle w:val="18"/>
              <w:rPr>
                <w:rFonts w:ascii="宋体" w:hAnsi="宋体" w:eastAsia="宋体" w:cs="宋体"/>
                <w:bCs/>
                <w:color w:val="auto"/>
                <w:sz w:val="21"/>
                <w:szCs w:val="21"/>
                <w:highlight w:val="none"/>
              </w:rPr>
            </w:pPr>
          </w:p>
        </w:tc>
        <w:tc>
          <w:tcPr>
            <w:tcW w:w="1139" w:type="dxa"/>
            <w:vAlign w:val="center"/>
          </w:tcPr>
          <w:p w14:paraId="2FFC1F76">
            <w:pPr>
              <w:pStyle w:val="18"/>
              <w:rPr>
                <w:rFonts w:ascii="宋体" w:hAnsi="宋体" w:eastAsia="宋体" w:cs="宋体"/>
                <w:bCs/>
                <w:color w:val="auto"/>
                <w:sz w:val="21"/>
                <w:szCs w:val="21"/>
                <w:highlight w:val="none"/>
              </w:rPr>
            </w:pPr>
          </w:p>
        </w:tc>
        <w:tc>
          <w:tcPr>
            <w:tcW w:w="1782" w:type="dxa"/>
          </w:tcPr>
          <w:p w14:paraId="4A6E7303">
            <w:pPr>
              <w:pStyle w:val="18"/>
              <w:rPr>
                <w:rFonts w:ascii="宋体" w:hAnsi="宋体" w:eastAsia="宋体" w:cs="宋体"/>
                <w:bCs/>
                <w:color w:val="auto"/>
                <w:sz w:val="21"/>
                <w:szCs w:val="21"/>
                <w:highlight w:val="none"/>
              </w:rPr>
            </w:pPr>
          </w:p>
        </w:tc>
        <w:tc>
          <w:tcPr>
            <w:tcW w:w="1781" w:type="dxa"/>
          </w:tcPr>
          <w:p w14:paraId="040C6726">
            <w:pPr>
              <w:pStyle w:val="18"/>
              <w:rPr>
                <w:rFonts w:ascii="宋体" w:hAnsi="宋体" w:eastAsia="宋体" w:cs="宋体"/>
                <w:bCs/>
                <w:color w:val="auto"/>
                <w:sz w:val="21"/>
                <w:szCs w:val="21"/>
                <w:highlight w:val="none"/>
              </w:rPr>
            </w:pPr>
          </w:p>
        </w:tc>
      </w:tr>
      <w:tr w14:paraId="2FD7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continue"/>
          </w:tcPr>
          <w:p w14:paraId="1419BE0A">
            <w:pPr>
              <w:pStyle w:val="18"/>
              <w:rPr>
                <w:rFonts w:ascii="宋体" w:hAnsi="宋体" w:eastAsia="宋体" w:cs="宋体"/>
                <w:bCs/>
                <w:color w:val="auto"/>
                <w:sz w:val="21"/>
                <w:szCs w:val="21"/>
                <w:highlight w:val="none"/>
              </w:rPr>
            </w:pPr>
          </w:p>
        </w:tc>
        <w:tc>
          <w:tcPr>
            <w:tcW w:w="1518" w:type="dxa"/>
            <w:vAlign w:val="center"/>
          </w:tcPr>
          <w:p w14:paraId="7818DC79">
            <w:pPr>
              <w:pStyle w:val="18"/>
              <w:rPr>
                <w:rFonts w:ascii="宋体" w:hAnsi="宋体" w:eastAsia="宋体" w:cs="宋体"/>
                <w:bCs/>
                <w:color w:val="auto"/>
                <w:sz w:val="21"/>
                <w:szCs w:val="21"/>
                <w:highlight w:val="none"/>
              </w:rPr>
            </w:pPr>
          </w:p>
        </w:tc>
        <w:tc>
          <w:tcPr>
            <w:tcW w:w="1591" w:type="dxa"/>
            <w:vAlign w:val="center"/>
          </w:tcPr>
          <w:p w14:paraId="2E01EE9F">
            <w:pPr>
              <w:pStyle w:val="18"/>
              <w:rPr>
                <w:rFonts w:ascii="宋体" w:hAnsi="宋体" w:eastAsia="宋体" w:cs="宋体"/>
                <w:bCs/>
                <w:color w:val="auto"/>
                <w:sz w:val="21"/>
                <w:szCs w:val="21"/>
                <w:highlight w:val="none"/>
              </w:rPr>
            </w:pPr>
          </w:p>
        </w:tc>
        <w:tc>
          <w:tcPr>
            <w:tcW w:w="1139" w:type="dxa"/>
            <w:vAlign w:val="center"/>
          </w:tcPr>
          <w:p w14:paraId="29FBD59D">
            <w:pPr>
              <w:pStyle w:val="18"/>
              <w:rPr>
                <w:rFonts w:ascii="宋体" w:hAnsi="宋体" w:eastAsia="宋体" w:cs="宋体"/>
                <w:bCs/>
                <w:color w:val="auto"/>
                <w:sz w:val="21"/>
                <w:szCs w:val="21"/>
                <w:highlight w:val="none"/>
              </w:rPr>
            </w:pPr>
          </w:p>
        </w:tc>
        <w:tc>
          <w:tcPr>
            <w:tcW w:w="1782" w:type="dxa"/>
          </w:tcPr>
          <w:p w14:paraId="4041AA9C">
            <w:pPr>
              <w:pStyle w:val="18"/>
              <w:rPr>
                <w:rFonts w:ascii="宋体" w:hAnsi="宋体" w:eastAsia="宋体" w:cs="宋体"/>
                <w:bCs/>
                <w:color w:val="auto"/>
                <w:sz w:val="21"/>
                <w:szCs w:val="21"/>
                <w:highlight w:val="none"/>
              </w:rPr>
            </w:pPr>
          </w:p>
        </w:tc>
        <w:tc>
          <w:tcPr>
            <w:tcW w:w="1781" w:type="dxa"/>
          </w:tcPr>
          <w:p w14:paraId="55C2D38B">
            <w:pPr>
              <w:pStyle w:val="18"/>
              <w:rPr>
                <w:rFonts w:ascii="宋体" w:hAnsi="宋体" w:eastAsia="宋体" w:cs="宋体"/>
                <w:bCs/>
                <w:color w:val="auto"/>
                <w:sz w:val="21"/>
                <w:szCs w:val="21"/>
                <w:highlight w:val="none"/>
              </w:rPr>
            </w:pPr>
          </w:p>
        </w:tc>
      </w:tr>
      <w:tr w14:paraId="2FC5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continue"/>
          </w:tcPr>
          <w:p w14:paraId="7FF7B5A8">
            <w:pPr>
              <w:pStyle w:val="18"/>
              <w:rPr>
                <w:rFonts w:ascii="宋体" w:hAnsi="宋体" w:eastAsia="宋体" w:cs="宋体"/>
                <w:bCs/>
                <w:color w:val="auto"/>
                <w:sz w:val="21"/>
                <w:szCs w:val="21"/>
                <w:highlight w:val="none"/>
              </w:rPr>
            </w:pPr>
          </w:p>
        </w:tc>
        <w:tc>
          <w:tcPr>
            <w:tcW w:w="1518" w:type="dxa"/>
            <w:vAlign w:val="center"/>
          </w:tcPr>
          <w:p w14:paraId="14440AD0">
            <w:pPr>
              <w:pStyle w:val="18"/>
              <w:rPr>
                <w:rFonts w:ascii="宋体" w:hAnsi="宋体" w:eastAsia="宋体" w:cs="宋体"/>
                <w:bCs/>
                <w:color w:val="auto"/>
                <w:sz w:val="21"/>
                <w:szCs w:val="21"/>
                <w:highlight w:val="none"/>
              </w:rPr>
            </w:pPr>
          </w:p>
        </w:tc>
        <w:tc>
          <w:tcPr>
            <w:tcW w:w="1591" w:type="dxa"/>
            <w:vAlign w:val="center"/>
          </w:tcPr>
          <w:p w14:paraId="14FC68C9">
            <w:pPr>
              <w:pStyle w:val="18"/>
              <w:rPr>
                <w:rFonts w:ascii="宋体" w:hAnsi="宋体" w:eastAsia="宋体" w:cs="宋体"/>
                <w:bCs/>
                <w:color w:val="auto"/>
                <w:sz w:val="21"/>
                <w:szCs w:val="21"/>
                <w:highlight w:val="none"/>
              </w:rPr>
            </w:pPr>
          </w:p>
        </w:tc>
        <w:tc>
          <w:tcPr>
            <w:tcW w:w="1139" w:type="dxa"/>
            <w:vAlign w:val="center"/>
          </w:tcPr>
          <w:p w14:paraId="553BF3CD">
            <w:pPr>
              <w:pStyle w:val="18"/>
              <w:rPr>
                <w:rFonts w:ascii="宋体" w:hAnsi="宋体" w:eastAsia="宋体" w:cs="宋体"/>
                <w:bCs/>
                <w:color w:val="auto"/>
                <w:sz w:val="21"/>
                <w:szCs w:val="21"/>
                <w:highlight w:val="none"/>
              </w:rPr>
            </w:pPr>
          </w:p>
        </w:tc>
        <w:tc>
          <w:tcPr>
            <w:tcW w:w="1782" w:type="dxa"/>
          </w:tcPr>
          <w:p w14:paraId="786C782D">
            <w:pPr>
              <w:pStyle w:val="18"/>
              <w:rPr>
                <w:rFonts w:ascii="宋体" w:hAnsi="宋体" w:eastAsia="宋体" w:cs="宋体"/>
                <w:bCs/>
                <w:color w:val="auto"/>
                <w:sz w:val="21"/>
                <w:szCs w:val="21"/>
                <w:highlight w:val="none"/>
              </w:rPr>
            </w:pPr>
          </w:p>
        </w:tc>
        <w:tc>
          <w:tcPr>
            <w:tcW w:w="1781" w:type="dxa"/>
          </w:tcPr>
          <w:p w14:paraId="086755A5">
            <w:pPr>
              <w:pStyle w:val="18"/>
              <w:rPr>
                <w:rFonts w:ascii="宋体" w:hAnsi="宋体" w:eastAsia="宋体" w:cs="宋体"/>
                <w:bCs/>
                <w:color w:val="auto"/>
                <w:sz w:val="21"/>
                <w:szCs w:val="21"/>
                <w:highlight w:val="none"/>
              </w:rPr>
            </w:pPr>
          </w:p>
        </w:tc>
      </w:tr>
      <w:tr w14:paraId="7B1B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7" w:type="dxa"/>
            <w:vMerge w:val="continue"/>
          </w:tcPr>
          <w:p w14:paraId="4894C6B0">
            <w:pPr>
              <w:pStyle w:val="18"/>
              <w:rPr>
                <w:rFonts w:ascii="宋体" w:hAnsi="宋体" w:eastAsia="宋体" w:cs="宋体"/>
                <w:bCs/>
                <w:color w:val="auto"/>
                <w:sz w:val="21"/>
                <w:szCs w:val="21"/>
                <w:highlight w:val="none"/>
              </w:rPr>
            </w:pPr>
          </w:p>
        </w:tc>
        <w:tc>
          <w:tcPr>
            <w:tcW w:w="1518" w:type="dxa"/>
            <w:vAlign w:val="center"/>
          </w:tcPr>
          <w:p w14:paraId="0C61F488">
            <w:pPr>
              <w:pStyle w:val="18"/>
              <w:rPr>
                <w:rFonts w:ascii="宋体" w:hAnsi="宋体" w:eastAsia="宋体" w:cs="宋体"/>
                <w:bCs/>
                <w:color w:val="auto"/>
                <w:sz w:val="21"/>
                <w:szCs w:val="21"/>
                <w:highlight w:val="none"/>
              </w:rPr>
            </w:pPr>
          </w:p>
        </w:tc>
        <w:tc>
          <w:tcPr>
            <w:tcW w:w="1591" w:type="dxa"/>
            <w:vAlign w:val="center"/>
          </w:tcPr>
          <w:p w14:paraId="39513E23">
            <w:pPr>
              <w:pStyle w:val="18"/>
              <w:rPr>
                <w:rFonts w:ascii="宋体" w:hAnsi="宋体" w:eastAsia="宋体" w:cs="宋体"/>
                <w:bCs/>
                <w:color w:val="auto"/>
                <w:sz w:val="21"/>
                <w:szCs w:val="21"/>
                <w:highlight w:val="none"/>
              </w:rPr>
            </w:pPr>
          </w:p>
        </w:tc>
        <w:tc>
          <w:tcPr>
            <w:tcW w:w="1139" w:type="dxa"/>
            <w:vAlign w:val="center"/>
          </w:tcPr>
          <w:p w14:paraId="3471BA43">
            <w:pPr>
              <w:pStyle w:val="18"/>
              <w:rPr>
                <w:rFonts w:ascii="宋体" w:hAnsi="宋体" w:eastAsia="宋体" w:cs="宋体"/>
                <w:bCs/>
                <w:color w:val="auto"/>
                <w:sz w:val="21"/>
                <w:szCs w:val="21"/>
                <w:highlight w:val="none"/>
              </w:rPr>
            </w:pPr>
          </w:p>
        </w:tc>
        <w:tc>
          <w:tcPr>
            <w:tcW w:w="1782" w:type="dxa"/>
          </w:tcPr>
          <w:p w14:paraId="6126DC9E">
            <w:pPr>
              <w:pStyle w:val="18"/>
              <w:rPr>
                <w:rFonts w:ascii="宋体" w:hAnsi="宋体" w:eastAsia="宋体" w:cs="宋体"/>
                <w:bCs/>
                <w:color w:val="auto"/>
                <w:sz w:val="21"/>
                <w:szCs w:val="21"/>
                <w:highlight w:val="none"/>
              </w:rPr>
            </w:pPr>
          </w:p>
        </w:tc>
        <w:tc>
          <w:tcPr>
            <w:tcW w:w="1781" w:type="dxa"/>
          </w:tcPr>
          <w:p w14:paraId="2B015D3B">
            <w:pPr>
              <w:pStyle w:val="18"/>
              <w:rPr>
                <w:rFonts w:ascii="宋体" w:hAnsi="宋体" w:eastAsia="宋体" w:cs="宋体"/>
                <w:bCs/>
                <w:color w:val="auto"/>
                <w:sz w:val="21"/>
                <w:szCs w:val="21"/>
                <w:highlight w:val="none"/>
              </w:rPr>
            </w:pPr>
          </w:p>
        </w:tc>
      </w:tr>
      <w:tr w14:paraId="0541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747" w:type="dxa"/>
            <w:gridSpan w:val="5"/>
            <w:vAlign w:val="center"/>
          </w:tcPr>
          <w:p w14:paraId="7A959392">
            <w:pPr>
              <w:pStyle w:val="18"/>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总计（人民币：元）</w:t>
            </w:r>
          </w:p>
        </w:tc>
        <w:tc>
          <w:tcPr>
            <w:tcW w:w="1781" w:type="dxa"/>
          </w:tcPr>
          <w:p w14:paraId="08406E8A">
            <w:pPr>
              <w:pStyle w:val="18"/>
              <w:rPr>
                <w:rFonts w:ascii="宋体" w:hAnsi="宋体" w:eastAsia="宋体" w:cs="宋体"/>
                <w:bCs/>
                <w:color w:val="auto"/>
                <w:sz w:val="21"/>
                <w:szCs w:val="21"/>
                <w:highlight w:val="none"/>
              </w:rPr>
            </w:pPr>
          </w:p>
        </w:tc>
      </w:tr>
    </w:tbl>
    <w:p w14:paraId="3A7249C8">
      <w:pPr>
        <w:pStyle w:val="18"/>
        <w:rPr>
          <w:rFonts w:ascii="宋体" w:hAnsi="宋体" w:eastAsia="宋体" w:cs="宋体"/>
          <w:bCs/>
          <w:color w:val="auto"/>
          <w:sz w:val="21"/>
          <w:szCs w:val="21"/>
          <w:highlight w:val="none"/>
        </w:rPr>
      </w:pPr>
    </w:p>
    <w:p w14:paraId="4D8C0A52">
      <w:pPr>
        <w:pStyle w:val="18"/>
        <w:rPr>
          <w:rFonts w:ascii="宋体" w:hAnsi="宋体" w:eastAsia="宋体" w:cs="宋体"/>
          <w:bCs/>
          <w:color w:val="auto"/>
          <w:sz w:val="21"/>
          <w:szCs w:val="21"/>
          <w:highlight w:val="none"/>
        </w:rPr>
      </w:pPr>
    </w:p>
    <w:p w14:paraId="01C1F15F">
      <w:pPr>
        <w:pStyle w:val="18"/>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 标 人  （盖章）：</w:t>
      </w:r>
    </w:p>
    <w:p w14:paraId="37D80EC5">
      <w:pPr>
        <w:pStyle w:val="18"/>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法定代表人或授权代表人（签字或盖章）</w:t>
      </w:r>
      <w:r>
        <w:rPr>
          <w:rFonts w:hint="eastAsia" w:ascii="宋体" w:hAnsi="宋体" w:eastAsia="宋体" w:cs="宋体"/>
          <w:bCs/>
          <w:color w:val="auto"/>
          <w:sz w:val="21"/>
          <w:szCs w:val="21"/>
          <w:highlight w:val="none"/>
        </w:rPr>
        <w:t>：</w:t>
      </w:r>
    </w:p>
    <w:p w14:paraId="24D5D1B9">
      <w:pPr>
        <w:pStyle w:val="18"/>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             期：</w:t>
      </w:r>
    </w:p>
    <w:p w14:paraId="2D5C21AA">
      <w:pPr>
        <w:rPr>
          <w:rFonts w:ascii="宋体" w:hAnsi="宋体"/>
          <w:b/>
          <w:color w:val="auto"/>
          <w:sz w:val="28"/>
          <w:szCs w:val="28"/>
          <w:highlight w:val="none"/>
        </w:rPr>
      </w:pPr>
    </w:p>
    <w:p w14:paraId="3431B260">
      <w:pPr>
        <w:rPr>
          <w:rFonts w:ascii="宋体" w:hAnsi="宋体"/>
          <w:b/>
          <w:color w:val="auto"/>
          <w:sz w:val="28"/>
          <w:szCs w:val="28"/>
          <w:highlight w:val="none"/>
        </w:rPr>
      </w:pPr>
    </w:p>
    <w:p w14:paraId="5CCC56E5">
      <w:pPr>
        <w:rPr>
          <w:rFonts w:ascii="宋体" w:hAnsi="宋体"/>
          <w:b/>
          <w:color w:val="auto"/>
          <w:sz w:val="28"/>
          <w:szCs w:val="28"/>
          <w:highlight w:val="none"/>
        </w:rPr>
      </w:pPr>
    </w:p>
    <w:p w14:paraId="78BA1B5C">
      <w:pPr>
        <w:rPr>
          <w:rFonts w:ascii="宋体" w:hAnsi="宋体"/>
          <w:b/>
          <w:color w:val="auto"/>
          <w:sz w:val="28"/>
          <w:szCs w:val="28"/>
          <w:highlight w:val="none"/>
        </w:rPr>
      </w:pPr>
    </w:p>
    <w:p w14:paraId="39110A65">
      <w:pPr>
        <w:rPr>
          <w:rFonts w:ascii="宋体" w:hAnsi="宋体"/>
          <w:b/>
          <w:color w:val="auto"/>
          <w:sz w:val="28"/>
          <w:szCs w:val="28"/>
          <w:highlight w:val="none"/>
        </w:rPr>
      </w:pPr>
    </w:p>
    <w:p w14:paraId="7AE5417D">
      <w:pPr>
        <w:rPr>
          <w:rFonts w:ascii="宋体" w:hAnsi="宋体"/>
          <w:b/>
          <w:color w:val="auto"/>
          <w:sz w:val="28"/>
          <w:szCs w:val="28"/>
          <w:highlight w:val="none"/>
        </w:rPr>
      </w:pPr>
    </w:p>
    <w:p w14:paraId="29CA3C54">
      <w:pPr>
        <w:pStyle w:val="18"/>
        <w:tabs>
          <w:tab w:val="left" w:pos="4841"/>
        </w:tabs>
        <w:rPr>
          <w:rFonts w:ascii="宋体" w:hAnsi="宋体" w:eastAsia="宋体" w:cs="宋体"/>
          <w:bCs/>
          <w:color w:val="auto"/>
          <w:sz w:val="21"/>
          <w:szCs w:val="21"/>
          <w:highlight w:val="none"/>
        </w:rPr>
      </w:pPr>
      <w:r>
        <w:rPr>
          <w:rFonts w:ascii="宋体" w:hAnsi="宋体"/>
          <w:b/>
          <w:color w:val="auto"/>
          <w:sz w:val="28"/>
          <w:szCs w:val="28"/>
          <w:highlight w:val="none"/>
        </w:rPr>
        <w:br w:type="page"/>
      </w:r>
      <w:r>
        <w:rPr>
          <w:rFonts w:hint="eastAsia" w:ascii="宋体" w:hAnsi="宋体" w:eastAsia="宋体" w:cs="宋体"/>
          <w:bCs/>
          <w:color w:val="auto"/>
          <w:sz w:val="21"/>
          <w:szCs w:val="21"/>
          <w:highlight w:val="none"/>
        </w:rPr>
        <w:t>格式五</w:t>
      </w:r>
    </w:p>
    <w:p w14:paraId="70A1C5AA">
      <w:pPr>
        <w:pStyle w:val="18"/>
        <w:jc w:val="center"/>
        <w:rPr>
          <w:rFonts w:ascii="宋体" w:hAnsi="宋体" w:eastAsia="宋体" w:cs="宋体"/>
          <w:bCs/>
          <w:color w:val="auto"/>
          <w:sz w:val="21"/>
          <w:szCs w:val="21"/>
          <w:highlight w:val="none"/>
        </w:rPr>
      </w:pPr>
    </w:p>
    <w:p w14:paraId="5B51A960">
      <w:pPr>
        <w:pStyle w:val="18"/>
        <w:jc w:val="center"/>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技术、商务条款偏离表</w:t>
      </w:r>
    </w:p>
    <w:p w14:paraId="31D2B488">
      <w:pPr>
        <w:pStyle w:val="18"/>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招标编号：</w:t>
      </w:r>
      <w:r>
        <w:rPr>
          <w:rFonts w:ascii="宋体" w:hAnsi="宋体" w:eastAsia="宋体" w:cs="宋体"/>
          <w:bCs/>
          <w:color w:val="auto"/>
          <w:sz w:val="21"/>
          <w:szCs w:val="21"/>
          <w:highlight w:val="none"/>
        </w:rPr>
        <w:tab/>
      </w:r>
      <w:r>
        <w:rPr>
          <w:rFonts w:ascii="宋体" w:hAnsi="宋体" w:eastAsia="宋体" w:cs="宋体"/>
          <w:bCs/>
          <w:color w:val="auto"/>
          <w:sz w:val="21"/>
          <w:szCs w:val="21"/>
          <w:highlight w:val="none"/>
        </w:rPr>
        <w:t>项目名称：</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4"/>
        <w:gridCol w:w="3048"/>
        <w:gridCol w:w="3473"/>
        <w:gridCol w:w="1617"/>
      </w:tblGrid>
      <w:tr w14:paraId="260056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Borders>
              <w:top w:val="single" w:color="auto" w:sz="4" w:space="0"/>
              <w:bottom w:val="single" w:color="auto" w:sz="4" w:space="0"/>
            </w:tcBorders>
            <w:tcMar>
              <w:left w:w="0" w:type="dxa"/>
              <w:right w:w="0" w:type="dxa"/>
            </w:tcMar>
            <w:vAlign w:val="center"/>
          </w:tcPr>
          <w:p w14:paraId="4514A680">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3048" w:type="dxa"/>
            <w:tcBorders>
              <w:top w:val="single" w:color="auto" w:sz="4" w:space="0"/>
              <w:bottom w:val="single" w:color="auto" w:sz="4" w:space="0"/>
            </w:tcBorders>
            <w:tcMar>
              <w:left w:w="0" w:type="dxa"/>
              <w:right w:w="0" w:type="dxa"/>
            </w:tcMar>
            <w:vAlign w:val="center"/>
          </w:tcPr>
          <w:p w14:paraId="2DD99D9C">
            <w:pPr>
              <w:pStyle w:val="18"/>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《采购文件》要求</w:t>
            </w:r>
          </w:p>
        </w:tc>
        <w:tc>
          <w:tcPr>
            <w:tcW w:w="3473" w:type="dxa"/>
            <w:tcBorders>
              <w:top w:val="single" w:color="auto" w:sz="4" w:space="0"/>
              <w:bottom w:val="single" w:color="auto" w:sz="4" w:space="0"/>
            </w:tcBorders>
            <w:tcMar>
              <w:left w:w="0" w:type="dxa"/>
              <w:right w:w="0" w:type="dxa"/>
            </w:tcMar>
            <w:vAlign w:val="center"/>
          </w:tcPr>
          <w:p w14:paraId="1779FDD1">
            <w:pPr>
              <w:pStyle w:val="18"/>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《投标文件》响应</w:t>
            </w:r>
          </w:p>
        </w:tc>
        <w:tc>
          <w:tcPr>
            <w:tcW w:w="1617" w:type="dxa"/>
            <w:tcBorders>
              <w:top w:val="single" w:color="auto" w:sz="4" w:space="0"/>
              <w:bottom w:val="single" w:color="auto" w:sz="4" w:space="0"/>
            </w:tcBorders>
            <w:tcMar>
              <w:left w:w="0" w:type="dxa"/>
              <w:right w:w="0" w:type="dxa"/>
            </w:tcMar>
            <w:vAlign w:val="center"/>
          </w:tcPr>
          <w:p w14:paraId="4C018B14">
            <w:pPr>
              <w:pStyle w:val="18"/>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说明</w:t>
            </w:r>
          </w:p>
        </w:tc>
      </w:tr>
      <w:tr w14:paraId="79963C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Borders>
              <w:top w:val="single" w:color="auto" w:sz="4" w:space="0"/>
            </w:tcBorders>
            <w:tcMar>
              <w:left w:w="0" w:type="dxa"/>
              <w:right w:w="0" w:type="dxa"/>
            </w:tcMar>
            <w:vAlign w:val="center"/>
          </w:tcPr>
          <w:p w14:paraId="763F42D9">
            <w:pPr>
              <w:pStyle w:val="18"/>
              <w:jc w:val="center"/>
              <w:rPr>
                <w:rFonts w:ascii="宋体" w:hAnsi="宋体" w:eastAsia="宋体" w:cs="宋体"/>
                <w:bCs/>
                <w:color w:val="auto"/>
                <w:sz w:val="21"/>
                <w:szCs w:val="21"/>
                <w:highlight w:val="none"/>
              </w:rPr>
            </w:pPr>
          </w:p>
        </w:tc>
        <w:tc>
          <w:tcPr>
            <w:tcW w:w="3048" w:type="dxa"/>
            <w:tcBorders>
              <w:top w:val="single" w:color="auto" w:sz="4" w:space="0"/>
            </w:tcBorders>
            <w:tcMar>
              <w:left w:w="0" w:type="dxa"/>
              <w:right w:w="0" w:type="dxa"/>
            </w:tcMar>
            <w:vAlign w:val="center"/>
          </w:tcPr>
          <w:p w14:paraId="48850226">
            <w:pPr>
              <w:pStyle w:val="18"/>
              <w:jc w:val="center"/>
              <w:rPr>
                <w:rFonts w:ascii="宋体" w:hAnsi="宋体" w:eastAsia="宋体" w:cs="宋体"/>
                <w:bCs/>
                <w:color w:val="auto"/>
                <w:sz w:val="21"/>
                <w:szCs w:val="21"/>
                <w:highlight w:val="none"/>
              </w:rPr>
            </w:pPr>
          </w:p>
        </w:tc>
        <w:tc>
          <w:tcPr>
            <w:tcW w:w="3473" w:type="dxa"/>
            <w:tcBorders>
              <w:top w:val="single" w:color="auto" w:sz="4" w:space="0"/>
            </w:tcBorders>
            <w:tcMar>
              <w:left w:w="0" w:type="dxa"/>
              <w:right w:w="0" w:type="dxa"/>
            </w:tcMar>
            <w:vAlign w:val="center"/>
          </w:tcPr>
          <w:p w14:paraId="19A2FB6D">
            <w:pPr>
              <w:pStyle w:val="18"/>
              <w:jc w:val="center"/>
              <w:rPr>
                <w:rFonts w:ascii="宋体" w:hAnsi="宋体" w:eastAsia="宋体" w:cs="宋体"/>
                <w:bCs/>
                <w:color w:val="auto"/>
                <w:sz w:val="21"/>
                <w:szCs w:val="21"/>
                <w:highlight w:val="none"/>
              </w:rPr>
            </w:pPr>
          </w:p>
        </w:tc>
        <w:tc>
          <w:tcPr>
            <w:tcW w:w="1617" w:type="dxa"/>
            <w:tcBorders>
              <w:top w:val="single" w:color="auto" w:sz="4" w:space="0"/>
            </w:tcBorders>
            <w:tcMar>
              <w:left w:w="0" w:type="dxa"/>
              <w:right w:w="0" w:type="dxa"/>
            </w:tcMar>
            <w:vAlign w:val="center"/>
          </w:tcPr>
          <w:p w14:paraId="083EC7C3">
            <w:pPr>
              <w:pStyle w:val="18"/>
              <w:jc w:val="center"/>
              <w:rPr>
                <w:rFonts w:ascii="宋体" w:hAnsi="宋体" w:eastAsia="宋体" w:cs="宋体"/>
                <w:bCs/>
                <w:color w:val="auto"/>
                <w:sz w:val="21"/>
                <w:szCs w:val="21"/>
                <w:highlight w:val="none"/>
              </w:rPr>
            </w:pPr>
          </w:p>
        </w:tc>
      </w:tr>
      <w:tr w14:paraId="22EC8E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763E49E6">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77A6DDCF">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1CFA8C49">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5FC26FFC">
            <w:pPr>
              <w:pStyle w:val="18"/>
              <w:jc w:val="center"/>
              <w:rPr>
                <w:rFonts w:ascii="宋体" w:hAnsi="宋体" w:eastAsia="宋体" w:cs="宋体"/>
                <w:bCs/>
                <w:color w:val="auto"/>
                <w:sz w:val="21"/>
                <w:szCs w:val="21"/>
                <w:highlight w:val="none"/>
              </w:rPr>
            </w:pPr>
          </w:p>
        </w:tc>
      </w:tr>
      <w:tr w14:paraId="1C7315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2EC4FADF">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43411544">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41C3B298">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0E05A151">
            <w:pPr>
              <w:pStyle w:val="18"/>
              <w:jc w:val="center"/>
              <w:rPr>
                <w:rFonts w:ascii="宋体" w:hAnsi="宋体" w:eastAsia="宋体" w:cs="宋体"/>
                <w:bCs/>
                <w:color w:val="auto"/>
                <w:sz w:val="21"/>
                <w:szCs w:val="21"/>
                <w:highlight w:val="none"/>
              </w:rPr>
            </w:pPr>
          </w:p>
        </w:tc>
      </w:tr>
      <w:tr w14:paraId="6DFF23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79B6C06D">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38FCB84E">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50C1A1F1">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12F81882">
            <w:pPr>
              <w:pStyle w:val="18"/>
              <w:jc w:val="center"/>
              <w:rPr>
                <w:rFonts w:ascii="宋体" w:hAnsi="宋体" w:eastAsia="宋体" w:cs="宋体"/>
                <w:bCs/>
                <w:color w:val="auto"/>
                <w:sz w:val="21"/>
                <w:szCs w:val="21"/>
                <w:highlight w:val="none"/>
              </w:rPr>
            </w:pPr>
          </w:p>
        </w:tc>
      </w:tr>
      <w:tr w14:paraId="070392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370906C3">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446F996E">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4EE53462">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16E529CD">
            <w:pPr>
              <w:pStyle w:val="18"/>
              <w:jc w:val="center"/>
              <w:rPr>
                <w:rFonts w:ascii="宋体" w:hAnsi="宋体" w:eastAsia="宋体" w:cs="宋体"/>
                <w:bCs/>
                <w:color w:val="auto"/>
                <w:sz w:val="21"/>
                <w:szCs w:val="21"/>
                <w:highlight w:val="none"/>
              </w:rPr>
            </w:pPr>
          </w:p>
        </w:tc>
      </w:tr>
      <w:tr w14:paraId="7977DD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64B254D4">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5EBCB995">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2CBDDE4A">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24EE73B6">
            <w:pPr>
              <w:pStyle w:val="18"/>
              <w:jc w:val="center"/>
              <w:rPr>
                <w:rFonts w:ascii="宋体" w:hAnsi="宋体" w:eastAsia="宋体" w:cs="宋体"/>
                <w:bCs/>
                <w:color w:val="auto"/>
                <w:sz w:val="21"/>
                <w:szCs w:val="21"/>
                <w:highlight w:val="none"/>
              </w:rPr>
            </w:pPr>
          </w:p>
        </w:tc>
      </w:tr>
      <w:tr w14:paraId="0BB92F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78D6C634">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7F1D0C42">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697D42AA">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506705D4">
            <w:pPr>
              <w:pStyle w:val="18"/>
              <w:jc w:val="center"/>
              <w:rPr>
                <w:rFonts w:ascii="宋体" w:hAnsi="宋体" w:eastAsia="宋体" w:cs="宋体"/>
                <w:bCs/>
                <w:color w:val="auto"/>
                <w:sz w:val="21"/>
                <w:szCs w:val="21"/>
                <w:highlight w:val="none"/>
              </w:rPr>
            </w:pPr>
          </w:p>
        </w:tc>
      </w:tr>
      <w:tr w14:paraId="0C7938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4FF6C336">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047D9591">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2BECF7DE">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0049F34D">
            <w:pPr>
              <w:pStyle w:val="18"/>
              <w:jc w:val="center"/>
              <w:rPr>
                <w:rFonts w:ascii="宋体" w:hAnsi="宋体" w:eastAsia="宋体" w:cs="宋体"/>
                <w:bCs/>
                <w:color w:val="auto"/>
                <w:sz w:val="21"/>
                <w:szCs w:val="21"/>
                <w:highlight w:val="none"/>
              </w:rPr>
            </w:pPr>
          </w:p>
        </w:tc>
      </w:tr>
      <w:tr w14:paraId="575FD9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444ECE4D">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263DD15E">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118A6751">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57714AFB">
            <w:pPr>
              <w:pStyle w:val="18"/>
              <w:jc w:val="center"/>
              <w:rPr>
                <w:rFonts w:ascii="宋体" w:hAnsi="宋体" w:eastAsia="宋体" w:cs="宋体"/>
                <w:bCs/>
                <w:color w:val="auto"/>
                <w:sz w:val="21"/>
                <w:szCs w:val="21"/>
                <w:highlight w:val="none"/>
              </w:rPr>
            </w:pPr>
          </w:p>
        </w:tc>
      </w:tr>
      <w:tr w14:paraId="510029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130F6113">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7E375225">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5BC2D12D">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78449FF5">
            <w:pPr>
              <w:pStyle w:val="18"/>
              <w:jc w:val="center"/>
              <w:rPr>
                <w:rFonts w:ascii="宋体" w:hAnsi="宋体" w:eastAsia="宋体" w:cs="宋体"/>
                <w:bCs/>
                <w:color w:val="auto"/>
                <w:sz w:val="21"/>
                <w:szCs w:val="21"/>
                <w:highlight w:val="none"/>
              </w:rPr>
            </w:pPr>
          </w:p>
        </w:tc>
      </w:tr>
    </w:tbl>
    <w:p w14:paraId="4809FEDA">
      <w:pPr>
        <w:pStyle w:val="18"/>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备注：1、列明采购文件的要求与投标文件对应响应，并说明偏离状况；2、无偏离应在本表</w:t>
      </w:r>
      <w:r>
        <w:rPr>
          <w:rFonts w:hint="eastAsia" w:ascii="宋体" w:hAnsi="宋体" w:eastAsia="宋体" w:cs="宋体"/>
          <w:bCs/>
          <w:color w:val="auto"/>
          <w:sz w:val="21"/>
          <w:szCs w:val="21"/>
          <w:highlight w:val="none"/>
        </w:rPr>
        <w:t>“说明”</w:t>
      </w:r>
      <w:r>
        <w:rPr>
          <w:rFonts w:ascii="宋体" w:hAnsi="宋体" w:eastAsia="宋体" w:cs="宋体"/>
          <w:bCs/>
          <w:color w:val="auto"/>
          <w:sz w:val="21"/>
          <w:szCs w:val="21"/>
          <w:highlight w:val="none"/>
        </w:rPr>
        <w:t>处醒目地注明“无条款偏离”的字样。</w:t>
      </w:r>
    </w:p>
    <w:p w14:paraId="6A34D220">
      <w:pPr>
        <w:pStyle w:val="18"/>
        <w:jc w:val="left"/>
        <w:rPr>
          <w:rFonts w:ascii="宋体" w:hAnsi="宋体" w:eastAsia="宋体" w:cs="宋体"/>
          <w:bCs/>
          <w:color w:val="auto"/>
          <w:sz w:val="21"/>
          <w:szCs w:val="21"/>
          <w:highlight w:val="none"/>
        </w:rPr>
      </w:pPr>
    </w:p>
    <w:p w14:paraId="629C8C9D">
      <w:pPr>
        <w:pStyle w:val="18"/>
        <w:jc w:val="left"/>
        <w:rPr>
          <w:rFonts w:ascii="宋体" w:hAnsi="宋体" w:eastAsia="宋体" w:cs="宋体"/>
          <w:bCs/>
          <w:color w:val="auto"/>
          <w:sz w:val="21"/>
          <w:szCs w:val="21"/>
          <w:highlight w:val="none"/>
        </w:rPr>
      </w:pPr>
    </w:p>
    <w:p w14:paraId="680787A8">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投标人（盖章）：</w:t>
      </w:r>
    </w:p>
    <w:p w14:paraId="7A9EA333">
      <w:pPr>
        <w:pStyle w:val="18"/>
        <w:jc w:val="left"/>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法定代表人或授权代表人（签字或盖章）</w:t>
      </w:r>
      <w:r>
        <w:rPr>
          <w:rFonts w:hint="eastAsia" w:ascii="宋体" w:hAnsi="宋体" w:eastAsia="宋体" w:cs="宋体"/>
          <w:bCs/>
          <w:color w:val="auto"/>
          <w:sz w:val="21"/>
          <w:szCs w:val="21"/>
          <w:highlight w:val="none"/>
        </w:rPr>
        <w:t xml:space="preserve">：                         </w:t>
      </w:r>
    </w:p>
    <w:p w14:paraId="13CDCDA9">
      <w:pPr>
        <w:pStyle w:val="18"/>
        <w:jc w:val="left"/>
        <w:rPr>
          <w:rFonts w:ascii="宋体" w:hAnsi="宋体" w:eastAsia="宋体" w:cs="宋体"/>
          <w:bCs/>
          <w:color w:val="auto"/>
          <w:sz w:val="21"/>
          <w:szCs w:val="21"/>
          <w:highlight w:val="none"/>
        </w:rPr>
      </w:pPr>
    </w:p>
    <w:p w14:paraId="2048C8E7">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日期：</w:t>
      </w:r>
    </w:p>
    <w:p w14:paraId="6F9A5D56">
      <w:pPr>
        <w:pStyle w:val="18"/>
        <w:jc w:val="center"/>
        <w:rPr>
          <w:rFonts w:ascii="宋体" w:hAnsi="宋体" w:eastAsia="宋体" w:cs="宋体"/>
          <w:bCs/>
          <w:color w:val="auto"/>
          <w:sz w:val="21"/>
          <w:szCs w:val="21"/>
          <w:highlight w:val="none"/>
        </w:rPr>
      </w:pPr>
    </w:p>
    <w:p w14:paraId="6C14E3C5">
      <w:pPr>
        <w:rPr>
          <w:rFonts w:ascii="宋体" w:hAnsi="宋体"/>
          <w:b/>
          <w:color w:val="auto"/>
          <w:sz w:val="28"/>
          <w:highlight w:val="none"/>
        </w:rPr>
      </w:pPr>
    </w:p>
    <w:p w14:paraId="34BE39AF">
      <w:pPr>
        <w:pStyle w:val="18"/>
        <w:tabs>
          <w:tab w:val="left" w:pos="4841"/>
        </w:tabs>
        <w:rPr>
          <w:rFonts w:hint="eastAsia" w:ascii="宋体" w:hAnsi="宋体" w:eastAsia="宋体" w:cs="宋体"/>
          <w:bCs/>
          <w:color w:val="auto"/>
          <w:sz w:val="21"/>
          <w:szCs w:val="21"/>
          <w:highlight w:val="none"/>
        </w:rPr>
      </w:pPr>
    </w:p>
    <w:p w14:paraId="2A38B832">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格式六</w:t>
      </w:r>
    </w:p>
    <w:p w14:paraId="4DBE9E08">
      <w:pPr>
        <w:pStyle w:val="18"/>
        <w:jc w:val="center"/>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“★”条款商务技术条款偏离表</w:t>
      </w:r>
    </w:p>
    <w:p w14:paraId="7C36B109">
      <w:pPr>
        <w:pStyle w:val="18"/>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招标编号：</w:t>
      </w:r>
      <w:r>
        <w:rPr>
          <w:rFonts w:ascii="宋体" w:hAnsi="宋体" w:eastAsia="宋体" w:cs="宋体"/>
          <w:bCs/>
          <w:color w:val="auto"/>
          <w:sz w:val="21"/>
          <w:szCs w:val="21"/>
          <w:highlight w:val="none"/>
        </w:rPr>
        <w:tab/>
      </w:r>
      <w:r>
        <w:rPr>
          <w:rFonts w:ascii="宋体" w:hAnsi="宋体" w:eastAsia="宋体" w:cs="宋体"/>
          <w:bCs/>
          <w:color w:val="auto"/>
          <w:sz w:val="21"/>
          <w:szCs w:val="21"/>
          <w:highlight w:val="none"/>
        </w:rPr>
        <w:t>项目名称：</w:t>
      </w:r>
    </w:p>
    <w:tbl>
      <w:tblPr>
        <w:tblStyle w:val="45"/>
        <w:tblW w:w="9981"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7371"/>
        <w:gridCol w:w="993"/>
        <w:gridCol w:w="1050"/>
      </w:tblGrid>
      <w:tr w14:paraId="00460E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Borders>
              <w:top w:val="single" w:color="auto" w:sz="4" w:space="0"/>
              <w:bottom w:val="single" w:color="auto" w:sz="4" w:space="0"/>
            </w:tcBorders>
            <w:tcMar>
              <w:left w:w="0" w:type="dxa"/>
              <w:right w:w="0" w:type="dxa"/>
            </w:tcMar>
            <w:vAlign w:val="center"/>
          </w:tcPr>
          <w:p w14:paraId="442ABF62">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7371" w:type="dxa"/>
            <w:tcBorders>
              <w:top w:val="single" w:color="auto" w:sz="4" w:space="0"/>
              <w:bottom w:val="single" w:color="auto" w:sz="4" w:space="0"/>
            </w:tcBorders>
            <w:tcMar>
              <w:left w:w="0" w:type="dxa"/>
              <w:right w:w="0" w:type="dxa"/>
            </w:tcMar>
            <w:vAlign w:val="center"/>
          </w:tcPr>
          <w:p w14:paraId="24410BCA">
            <w:pPr>
              <w:pStyle w:val="18"/>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《采购文件》要求</w:t>
            </w:r>
          </w:p>
        </w:tc>
        <w:tc>
          <w:tcPr>
            <w:tcW w:w="993" w:type="dxa"/>
            <w:tcBorders>
              <w:top w:val="single" w:color="auto" w:sz="4" w:space="0"/>
              <w:bottom w:val="single" w:color="auto" w:sz="4" w:space="0"/>
            </w:tcBorders>
            <w:tcMar>
              <w:left w:w="0" w:type="dxa"/>
              <w:right w:w="0" w:type="dxa"/>
            </w:tcMar>
            <w:vAlign w:val="center"/>
          </w:tcPr>
          <w:p w14:paraId="65CB7772">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《投标文件》响应</w:t>
            </w:r>
          </w:p>
        </w:tc>
        <w:tc>
          <w:tcPr>
            <w:tcW w:w="1050" w:type="dxa"/>
            <w:tcBorders>
              <w:top w:val="single" w:color="auto" w:sz="4" w:space="0"/>
              <w:bottom w:val="single" w:color="auto" w:sz="4" w:space="0"/>
            </w:tcBorders>
            <w:tcMar>
              <w:left w:w="0" w:type="dxa"/>
              <w:right w:w="0" w:type="dxa"/>
            </w:tcMar>
            <w:vAlign w:val="center"/>
          </w:tcPr>
          <w:p w14:paraId="7C702077">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说明</w:t>
            </w:r>
          </w:p>
        </w:tc>
      </w:tr>
      <w:tr w14:paraId="52015A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Borders>
              <w:top w:val="single" w:color="auto" w:sz="4" w:space="0"/>
            </w:tcBorders>
            <w:tcMar>
              <w:left w:w="0" w:type="dxa"/>
              <w:right w:w="0" w:type="dxa"/>
            </w:tcMar>
            <w:vAlign w:val="center"/>
          </w:tcPr>
          <w:p w14:paraId="32FE1915">
            <w:pPr>
              <w:pStyle w:val="18"/>
              <w:ind w:firstLine="0"/>
              <w:jc w:val="center"/>
              <w:rPr>
                <w:rFonts w:ascii="宋体" w:hAnsi="宋体" w:eastAsia="宋体" w:cs="宋体"/>
                <w:bCs/>
                <w:color w:val="auto"/>
                <w:sz w:val="21"/>
                <w:szCs w:val="21"/>
                <w:highlight w:val="none"/>
              </w:rPr>
            </w:pPr>
          </w:p>
        </w:tc>
        <w:tc>
          <w:tcPr>
            <w:tcW w:w="7371" w:type="dxa"/>
            <w:tcBorders>
              <w:top w:val="single" w:color="auto" w:sz="4" w:space="0"/>
            </w:tcBorders>
            <w:tcMar>
              <w:left w:w="0" w:type="dxa"/>
              <w:right w:w="0" w:type="dxa"/>
            </w:tcMar>
            <w:vAlign w:val="center"/>
          </w:tcPr>
          <w:p w14:paraId="3CEB0C44">
            <w:pPr>
              <w:pStyle w:val="18"/>
              <w:ind w:firstLine="0"/>
              <w:rPr>
                <w:rFonts w:ascii="宋体" w:hAnsi="宋体" w:eastAsia="宋体" w:cs="宋体"/>
                <w:bCs/>
                <w:color w:val="auto"/>
                <w:sz w:val="21"/>
                <w:szCs w:val="21"/>
                <w:highlight w:val="none"/>
              </w:rPr>
            </w:pPr>
          </w:p>
        </w:tc>
        <w:tc>
          <w:tcPr>
            <w:tcW w:w="993" w:type="dxa"/>
            <w:tcBorders>
              <w:top w:val="single" w:color="auto" w:sz="4" w:space="0"/>
            </w:tcBorders>
            <w:tcMar>
              <w:left w:w="0" w:type="dxa"/>
              <w:right w:w="0" w:type="dxa"/>
            </w:tcMar>
            <w:vAlign w:val="center"/>
          </w:tcPr>
          <w:p w14:paraId="66CF5C1E">
            <w:pPr>
              <w:pStyle w:val="18"/>
              <w:jc w:val="center"/>
              <w:rPr>
                <w:rFonts w:ascii="宋体" w:hAnsi="宋体" w:eastAsia="宋体" w:cs="宋体"/>
                <w:bCs/>
                <w:color w:val="auto"/>
                <w:sz w:val="21"/>
                <w:szCs w:val="21"/>
                <w:highlight w:val="none"/>
              </w:rPr>
            </w:pPr>
          </w:p>
        </w:tc>
        <w:tc>
          <w:tcPr>
            <w:tcW w:w="1050" w:type="dxa"/>
            <w:tcBorders>
              <w:top w:val="single" w:color="auto" w:sz="4" w:space="0"/>
            </w:tcBorders>
            <w:tcMar>
              <w:left w:w="0" w:type="dxa"/>
              <w:right w:w="0" w:type="dxa"/>
            </w:tcMar>
            <w:vAlign w:val="center"/>
          </w:tcPr>
          <w:p w14:paraId="1407AF87">
            <w:pPr>
              <w:pStyle w:val="18"/>
              <w:jc w:val="center"/>
              <w:rPr>
                <w:rFonts w:ascii="宋体" w:hAnsi="宋体" w:eastAsia="宋体" w:cs="宋体"/>
                <w:bCs/>
                <w:color w:val="auto"/>
                <w:sz w:val="21"/>
                <w:szCs w:val="21"/>
                <w:highlight w:val="none"/>
              </w:rPr>
            </w:pPr>
          </w:p>
        </w:tc>
      </w:tr>
      <w:tr w14:paraId="4094AE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0196C9D2">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42DB2F7E">
            <w:pPr>
              <w:pStyle w:val="18"/>
              <w:ind w:firstLine="0"/>
              <w:rPr>
                <w:rFonts w:ascii="宋体" w:hAnsi="宋体" w:eastAsia="宋体" w:cs="宋体"/>
                <w:bCs/>
                <w:color w:val="auto"/>
                <w:sz w:val="21"/>
                <w:szCs w:val="21"/>
                <w:highlight w:val="none"/>
              </w:rPr>
            </w:pPr>
          </w:p>
        </w:tc>
        <w:tc>
          <w:tcPr>
            <w:tcW w:w="993" w:type="dxa"/>
            <w:tcMar>
              <w:left w:w="0" w:type="dxa"/>
              <w:right w:w="0" w:type="dxa"/>
            </w:tcMar>
            <w:vAlign w:val="center"/>
          </w:tcPr>
          <w:p w14:paraId="10801DD7">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144B8293">
            <w:pPr>
              <w:pStyle w:val="18"/>
              <w:jc w:val="center"/>
              <w:rPr>
                <w:rFonts w:ascii="宋体" w:hAnsi="宋体" w:eastAsia="宋体" w:cs="宋体"/>
                <w:bCs/>
                <w:color w:val="auto"/>
                <w:sz w:val="21"/>
                <w:szCs w:val="21"/>
                <w:highlight w:val="none"/>
              </w:rPr>
            </w:pPr>
          </w:p>
        </w:tc>
      </w:tr>
      <w:tr w14:paraId="1C1889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327CB322">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5D725A08">
            <w:pPr>
              <w:spacing w:line="340" w:lineRule="exact"/>
              <w:ind w:right="-113"/>
              <w:contextualSpacing/>
              <w:jc w:val="left"/>
              <w:rPr>
                <w:rFonts w:ascii="宋体" w:hAnsi="宋体" w:cs="宋体"/>
                <w:bCs/>
                <w:color w:val="auto"/>
                <w:szCs w:val="21"/>
                <w:highlight w:val="none"/>
              </w:rPr>
            </w:pPr>
          </w:p>
        </w:tc>
        <w:tc>
          <w:tcPr>
            <w:tcW w:w="993" w:type="dxa"/>
            <w:tcMar>
              <w:left w:w="0" w:type="dxa"/>
              <w:right w:w="0" w:type="dxa"/>
            </w:tcMar>
            <w:vAlign w:val="center"/>
          </w:tcPr>
          <w:p w14:paraId="5754E8BC">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4BE4ECE7">
            <w:pPr>
              <w:pStyle w:val="18"/>
              <w:jc w:val="center"/>
              <w:rPr>
                <w:rFonts w:ascii="宋体" w:hAnsi="宋体" w:eastAsia="宋体" w:cs="宋体"/>
                <w:bCs/>
                <w:color w:val="auto"/>
                <w:sz w:val="21"/>
                <w:szCs w:val="21"/>
                <w:highlight w:val="none"/>
              </w:rPr>
            </w:pPr>
          </w:p>
        </w:tc>
      </w:tr>
      <w:tr w14:paraId="7D0591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14A34188">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1E354BCE">
            <w:pPr>
              <w:spacing w:line="340" w:lineRule="exact"/>
              <w:ind w:right="-113"/>
              <w:contextualSpacing/>
              <w:jc w:val="left"/>
              <w:rPr>
                <w:rFonts w:ascii="宋体" w:hAnsi="宋体" w:cs="宋体"/>
                <w:bCs/>
                <w:color w:val="auto"/>
                <w:szCs w:val="21"/>
                <w:highlight w:val="none"/>
              </w:rPr>
            </w:pPr>
          </w:p>
        </w:tc>
        <w:tc>
          <w:tcPr>
            <w:tcW w:w="993" w:type="dxa"/>
            <w:tcMar>
              <w:left w:w="0" w:type="dxa"/>
              <w:right w:w="0" w:type="dxa"/>
            </w:tcMar>
            <w:vAlign w:val="center"/>
          </w:tcPr>
          <w:p w14:paraId="6DE063C2">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4A2F78EC">
            <w:pPr>
              <w:pStyle w:val="18"/>
              <w:jc w:val="center"/>
              <w:rPr>
                <w:rFonts w:ascii="宋体" w:hAnsi="宋体" w:eastAsia="宋体" w:cs="宋体"/>
                <w:bCs/>
                <w:color w:val="auto"/>
                <w:sz w:val="21"/>
                <w:szCs w:val="21"/>
                <w:highlight w:val="none"/>
              </w:rPr>
            </w:pPr>
          </w:p>
        </w:tc>
      </w:tr>
      <w:tr w14:paraId="4CADEF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20D56540">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4A936242">
            <w:pPr>
              <w:spacing w:line="340" w:lineRule="exact"/>
              <w:ind w:right="-113"/>
              <w:contextualSpacing/>
              <w:jc w:val="left"/>
              <w:rPr>
                <w:rFonts w:ascii="宋体" w:hAnsi="宋体" w:cs="宋体"/>
                <w:bCs/>
                <w:color w:val="auto"/>
                <w:szCs w:val="21"/>
                <w:highlight w:val="none"/>
              </w:rPr>
            </w:pPr>
          </w:p>
        </w:tc>
        <w:tc>
          <w:tcPr>
            <w:tcW w:w="993" w:type="dxa"/>
            <w:tcMar>
              <w:left w:w="0" w:type="dxa"/>
              <w:right w:w="0" w:type="dxa"/>
            </w:tcMar>
            <w:vAlign w:val="center"/>
          </w:tcPr>
          <w:p w14:paraId="0F9B79D4">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1F8DE80E">
            <w:pPr>
              <w:pStyle w:val="18"/>
              <w:jc w:val="center"/>
              <w:rPr>
                <w:rFonts w:ascii="宋体" w:hAnsi="宋体" w:eastAsia="宋体" w:cs="宋体"/>
                <w:bCs/>
                <w:color w:val="auto"/>
                <w:sz w:val="21"/>
                <w:szCs w:val="21"/>
                <w:highlight w:val="none"/>
              </w:rPr>
            </w:pPr>
          </w:p>
        </w:tc>
      </w:tr>
      <w:tr w14:paraId="68188D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1B736C8E">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2068BEB5">
            <w:pPr>
              <w:spacing w:line="340" w:lineRule="exact"/>
              <w:ind w:right="-113"/>
              <w:contextualSpacing/>
              <w:jc w:val="left"/>
              <w:rPr>
                <w:rFonts w:ascii="宋体" w:hAnsi="宋体" w:cs="宋体"/>
                <w:bCs/>
                <w:color w:val="auto"/>
                <w:szCs w:val="21"/>
                <w:highlight w:val="none"/>
              </w:rPr>
            </w:pPr>
          </w:p>
        </w:tc>
        <w:tc>
          <w:tcPr>
            <w:tcW w:w="993" w:type="dxa"/>
            <w:tcMar>
              <w:left w:w="0" w:type="dxa"/>
              <w:right w:w="0" w:type="dxa"/>
            </w:tcMar>
            <w:vAlign w:val="center"/>
          </w:tcPr>
          <w:p w14:paraId="12E18A8E">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41D9A70E">
            <w:pPr>
              <w:pStyle w:val="18"/>
              <w:jc w:val="center"/>
              <w:rPr>
                <w:rFonts w:ascii="宋体" w:hAnsi="宋体" w:eastAsia="宋体" w:cs="宋体"/>
                <w:bCs/>
                <w:color w:val="auto"/>
                <w:sz w:val="21"/>
                <w:szCs w:val="21"/>
                <w:highlight w:val="none"/>
              </w:rPr>
            </w:pPr>
          </w:p>
        </w:tc>
      </w:tr>
      <w:tr w14:paraId="40D6E8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1B7DD61A">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70F7F031">
            <w:pPr>
              <w:pStyle w:val="18"/>
              <w:spacing w:line="340" w:lineRule="exact"/>
              <w:ind w:right="-113" w:firstLine="0"/>
              <w:contextualSpacing/>
              <w:jc w:val="left"/>
              <w:rPr>
                <w:rFonts w:ascii="宋体" w:hAnsi="宋体" w:eastAsia="宋体" w:cs="宋体"/>
                <w:bCs/>
                <w:color w:val="auto"/>
                <w:sz w:val="21"/>
                <w:szCs w:val="21"/>
                <w:highlight w:val="none"/>
              </w:rPr>
            </w:pPr>
          </w:p>
        </w:tc>
        <w:tc>
          <w:tcPr>
            <w:tcW w:w="993" w:type="dxa"/>
            <w:tcMar>
              <w:left w:w="0" w:type="dxa"/>
              <w:right w:w="0" w:type="dxa"/>
            </w:tcMar>
            <w:vAlign w:val="center"/>
          </w:tcPr>
          <w:p w14:paraId="1BD719A5">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7F3C3FA7">
            <w:pPr>
              <w:pStyle w:val="18"/>
              <w:jc w:val="center"/>
              <w:rPr>
                <w:rFonts w:ascii="宋体" w:hAnsi="宋体" w:eastAsia="宋体" w:cs="宋体"/>
                <w:bCs/>
                <w:color w:val="auto"/>
                <w:sz w:val="21"/>
                <w:szCs w:val="21"/>
                <w:highlight w:val="none"/>
              </w:rPr>
            </w:pPr>
          </w:p>
        </w:tc>
      </w:tr>
      <w:tr w14:paraId="132025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5A542CCC">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0892B593">
            <w:pPr>
              <w:pStyle w:val="18"/>
              <w:ind w:firstLine="0"/>
              <w:rPr>
                <w:rFonts w:ascii="宋体" w:hAnsi="宋体" w:eastAsia="宋体" w:cs="宋体"/>
                <w:bCs/>
                <w:color w:val="auto"/>
                <w:sz w:val="21"/>
                <w:szCs w:val="21"/>
                <w:highlight w:val="none"/>
              </w:rPr>
            </w:pPr>
          </w:p>
        </w:tc>
        <w:tc>
          <w:tcPr>
            <w:tcW w:w="993" w:type="dxa"/>
            <w:tcMar>
              <w:left w:w="0" w:type="dxa"/>
              <w:right w:w="0" w:type="dxa"/>
            </w:tcMar>
            <w:vAlign w:val="center"/>
          </w:tcPr>
          <w:p w14:paraId="73DC529C">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73991E5D">
            <w:pPr>
              <w:pStyle w:val="18"/>
              <w:jc w:val="center"/>
              <w:rPr>
                <w:rFonts w:ascii="宋体" w:hAnsi="宋体" w:eastAsia="宋体" w:cs="宋体"/>
                <w:bCs/>
                <w:color w:val="auto"/>
                <w:sz w:val="21"/>
                <w:szCs w:val="21"/>
                <w:highlight w:val="none"/>
              </w:rPr>
            </w:pPr>
          </w:p>
        </w:tc>
      </w:tr>
      <w:tr w14:paraId="0AB887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4C1F1FB1">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6507F0A8">
            <w:pPr>
              <w:pStyle w:val="18"/>
              <w:ind w:firstLine="0"/>
              <w:rPr>
                <w:rFonts w:ascii="宋体" w:hAnsi="宋体" w:eastAsia="宋体" w:cs="宋体"/>
                <w:bCs/>
                <w:color w:val="auto"/>
                <w:sz w:val="21"/>
                <w:szCs w:val="21"/>
                <w:highlight w:val="none"/>
              </w:rPr>
            </w:pPr>
          </w:p>
        </w:tc>
        <w:tc>
          <w:tcPr>
            <w:tcW w:w="993" w:type="dxa"/>
            <w:tcMar>
              <w:left w:w="0" w:type="dxa"/>
              <w:right w:w="0" w:type="dxa"/>
            </w:tcMar>
            <w:vAlign w:val="center"/>
          </w:tcPr>
          <w:p w14:paraId="2FBC77A3">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25D0E5A6">
            <w:pPr>
              <w:pStyle w:val="18"/>
              <w:jc w:val="center"/>
              <w:rPr>
                <w:rFonts w:ascii="宋体" w:hAnsi="宋体" w:eastAsia="宋体" w:cs="宋体"/>
                <w:bCs/>
                <w:color w:val="auto"/>
                <w:sz w:val="21"/>
                <w:szCs w:val="21"/>
                <w:highlight w:val="none"/>
              </w:rPr>
            </w:pPr>
          </w:p>
        </w:tc>
      </w:tr>
      <w:tr w14:paraId="184B2C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0F26CF1B">
            <w:pPr>
              <w:spacing w:line="400" w:lineRule="exact"/>
              <w:jc w:val="center"/>
              <w:rPr>
                <w:rFonts w:ascii="宋体" w:hAnsi="宋体" w:cs="宋体"/>
                <w:bCs/>
                <w:color w:val="auto"/>
                <w:szCs w:val="21"/>
                <w:highlight w:val="none"/>
              </w:rPr>
            </w:pPr>
          </w:p>
        </w:tc>
        <w:tc>
          <w:tcPr>
            <w:tcW w:w="7371" w:type="dxa"/>
            <w:tcMar>
              <w:left w:w="0" w:type="dxa"/>
              <w:right w:w="0" w:type="dxa"/>
            </w:tcMar>
            <w:vAlign w:val="center"/>
          </w:tcPr>
          <w:p w14:paraId="3786AFC7">
            <w:pPr>
              <w:spacing w:line="400" w:lineRule="exact"/>
              <w:rPr>
                <w:rFonts w:ascii="宋体" w:hAnsi="宋体" w:cs="宋体"/>
                <w:bCs/>
                <w:color w:val="auto"/>
                <w:szCs w:val="21"/>
                <w:highlight w:val="none"/>
              </w:rPr>
            </w:pPr>
          </w:p>
        </w:tc>
        <w:tc>
          <w:tcPr>
            <w:tcW w:w="993" w:type="dxa"/>
            <w:tcMar>
              <w:left w:w="0" w:type="dxa"/>
              <w:right w:w="0" w:type="dxa"/>
            </w:tcMar>
            <w:vAlign w:val="center"/>
          </w:tcPr>
          <w:p w14:paraId="0ABE5D42">
            <w:pPr>
              <w:spacing w:line="400" w:lineRule="exact"/>
              <w:rPr>
                <w:rFonts w:ascii="宋体" w:hAnsi="宋体" w:cs="宋体"/>
                <w:bCs/>
                <w:color w:val="auto"/>
                <w:szCs w:val="21"/>
                <w:highlight w:val="none"/>
              </w:rPr>
            </w:pPr>
          </w:p>
        </w:tc>
        <w:tc>
          <w:tcPr>
            <w:tcW w:w="1050" w:type="dxa"/>
            <w:tcMar>
              <w:left w:w="0" w:type="dxa"/>
              <w:right w:w="0" w:type="dxa"/>
            </w:tcMar>
            <w:vAlign w:val="center"/>
          </w:tcPr>
          <w:p w14:paraId="0BAD3951">
            <w:pPr>
              <w:pStyle w:val="18"/>
              <w:jc w:val="center"/>
              <w:rPr>
                <w:rFonts w:ascii="宋体" w:hAnsi="宋体" w:eastAsia="宋体" w:cs="宋体"/>
                <w:bCs/>
                <w:color w:val="auto"/>
                <w:sz w:val="21"/>
                <w:szCs w:val="21"/>
                <w:highlight w:val="none"/>
              </w:rPr>
            </w:pPr>
          </w:p>
        </w:tc>
      </w:tr>
      <w:tr w14:paraId="15D502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5009B2A7">
            <w:pPr>
              <w:spacing w:line="400" w:lineRule="exact"/>
              <w:jc w:val="center"/>
              <w:rPr>
                <w:rFonts w:ascii="宋体" w:hAnsi="宋体" w:cs="宋体"/>
                <w:bCs/>
                <w:color w:val="auto"/>
                <w:szCs w:val="21"/>
                <w:highlight w:val="none"/>
              </w:rPr>
            </w:pPr>
          </w:p>
        </w:tc>
        <w:tc>
          <w:tcPr>
            <w:tcW w:w="7371" w:type="dxa"/>
            <w:tcMar>
              <w:left w:w="0" w:type="dxa"/>
              <w:right w:w="0" w:type="dxa"/>
            </w:tcMar>
            <w:vAlign w:val="center"/>
          </w:tcPr>
          <w:p w14:paraId="5A1C196E">
            <w:pPr>
              <w:spacing w:line="400" w:lineRule="exact"/>
              <w:rPr>
                <w:rFonts w:ascii="宋体" w:hAnsi="宋体" w:cs="宋体"/>
                <w:bCs/>
                <w:color w:val="auto"/>
                <w:szCs w:val="21"/>
                <w:highlight w:val="none"/>
              </w:rPr>
            </w:pPr>
          </w:p>
        </w:tc>
        <w:tc>
          <w:tcPr>
            <w:tcW w:w="993" w:type="dxa"/>
            <w:tcMar>
              <w:left w:w="0" w:type="dxa"/>
              <w:right w:w="0" w:type="dxa"/>
            </w:tcMar>
            <w:vAlign w:val="center"/>
          </w:tcPr>
          <w:p w14:paraId="6843AAD8">
            <w:pPr>
              <w:spacing w:line="400" w:lineRule="exact"/>
              <w:rPr>
                <w:rFonts w:ascii="宋体" w:hAnsi="宋体" w:cs="宋体"/>
                <w:bCs/>
                <w:color w:val="auto"/>
                <w:szCs w:val="21"/>
                <w:highlight w:val="none"/>
              </w:rPr>
            </w:pPr>
          </w:p>
        </w:tc>
        <w:tc>
          <w:tcPr>
            <w:tcW w:w="1050" w:type="dxa"/>
            <w:tcMar>
              <w:left w:w="0" w:type="dxa"/>
              <w:right w:w="0" w:type="dxa"/>
            </w:tcMar>
            <w:vAlign w:val="center"/>
          </w:tcPr>
          <w:p w14:paraId="3BCB7719">
            <w:pPr>
              <w:pStyle w:val="18"/>
              <w:jc w:val="center"/>
              <w:rPr>
                <w:rFonts w:ascii="宋体" w:hAnsi="宋体" w:eastAsia="宋体" w:cs="宋体"/>
                <w:bCs/>
                <w:color w:val="auto"/>
                <w:sz w:val="21"/>
                <w:szCs w:val="21"/>
                <w:highlight w:val="none"/>
              </w:rPr>
            </w:pPr>
          </w:p>
        </w:tc>
      </w:tr>
    </w:tbl>
    <w:p w14:paraId="5E2C0DD8">
      <w:pPr>
        <w:pStyle w:val="18"/>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备注：1、列明采购文件的要求与投标文件对应响应，并说明偏离状况；2、无偏离应在本表</w:t>
      </w:r>
      <w:r>
        <w:rPr>
          <w:rFonts w:hint="eastAsia" w:ascii="宋体" w:hAnsi="宋体" w:eastAsia="宋体" w:cs="宋体"/>
          <w:bCs/>
          <w:color w:val="auto"/>
          <w:sz w:val="21"/>
          <w:szCs w:val="21"/>
          <w:highlight w:val="none"/>
        </w:rPr>
        <w:t>“说明”</w:t>
      </w:r>
      <w:r>
        <w:rPr>
          <w:rFonts w:ascii="宋体" w:hAnsi="宋体" w:eastAsia="宋体" w:cs="宋体"/>
          <w:bCs/>
          <w:color w:val="auto"/>
          <w:sz w:val="21"/>
          <w:szCs w:val="21"/>
          <w:highlight w:val="none"/>
        </w:rPr>
        <w:t>处醒目地注明“无条款偏离”的字样。</w:t>
      </w:r>
    </w:p>
    <w:p w14:paraId="20721657">
      <w:pPr>
        <w:pStyle w:val="18"/>
        <w:jc w:val="left"/>
        <w:rPr>
          <w:rFonts w:ascii="宋体" w:hAnsi="宋体" w:eastAsia="宋体" w:cs="宋体"/>
          <w:bCs/>
          <w:color w:val="auto"/>
          <w:sz w:val="21"/>
          <w:szCs w:val="21"/>
          <w:highlight w:val="none"/>
        </w:rPr>
      </w:pPr>
    </w:p>
    <w:p w14:paraId="7A717830">
      <w:pPr>
        <w:pStyle w:val="18"/>
        <w:jc w:val="left"/>
        <w:rPr>
          <w:rFonts w:ascii="宋体" w:hAnsi="宋体" w:eastAsia="宋体" w:cs="宋体"/>
          <w:bCs/>
          <w:color w:val="auto"/>
          <w:sz w:val="21"/>
          <w:szCs w:val="21"/>
          <w:highlight w:val="none"/>
        </w:rPr>
      </w:pPr>
    </w:p>
    <w:p w14:paraId="5BA0A2AC">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投标人（盖章）：</w:t>
      </w:r>
    </w:p>
    <w:p w14:paraId="6BEC50C1">
      <w:pPr>
        <w:pStyle w:val="18"/>
        <w:jc w:val="left"/>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法定代表人或授权代表人（签字或盖章）</w:t>
      </w:r>
      <w:r>
        <w:rPr>
          <w:rFonts w:hint="eastAsia" w:ascii="宋体" w:hAnsi="宋体" w:eastAsia="宋体" w:cs="宋体"/>
          <w:bCs/>
          <w:color w:val="auto"/>
          <w:sz w:val="21"/>
          <w:szCs w:val="21"/>
          <w:highlight w:val="none"/>
        </w:rPr>
        <w:t xml:space="preserve">：                         </w:t>
      </w:r>
    </w:p>
    <w:p w14:paraId="407A5406">
      <w:pPr>
        <w:pStyle w:val="18"/>
        <w:jc w:val="left"/>
        <w:rPr>
          <w:rFonts w:ascii="宋体" w:hAnsi="宋体" w:eastAsia="宋体" w:cs="宋体"/>
          <w:bCs/>
          <w:color w:val="auto"/>
          <w:sz w:val="21"/>
          <w:szCs w:val="21"/>
          <w:highlight w:val="none"/>
        </w:rPr>
      </w:pPr>
    </w:p>
    <w:p w14:paraId="67D33727">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日期：</w:t>
      </w:r>
    </w:p>
    <w:p w14:paraId="515CAE8A">
      <w:pPr>
        <w:rPr>
          <w:rFonts w:ascii="宋体" w:hAnsi="宋体"/>
          <w:b/>
          <w:color w:val="auto"/>
          <w:sz w:val="28"/>
          <w:highlight w:val="none"/>
        </w:rPr>
        <w:sectPr>
          <w:pgSz w:w="11907" w:h="16840"/>
          <w:pgMar w:top="1134" w:right="1531" w:bottom="1134" w:left="1531" w:header="425" w:footer="709" w:gutter="0"/>
          <w:pgNumType w:fmt="decimal"/>
          <w:cols w:space="720" w:num="1"/>
          <w:docGrid w:linePitch="285" w:charSpace="0"/>
        </w:sectPr>
      </w:pPr>
    </w:p>
    <w:p w14:paraId="26BCCB6B">
      <w:pPr>
        <w:rPr>
          <w:rFonts w:ascii="宋体" w:hAnsi="宋体"/>
          <w:b/>
          <w:color w:val="auto"/>
          <w:sz w:val="28"/>
          <w:highlight w:val="none"/>
        </w:rPr>
      </w:pPr>
    </w:p>
    <w:p w14:paraId="35123179">
      <w:pPr>
        <w:rPr>
          <w:rFonts w:ascii="宋体" w:hAnsi="宋体" w:cs="宋体"/>
          <w:bCs/>
          <w:color w:val="auto"/>
          <w:szCs w:val="21"/>
          <w:highlight w:val="none"/>
        </w:rPr>
      </w:pPr>
      <w:r>
        <w:rPr>
          <w:rFonts w:hint="eastAsia" w:ascii="宋体" w:hAnsi="宋体" w:cs="宋体"/>
          <w:bCs/>
          <w:color w:val="auto"/>
          <w:szCs w:val="21"/>
          <w:highlight w:val="none"/>
        </w:rPr>
        <w:t>格式七</w:t>
      </w:r>
    </w:p>
    <w:p w14:paraId="18CB1DF3">
      <w:pPr>
        <w:rPr>
          <w:rFonts w:ascii="宋体" w:hAnsi="宋体" w:cs="宋体"/>
          <w:bCs/>
          <w:color w:val="auto"/>
          <w:szCs w:val="21"/>
          <w:highlight w:val="none"/>
        </w:rPr>
      </w:pPr>
    </w:p>
    <w:p w14:paraId="607246EA">
      <w:pPr>
        <w:pStyle w:val="23"/>
        <w:snapToGrid w:val="0"/>
        <w:jc w:val="center"/>
        <w:rPr>
          <w:rFonts w:hAnsi="宋体"/>
          <w:b/>
          <w:bCs/>
          <w:color w:val="auto"/>
          <w:sz w:val="21"/>
          <w:szCs w:val="21"/>
          <w:highlight w:val="none"/>
        </w:rPr>
      </w:pPr>
      <w:r>
        <w:rPr>
          <w:rFonts w:hint="eastAsia" w:hAnsi="宋体"/>
          <w:b/>
          <w:bCs/>
          <w:color w:val="auto"/>
          <w:sz w:val="21"/>
          <w:szCs w:val="21"/>
          <w:highlight w:val="none"/>
        </w:rPr>
        <w:t>投标产品配置清单</w:t>
      </w:r>
    </w:p>
    <w:p w14:paraId="6E6AA2A4">
      <w:pPr>
        <w:pStyle w:val="23"/>
        <w:snapToGrid w:val="0"/>
        <w:ind w:firstLine="420" w:firstLineChars="200"/>
        <w:rPr>
          <w:rFonts w:hAnsi="宋体"/>
          <w:color w:val="auto"/>
          <w:sz w:val="21"/>
          <w:szCs w:val="21"/>
          <w:highlight w:val="none"/>
          <w:u w:val="single"/>
        </w:rPr>
      </w:pPr>
      <w:r>
        <w:rPr>
          <w:rFonts w:hint="eastAsia" w:hAnsi="宋体"/>
          <w:color w:val="auto"/>
          <w:sz w:val="21"/>
          <w:szCs w:val="21"/>
          <w:highlight w:val="none"/>
        </w:rPr>
        <w:t>项目名称：</w:t>
      </w:r>
    </w:p>
    <w:p w14:paraId="0FB7E2FD">
      <w:pPr>
        <w:pStyle w:val="23"/>
        <w:snapToGrid w:val="0"/>
        <w:ind w:firstLine="420" w:firstLineChars="200"/>
        <w:rPr>
          <w:rFonts w:hAnsi="宋体"/>
          <w:color w:val="auto"/>
          <w:sz w:val="21"/>
          <w:szCs w:val="21"/>
          <w:highlight w:val="none"/>
        </w:rPr>
      </w:pPr>
      <w:r>
        <w:rPr>
          <w:rFonts w:hint="eastAsia" w:hAnsi="宋体"/>
          <w:color w:val="auto"/>
          <w:sz w:val="21"/>
          <w:szCs w:val="21"/>
          <w:highlight w:val="none"/>
        </w:rPr>
        <w:t>项目编号</w:t>
      </w:r>
      <w:r>
        <w:rPr>
          <w:rFonts w:hAnsi="宋体"/>
          <w:color w:val="auto"/>
          <w:sz w:val="21"/>
          <w:szCs w:val="21"/>
          <w:highlight w:val="none"/>
        </w:rPr>
        <w:t>：</w:t>
      </w:r>
    </w:p>
    <w:tbl>
      <w:tblPr>
        <w:tblStyle w:val="4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4"/>
        <w:gridCol w:w="1878"/>
        <w:gridCol w:w="1426"/>
        <w:gridCol w:w="1903"/>
        <w:gridCol w:w="1078"/>
        <w:gridCol w:w="1426"/>
      </w:tblGrid>
      <w:tr w14:paraId="511E5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1044" w:type="dxa"/>
            <w:tcBorders>
              <w:top w:val="single" w:color="auto" w:sz="4" w:space="0"/>
              <w:left w:val="single" w:color="auto" w:sz="4" w:space="0"/>
              <w:bottom w:val="single" w:color="auto" w:sz="4" w:space="0"/>
              <w:right w:val="single" w:color="auto" w:sz="4" w:space="0"/>
            </w:tcBorders>
            <w:vAlign w:val="center"/>
          </w:tcPr>
          <w:p w14:paraId="2BAC3DD8">
            <w:pPr>
              <w:jc w:val="center"/>
              <w:rPr>
                <w:color w:val="auto"/>
                <w:szCs w:val="22"/>
                <w:highlight w:val="none"/>
              </w:rPr>
            </w:pPr>
            <w:r>
              <w:rPr>
                <w:rFonts w:hint="eastAsia"/>
                <w:color w:val="auto"/>
                <w:szCs w:val="22"/>
                <w:highlight w:val="none"/>
              </w:rPr>
              <w:t>序号</w:t>
            </w:r>
          </w:p>
        </w:tc>
        <w:tc>
          <w:tcPr>
            <w:tcW w:w="1878" w:type="dxa"/>
            <w:tcBorders>
              <w:top w:val="single" w:color="auto" w:sz="4" w:space="0"/>
              <w:left w:val="single" w:color="auto" w:sz="4" w:space="0"/>
              <w:bottom w:val="single" w:color="auto" w:sz="4" w:space="0"/>
              <w:right w:val="single" w:color="auto" w:sz="4" w:space="0"/>
            </w:tcBorders>
            <w:vAlign w:val="center"/>
          </w:tcPr>
          <w:p w14:paraId="38234D81">
            <w:pPr>
              <w:jc w:val="center"/>
              <w:rPr>
                <w:color w:val="auto"/>
                <w:szCs w:val="22"/>
                <w:highlight w:val="none"/>
              </w:rPr>
            </w:pPr>
            <w:r>
              <w:rPr>
                <w:rFonts w:hint="eastAsia"/>
                <w:color w:val="auto"/>
                <w:szCs w:val="22"/>
                <w:highlight w:val="none"/>
              </w:rPr>
              <w:t>货物名称</w:t>
            </w:r>
          </w:p>
        </w:tc>
        <w:tc>
          <w:tcPr>
            <w:tcW w:w="1426" w:type="dxa"/>
            <w:tcBorders>
              <w:top w:val="single" w:color="auto" w:sz="4" w:space="0"/>
              <w:left w:val="single" w:color="auto" w:sz="4" w:space="0"/>
              <w:bottom w:val="single" w:color="auto" w:sz="4" w:space="0"/>
              <w:right w:val="single" w:color="auto" w:sz="4" w:space="0"/>
            </w:tcBorders>
            <w:vAlign w:val="center"/>
          </w:tcPr>
          <w:p w14:paraId="32893F1C">
            <w:pPr>
              <w:jc w:val="center"/>
              <w:rPr>
                <w:color w:val="auto"/>
                <w:szCs w:val="22"/>
                <w:highlight w:val="none"/>
              </w:rPr>
            </w:pPr>
            <w:r>
              <w:rPr>
                <w:color w:val="auto"/>
                <w:szCs w:val="22"/>
                <w:highlight w:val="none"/>
              </w:rPr>
              <w:t>品牌</w:t>
            </w:r>
          </w:p>
        </w:tc>
        <w:tc>
          <w:tcPr>
            <w:tcW w:w="1903" w:type="dxa"/>
            <w:tcBorders>
              <w:top w:val="single" w:color="auto" w:sz="4" w:space="0"/>
              <w:left w:val="single" w:color="auto" w:sz="4" w:space="0"/>
              <w:bottom w:val="single" w:color="auto" w:sz="4" w:space="0"/>
              <w:right w:val="single" w:color="auto" w:sz="4" w:space="0"/>
            </w:tcBorders>
            <w:vAlign w:val="center"/>
          </w:tcPr>
          <w:p w14:paraId="214E37D5">
            <w:pPr>
              <w:jc w:val="center"/>
              <w:rPr>
                <w:color w:val="auto"/>
                <w:szCs w:val="22"/>
                <w:highlight w:val="none"/>
              </w:rPr>
            </w:pPr>
            <w:r>
              <w:rPr>
                <w:rFonts w:hint="eastAsia"/>
                <w:color w:val="auto"/>
                <w:szCs w:val="22"/>
                <w:highlight w:val="none"/>
              </w:rPr>
              <w:t>规格型号</w:t>
            </w:r>
          </w:p>
        </w:tc>
        <w:tc>
          <w:tcPr>
            <w:tcW w:w="1078" w:type="dxa"/>
            <w:tcBorders>
              <w:top w:val="single" w:color="auto" w:sz="4" w:space="0"/>
              <w:left w:val="single" w:color="auto" w:sz="4" w:space="0"/>
              <w:bottom w:val="single" w:color="auto" w:sz="4" w:space="0"/>
              <w:right w:val="single" w:color="auto" w:sz="4" w:space="0"/>
            </w:tcBorders>
            <w:vAlign w:val="center"/>
          </w:tcPr>
          <w:p w14:paraId="497EE7E3">
            <w:pPr>
              <w:jc w:val="center"/>
              <w:rPr>
                <w:color w:val="auto"/>
                <w:szCs w:val="22"/>
                <w:highlight w:val="none"/>
              </w:rPr>
            </w:pPr>
            <w:r>
              <w:rPr>
                <w:rFonts w:hint="eastAsia"/>
                <w:color w:val="auto"/>
                <w:szCs w:val="22"/>
                <w:highlight w:val="none"/>
              </w:rPr>
              <w:t>产地</w:t>
            </w:r>
          </w:p>
        </w:tc>
        <w:tc>
          <w:tcPr>
            <w:tcW w:w="1426" w:type="dxa"/>
            <w:tcBorders>
              <w:top w:val="single" w:color="auto" w:sz="4" w:space="0"/>
              <w:left w:val="single" w:color="auto" w:sz="4" w:space="0"/>
              <w:bottom w:val="single" w:color="auto" w:sz="4" w:space="0"/>
              <w:right w:val="single" w:color="auto" w:sz="4" w:space="0"/>
            </w:tcBorders>
            <w:vAlign w:val="center"/>
          </w:tcPr>
          <w:p w14:paraId="11196E16">
            <w:pPr>
              <w:jc w:val="center"/>
              <w:rPr>
                <w:color w:val="auto"/>
                <w:szCs w:val="22"/>
                <w:highlight w:val="none"/>
              </w:rPr>
            </w:pPr>
            <w:r>
              <w:rPr>
                <w:rFonts w:hint="eastAsia"/>
                <w:color w:val="auto"/>
                <w:szCs w:val="22"/>
                <w:highlight w:val="none"/>
              </w:rPr>
              <w:t>备注</w:t>
            </w:r>
          </w:p>
        </w:tc>
      </w:tr>
      <w:tr w14:paraId="2E7D2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044" w:type="dxa"/>
            <w:tcBorders>
              <w:top w:val="single" w:color="auto" w:sz="4" w:space="0"/>
              <w:left w:val="single" w:color="auto" w:sz="4" w:space="0"/>
              <w:bottom w:val="single" w:color="auto" w:sz="4" w:space="0"/>
              <w:right w:val="single" w:color="auto" w:sz="4" w:space="0"/>
            </w:tcBorders>
          </w:tcPr>
          <w:p w14:paraId="22CC5B15">
            <w:pPr>
              <w:tabs>
                <w:tab w:val="left" w:pos="1418"/>
              </w:tabs>
              <w:snapToGrid w:val="0"/>
              <w:spacing w:line="400" w:lineRule="exact"/>
              <w:jc w:val="center"/>
              <w:rPr>
                <w:rFonts w:ascii="宋体" w:hAnsi="宋体"/>
                <w:color w:val="auto"/>
                <w:spacing w:val="20"/>
                <w:szCs w:val="21"/>
                <w:highlight w:val="none"/>
              </w:rPr>
            </w:pPr>
          </w:p>
        </w:tc>
        <w:tc>
          <w:tcPr>
            <w:tcW w:w="1878" w:type="dxa"/>
            <w:tcBorders>
              <w:top w:val="single" w:color="auto" w:sz="4" w:space="0"/>
              <w:left w:val="single" w:color="auto" w:sz="4" w:space="0"/>
              <w:bottom w:val="single" w:color="auto" w:sz="4" w:space="0"/>
              <w:right w:val="single" w:color="auto" w:sz="4" w:space="0"/>
            </w:tcBorders>
          </w:tcPr>
          <w:p w14:paraId="13AB30ED">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02614E69">
            <w:pPr>
              <w:tabs>
                <w:tab w:val="left" w:pos="1418"/>
              </w:tabs>
              <w:snapToGrid w:val="0"/>
              <w:spacing w:line="400" w:lineRule="exact"/>
              <w:jc w:val="center"/>
              <w:rPr>
                <w:rFonts w:ascii="宋体" w:hAnsi="宋体"/>
                <w:color w:val="auto"/>
                <w:spacing w:val="20"/>
                <w:szCs w:val="21"/>
                <w:highlight w:val="none"/>
              </w:rPr>
            </w:pPr>
          </w:p>
        </w:tc>
        <w:tc>
          <w:tcPr>
            <w:tcW w:w="1903" w:type="dxa"/>
            <w:tcBorders>
              <w:top w:val="single" w:color="auto" w:sz="4" w:space="0"/>
              <w:left w:val="single" w:color="auto" w:sz="4" w:space="0"/>
              <w:bottom w:val="single" w:color="auto" w:sz="4" w:space="0"/>
              <w:right w:val="single" w:color="auto" w:sz="4" w:space="0"/>
            </w:tcBorders>
          </w:tcPr>
          <w:p w14:paraId="7F7FDD3C">
            <w:pPr>
              <w:tabs>
                <w:tab w:val="left" w:pos="1418"/>
              </w:tabs>
              <w:snapToGrid w:val="0"/>
              <w:spacing w:line="400" w:lineRule="exact"/>
              <w:jc w:val="center"/>
              <w:rPr>
                <w:rFonts w:ascii="宋体" w:hAnsi="宋体"/>
                <w:color w:val="auto"/>
                <w:spacing w:val="20"/>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61EE6164">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682604F6">
            <w:pPr>
              <w:tabs>
                <w:tab w:val="left" w:pos="1418"/>
              </w:tabs>
              <w:snapToGrid w:val="0"/>
              <w:spacing w:line="400" w:lineRule="exact"/>
              <w:jc w:val="center"/>
              <w:rPr>
                <w:rFonts w:ascii="宋体" w:hAnsi="宋体"/>
                <w:color w:val="auto"/>
                <w:spacing w:val="20"/>
                <w:szCs w:val="21"/>
                <w:highlight w:val="none"/>
              </w:rPr>
            </w:pPr>
          </w:p>
        </w:tc>
      </w:tr>
      <w:tr w14:paraId="16A3B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044" w:type="dxa"/>
            <w:tcBorders>
              <w:top w:val="single" w:color="auto" w:sz="4" w:space="0"/>
              <w:left w:val="single" w:color="auto" w:sz="4" w:space="0"/>
              <w:bottom w:val="single" w:color="auto" w:sz="4" w:space="0"/>
              <w:right w:val="single" w:color="auto" w:sz="4" w:space="0"/>
            </w:tcBorders>
          </w:tcPr>
          <w:p w14:paraId="74F23D67">
            <w:pPr>
              <w:tabs>
                <w:tab w:val="left" w:pos="1418"/>
              </w:tabs>
              <w:snapToGrid w:val="0"/>
              <w:spacing w:line="400" w:lineRule="exact"/>
              <w:jc w:val="center"/>
              <w:rPr>
                <w:rFonts w:ascii="宋体" w:hAnsi="宋体"/>
                <w:color w:val="auto"/>
                <w:spacing w:val="20"/>
                <w:szCs w:val="21"/>
                <w:highlight w:val="none"/>
              </w:rPr>
            </w:pPr>
          </w:p>
        </w:tc>
        <w:tc>
          <w:tcPr>
            <w:tcW w:w="1878" w:type="dxa"/>
            <w:tcBorders>
              <w:top w:val="single" w:color="auto" w:sz="4" w:space="0"/>
              <w:left w:val="single" w:color="auto" w:sz="4" w:space="0"/>
              <w:bottom w:val="single" w:color="auto" w:sz="4" w:space="0"/>
              <w:right w:val="single" w:color="auto" w:sz="4" w:space="0"/>
            </w:tcBorders>
          </w:tcPr>
          <w:p w14:paraId="170525DB">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0540321E">
            <w:pPr>
              <w:tabs>
                <w:tab w:val="left" w:pos="1418"/>
              </w:tabs>
              <w:snapToGrid w:val="0"/>
              <w:spacing w:line="400" w:lineRule="exact"/>
              <w:jc w:val="center"/>
              <w:rPr>
                <w:rFonts w:ascii="宋体" w:hAnsi="宋体"/>
                <w:color w:val="auto"/>
                <w:spacing w:val="20"/>
                <w:szCs w:val="21"/>
                <w:highlight w:val="none"/>
              </w:rPr>
            </w:pPr>
          </w:p>
        </w:tc>
        <w:tc>
          <w:tcPr>
            <w:tcW w:w="1903" w:type="dxa"/>
            <w:tcBorders>
              <w:top w:val="single" w:color="auto" w:sz="4" w:space="0"/>
              <w:left w:val="single" w:color="auto" w:sz="4" w:space="0"/>
              <w:bottom w:val="single" w:color="auto" w:sz="4" w:space="0"/>
              <w:right w:val="single" w:color="auto" w:sz="4" w:space="0"/>
            </w:tcBorders>
          </w:tcPr>
          <w:p w14:paraId="0EA28CBC">
            <w:pPr>
              <w:tabs>
                <w:tab w:val="left" w:pos="1418"/>
              </w:tabs>
              <w:snapToGrid w:val="0"/>
              <w:spacing w:line="400" w:lineRule="exact"/>
              <w:jc w:val="center"/>
              <w:rPr>
                <w:rFonts w:ascii="宋体" w:hAnsi="宋体"/>
                <w:color w:val="auto"/>
                <w:spacing w:val="20"/>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6310816A">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62A1D526">
            <w:pPr>
              <w:tabs>
                <w:tab w:val="left" w:pos="1418"/>
              </w:tabs>
              <w:snapToGrid w:val="0"/>
              <w:spacing w:line="400" w:lineRule="exact"/>
              <w:jc w:val="center"/>
              <w:rPr>
                <w:rFonts w:ascii="宋体" w:hAnsi="宋体"/>
                <w:color w:val="auto"/>
                <w:spacing w:val="20"/>
                <w:szCs w:val="21"/>
                <w:highlight w:val="none"/>
              </w:rPr>
            </w:pPr>
          </w:p>
        </w:tc>
      </w:tr>
      <w:tr w14:paraId="18767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044" w:type="dxa"/>
            <w:tcBorders>
              <w:top w:val="single" w:color="auto" w:sz="4" w:space="0"/>
              <w:left w:val="single" w:color="auto" w:sz="4" w:space="0"/>
              <w:bottom w:val="single" w:color="auto" w:sz="4" w:space="0"/>
              <w:right w:val="single" w:color="auto" w:sz="4" w:space="0"/>
            </w:tcBorders>
          </w:tcPr>
          <w:p w14:paraId="00C3446D">
            <w:pPr>
              <w:tabs>
                <w:tab w:val="left" w:pos="1418"/>
              </w:tabs>
              <w:snapToGrid w:val="0"/>
              <w:spacing w:line="400" w:lineRule="exact"/>
              <w:jc w:val="center"/>
              <w:rPr>
                <w:rFonts w:ascii="宋体" w:hAnsi="宋体"/>
                <w:color w:val="auto"/>
                <w:spacing w:val="20"/>
                <w:szCs w:val="21"/>
                <w:highlight w:val="none"/>
              </w:rPr>
            </w:pPr>
          </w:p>
        </w:tc>
        <w:tc>
          <w:tcPr>
            <w:tcW w:w="1878" w:type="dxa"/>
            <w:tcBorders>
              <w:top w:val="single" w:color="auto" w:sz="4" w:space="0"/>
              <w:left w:val="single" w:color="auto" w:sz="4" w:space="0"/>
              <w:bottom w:val="single" w:color="auto" w:sz="4" w:space="0"/>
              <w:right w:val="single" w:color="auto" w:sz="4" w:space="0"/>
            </w:tcBorders>
          </w:tcPr>
          <w:p w14:paraId="4B187BD6">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498F0BDE">
            <w:pPr>
              <w:tabs>
                <w:tab w:val="left" w:pos="1418"/>
              </w:tabs>
              <w:snapToGrid w:val="0"/>
              <w:spacing w:line="400" w:lineRule="exact"/>
              <w:jc w:val="center"/>
              <w:rPr>
                <w:rFonts w:ascii="宋体" w:hAnsi="宋体"/>
                <w:color w:val="auto"/>
                <w:spacing w:val="20"/>
                <w:szCs w:val="21"/>
                <w:highlight w:val="none"/>
              </w:rPr>
            </w:pPr>
          </w:p>
        </w:tc>
        <w:tc>
          <w:tcPr>
            <w:tcW w:w="1903" w:type="dxa"/>
            <w:tcBorders>
              <w:top w:val="single" w:color="auto" w:sz="4" w:space="0"/>
              <w:left w:val="single" w:color="auto" w:sz="4" w:space="0"/>
              <w:bottom w:val="single" w:color="auto" w:sz="4" w:space="0"/>
              <w:right w:val="single" w:color="auto" w:sz="4" w:space="0"/>
            </w:tcBorders>
          </w:tcPr>
          <w:p w14:paraId="1B87A94B">
            <w:pPr>
              <w:tabs>
                <w:tab w:val="left" w:pos="1418"/>
              </w:tabs>
              <w:snapToGrid w:val="0"/>
              <w:spacing w:line="400" w:lineRule="exact"/>
              <w:jc w:val="center"/>
              <w:rPr>
                <w:rFonts w:ascii="宋体" w:hAnsi="宋体"/>
                <w:color w:val="auto"/>
                <w:spacing w:val="20"/>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1EA86EC7">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6090740C">
            <w:pPr>
              <w:tabs>
                <w:tab w:val="left" w:pos="1418"/>
              </w:tabs>
              <w:snapToGrid w:val="0"/>
              <w:spacing w:line="400" w:lineRule="exact"/>
              <w:jc w:val="center"/>
              <w:rPr>
                <w:rFonts w:ascii="宋体" w:hAnsi="宋体"/>
                <w:color w:val="auto"/>
                <w:spacing w:val="20"/>
                <w:szCs w:val="21"/>
                <w:highlight w:val="none"/>
              </w:rPr>
            </w:pPr>
          </w:p>
        </w:tc>
      </w:tr>
      <w:tr w14:paraId="2BC7B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044" w:type="dxa"/>
            <w:tcBorders>
              <w:top w:val="single" w:color="auto" w:sz="4" w:space="0"/>
              <w:left w:val="single" w:color="auto" w:sz="4" w:space="0"/>
              <w:bottom w:val="single" w:color="auto" w:sz="4" w:space="0"/>
              <w:right w:val="single" w:color="auto" w:sz="4" w:space="0"/>
            </w:tcBorders>
          </w:tcPr>
          <w:p w14:paraId="612563E0">
            <w:pPr>
              <w:tabs>
                <w:tab w:val="left" w:pos="1418"/>
              </w:tabs>
              <w:snapToGrid w:val="0"/>
              <w:spacing w:line="400" w:lineRule="exact"/>
              <w:jc w:val="center"/>
              <w:rPr>
                <w:rFonts w:ascii="宋体" w:hAnsi="宋体"/>
                <w:color w:val="auto"/>
                <w:spacing w:val="20"/>
                <w:szCs w:val="21"/>
                <w:highlight w:val="none"/>
              </w:rPr>
            </w:pPr>
          </w:p>
        </w:tc>
        <w:tc>
          <w:tcPr>
            <w:tcW w:w="1878" w:type="dxa"/>
            <w:tcBorders>
              <w:top w:val="single" w:color="auto" w:sz="4" w:space="0"/>
              <w:left w:val="single" w:color="auto" w:sz="4" w:space="0"/>
              <w:bottom w:val="single" w:color="auto" w:sz="4" w:space="0"/>
              <w:right w:val="single" w:color="auto" w:sz="4" w:space="0"/>
            </w:tcBorders>
          </w:tcPr>
          <w:p w14:paraId="73C10A2E">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705C863B">
            <w:pPr>
              <w:tabs>
                <w:tab w:val="left" w:pos="1418"/>
              </w:tabs>
              <w:snapToGrid w:val="0"/>
              <w:spacing w:line="400" w:lineRule="exact"/>
              <w:jc w:val="center"/>
              <w:rPr>
                <w:rFonts w:ascii="宋体" w:hAnsi="宋体"/>
                <w:color w:val="auto"/>
                <w:spacing w:val="20"/>
                <w:szCs w:val="21"/>
                <w:highlight w:val="none"/>
              </w:rPr>
            </w:pPr>
          </w:p>
        </w:tc>
        <w:tc>
          <w:tcPr>
            <w:tcW w:w="1903" w:type="dxa"/>
            <w:tcBorders>
              <w:top w:val="single" w:color="auto" w:sz="4" w:space="0"/>
              <w:left w:val="single" w:color="auto" w:sz="4" w:space="0"/>
              <w:bottom w:val="single" w:color="auto" w:sz="4" w:space="0"/>
              <w:right w:val="single" w:color="auto" w:sz="4" w:space="0"/>
            </w:tcBorders>
          </w:tcPr>
          <w:p w14:paraId="432DADB7">
            <w:pPr>
              <w:tabs>
                <w:tab w:val="left" w:pos="1418"/>
              </w:tabs>
              <w:snapToGrid w:val="0"/>
              <w:spacing w:line="400" w:lineRule="exact"/>
              <w:jc w:val="center"/>
              <w:rPr>
                <w:rFonts w:ascii="宋体" w:hAnsi="宋体"/>
                <w:color w:val="auto"/>
                <w:spacing w:val="20"/>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75910FBA">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5C21A7FA">
            <w:pPr>
              <w:tabs>
                <w:tab w:val="left" w:pos="1418"/>
              </w:tabs>
              <w:snapToGrid w:val="0"/>
              <w:spacing w:line="400" w:lineRule="exact"/>
              <w:jc w:val="center"/>
              <w:rPr>
                <w:rFonts w:ascii="宋体" w:hAnsi="宋体"/>
                <w:color w:val="auto"/>
                <w:spacing w:val="20"/>
                <w:szCs w:val="21"/>
                <w:highlight w:val="none"/>
              </w:rPr>
            </w:pPr>
          </w:p>
        </w:tc>
      </w:tr>
      <w:tr w14:paraId="04530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044" w:type="dxa"/>
            <w:tcBorders>
              <w:top w:val="single" w:color="auto" w:sz="4" w:space="0"/>
              <w:left w:val="single" w:color="auto" w:sz="4" w:space="0"/>
              <w:bottom w:val="single" w:color="auto" w:sz="4" w:space="0"/>
              <w:right w:val="single" w:color="auto" w:sz="4" w:space="0"/>
            </w:tcBorders>
          </w:tcPr>
          <w:p w14:paraId="26F79445">
            <w:pPr>
              <w:tabs>
                <w:tab w:val="left" w:pos="1418"/>
              </w:tabs>
              <w:snapToGrid w:val="0"/>
              <w:spacing w:line="400" w:lineRule="exact"/>
              <w:jc w:val="center"/>
              <w:rPr>
                <w:rFonts w:ascii="宋体" w:hAnsi="宋体"/>
                <w:color w:val="auto"/>
                <w:spacing w:val="20"/>
                <w:szCs w:val="21"/>
                <w:highlight w:val="none"/>
              </w:rPr>
            </w:pPr>
          </w:p>
        </w:tc>
        <w:tc>
          <w:tcPr>
            <w:tcW w:w="1878" w:type="dxa"/>
            <w:tcBorders>
              <w:top w:val="single" w:color="auto" w:sz="4" w:space="0"/>
              <w:left w:val="single" w:color="auto" w:sz="4" w:space="0"/>
              <w:bottom w:val="single" w:color="auto" w:sz="4" w:space="0"/>
              <w:right w:val="single" w:color="auto" w:sz="4" w:space="0"/>
            </w:tcBorders>
          </w:tcPr>
          <w:p w14:paraId="60F11CBA">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7805DF5D">
            <w:pPr>
              <w:tabs>
                <w:tab w:val="left" w:pos="1418"/>
              </w:tabs>
              <w:snapToGrid w:val="0"/>
              <w:spacing w:line="400" w:lineRule="exact"/>
              <w:jc w:val="center"/>
              <w:rPr>
                <w:rFonts w:ascii="宋体" w:hAnsi="宋体"/>
                <w:color w:val="auto"/>
                <w:spacing w:val="20"/>
                <w:szCs w:val="21"/>
                <w:highlight w:val="none"/>
              </w:rPr>
            </w:pPr>
          </w:p>
        </w:tc>
        <w:tc>
          <w:tcPr>
            <w:tcW w:w="1903" w:type="dxa"/>
            <w:tcBorders>
              <w:top w:val="single" w:color="auto" w:sz="4" w:space="0"/>
              <w:left w:val="single" w:color="auto" w:sz="4" w:space="0"/>
              <w:bottom w:val="single" w:color="auto" w:sz="4" w:space="0"/>
              <w:right w:val="single" w:color="auto" w:sz="4" w:space="0"/>
            </w:tcBorders>
          </w:tcPr>
          <w:p w14:paraId="3356673F">
            <w:pPr>
              <w:tabs>
                <w:tab w:val="left" w:pos="1418"/>
              </w:tabs>
              <w:snapToGrid w:val="0"/>
              <w:spacing w:line="400" w:lineRule="exact"/>
              <w:jc w:val="center"/>
              <w:rPr>
                <w:rFonts w:ascii="宋体" w:hAnsi="宋体"/>
                <w:color w:val="auto"/>
                <w:spacing w:val="20"/>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7CDC975D">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381489BB">
            <w:pPr>
              <w:tabs>
                <w:tab w:val="left" w:pos="1418"/>
              </w:tabs>
              <w:snapToGrid w:val="0"/>
              <w:spacing w:line="400" w:lineRule="exact"/>
              <w:jc w:val="center"/>
              <w:rPr>
                <w:rFonts w:ascii="宋体" w:hAnsi="宋体"/>
                <w:color w:val="auto"/>
                <w:spacing w:val="20"/>
                <w:szCs w:val="21"/>
                <w:highlight w:val="none"/>
              </w:rPr>
            </w:pPr>
          </w:p>
        </w:tc>
      </w:tr>
      <w:tr w14:paraId="55764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044" w:type="dxa"/>
            <w:tcBorders>
              <w:top w:val="single" w:color="auto" w:sz="4" w:space="0"/>
              <w:left w:val="single" w:color="auto" w:sz="4" w:space="0"/>
              <w:bottom w:val="single" w:color="auto" w:sz="4" w:space="0"/>
              <w:right w:val="single" w:color="auto" w:sz="4" w:space="0"/>
            </w:tcBorders>
          </w:tcPr>
          <w:p w14:paraId="5B86B8A0">
            <w:pPr>
              <w:tabs>
                <w:tab w:val="left" w:pos="1418"/>
              </w:tabs>
              <w:snapToGrid w:val="0"/>
              <w:spacing w:line="400" w:lineRule="exact"/>
              <w:jc w:val="center"/>
              <w:rPr>
                <w:rFonts w:ascii="宋体" w:hAnsi="宋体"/>
                <w:color w:val="auto"/>
                <w:spacing w:val="20"/>
                <w:szCs w:val="21"/>
                <w:highlight w:val="none"/>
              </w:rPr>
            </w:pPr>
          </w:p>
        </w:tc>
        <w:tc>
          <w:tcPr>
            <w:tcW w:w="1878" w:type="dxa"/>
            <w:tcBorders>
              <w:top w:val="single" w:color="auto" w:sz="4" w:space="0"/>
              <w:left w:val="single" w:color="auto" w:sz="4" w:space="0"/>
              <w:bottom w:val="single" w:color="auto" w:sz="4" w:space="0"/>
              <w:right w:val="single" w:color="auto" w:sz="4" w:space="0"/>
            </w:tcBorders>
          </w:tcPr>
          <w:p w14:paraId="0873C011">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70B9D47F">
            <w:pPr>
              <w:tabs>
                <w:tab w:val="left" w:pos="1418"/>
              </w:tabs>
              <w:snapToGrid w:val="0"/>
              <w:spacing w:line="400" w:lineRule="exact"/>
              <w:jc w:val="center"/>
              <w:rPr>
                <w:rFonts w:ascii="宋体" w:hAnsi="宋体"/>
                <w:color w:val="auto"/>
                <w:spacing w:val="20"/>
                <w:szCs w:val="21"/>
                <w:highlight w:val="none"/>
              </w:rPr>
            </w:pPr>
          </w:p>
        </w:tc>
        <w:tc>
          <w:tcPr>
            <w:tcW w:w="1903" w:type="dxa"/>
            <w:tcBorders>
              <w:top w:val="single" w:color="auto" w:sz="4" w:space="0"/>
              <w:left w:val="single" w:color="auto" w:sz="4" w:space="0"/>
              <w:bottom w:val="single" w:color="auto" w:sz="4" w:space="0"/>
              <w:right w:val="single" w:color="auto" w:sz="4" w:space="0"/>
            </w:tcBorders>
          </w:tcPr>
          <w:p w14:paraId="72AB3809">
            <w:pPr>
              <w:tabs>
                <w:tab w:val="left" w:pos="1418"/>
              </w:tabs>
              <w:snapToGrid w:val="0"/>
              <w:spacing w:line="400" w:lineRule="exact"/>
              <w:jc w:val="center"/>
              <w:rPr>
                <w:rFonts w:ascii="宋体" w:hAnsi="宋体"/>
                <w:color w:val="auto"/>
                <w:spacing w:val="20"/>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0A352212">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780D5D33">
            <w:pPr>
              <w:tabs>
                <w:tab w:val="left" w:pos="1418"/>
              </w:tabs>
              <w:snapToGrid w:val="0"/>
              <w:spacing w:line="400" w:lineRule="exact"/>
              <w:jc w:val="center"/>
              <w:rPr>
                <w:rFonts w:ascii="宋体" w:hAnsi="宋体"/>
                <w:color w:val="auto"/>
                <w:spacing w:val="20"/>
                <w:szCs w:val="21"/>
                <w:highlight w:val="none"/>
              </w:rPr>
            </w:pPr>
          </w:p>
        </w:tc>
      </w:tr>
      <w:tr w14:paraId="4AE8A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044" w:type="dxa"/>
            <w:tcBorders>
              <w:top w:val="single" w:color="auto" w:sz="4" w:space="0"/>
              <w:left w:val="single" w:color="auto" w:sz="4" w:space="0"/>
              <w:bottom w:val="single" w:color="auto" w:sz="4" w:space="0"/>
              <w:right w:val="single" w:color="auto" w:sz="4" w:space="0"/>
            </w:tcBorders>
          </w:tcPr>
          <w:p w14:paraId="5CC2728E">
            <w:pPr>
              <w:tabs>
                <w:tab w:val="left" w:pos="1418"/>
              </w:tabs>
              <w:snapToGrid w:val="0"/>
              <w:spacing w:line="400" w:lineRule="exact"/>
              <w:jc w:val="center"/>
              <w:rPr>
                <w:rFonts w:ascii="宋体" w:hAnsi="宋体"/>
                <w:color w:val="auto"/>
                <w:spacing w:val="20"/>
                <w:szCs w:val="21"/>
                <w:highlight w:val="none"/>
              </w:rPr>
            </w:pPr>
          </w:p>
        </w:tc>
        <w:tc>
          <w:tcPr>
            <w:tcW w:w="1878" w:type="dxa"/>
            <w:tcBorders>
              <w:top w:val="single" w:color="auto" w:sz="4" w:space="0"/>
              <w:left w:val="single" w:color="auto" w:sz="4" w:space="0"/>
              <w:bottom w:val="single" w:color="auto" w:sz="4" w:space="0"/>
              <w:right w:val="single" w:color="auto" w:sz="4" w:space="0"/>
            </w:tcBorders>
          </w:tcPr>
          <w:p w14:paraId="61C94C26">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3AB9F49A">
            <w:pPr>
              <w:tabs>
                <w:tab w:val="left" w:pos="1418"/>
              </w:tabs>
              <w:snapToGrid w:val="0"/>
              <w:spacing w:line="400" w:lineRule="exact"/>
              <w:jc w:val="center"/>
              <w:rPr>
                <w:rFonts w:ascii="宋体" w:hAnsi="宋体"/>
                <w:color w:val="auto"/>
                <w:spacing w:val="20"/>
                <w:szCs w:val="21"/>
                <w:highlight w:val="none"/>
              </w:rPr>
            </w:pPr>
          </w:p>
        </w:tc>
        <w:tc>
          <w:tcPr>
            <w:tcW w:w="1903" w:type="dxa"/>
            <w:tcBorders>
              <w:top w:val="single" w:color="auto" w:sz="4" w:space="0"/>
              <w:left w:val="single" w:color="auto" w:sz="4" w:space="0"/>
              <w:bottom w:val="single" w:color="auto" w:sz="4" w:space="0"/>
              <w:right w:val="single" w:color="auto" w:sz="4" w:space="0"/>
            </w:tcBorders>
          </w:tcPr>
          <w:p w14:paraId="49100B45">
            <w:pPr>
              <w:tabs>
                <w:tab w:val="left" w:pos="1418"/>
              </w:tabs>
              <w:snapToGrid w:val="0"/>
              <w:spacing w:line="400" w:lineRule="exact"/>
              <w:jc w:val="center"/>
              <w:rPr>
                <w:rFonts w:ascii="宋体" w:hAnsi="宋体"/>
                <w:color w:val="auto"/>
                <w:spacing w:val="20"/>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69F42487">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45094FE6">
            <w:pPr>
              <w:tabs>
                <w:tab w:val="left" w:pos="1418"/>
              </w:tabs>
              <w:snapToGrid w:val="0"/>
              <w:spacing w:line="400" w:lineRule="exact"/>
              <w:jc w:val="center"/>
              <w:rPr>
                <w:rFonts w:ascii="宋体" w:hAnsi="宋体"/>
                <w:color w:val="auto"/>
                <w:spacing w:val="20"/>
                <w:szCs w:val="21"/>
                <w:highlight w:val="none"/>
              </w:rPr>
            </w:pPr>
          </w:p>
        </w:tc>
      </w:tr>
      <w:tr w14:paraId="2CEF5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44" w:type="dxa"/>
            <w:tcBorders>
              <w:top w:val="single" w:color="auto" w:sz="4" w:space="0"/>
              <w:left w:val="single" w:color="auto" w:sz="4" w:space="0"/>
              <w:bottom w:val="single" w:color="auto" w:sz="4" w:space="0"/>
              <w:right w:val="single" w:color="auto" w:sz="4" w:space="0"/>
            </w:tcBorders>
          </w:tcPr>
          <w:p w14:paraId="4BF78AF7">
            <w:pPr>
              <w:tabs>
                <w:tab w:val="left" w:pos="1418"/>
              </w:tabs>
              <w:snapToGrid w:val="0"/>
              <w:spacing w:line="400" w:lineRule="exact"/>
              <w:jc w:val="center"/>
              <w:rPr>
                <w:rFonts w:ascii="宋体" w:hAnsi="宋体"/>
                <w:color w:val="auto"/>
                <w:spacing w:val="20"/>
                <w:szCs w:val="21"/>
                <w:highlight w:val="none"/>
              </w:rPr>
            </w:pPr>
          </w:p>
        </w:tc>
        <w:tc>
          <w:tcPr>
            <w:tcW w:w="1878" w:type="dxa"/>
            <w:tcBorders>
              <w:top w:val="single" w:color="auto" w:sz="4" w:space="0"/>
              <w:left w:val="single" w:color="auto" w:sz="4" w:space="0"/>
              <w:bottom w:val="single" w:color="auto" w:sz="4" w:space="0"/>
              <w:right w:val="single" w:color="auto" w:sz="4" w:space="0"/>
            </w:tcBorders>
          </w:tcPr>
          <w:p w14:paraId="144C1C25">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4ECA5C16">
            <w:pPr>
              <w:tabs>
                <w:tab w:val="left" w:pos="1418"/>
              </w:tabs>
              <w:snapToGrid w:val="0"/>
              <w:spacing w:line="400" w:lineRule="exact"/>
              <w:jc w:val="center"/>
              <w:rPr>
                <w:rFonts w:ascii="宋体" w:hAnsi="宋体"/>
                <w:color w:val="auto"/>
                <w:spacing w:val="20"/>
                <w:szCs w:val="21"/>
                <w:highlight w:val="none"/>
              </w:rPr>
            </w:pPr>
          </w:p>
        </w:tc>
        <w:tc>
          <w:tcPr>
            <w:tcW w:w="1903" w:type="dxa"/>
            <w:tcBorders>
              <w:top w:val="single" w:color="auto" w:sz="4" w:space="0"/>
              <w:left w:val="single" w:color="auto" w:sz="4" w:space="0"/>
              <w:bottom w:val="single" w:color="auto" w:sz="4" w:space="0"/>
              <w:right w:val="single" w:color="auto" w:sz="4" w:space="0"/>
            </w:tcBorders>
          </w:tcPr>
          <w:p w14:paraId="2A55B40D">
            <w:pPr>
              <w:tabs>
                <w:tab w:val="left" w:pos="1418"/>
              </w:tabs>
              <w:snapToGrid w:val="0"/>
              <w:spacing w:line="400" w:lineRule="exact"/>
              <w:jc w:val="center"/>
              <w:rPr>
                <w:rFonts w:ascii="宋体" w:hAnsi="宋体"/>
                <w:color w:val="auto"/>
                <w:spacing w:val="20"/>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7D6ACE35">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5F699AD4">
            <w:pPr>
              <w:tabs>
                <w:tab w:val="left" w:pos="1418"/>
              </w:tabs>
              <w:snapToGrid w:val="0"/>
              <w:spacing w:line="400" w:lineRule="exact"/>
              <w:jc w:val="center"/>
              <w:rPr>
                <w:rFonts w:ascii="宋体" w:hAnsi="宋体"/>
                <w:color w:val="auto"/>
                <w:spacing w:val="20"/>
                <w:szCs w:val="21"/>
                <w:highlight w:val="none"/>
              </w:rPr>
            </w:pPr>
          </w:p>
        </w:tc>
      </w:tr>
      <w:tr w14:paraId="54772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44" w:type="dxa"/>
            <w:tcBorders>
              <w:top w:val="single" w:color="auto" w:sz="4" w:space="0"/>
              <w:left w:val="single" w:color="auto" w:sz="4" w:space="0"/>
              <w:bottom w:val="single" w:color="auto" w:sz="4" w:space="0"/>
              <w:right w:val="single" w:color="auto" w:sz="4" w:space="0"/>
            </w:tcBorders>
          </w:tcPr>
          <w:p w14:paraId="4A2511AE">
            <w:pPr>
              <w:tabs>
                <w:tab w:val="left" w:pos="1418"/>
              </w:tabs>
              <w:snapToGrid w:val="0"/>
              <w:spacing w:line="400" w:lineRule="exact"/>
              <w:jc w:val="center"/>
              <w:rPr>
                <w:rFonts w:ascii="宋体" w:hAnsi="宋体"/>
                <w:color w:val="auto"/>
                <w:spacing w:val="20"/>
                <w:szCs w:val="21"/>
                <w:highlight w:val="none"/>
              </w:rPr>
            </w:pPr>
          </w:p>
        </w:tc>
        <w:tc>
          <w:tcPr>
            <w:tcW w:w="1878" w:type="dxa"/>
            <w:tcBorders>
              <w:top w:val="single" w:color="auto" w:sz="4" w:space="0"/>
              <w:left w:val="single" w:color="auto" w:sz="4" w:space="0"/>
              <w:bottom w:val="single" w:color="auto" w:sz="4" w:space="0"/>
              <w:right w:val="single" w:color="auto" w:sz="4" w:space="0"/>
            </w:tcBorders>
          </w:tcPr>
          <w:p w14:paraId="144F5AD7">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25CA9238">
            <w:pPr>
              <w:tabs>
                <w:tab w:val="left" w:pos="1418"/>
              </w:tabs>
              <w:snapToGrid w:val="0"/>
              <w:spacing w:line="400" w:lineRule="exact"/>
              <w:jc w:val="center"/>
              <w:rPr>
                <w:rFonts w:ascii="宋体" w:hAnsi="宋体"/>
                <w:color w:val="auto"/>
                <w:spacing w:val="20"/>
                <w:szCs w:val="21"/>
                <w:highlight w:val="none"/>
              </w:rPr>
            </w:pPr>
          </w:p>
        </w:tc>
        <w:tc>
          <w:tcPr>
            <w:tcW w:w="1903" w:type="dxa"/>
            <w:tcBorders>
              <w:top w:val="single" w:color="auto" w:sz="4" w:space="0"/>
              <w:left w:val="single" w:color="auto" w:sz="4" w:space="0"/>
              <w:bottom w:val="single" w:color="auto" w:sz="4" w:space="0"/>
              <w:right w:val="single" w:color="auto" w:sz="4" w:space="0"/>
            </w:tcBorders>
          </w:tcPr>
          <w:p w14:paraId="7243E4F3">
            <w:pPr>
              <w:tabs>
                <w:tab w:val="left" w:pos="1418"/>
              </w:tabs>
              <w:snapToGrid w:val="0"/>
              <w:spacing w:line="400" w:lineRule="exact"/>
              <w:jc w:val="center"/>
              <w:rPr>
                <w:rFonts w:ascii="宋体" w:hAnsi="宋体"/>
                <w:color w:val="auto"/>
                <w:spacing w:val="20"/>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26FCA994">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1282FC97">
            <w:pPr>
              <w:tabs>
                <w:tab w:val="left" w:pos="1418"/>
              </w:tabs>
              <w:snapToGrid w:val="0"/>
              <w:spacing w:line="400" w:lineRule="exact"/>
              <w:jc w:val="center"/>
              <w:rPr>
                <w:rFonts w:ascii="宋体" w:hAnsi="宋体"/>
                <w:color w:val="auto"/>
                <w:spacing w:val="20"/>
                <w:szCs w:val="21"/>
                <w:highlight w:val="none"/>
              </w:rPr>
            </w:pPr>
          </w:p>
        </w:tc>
      </w:tr>
      <w:tr w14:paraId="4536C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44" w:type="dxa"/>
            <w:tcBorders>
              <w:top w:val="single" w:color="auto" w:sz="4" w:space="0"/>
              <w:left w:val="single" w:color="auto" w:sz="4" w:space="0"/>
              <w:bottom w:val="single" w:color="auto" w:sz="4" w:space="0"/>
              <w:right w:val="single" w:color="auto" w:sz="4" w:space="0"/>
            </w:tcBorders>
          </w:tcPr>
          <w:p w14:paraId="51E664D0">
            <w:pPr>
              <w:tabs>
                <w:tab w:val="left" w:pos="1418"/>
              </w:tabs>
              <w:snapToGrid w:val="0"/>
              <w:spacing w:line="400" w:lineRule="exact"/>
              <w:jc w:val="center"/>
              <w:rPr>
                <w:rFonts w:ascii="宋体" w:hAnsi="宋体"/>
                <w:color w:val="auto"/>
                <w:spacing w:val="20"/>
                <w:szCs w:val="21"/>
                <w:highlight w:val="none"/>
              </w:rPr>
            </w:pPr>
          </w:p>
        </w:tc>
        <w:tc>
          <w:tcPr>
            <w:tcW w:w="1878" w:type="dxa"/>
            <w:tcBorders>
              <w:top w:val="single" w:color="auto" w:sz="4" w:space="0"/>
              <w:left w:val="single" w:color="auto" w:sz="4" w:space="0"/>
              <w:bottom w:val="single" w:color="auto" w:sz="4" w:space="0"/>
              <w:right w:val="single" w:color="auto" w:sz="4" w:space="0"/>
            </w:tcBorders>
          </w:tcPr>
          <w:p w14:paraId="454E1302">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0C90B826">
            <w:pPr>
              <w:tabs>
                <w:tab w:val="left" w:pos="1418"/>
              </w:tabs>
              <w:snapToGrid w:val="0"/>
              <w:spacing w:line="400" w:lineRule="exact"/>
              <w:jc w:val="center"/>
              <w:rPr>
                <w:rFonts w:ascii="宋体" w:hAnsi="宋体"/>
                <w:color w:val="auto"/>
                <w:spacing w:val="20"/>
                <w:szCs w:val="21"/>
                <w:highlight w:val="none"/>
              </w:rPr>
            </w:pPr>
          </w:p>
        </w:tc>
        <w:tc>
          <w:tcPr>
            <w:tcW w:w="1903" w:type="dxa"/>
            <w:tcBorders>
              <w:top w:val="single" w:color="auto" w:sz="4" w:space="0"/>
              <w:left w:val="single" w:color="auto" w:sz="4" w:space="0"/>
              <w:bottom w:val="single" w:color="auto" w:sz="4" w:space="0"/>
              <w:right w:val="single" w:color="auto" w:sz="4" w:space="0"/>
            </w:tcBorders>
          </w:tcPr>
          <w:p w14:paraId="79C4C299">
            <w:pPr>
              <w:tabs>
                <w:tab w:val="left" w:pos="1418"/>
              </w:tabs>
              <w:snapToGrid w:val="0"/>
              <w:spacing w:line="400" w:lineRule="exact"/>
              <w:jc w:val="center"/>
              <w:rPr>
                <w:rFonts w:ascii="宋体" w:hAnsi="宋体"/>
                <w:color w:val="auto"/>
                <w:spacing w:val="20"/>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03EC33CC">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3FF1050D">
            <w:pPr>
              <w:tabs>
                <w:tab w:val="left" w:pos="1418"/>
              </w:tabs>
              <w:snapToGrid w:val="0"/>
              <w:spacing w:line="400" w:lineRule="exact"/>
              <w:jc w:val="center"/>
              <w:rPr>
                <w:rFonts w:ascii="宋体" w:hAnsi="宋体"/>
                <w:color w:val="auto"/>
                <w:spacing w:val="20"/>
                <w:szCs w:val="21"/>
                <w:highlight w:val="none"/>
              </w:rPr>
            </w:pPr>
          </w:p>
        </w:tc>
      </w:tr>
      <w:tr w14:paraId="0B113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44" w:type="dxa"/>
            <w:tcBorders>
              <w:top w:val="single" w:color="auto" w:sz="4" w:space="0"/>
              <w:left w:val="single" w:color="auto" w:sz="4" w:space="0"/>
              <w:bottom w:val="single" w:color="auto" w:sz="4" w:space="0"/>
              <w:right w:val="single" w:color="auto" w:sz="4" w:space="0"/>
            </w:tcBorders>
          </w:tcPr>
          <w:p w14:paraId="59BA1BCC">
            <w:pPr>
              <w:tabs>
                <w:tab w:val="left" w:pos="1418"/>
              </w:tabs>
              <w:snapToGrid w:val="0"/>
              <w:spacing w:line="400" w:lineRule="exact"/>
              <w:jc w:val="center"/>
              <w:rPr>
                <w:rFonts w:ascii="宋体" w:hAnsi="宋体"/>
                <w:color w:val="auto"/>
                <w:spacing w:val="20"/>
                <w:szCs w:val="21"/>
                <w:highlight w:val="none"/>
              </w:rPr>
            </w:pPr>
          </w:p>
        </w:tc>
        <w:tc>
          <w:tcPr>
            <w:tcW w:w="1878" w:type="dxa"/>
            <w:tcBorders>
              <w:top w:val="single" w:color="auto" w:sz="4" w:space="0"/>
              <w:left w:val="single" w:color="auto" w:sz="4" w:space="0"/>
              <w:bottom w:val="single" w:color="auto" w:sz="4" w:space="0"/>
              <w:right w:val="single" w:color="auto" w:sz="4" w:space="0"/>
            </w:tcBorders>
          </w:tcPr>
          <w:p w14:paraId="1DCCB358">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7BF08D31">
            <w:pPr>
              <w:tabs>
                <w:tab w:val="left" w:pos="1418"/>
              </w:tabs>
              <w:snapToGrid w:val="0"/>
              <w:spacing w:line="400" w:lineRule="exact"/>
              <w:jc w:val="center"/>
              <w:rPr>
                <w:rFonts w:ascii="宋体" w:hAnsi="宋体"/>
                <w:color w:val="auto"/>
                <w:spacing w:val="20"/>
                <w:szCs w:val="21"/>
                <w:highlight w:val="none"/>
              </w:rPr>
            </w:pPr>
          </w:p>
        </w:tc>
        <w:tc>
          <w:tcPr>
            <w:tcW w:w="1903" w:type="dxa"/>
            <w:tcBorders>
              <w:top w:val="single" w:color="auto" w:sz="4" w:space="0"/>
              <w:left w:val="single" w:color="auto" w:sz="4" w:space="0"/>
              <w:bottom w:val="single" w:color="auto" w:sz="4" w:space="0"/>
              <w:right w:val="single" w:color="auto" w:sz="4" w:space="0"/>
            </w:tcBorders>
          </w:tcPr>
          <w:p w14:paraId="0EB2D1FA">
            <w:pPr>
              <w:tabs>
                <w:tab w:val="left" w:pos="1418"/>
              </w:tabs>
              <w:snapToGrid w:val="0"/>
              <w:spacing w:line="400" w:lineRule="exact"/>
              <w:jc w:val="center"/>
              <w:rPr>
                <w:rFonts w:ascii="宋体" w:hAnsi="宋体"/>
                <w:color w:val="auto"/>
                <w:spacing w:val="20"/>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04D2DD71">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0CBFF414">
            <w:pPr>
              <w:tabs>
                <w:tab w:val="left" w:pos="1418"/>
              </w:tabs>
              <w:snapToGrid w:val="0"/>
              <w:spacing w:line="400" w:lineRule="exact"/>
              <w:jc w:val="center"/>
              <w:rPr>
                <w:rFonts w:ascii="宋体" w:hAnsi="宋体"/>
                <w:color w:val="auto"/>
                <w:spacing w:val="20"/>
                <w:szCs w:val="21"/>
                <w:highlight w:val="none"/>
              </w:rPr>
            </w:pPr>
          </w:p>
        </w:tc>
      </w:tr>
      <w:tr w14:paraId="603E0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44" w:type="dxa"/>
            <w:tcBorders>
              <w:top w:val="single" w:color="auto" w:sz="4" w:space="0"/>
              <w:left w:val="single" w:color="auto" w:sz="4" w:space="0"/>
              <w:bottom w:val="single" w:color="auto" w:sz="4" w:space="0"/>
              <w:right w:val="single" w:color="auto" w:sz="4" w:space="0"/>
            </w:tcBorders>
          </w:tcPr>
          <w:p w14:paraId="0748C00B">
            <w:pPr>
              <w:tabs>
                <w:tab w:val="left" w:pos="1418"/>
              </w:tabs>
              <w:snapToGrid w:val="0"/>
              <w:spacing w:line="400" w:lineRule="exact"/>
              <w:jc w:val="center"/>
              <w:rPr>
                <w:rFonts w:ascii="宋体" w:hAnsi="宋体"/>
                <w:color w:val="auto"/>
                <w:spacing w:val="20"/>
                <w:szCs w:val="21"/>
                <w:highlight w:val="none"/>
              </w:rPr>
            </w:pPr>
          </w:p>
        </w:tc>
        <w:tc>
          <w:tcPr>
            <w:tcW w:w="1878" w:type="dxa"/>
            <w:tcBorders>
              <w:top w:val="single" w:color="auto" w:sz="4" w:space="0"/>
              <w:left w:val="single" w:color="auto" w:sz="4" w:space="0"/>
              <w:bottom w:val="single" w:color="auto" w:sz="4" w:space="0"/>
              <w:right w:val="single" w:color="auto" w:sz="4" w:space="0"/>
            </w:tcBorders>
          </w:tcPr>
          <w:p w14:paraId="025B0E9B">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63123B72">
            <w:pPr>
              <w:tabs>
                <w:tab w:val="left" w:pos="1418"/>
              </w:tabs>
              <w:snapToGrid w:val="0"/>
              <w:spacing w:line="400" w:lineRule="exact"/>
              <w:jc w:val="center"/>
              <w:rPr>
                <w:rFonts w:ascii="宋体" w:hAnsi="宋体"/>
                <w:color w:val="auto"/>
                <w:spacing w:val="20"/>
                <w:szCs w:val="21"/>
                <w:highlight w:val="none"/>
              </w:rPr>
            </w:pPr>
          </w:p>
        </w:tc>
        <w:tc>
          <w:tcPr>
            <w:tcW w:w="1903" w:type="dxa"/>
            <w:tcBorders>
              <w:top w:val="single" w:color="auto" w:sz="4" w:space="0"/>
              <w:left w:val="single" w:color="auto" w:sz="4" w:space="0"/>
              <w:bottom w:val="single" w:color="auto" w:sz="4" w:space="0"/>
              <w:right w:val="single" w:color="auto" w:sz="4" w:space="0"/>
            </w:tcBorders>
          </w:tcPr>
          <w:p w14:paraId="4B991881">
            <w:pPr>
              <w:tabs>
                <w:tab w:val="left" w:pos="1418"/>
              </w:tabs>
              <w:snapToGrid w:val="0"/>
              <w:spacing w:line="400" w:lineRule="exact"/>
              <w:jc w:val="center"/>
              <w:rPr>
                <w:rFonts w:ascii="宋体" w:hAnsi="宋体"/>
                <w:color w:val="auto"/>
                <w:spacing w:val="20"/>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244F3E1A">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424960B0">
            <w:pPr>
              <w:tabs>
                <w:tab w:val="left" w:pos="1418"/>
              </w:tabs>
              <w:snapToGrid w:val="0"/>
              <w:spacing w:line="400" w:lineRule="exact"/>
              <w:jc w:val="center"/>
              <w:rPr>
                <w:rFonts w:ascii="宋体" w:hAnsi="宋体"/>
                <w:color w:val="auto"/>
                <w:spacing w:val="20"/>
                <w:szCs w:val="21"/>
                <w:highlight w:val="none"/>
              </w:rPr>
            </w:pPr>
          </w:p>
        </w:tc>
      </w:tr>
      <w:tr w14:paraId="45264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44" w:type="dxa"/>
            <w:tcBorders>
              <w:top w:val="single" w:color="auto" w:sz="4" w:space="0"/>
              <w:left w:val="single" w:color="auto" w:sz="4" w:space="0"/>
              <w:bottom w:val="single" w:color="auto" w:sz="4" w:space="0"/>
              <w:right w:val="single" w:color="auto" w:sz="4" w:space="0"/>
            </w:tcBorders>
          </w:tcPr>
          <w:p w14:paraId="0D36ABEB">
            <w:pPr>
              <w:tabs>
                <w:tab w:val="left" w:pos="1418"/>
              </w:tabs>
              <w:snapToGrid w:val="0"/>
              <w:spacing w:line="400" w:lineRule="exact"/>
              <w:jc w:val="center"/>
              <w:rPr>
                <w:rFonts w:ascii="宋体" w:hAnsi="宋体"/>
                <w:color w:val="auto"/>
                <w:spacing w:val="20"/>
                <w:szCs w:val="21"/>
                <w:highlight w:val="none"/>
              </w:rPr>
            </w:pPr>
          </w:p>
        </w:tc>
        <w:tc>
          <w:tcPr>
            <w:tcW w:w="1878" w:type="dxa"/>
            <w:tcBorders>
              <w:top w:val="single" w:color="auto" w:sz="4" w:space="0"/>
              <w:left w:val="single" w:color="auto" w:sz="4" w:space="0"/>
              <w:bottom w:val="single" w:color="auto" w:sz="4" w:space="0"/>
              <w:right w:val="single" w:color="auto" w:sz="4" w:space="0"/>
            </w:tcBorders>
          </w:tcPr>
          <w:p w14:paraId="267C937E">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2B932B03">
            <w:pPr>
              <w:tabs>
                <w:tab w:val="left" w:pos="1418"/>
              </w:tabs>
              <w:snapToGrid w:val="0"/>
              <w:spacing w:line="400" w:lineRule="exact"/>
              <w:jc w:val="center"/>
              <w:rPr>
                <w:rFonts w:ascii="宋体" w:hAnsi="宋体"/>
                <w:color w:val="auto"/>
                <w:spacing w:val="20"/>
                <w:szCs w:val="21"/>
                <w:highlight w:val="none"/>
              </w:rPr>
            </w:pPr>
          </w:p>
        </w:tc>
        <w:tc>
          <w:tcPr>
            <w:tcW w:w="1903" w:type="dxa"/>
            <w:tcBorders>
              <w:top w:val="single" w:color="auto" w:sz="4" w:space="0"/>
              <w:left w:val="single" w:color="auto" w:sz="4" w:space="0"/>
              <w:bottom w:val="single" w:color="auto" w:sz="4" w:space="0"/>
              <w:right w:val="single" w:color="auto" w:sz="4" w:space="0"/>
            </w:tcBorders>
          </w:tcPr>
          <w:p w14:paraId="6C131B32">
            <w:pPr>
              <w:tabs>
                <w:tab w:val="left" w:pos="1418"/>
              </w:tabs>
              <w:snapToGrid w:val="0"/>
              <w:spacing w:line="400" w:lineRule="exact"/>
              <w:jc w:val="center"/>
              <w:rPr>
                <w:rFonts w:ascii="宋体" w:hAnsi="宋体"/>
                <w:color w:val="auto"/>
                <w:spacing w:val="20"/>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2BC019BD">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72628D3C">
            <w:pPr>
              <w:tabs>
                <w:tab w:val="left" w:pos="1418"/>
              </w:tabs>
              <w:snapToGrid w:val="0"/>
              <w:spacing w:line="400" w:lineRule="exact"/>
              <w:jc w:val="center"/>
              <w:rPr>
                <w:rFonts w:ascii="宋体" w:hAnsi="宋体"/>
                <w:color w:val="auto"/>
                <w:spacing w:val="20"/>
                <w:szCs w:val="21"/>
                <w:highlight w:val="none"/>
              </w:rPr>
            </w:pPr>
          </w:p>
        </w:tc>
      </w:tr>
      <w:tr w14:paraId="425D4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44" w:type="dxa"/>
            <w:tcBorders>
              <w:top w:val="single" w:color="auto" w:sz="4" w:space="0"/>
              <w:left w:val="single" w:color="auto" w:sz="4" w:space="0"/>
              <w:bottom w:val="single" w:color="auto" w:sz="4" w:space="0"/>
              <w:right w:val="single" w:color="auto" w:sz="4" w:space="0"/>
            </w:tcBorders>
          </w:tcPr>
          <w:p w14:paraId="4561C8F1">
            <w:pPr>
              <w:tabs>
                <w:tab w:val="left" w:pos="1418"/>
              </w:tabs>
              <w:snapToGrid w:val="0"/>
              <w:spacing w:line="400" w:lineRule="exact"/>
              <w:jc w:val="center"/>
              <w:rPr>
                <w:rFonts w:ascii="宋体" w:hAnsi="宋体"/>
                <w:color w:val="auto"/>
                <w:spacing w:val="20"/>
                <w:szCs w:val="21"/>
                <w:highlight w:val="none"/>
              </w:rPr>
            </w:pPr>
          </w:p>
        </w:tc>
        <w:tc>
          <w:tcPr>
            <w:tcW w:w="1878" w:type="dxa"/>
            <w:tcBorders>
              <w:top w:val="single" w:color="auto" w:sz="4" w:space="0"/>
              <w:left w:val="single" w:color="auto" w:sz="4" w:space="0"/>
              <w:bottom w:val="single" w:color="auto" w:sz="4" w:space="0"/>
              <w:right w:val="single" w:color="auto" w:sz="4" w:space="0"/>
            </w:tcBorders>
          </w:tcPr>
          <w:p w14:paraId="2060569C">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01A31101">
            <w:pPr>
              <w:tabs>
                <w:tab w:val="left" w:pos="1418"/>
              </w:tabs>
              <w:snapToGrid w:val="0"/>
              <w:spacing w:line="400" w:lineRule="exact"/>
              <w:jc w:val="center"/>
              <w:rPr>
                <w:rFonts w:ascii="宋体" w:hAnsi="宋体"/>
                <w:color w:val="auto"/>
                <w:spacing w:val="20"/>
                <w:szCs w:val="21"/>
                <w:highlight w:val="none"/>
              </w:rPr>
            </w:pPr>
          </w:p>
        </w:tc>
        <w:tc>
          <w:tcPr>
            <w:tcW w:w="1903" w:type="dxa"/>
            <w:tcBorders>
              <w:top w:val="single" w:color="auto" w:sz="4" w:space="0"/>
              <w:left w:val="single" w:color="auto" w:sz="4" w:space="0"/>
              <w:bottom w:val="single" w:color="auto" w:sz="4" w:space="0"/>
              <w:right w:val="single" w:color="auto" w:sz="4" w:space="0"/>
            </w:tcBorders>
          </w:tcPr>
          <w:p w14:paraId="2639A417">
            <w:pPr>
              <w:tabs>
                <w:tab w:val="left" w:pos="1418"/>
              </w:tabs>
              <w:snapToGrid w:val="0"/>
              <w:spacing w:line="400" w:lineRule="exact"/>
              <w:jc w:val="center"/>
              <w:rPr>
                <w:rFonts w:ascii="宋体" w:hAnsi="宋体"/>
                <w:color w:val="auto"/>
                <w:spacing w:val="20"/>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1F40454D">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27CC5548">
            <w:pPr>
              <w:tabs>
                <w:tab w:val="left" w:pos="1418"/>
              </w:tabs>
              <w:snapToGrid w:val="0"/>
              <w:spacing w:line="400" w:lineRule="exact"/>
              <w:jc w:val="center"/>
              <w:rPr>
                <w:rFonts w:ascii="宋体" w:hAnsi="宋体"/>
                <w:color w:val="auto"/>
                <w:spacing w:val="20"/>
                <w:szCs w:val="21"/>
                <w:highlight w:val="none"/>
              </w:rPr>
            </w:pPr>
          </w:p>
        </w:tc>
      </w:tr>
      <w:tr w14:paraId="70FB6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044" w:type="dxa"/>
            <w:tcBorders>
              <w:top w:val="single" w:color="auto" w:sz="4" w:space="0"/>
              <w:left w:val="single" w:color="auto" w:sz="4" w:space="0"/>
              <w:bottom w:val="single" w:color="auto" w:sz="4" w:space="0"/>
              <w:right w:val="single" w:color="auto" w:sz="4" w:space="0"/>
            </w:tcBorders>
          </w:tcPr>
          <w:p w14:paraId="600235D1">
            <w:pPr>
              <w:tabs>
                <w:tab w:val="left" w:pos="1418"/>
              </w:tabs>
              <w:snapToGrid w:val="0"/>
              <w:spacing w:line="400" w:lineRule="exact"/>
              <w:jc w:val="center"/>
              <w:rPr>
                <w:rFonts w:ascii="宋体" w:hAnsi="宋体"/>
                <w:color w:val="auto"/>
                <w:spacing w:val="20"/>
                <w:szCs w:val="21"/>
                <w:highlight w:val="none"/>
              </w:rPr>
            </w:pPr>
          </w:p>
        </w:tc>
        <w:tc>
          <w:tcPr>
            <w:tcW w:w="1878" w:type="dxa"/>
            <w:tcBorders>
              <w:top w:val="single" w:color="auto" w:sz="4" w:space="0"/>
              <w:left w:val="single" w:color="auto" w:sz="4" w:space="0"/>
              <w:bottom w:val="single" w:color="auto" w:sz="4" w:space="0"/>
              <w:right w:val="single" w:color="auto" w:sz="4" w:space="0"/>
            </w:tcBorders>
          </w:tcPr>
          <w:p w14:paraId="48C51299">
            <w:pPr>
              <w:tabs>
                <w:tab w:val="left" w:pos="1418"/>
              </w:tabs>
              <w:snapToGrid w:val="0"/>
              <w:spacing w:line="400" w:lineRule="exact"/>
              <w:jc w:val="center"/>
              <w:rPr>
                <w:rFonts w:ascii="宋体" w:hAnsi="宋体"/>
                <w:color w:val="auto"/>
                <w:spacing w:val="20"/>
                <w:szCs w:val="21"/>
                <w:highlight w:val="none"/>
              </w:rPr>
            </w:pPr>
            <w:r>
              <w:rPr>
                <w:rFonts w:ascii="宋体" w:hAnsi="宋体"/>
                <w:color w:val="auto"/>
                <w:spacing w:val="20"/>
                <w:szCs w:val="21"/>
                <w:highlight w:val="none"/>
              </w:rPr>
              <w:t>……</w:t>
            </w:r>
          </w:p>
        </w:tc>
        <w:tc>
          <w:tcPr>
            <w:tcW w:w="1426" w:type="dxa"/>
            <w:tcBorders>
              <w:top w:val="single" w:color="auto" w:sz="4" w:space="0"/>
              <w:left w:val="single" w:color="auto" w:sz="4" w:space="0"/>
              <w:bottom w:val="single" w:color="auto" w:sz="4" w:space="0"/>
              <w:right w:val="single" w:color="auto" w:sz="4" w:space="0"/>
            </w:tcBorders>
          </w:tcPr>
          <w:p w14:paraId="357975FA">
            <w:pPr>
              <w:tabs>
                <w:tab w:val="left" w:pos="1418"/>
              </w:tabs>
              <w:snapToGrid w:val="0"/>
              <w:spacing w:line="400" w:lineRule="exact"/>
              <w:jc w:val="center"/>
              <w:rPr>
                <w:rFonts w:ascii="宋体" w:hAnsi="宋体"/>
                <w:color w:val="auto"/>
                <w:spacing w:val="20"/>
                <w:szCs w:val="21"/>
                <w:highlight w:val="none"/>
              </w:rPr>
            </w:pPr>
          </w:p>
        </w:tc>
        <w:tc>
          <w:tcPr>
            <w:tcW w:w="1903" w:type="dxa"/>
            <w:tcBorders>
              <w:top w:val="single" w:color="auto" w:sz="4" w:space="0"/>
              <w:left w:val="single" w:color="auto" w:sz="4" w:space="0"/>
              <w:bottom w:val="single" w:color="auto" w:sz="4" w:space="0"/>
              <w:right w:val="single" w:color="auto" w:sz="4" w:space="0"/>
            </w:tcBorders>
          </w:tcPr>
          <w:p w14:paraId="31AFE962">
            <w:pPr>
              <w:tabs>
                <w:tab w:val="left" w:pos="1418"/>
              </w:tabs>
              <w:snapToGrid w:val="0"/>
              <w:spacing w:line="400" w:lineRule="exact"/>
              <w:jc w:val="center"/>
              <w:rPr>
                <w:rFonts w:ascii="宋体" w:hAnsi="宋体"/>
                <w:color w:val="auto"/>
                <w:spacing w:val="20"/>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1B3E4851">
            <w:pPr>
              <w:tabs>
                <w:tab w:val="left" w:pos="1418"/>
              </w:tabs>
              <w:snapToGrid w:val="0"/>
              <w:spacing w:line="400" w:lineRule="exact"/>
              <w:jc w:val="center"/>
              <w:rPr>
                <w:rFonts w:ascii="宋体" w:hAnsi="宋体"/>
                <w:color w:val="auto"/>
                <w:spacing w:val="20"/>
                <w:szCs w:val="21"/>
                <w:highlight w:val="none"/>
              </w:rPr>
            </w:pPr>
          </w:p>
        </w:tc>
        <w:tc>
          <w:tcPr>
            <w:tcW w:w="1426" w:type="dxa"/>
            <w:tcBorders>
              <w:top w:val="single" w:color="auto" w:sz="4" w:space="0"/>
              <w:left w:val="single" w:color="auto" w:sz="4" w:space="0"/>
              <w:bottom w:val="single" w:color="auto" w:sz="4" w:space="0"/>
              <w:right w:val="single" w:color="auto" w:sz="4" w:space="0"/>
            </w:tcBorders>
          </w:tcPr>
          <w:p w14:paraId="5A99F67B">
            <w:pPr>
              <w:tabs>
                <w:tab w:val="left" w:pos="1418"/>
              </w:tabs>
              <w:snapToGrid w:val="0"/>
              <w:spacing w:line="400" w:lineRule="exact"/>
              <w:jc w:val="center"/>
              <w:rPr>
                <w:rFonts w:ascii="宋体" w:hAnsi="宋体"/>
                <w:color w:val="auto"/>
                <w:spacing w:val="20"/>
                <w:szCs w:val="21"/>
                <w:highlight w:val="none"/>
              </w:rPr>
            </w:pPr>
          </w:p>
        </w:tc>
      </w:tr>
    </w:tbl>
    <w:p w14:paraId="0FD9A5C4">
      <w:pPr>
        <w:tabs>
          <w:tab w:val="left" w:pos="1418"/>
        </w:tabs>
        <w:snapToGrid w:val="0"/>
        <w:spacing w:line="400" w:lineRule="exact"/>
        <w:ind w:left="851"/>
        <w:jc w:val="center"/>
        <w:rPr>
          <w:rFonts w:ascii="宋体" w:hAnsi="宋体"/>
          <w:color w:val="auto"/>
          <w:spacing w:val="20"/>
          <w:szCs w:val="21"/>
          <w:highlight w:val="none"/>
          <w:u w:val="single"/>
        </w:rPr>
      </w:pPr>
    </w:p>
    <w:p w14:paraId="1D181F86">
      <w:pPr>
        <w:pStyle w:val="18"/>
        <w:spacing w:line="400" w:lineRule="exact"/>
        <w:ind w:firstLineChars="200"/>
        <w:rPr>
          <w:rFonts w:hAnsi="宋体"/>
          <w:color w:val="auto"/>
          <w:szCs w:val="21"/>
          <w:highlight w:val="none"/>
        </w:rPr>
      </w:pPr>
      <w:r>
        <w:rPr>
          <w:rFonts w:hint="eastAsia" w:hAnsi="宋体"/>
          <w:color w:val="auto"/>
          <w:szCs w:val="21"/>
          <w:highlight w:val="none"/>
        </w:rPr>
        <w:t>投标人（盖章）：</w:t>
      </w:r>
    </w:p>
    <w:p w14:paraId="67FD7AB0">
      <w:pPr>
        <w:pStyle w:val="18"/>
        <w:spacing w:line="400" w:lineRule="exact"/>
        <w:ind w:firstLineChars="200"/>
        <w:rPr>
          <w:rFonts w:hAnsi="宋体"/>
          <w:color w:val="auto"/>
          <w:szCs w:val="21"/>
          <w:highlight w:val="none"/>
        </w:rPr>
      </w:pPr>
      <w:r>
        <w:rPr>
          <w:rFonts w:hint="eastAsia" w:hAnsi="宋体"/>
          <w:color w:val="auto"/>
          <w:szCs w:val="21"/>
          <w:highlight w:val="none"/>
        </w:rPr>
        <w:t>法定代表人／负责人或授权代表（签字或盖章）：</w:t>
      </w:r>
    </w:p>
    <w:p w14:paraId="2EBA73E8">
      <w:pPr>
        <w:ind w:firstLine="420" w:firstLineChars="200"/>
        <w:rPr>
          <w:rFonts w:ascii="宋体" w:hAnsi="宋体"/>
          <w:color w:val="auto"/>
          <w:szCs w:val="21"/>
          <w:highlight w:val="none"/>
        </w:rPr>
      </w:pPr>
      <w:r>
        <w:rPr>
          <w:rFonts w:hint="eastAsia" w:ascii="宋体" w:hAnsi="宋体"/>
          <w:color w:val="auto"/>
          <w:szCs w:val="21"/>
          <w:highlight w:val="none"/>
        </w:rPr>
        <w:t>日期：</w:t>
      </w:r>
    </w:p>
    <w:p w14:paraId="6504817F">
      <w:pPr>
        <w:pStyle w:val="18"/>
        <w:jc w:val="left"/>
        <w:rPr>
          <w:rFonts w:ascii="宋体" w:hAnsi="宋体" w:eastAsia="宋体" w:cs="宋体"/>
          <w:bCs/>
          <w:color w:val="auto"/>
          <w:sz w:val="21"/>
          <w:szCs w:val="21"/>
          <w:highlight w:val="none"/>
        </w:rPr>
      </w:pPr>
    </w:p>
    <w:p w14:paraId="68DF2A49">
      <w:pPr>
        <w:rPr>
          <w:rFonts w:ascii="宋体" w:hAnsi="宋体"/>
          <w:b/>
          <w:color w:val="auto"/>
          <w:sz w:val="28"/>
          <w:highlight w:val="none"/>
        </w:rPr>
      </w:pPr>
    </w:p>
    <w:p w14:paraId="7D046F29">
      <w:pPr>
        <w:autoSpaceDE w:val="0"/>
        <w:autoSpaceDN w:val="0"/>
        <w:adjustRightInd w:val="0"/>
        <w:spacing w:line="386" w:lineRule="exact"/>
        <w:jc w:val="left"/>
        <w:rPr>
          <w:rFonts w:ascii="宋体" w:hAnsi="宋体" w:cs="宋体"/>
          <w:bCs/>
          <w:color w:val="auto"/>
          <w:szCs w:val="21"/>
          <w:highlight w:val="none"/>
        </w:rPr>
      </w:pPr>
    </w:p>
    <w:p w14:paraId="26F100E2">
      <w:pPr>
        <w:rPr>
          <w:rFonts w:ascii="宋体" w:hAnsi="宋体"/>
          <w:color w:val="auto"/>
          <w:sz w:val="24"/>
          <w:highlight w:val="none"/>
          <w:u w:val="single"/>
        </w:rPr>
      </w:pPr>
    </w:p>
    <w:p w14:paraId="6BB25992">
      <w:pPr>
        <w:rPr>
          <w:rFonts w:ascii="宋体" w:hAnsi="宋体"/>
          <w:color w:val="auto"/>
          <w:sz w:val="24"/>
          <w:highlight w:val="none"/>
          <w:u w:val="single"/>
        </w:rPr>
      </w:pPr>
    </w:p>
    <w:p w14:paraId="3A88974D">
      <w:pPr>
        <w:rPr>
          <w:rFonts w:ascii="宋体" w:hAnsi="宋体"/>
          <w:color w:val="auto"/>
          <w:sz w:val="24"/>
          <w:highlight w:val="none"/>
          <w:u w:val="single"/>
        </w:rPr>
      </w:pPr>
    </w:p>
    <w:p w14:paraId="1BEB67D8">
      <w:pPr>
        <w:rPr>
          <w:rFonts w:ascii="宋体" w:hAnsi="宋体"/>
          <w:color w:val="auto"/>
          <w:sz w:val="24"/>
          <w:highlight w:val="none"/>
          <w:u w:val="single"/>
        </w:rPr>
      </w:pPr>
    </w:p>
    <w:p w14:paraId="757BCBD2">
      <w:pPr>
        <w:rPr>
          <w:rFonts w:ascii="宋体" w:hAnsi="宋体"/>
          <w:color w:val="auto"/>
          <w:sz w:val="24"/>
          <w:highlight w:val="none"/>
          <w:u w:val="single"/>
        </w:rPr>
      </w:pPr>
    </w:p>
    <w:p w14:paraId="383E3951">
      <w:pPr>
        <w:rPr>
          <w:rFonts w:ascii="宋体" w:hAnsi="宋体"/>
          <w:color w:val="auto"/>
          <w:sz w:val="24"/>
          <w:highlight w:val="none"/>
          <w:u w:val="single"/>
        </w:rPr>
      </w:pPr>
    </w:p>
    <w:p w14:paraId="22A9EA78">
      <w:pPr>
        <w:rPr>
          <w:rFonts w:ascii="宋体" w:hAnsi="宋体"/>
          <w:color w:val="auto"/>
          <w:sz w:val="24"/>
          <w:highlight w:val="none"/>
          <w:u w:val="single"/>
        </w:rPr>
      </w:pPr>
    </w:p>
    <w:p w14:paraId="24DAD0ED">
      <w:pPr>
        <w:rPr>
          <w:rFonts w:ascii="宋体" w:hAnsi="宋体"/>
          <w:color w:val="auto"/>
          <w:sz w:val="24"/>
          <w:highlight w:val="none"/>
          <w:u w:val="single"/>
        </w:rPr>
      </w:pPr>
    </w:p>
    <w:p w14:paraId="59DE2C6C">
      <w:pPr>
        <w:rPr>
          <w:rFonts w:hint="eastAsia"/>
          <w:color w:val="auto"/>
          <w:szCs w:val="24"/>
          <w:highlight w:val="none"/>
        </w:rPr>
      </w:pPr>
    </w:p>
    <w:p w14:paraId="3BDA5FC9">
      <w:pPr>
        <w:rPr>
          <w:rFonts w:ascii="宋体" w:hAnsi="宋体"/>
          <w:color w:val="auto"/>
          <w:sz w:val="24"/>
          <w:highlight w:val="none"/>
          <w:u w:val="single"/>
        </w:rPr>
      </w:pPr>
      <w:r>
        <w:rPr>
          <w:rFonts w:hint="eastAsia"/>
          <w:color w:val="auto"/>
          <w:szCs w:val="24"/>
          <w:highlight w:val="none"/>
        </w:rPr>
        <w:t>格式八</w:t>
      </w:r>
    </w:p>
    <w:p w14:paraId="5816B477">
      <w:pPr>
        <w:pStyle w:val="3"/>
        <w:tabs>
          <w:tab w:val="left" w:pos="993"/>
          <w:tab w:val="left" w:pos="2977"/>
          <w:tab w:val="left" w:pos="4111"/>
          <w:tab w:val="left" w:pos="4253"/>
        </w:tabs>
        <w:spacing w:before="0" w:afterLines="50" w:line="240" w:lineRule="auto"/>
        <w:jc w:val="center"/>
        <w:rPr>
          <w:rFonts w:ascii="Times New Roman" w:hAnsi="Times New Roman" w:eastAsia="宋体"/>
          <w:color w:val="auto"/>
          <w:sz w:val="21"/>
          <w:szCs w:val="24"/>
          <w:highlight w:val="none"/>
        </w:rPr>
      </w:pPr>
      <w:bookmarkStart w:id="120" w:name="_Toc435202002"/>
      <w:bookmarkStart w:id="121" w:name="_Toc355341194"/>
      <w:r>
        <w:rPr>
          <w:rFonts w:hint="eastAsia" w:ascii="Times New Roman" w:hAnsi="Times New Roman" w:eastAsia="宋体"/>
          <w:color w:val="auto"/>
          <w:sz w:val="21"/>
          <w:szCs w:val="24"/>
          <w:highlight w:val="none"/>
        </w:rPr>
        <w:t>法定代表人</w:t>
      </w:r>
      <w:r>
        <w:rPr>
          <w:rFonts w:ascii="Times New Roman" w:hAnsi="Times New Roman" w:eastAsia="宋体"/>
          <w:color w:val="auto"/>
          <w:sz w:val="21"/>
          <w:szCs w:val="24"/>
          <w:highlight w:val="none"/>
        </w:rPr>
        <w:t>授权书</w:t>
      </w:r>
      <w:bookmarkEnd w:id="120"/>
      <w:bookmarkEnd w:id="121"/>
    </w:p>
    <w:p w14:paraId="4B2FCEFE">
      <w:pPr>
        <w:tabs>
          <w:tab w:val="left" w:pos="630"/>
        </w:tabs>
        <w:spacing w:line="440" w:lineRule="exact"/>
        <w:rPr>
          <w:color w:val="auto"/>
          <w:szCs w:val="24"/>
          <w:highlight w:val="none"/>
        </w:rPr>
      </w:pPr>
      <w:r>
        <w:rPr>
          <w:color w:val="auto"/>
          <w:szCs w:val="24"/>
          <w:highlight w:val="none"/>
        </w:rPr>
        <w:t>中冠工程管理咨询有限公司：</w:t>
      </w:r>
    </w:p>
    <w:p w14:paraId="74E045CC">
      <w:pPr>
        <w:spacing w:line="440" w:lineRule="exact"/>
        <w:ind w:firstLine="420" w:firstLineChars="200"/>
        <w:rPr>
          <w:color w:val="auto"/>
          <w:szCs w:val="24"/>
          <w:highlight w:val="none"/>
        </w:rPr>
      </w:pPr>
      <w:r>
        <w:rPr>
          <w:color w:val="auto"/>
          <w:szCs w:val="24"/>
          <w:highlight w:val="none"/>
        </w:rPr>
        <w:t xml:space="preserve"> (供应商全称)</w:t>
      </w:r>
      <w:r>
        <w:rPr>
          <w:rFonts w:hint="eastAsia"/>
          <w:color w:val="auto"/>
          <w:szCs w:val="24"/>
          <w:highlight w:val="none"/>
        </w:rPr>
        <w:t>法定代表人</w:t>
      </w:r>
      <w:r>
        <w:rPr>
          <w:color w:val="auto"/>
          <w:szCs w:val="24"/>
          <w:highlight w:val="none"/>
        </w:rPr>
        <w:t>授权            (委托代理人姓名)为委托代理人，参加贵</w:t>
      </w:r>
      <w:r>
        <w:rPr>
          <w:rFonts w:hint="eastAsia"/>
          <w:color w:val="auto"/>
          <w:szCs w:val="24"/>
          <w:highlight w:val="none"/>
        </w:rPr>
        <w:t>公司</w:t>
      </w:r>
      <w:r>
        <w:rPr>
          <w:color w:val="auto"/>
          <w:szCs w:val="24"/>
          <w:highlight w:val="none"/>
        </w:rPr>
        <w:t>组织的年月日项目(编号</w:t>
      </w:r>
      <w:r>
        <w:rPr>
          <w:rFonts w:hint="eastAsia"/>
          <w:color w:val="auto"/>
          <w:szCs w:val="24"/>
          <w:highlight w:val="none"/>
        </w:rPr>
        <w:t>：</w:t>
      </w:r>
      <w:r>
        <w:rPr>
          <w:color w:val="auto"/>
          <w:szCs w:val="24"/>
          <w:highlight w:val="none"/>
        </w:rPr>
        <w:t xml:space="preserve"> )采购活动，全权处理采购活动中的一切事宜。</w:t>
      </w:r>
    </w:p>
    <w:p w14:paraId="483CB882">
      <w:pPr>
        <w:spacing w:line="440" w:lineRule="exact"/>
        <w:ind w:firstLine="422" w:firstLineChars="200"/>
        <w:rPr>
          <w:b/>
          <w:bCs/>
          <w:color w:val="auto"/>
          <w:szCs w:val="24"/>
          <w:highlight w:val="none"/>
        </w:rPr>
      </w:pPr>
      <w:r>
        <w:rPr>
          <w:rFonts w:hint="eastAsia"/>
          <w:b/>
          <w:bCs/>
          <w:color w:val="auto"/>
          <w:szCs w:val="24"/>
          <w:highlight w:val="none"/>
        </w:rPr>
        <w:t>后附被授权人身份证正反页复印件</w:t>
      </w:r>
    </w:p>
    <w:p w14:paraId="246C0B82">
      <w:pPr>
        <w:spacing w:line="440" w:lineRule="exact"/>
        <w:ind w:firstLine="420" w:firstLineChars="200"/>
        <w:rPr>
          <w:color w:val="auto"/>
          <w:szCs w:val="24"/>
          <w:highlight w:val="none"/>
        </w:rPr>
      </w:pPr>
      <w:r>
        <w:rPr>
          <w:rFonts w:hint="eastAsia"/>
          <w:color w:val="auto"/>
          <w:szCs w:val="24"/>
          <w:highlight w:val="none"/>
        </w:rPr>
        <w:t>法定代表人</w:t>
      </w:r>
      <w:r>
        <w:rPr>
          <w:color w:val="auto"/>
          <w:szCs w:val="24"/>
          <w:highlight w:val="none"/>
        </w:rPr>
        <w:t xml:space="preserve"> (签字</w:t>
      </w:r>
      <w:r>
        <w:rPr>
          <w:rFonts w:hint="eastAsia"/>
          <w:color w:val="auto"/>
          <w:szCs w:val="24"/>
          <w:highlight w:val="none"/>
        </w:rPr>
        <w:t>或盖章</w:t>
      </w:r>
      <w:r>
        <w:rPr>
          <w:color w:val="auto"/>
          <w:szCs w:val="24"/>
          <w:highlight w:val="none"/>
        </w:rPr>
        <w:t>)：</w:t>
      </w:r>
    </w:p>
    <w:p w14:paraId="3F2180AF">
      <w:pPr>
        <w:spacing w:line="440" w:lineRule="exact"/>
        <w:ind w:firstLine="420" w:firstLineChars="200"/>
        <w:rPr>
          <w:color w:val="auto"/>
          <w:szCs w:val="24"/>
          <w:highlight w:val="none"/>
        </w:rPr>
      </w:pPr>
    </w:p>
    <w:p w14:paraId="54374661">
      <w:pPr>
        <w:spacing w:line="440" w:lineRule="exact"/>
        <w:ind w:firstLine="420" w:firstLineChars="200"/>
        <w:rPr>
          <w:color w:val="auto"/>
          <w:szCs w:val="24"/>
          <w:highlight w:val="none"/>
        </w:rPr>
      </w:pPr>
      <w:r>
        <w:rPr>
          <w:color w:val="auto"/>
          <w:szCs w:val="24"/>
          <w:highlight w:val="none"/>
        </w:rPr>
        <w:t>供应商全称(公章)：</w:t>
      </w:r>
    </w:p>
    <w:p w14:paraId="105A72A0">
      <w:pPr>
        <w:spacing w:line="440" w:lineRule="exact"/>
        <w:ind w:firstLine="420" w:firstLineChars="200"/>
        <w:rPr>
          <w:color w:val="auto"/>
          <w:szCs w:val="24"/>
          <w:highlight w:val="none"/>
        </w:rPr>
      </w:pPr>
    </w:p>
    <w:p w14:paraId="413F3B73">
      <w:pPr>
        <w:wordWrap w:val="0"/>
        <w:spacing w:line="440" w:lineRule="exact"/>
        <w:ind w:firstLine="420" w:firstLineChars="200"/>
        <w:jc w:val="right"/>
        <w:rPr>
          <w:color w:val="auto"/>
          <w:szCs w:val="24"/>
          <w:highlight w:val="none"/>
        </w:rPr>
      </w:pPr>
      <w:r>
        <w:rPr>
          <w:color w:val="auto"/>
          <w:szCs w:val="24"/>
          <w:highlight w:val="none"/>
        </w:rPr>
        <w:t>日期：</w:t>
      </w:r>
    </w:p>
    <w:p w14:paraId="2479899A">
      <w:pPr>
        <w:spacing w:line="440" w:lineRule="exact"/>
        <w:ind w:firstLine="420" w:firstLineChars="200"/>
        <w:jc w:val="center"/>
        <w:rPr>
          <w:color w:val="auto"/>
          <w:szCs w:val="24"/>
          <w:highlight w:val="none"/>
        </w:rPr>
      </w:pPr>
    </w:p>
    <w:p w14:paraId="65B4652C">
      <w:pPr>
        <w:spacing w:line="440" w:lineRule="exact"/>
        <w:ind w:firstLine="420" w:firstLineChars="200"/>
        <w:rPr>
          <w:color w:val="auto"/>
          <w:szCs w:val="24"/>
          <w:highlight w:val="none"/>
        </w:rPr>
      </w:pPr>
      <w:r>
        <w:rPr>
          <w:color w:val="auto"/>
          <w:szCs w:val="24"/>
          <w:highlight w:val="none"/>
        </w:rPr>
        <w:t>附：</w:t>
      </w:r>
    </w:p>
    <w:p w14:paraId="6F22C18A">
      <w:pPr>
        <w:spacing w:line="440" w:lineRule="exact"/>
        <w:ind w:firstLine="420" w:firstLineChars="200"/>
        <w:rPr>
          <w:color w:val="auto"/>
          <w:szCs w:val="24"/>
          <w:highlight w:val="none"/>
        </w:rPr>
      </w:pPr>
      <w:r>
        <w:rPr>
          <w:color w:val="auto"/>
          <w:szCs w:val="24"/>
          <w:highlight w:val="none"/>
        </w:rPr>
        <w:t>委托代理人：</w:t>
      </w:r>
    </w:p>
    <w:p w14:paraId="3398AF6B">
      <w:pPr>
        <w:spacing w:line="440" w:lineRule="exact"/>
        <w:ind w:firstLine="420" w:firstLineChars="200"/>
        <w:rPr>
          <w:color w:val="auto"/>
          <w:szCs w:val="24"/>
          <w:highlight w:val="none"/>
        </w:rPr>
      </w:pPr>
      <w:r>
        <w:rPr>
          <w:color w:val="auto"/>
          <w:szCs w:val="24"/>
          <w:highlight w:val="none"/>
        </w:rPr>
        <w:t>身份证号码：</w:t>
      </w:r>
    </w:p>
    <w:p w14:paraId="23B7267F">
      <w:pPr>
        <w:spacing w:line="440" w:lineRule="exact"/>
        <w:ind w:firstLine="420" w:firstLineChars="200"/>
        <w:rPr>
          <w:color w:val="auto"/>
          <w:szCs w:val="24"/>
          <w:highlight w:val="none"/>
        </w:rPr>
      </w:pPr>
      <w:r>
        <w:rPr>
          <w:color w:val="auto"/>
          <w:szCs w:val="24"/>
          <w:highlight w:val="none"/>
        </w:rPr>
        <w:t>职务：</w:t>
      </w:r>
    </w:p>
    <w:p w14:paraId="520F5F10">
      <w:pPr>
        <w:spacing w:line="440" w:lineRule="exact"/>
        <w:ind w:firstLine="420" w:firstLineChars="200"/>
        <w:rPr>
          <w:color w:val="auto"/>
          <w:szCs w:val="24"/>
          <w:highlight w:val="none"/>
        </w:rPr>
      </w:pPr>
      <w:r>
        <w:rPr>
          <w:color w:val="auto"/>
          <w:szCs w:val="24"/>
          <w:highlight w:val="none"/>
        </w:rPr>
        <w:t>手机号码：</w:t>
      </w:r>
    </w:p>
    <w:p w14:paraId="1AAFD269">
      <w:pPr>
        <w:spacing w:line="440" w:lineRule="exact"/>
        <w:ind w:firstLine="420" w:firstLineChars="200"/>
        <w:rPr>
          <w:color w:val="auto"/>
          <w:szCs w:val="24"/>
          <w:highlight w:val="none"/>
        </w:rPr>
      </w:pPr>
      <w:r>
        <w:rPr>
          <w:color w:val="auto"/>
          <w:szCs w:val="24"/>
          <w:highlight w:val="none"/>
        </w:rPr>
        <w:t>通讯地址：</w:t>
      </w:r>
    </w:p>
    <w:p w14:paraId="3B3A1658">
      <w:pPr>
        <w:spacing w:line="440" w:lineRule="exact"/>
        <w:ind w:firstLine="420" w:firstLineChars="200"/>
        <w:rPr>
          <w:color w:val="auto"/>
          <w:szCs w:val="24"/>
          <w:highlight w:val="none"/>
        </w:rPr>
      </w:pPr>
      <w:r>
        <w:rPr>
          <w:color w:val="auto"/>
          <w:szCs w:val="24"/>
          <w:highlight w:val="none"/>
        </w:rPr>
        <w:t>邮政编码：</w:t>
      </w:r>
    </w:p>
    <w:p w14:paraId="097A8A7C">
      <w:pPr>
        <w:spacing w:line="440" w:lineRule="exact"/>
        <w:ind w:firstLine="420" w:firstLineChars="200"/>
        <w:rPr>
          <w:color w:val="auto"/>
          <w:szCs w:val="24"/>
          <w:highlight w:val="none"/>
        </w:rPr>
      </w:pPr>
      <w:r>
        <w:rPr>
          <w:color w:val="auto"/>
          <w:szCs w:val="24"/>
          <w:highlight w:val="none"/>
        </w:rPr>
        <w:t>电话：</w:t>
      </w:r>
    </w:p>
    <w:p w14:paraId="64B74E89">
      <w:pPr>
        <w:spacing w:line="440" w:lineRule="exact"/>
        <w:ind w:firstLine="420" w:firstLineChars="200"/>
        <w:rPr>
          <w:color w:val="auto"/>
          <w:szCs w:val="24"/>
          <w:highlight w:val="none"/>
        </w:rPr>
      </w:pPr>
      <w:r>
        <w:rPr>
          <w:color w:val="auto"/>
          <w:szCs w:val="24"/>
          <w:highlight w:val="none"/>
        </w:rPr>
        <w:t>传真：</w:t>
      </w:r>
    </w:p>
    <w:p w14:paraId="69FECE08">
      <w:pPr>
        <w:pStyle w:val="3"/>
        <w:tabs>
          <w:tab w:val="left" w:pos="993"/>
          <w:tab w:val="left" w:pos="2977"/>
          <w:tab w:val="left" w:pos="4111"/>
          <w:tab w:val="left" w:pos="4253"/>
        </w:tabs>
        <w:spacing w:before="0" w:afterLines="50" w:line="240" w:lineRule="auto"/>
        <w:jc w:val="center"/>
        <w:rPr>
          <w:rFonts w:ascii="Times New Roman"/>
          <w:b w:val="0"/>
          <w:color w:val="auto"/>
          <w:sz w:val="24"/>
          <w:highlight w:val="none"/>
        </w:rPr>
      </w:pPr>
      <w:r>
        <w:rPr>
          <w:color w:val="auto"/>
          <w:szCs w:val="24"/>
          <w:highlight w:val="none"/>
        </w:rPr>
        <w:br w:type="page"/>
      </w:r>
      <w:bookmarkStart w:id="122" w:name="_Toc517699375"/>
      <w:bookmarkStart w:id="123" w:name="_Toc498429656"/>
      <w:bookmarkStart w:id="124" w:name="_Toc514758504"/>
      <w:r>
        <w:rPr>
          <w:rFonts w:hint="eastAsia" w:ascii="Times New Roman" w:hAnsi="Times New Roman" w:eastAsia="宋体"/>
          <w:color w:val="auto"/>
          <w:sz w:val="21"/>
          <w:szCs w:val="24"/>
          <w:highlight w:val="none"/>
        </w:rPr>
        <w:t>法定代表人身份证明书</w:t>
      </w:r>
      <w:bookmarkEnd w:id="122"/>
      <w:bookmarkEnd w:id="123"/>
      <w:bookmarkEnd w:id="124"/>
    </w:p>
    <w:p w14:paraId="2E46030E">
      <w:pPr>
        <w:spacing w:line="360" w:lineRule="auto"/>
        <w:rPr>
          <w:color w:val="auto"/>
          <w:szCs w:val="24"/>
          <w:highlight w:val="none"/>
        </w:rPr>
      </w:pPr>
    </w:p>
    <w:p w14:paraId="75414902">
      <w:pPr>
        <w:spacing w:line="360" w:lineRule="auto"/>
        <w:contextualSpacing/>
        <w:rPr>
          <w:color w:val="auto"/>
          <w:szCs w:val="24"/>
          <w:highlight w:val="none"/>
        </w:rPr>
      </w:pPr>
      <w:r>
        <w:rPr>
          <w:rFonts w:hint="eastAsia"/>
          <w:color w:val="auto"/>
          <w:szCs w:val="24"/>
          <w:highlight w:val="none"/>
        </w:rPr>
        <w:t>单位名称：</w:t>
      </w:r>
    </w:p>
    <w:p w14:paraId="7D6125EC">
      <w:pPr>
        <w:spacing w:line="360" w:lineRule="auto"/>
        <w:contextualSpacing/>
        <w:rPr>
          <w:color w:val="auto"/>
          <w:szCs w:val="24"/>
          <w:highlight w:val="none"/>
        </w:rPr>
      </w:pPr>
      <w:r>
        <w:rPr>
          <w:rFonts w:hint="eastAsia"/>
          <w:color w:val="auto"/>
          <w:szCs w:val="24"/>
          <w:highlight w:val="none"/>
        </w:rPr>
        <w:t>地址：</w:t>
      </w:r>
    </w:p>
    <w:p w14:paraId="3CE1EF62">
      <w:pPr>
        <w:spacing w:line="360" w:lineRule="auto"/>
        <w:contextualSpacing/>
        <w:rPr>
          <w:color w:val="auto"/>
          <w:szCs w:val="24"/>
          <w:highlight w:val="none"/>
        </w:rPr>
      </w:pPr>
      <w:r>
        <w:rPr>
          <w:rFonts w:hint="eastAsia"/>
          <w:color w:val="auto"/>
          <w:szCs w:val="24"/>
          <w:highlight w:val="none"/>
        </w:rPr>
        <w:t>姓名：性别：</w:t>
      </w:r>
    </w:p>
    <w:p w14:paraId="3C58533A">
      <w:pPr>
        <w:spacing w:line="360" w:lineRule="auto"/>
        <w:contextualSpacing/>
        <w:rPr>
          <w:color w:val="auto"/>
          <w:szCs w:val="24"/>
          <w:highlight w:val="none"/>
        </w:rPr>
      </w:pPr>
      <w:r>
        <w:rPr>
          <w:rFonts w:hint="eastAsia"/>
          <w:color w:val="auto"/>
          <w:szCs w:val="24"/>
          <w:highlight w:val="none"/>
        </w:rPr>
        <w:t>年龄：职务：</w:t>
      </w:r>
    </w:p>
    <w:p w14:paraId="3081FCED">
      <w:pPr>
        <w:spacing w:line="360" w:lineRule="auto"/>
        <w:contextualSpacing/>
        <w:rPr>
          <w:color w:val="auto"/>
          <w:szCs w:val="24"/>
          <w:highlight w:val="none"/>
        </w:rPr>
      </w:pPr>
      <w:r>
        <w:rPr>
          <w:rFonts w:hint="eastAsia"/>
          <w:color w:val="auto"/>
          <w:szCs w:val="24"/>
          <w:highlight w:val="none"/>
        </w:rPr>
        <w:t>身份证号码：系（投标人单位全称）的法定代表人。</w:t>
      </w:r>
    </w:p>
    <w:p w14:paraId="713F2FE0">
      <w:pPr>
        <w:spacing w:line="360" w:lineRule="auto"/>
        <w:contextualSpacing/>
        <w:rPr>
          <w:color w:val="auto"/>
          <w:szCs w:val="24"/>
          <w:highlight w:val="none"/>
        </w:rPr>
      </w:pPr>
      <w:r>
        <w:rPr>
          <w:rFonts w:hint="eastAsia"/>
          <w:color w:val="auto"/>
          <w:szCs w:val="24"/>
          <w:highlight w:val="none"/>
        </w:rPr>
        <w:t>特此证明。</w:t>
      </w:r>
    </w:p>
    <w:p w14:paraId="1D1010B5">
      <w:pPr>
        <w:spacing w:line="360" w:lineRule="auto"/>
        <w:contextualSpacing/>
        <w:rPr>
          <w:color w:val="auto"/>
          <w:szCs w:val="24"/>
          <w:highlight w:val="none"/>
        </w:rPr>
      </w:pPr>
    </w:p>
    <w:p w14:paraId="1D394A81">
      <w:pPr>
        <w:spacing w:line="360" w:lineRule="auto"/>
        <w:contextualSpacing/>
        <w:rPr>
          <w:color w:val="auto"/>
          <w:szCs w:val="24"/>
          <w:highlight w:val="none"/>
        </w:rPr>
      </w:pPr>
      <w:r>
        <w:rPr>
          <w:rFonts w:hint="eastAsia"/>
          <w:color w:val="auto"/>
          <w:szCs w:val="24"/>
          <w:highlight w:val="none"/>
        </w:rPr>
        <w:t>（后附法定代表人身份证正反面复印件）</w:t>
      </w:r>
    </w:p>
    <w:p w14:paraId="267D88E9">
      <w:pPr>
        <w:spacing w:line="360" w:lineRule="auto"/>
        <w:contextualSpacing/>
        <w:rPr>
          <w:color w:val="auto"/>
          <w:szCs w:val="24"/>
          <w:highlight w:val="none"/>
        </w:rPr>
      </w:pPr>
    </w:p>
    <w:p w14:paraId="450F1899">
      <w:pPr>
        <w:spacing w:line="360" w:lineRule="auto"/>
        <w:contextualSpacing/>
        <w:rPr>
          <w:color w:val="auto"/>
          <w:szCs w:val="24"/>
          <w:highlight w:val="none"/>
        </w:rPr>
      </w:pPr>
    </w:p>
    <w:p w14:paraId="6730298B">
      <w:pPr>
        <w:spacing w:line="360" w:lineRule="auto"/>
        <w:contextualSpacing/>
        <w:rPr>
          <w:color w:val="auto"/>
          <w:szCs w:val="24"/>
          <w:highlight w:val="none"/>
        </w:rPr>
      </w:pPr>
    </w:p>
    <w:p w14:paraId="7FE378A4">
      <w:pPr>
        <w:spacing w:line="360" w:lineRule="auto"/>
        <w:contextualSpacing/>
        <w:rPr>
          <w:color w:val="auto"/>
          <w:szCs w:val="24"/>
          <w:highlight w:val="none"/>
        </w:rPr>
      </w:pPr>
      <w:r>
        <w:rPr>
          <w:rFonts w:hint="eastAsia"/>
          <w:color w:val="auto"/>
          <w:szCs w:val="24"/>
          <w:highlight w:val="none"/>
        </w:rPr>
        <w:t>投标人（盖章）：</w:t>
      </w:r>
    </w:p>
    <w:p w14:paraId="035FD87C">
      <w:pPr>
        <w:spacing w:line="360" w:lineRule="auto"/>
        <w:contextualSpacing/>
        <w:rPr>
          <w:color w:val="auto"/>
          <w:szCs w:val="24"/>
          <w:highlight w:val="none"/>
        </w:rPr>
      </w:pPr>
    </w:p>
    <w:p w14:paraId="35388F32">
      <w:pPr>
        <w:spacing w:line="360" w:lineRule="auto"/>
        <w:contextualSpacing/>
        <w:rPr>
          <w:color w:val="auto"/>
          <w:szCs w:val="24"/>
          <w:highlight w:val="none"/>
        </w:rPr>
      </w:pPr>
      <w:r>
        <w:rPr>
          <w:rFonts w:hint="eastAsia"/>
          <w:color w:val="auto"/>
          <w:szCs w:val="24"/>
          <w:highlight w:val="none"/>
        </w:rPr>
        <w:t>投标人法定代表人（签字或盖章）：</w:t>
      </w:r>
    </w:p>
    <w:p w14:paraId="36265ADE">
      <w:pPr>
        <w:spacing w:line="360" w:lineRule="auto"/>
        <w:contextualSpacing/>
        <w:rPr>
          <w:color w:val="auto"/>
          <w:szCs w:val="24"/>
          <w:highlight w:val="none"/>
        </w:rPr>
      </w:pPr>
    </w:p>
    <w:p w14:paraId="521F1C38">
      <w:pPr>
        <w:spacing w:line="360" w:lineRule="auto"/>
        <w:contextualSpacing/>
        <w:rPr>
          <w:color w:val="auto"/>
          <w:szCs w:val="24"/>
          <w:highlight w:val="none"/>
        </w:rPr>
      </w:pPr>
      <w:r>
        <w:rPr>
          <w:rFonts w:hint="eastAsia"/>
          <w:color w:val="auto"/>
          <w:szCs w:val="24"/>
          <w:highlight w:val="none"/>
        </w:rPr>
        <w:t>日期：年月日</w:t>
      </w:r>
    </w:p>
    <w:p w14:paraId="021B2D6A">
      <w:pPr>
        <w:spacing w:after="120"/>
        <w:rPr>
          <w:bCs/>
          <w:color w:val="auto"/>
          <w:sz w:val="24"/>
          <w:szCs w:val="24"/>
          <w:highlight w:val="none"/>
        </w:rPr>
        <w:sectPr>
          <w:pgSz w:w="11907" w:h="16840"/>
          <w:pgMar w:top="1134" w:right="1531" w:bottom="1134" w:left="1531" w:header="425" w:footer="709" w:gutter="0"/>
          <w:pgNumType w:fmt="decimal"/>
          <w:cols w:space="720" w:num="1"/>
          <w:docGrid w:linePitch="285" w:charSpace="0"/>
        </w:sectPr>
      </w:pPr>
      <w:r>
        <w:rPr>
          <w:color w:val="auto"/>
          <w:sz w:val="24"/>
          <w:szCs w:val="24"/>
          <w:highlight w:val="none"/>
        </w:rPr>
        <w:br w:type="page"/>
      </w:r>
    </w:p>
    <w:p w14:paraId="6CE7E181">
      <w:pPr>
        <w:spacing w:after="120"/>
        <w:rPr>
          <w:color w:val="auto"/>
          <w:highlight w:val="none"/>
        </w:rPr>
      </w:pPr>
      <w:r>
        <w:rPr>
          <w:rFonts w:hint="eastAsia" w:ascii="宋体" w:hAnsi="宋体" w:cs="宋体"/>
          <w:color w:val="auto"/>
          <w:szCs w:val="21"/>
          <w:highlight w:val="none"/>
        </w:rPr>
        <w:t>格式九</w:t>
      </w:r>
    </w:p>
    <w:p w14:paraId="2001BC4D">
      <w:pPr>
        <w:spacing w:after="120"/>
        <w:jc w:val="center"/>
        <w:rPr>
          <w:b/>
          <w:color w:val="auto"/>
          <w:highlight w:val="none"/>
        </w:rPr>
      </w:pPr>
      <w:r>
        <w:rPr>
          <w:rFonts w:hint="eastAsia"/>
          <w:b/>
          <w:color w:val="auto"/>
          <w:highlight w:val="none"/>
        </w:rPr>
        <w:t>合格的投标人承诺函</w:t>
      </w:r>
    </w:p>
    <w:p w14:paraId="2B769DA0">
      <w:pPr>
        <w:spacing w:line="360" w:lineRule="auto"/>
        <w:contextualSpacing/>
        <w:rPr>
          <w:rFonts w:cs="宋体"/>
          <w:b/>
          <w:color w:val="auto"/>
          <w:szCs w:val="21"/>
          <w:highlight w:val="none"/>
        </w:rPr>
      </w:pPr>
      <w:r>
        <w:rPr>
          <w:rFonts w:hint="eastAsia" w:cs="宋体"/>
          <w:b/>
          <w:color w:val="auto"/>
          <w:szCs w:val="21"/>
          <w:highlight w:val="none"/>
        </w:rPr>
        <w:t>致：中冠工程管理咨询有限公司</w:t>
      </w:r>
    </w:p>
    <w:p w14:paraId="08269B40">
      <w:pPr>
        <w:adjustRightInd w:val="0"/>
        <w:spacing w:line="360" w:lineRule="auto"/>
        <w:ind w:firstLine="422" w:firstLineChars="200"/>
        <w:contextualSpacing/>
        <w:textAlignment w:val="baseline"/>
        <w:rPr>
          <w:rFonts w:cs="宋体"/>
          <w:b/>
          <w:color w:val="auto"/>
          <w:szCs w:val="21"/>
          <w:highlight w:val="none"/>
        </w:rPr>
      </w:pPr>
      <w:bookmarkStart w:id="125" w:name="_Toc399148312"/>
      <w:r>
        <w:rPr>
          <w:rFonts w:hint="eastAsia" w:cs="宋体"/>
          <w:b/>
          <w:color w:val="auto"/>
          <w:szCs w:val="21"/>
          <w:highlight w:val="none"/>
        </w:rPr>
        <w:t>我方郑重承诺</w:t>
      </w:r>
      <w:bookmarkEnd w:id="125"/>
      <w:r>
        <w:rPr>
          <w:rFonts w:hint="eastAsia" w:cs="宋体"/>
          <w:b/>
          <w:color w:val="auto"/>
          <w:szCs w:val="21"/>
          <w:highlight w:val="none"/>
        </w:rPr>
        <w:t>：</w:t>
      </w:r>
    </w:p>
    <w:p w14:paraId="3056876F">
      <w:pPr>
        <w:numPr>
          <w:ilvl w:val="0"/>
          <w:numId w:val="8"/>
        </w:numPr>
        <w:spacing w:line="360" w:lineRule="auto"/>
        <w:ind w:firstLine="420" w:firstLineChars="200"/>
        <w:contextualSpacing/>
        <w:rPr>
          <w:rFonts w:cs="宋体"/>
          <w:color w:val="auto"/>
          <w:kern w:val="0"/>
          <w:szCs w:val="21"/>
          <w:highlight w:val="none"/>
        </w:rPr>
      </w:pPr>
      <w:r>
        <w:rPr>
          <w:rFonts w:hint="eastAsia" w:cs="宋体"/>
          <w:color w:val="auto"/>
          <w:kern w:val="0"/>
          <w:szCs w:val="21"/>
          <w:highlight w:val="none"/>
        </w:rPr>
        <w:t>我单位具有独立承担民事责任的能力；</w:t>
      </w:r>
    </w:p>
    <w:p w14:paraId="2DC9502D">
      <w:pPr>
        <w:numPr>
          <w:ilvl w:val="0"/>
          <w:numId w:val="8"/>
        </w:numPr>
        <w:spacing w:line="360" w:lineRule="auto"/>
        <w:ind w:firstLine="420" w:firstLineChars="200"/>
        <w:contextualSpacing/>
        <w:rPr>
          <w:rFonts w:cs="宋体"/>
          <w:color w:val="auto"/>
          <w:kern w:val="0"/>
          <w:szCs w:val="21"/>
          <w:highlight w:val="none"/>
        </w:rPr>
      </w:pPr>
      <w:r>
        <w:rPr>
          <w:rFonts w:hint="eastAsia" w:cs="宋体"/>
          <w:color w:val="auto"/>
          <w:kern w:val="0"/>
          <w:szCs w:val="21"/>
          <w:highlight w:val="none"/>
        </w:rPr>
        <w:t>我单位具有良好的商业信誉和健全的财务会计制度；</w:t>
      </w:r>
    </w:p>
    <w:p w14:paraId="6738754A">
      <w:pPr>
        <w:numPr>
          <w:ilvl w:val="0"/>
          <w:numId w:val="8"/>
        </w:numPr>
        <w:spacing w:line="360" w:lineRule="auto"/>
        <w:ind w:firstLine="420" w:firstLineChars="200"/>
        <w:contextualSpacing/>
        <w:rPr>
          <w:rFonts w:cs="宋体"/>
          <w:color w:val="auto"/>
          <w:kern w:val="0"/>
          <w:szCs w:val="21"/>
          <w:highlight w:val="none"/>
        </w:rPr>
      </w:pPr>
      <w:r>
        <w:rPr>
          <w:rFonts w:hint="eastAsia" w:cs="宋体"/>
          <w:color w:val="auto"/>
          <w:kern w:val="0"/>
          <w:szCs w:val="21"/>
          <w:highlight w:val="none"/>
        </w:rPr>
        <w:t>我单位具有履行合同所必需的设备和专业技术能力；</w:t>
      </w:r>
    </w:p>
    <w:p w14:paraId="4E2817BF">
      <w:pPr>
        <w:numPr>
          <w:ilvl w:val="0"/>
          <w:numId w:val="8"/>
        </w:numPr>
        <w:spacing w:line="360" w:lineRule="auto"/>
        <w:ind w:firstLine="420" w:firstLineChars="200"/>
        <w:contextualSpacing/>
        <w:rPr>
          <w:rFonts w:cs="宋体"/>
          <w:color w:val="auto"/>
          <w:kern w:val="0"/>
          <w:szCs w:val="21"/>
          <w:highlight w:val="none"/>
        </w:rPr>
      </w:pPr>
      <w:r>
        <w:rPr>
          <w:rFonts w:hint="eastAsia" w:cs="宋体"/>
          <w:color w:val="auto"/>
          <w:kern w:val="0"/>
          <w:szCs w:val="21"/>
          <w:highlight w:val="none"/>
        </w:rPr>
        <w:t>我单位有依法缴纳税收和社会保障资金的良好记录；</w:t>
      </w:r>
    </w:p>
    <w:p w14:paraId="11C2F107">
      <w:pPr>
        <w:numPr>
          <w:ilvl w:val="0"/>
          <w:numId w:val="8"/>
        </w:numPr>
        <w:spacing w:line="360" w:lineRule="auto"/>
        <w:ind w:firstLine="420" w:firstLineChars="200"/>
        <w:contextualSpacing/>
        <w:rPr>
          <w:rFonts w:cs="宋体"/>
          <w:color w:val="auto"/>
          <w:kern w:val="0"/>
          <w:szCs w:val="21"/>
          <w:highlight w:val="none"/>
        </w:rPr>
      </w:pPr>
      <w:r>
        <w:rPr>
          <w:rFonts w:hint="eastAsia" w:cs="宋体"/>
          <w:color w:val="auto"/>
          <w:kern w:val="0"/>
          <w:szCs w:val="21"/>
          <w:highlight w:val="none"/>
        </w:rPr>
        <w:t>参加国企采购活动前3年内在经营活动中没有重大违法记录；</w:t>
      </w:r>
    </w:p>
    <w:p w14:paraId="5B77EC83">
      <w:pPr>
        <w:numPr>
          <w:ilvl w:val="0"/>
          <w:numId w:val="8"/>
        </w:numPr>
        <w:spacing w:line="360" w:lineRule="auto"/>
        <w:ind w:firstLine="420" w:firstLineChars="200"/>
        <w:contextualSpacing/>
        <w:rPr>
          <w:rFonts w:cs="Arial"/>
          <w:bCs/>
          <w:color w:val="auto"/>
          <w:szCs w:val="21"/>
          <w:highlight w:val="none"/>
        </w:rPr>
      </w:pPr>
      <w:r>
        <w:rPr>
          <w:rFonts w:hint="eastAsia" w:cs="宋体"/>
          <w:bCs/>
          <w:color w:val="auto"/>
          <w:szCs w:val="21"/>
          <w:highlight w:val="none"/>
        </w:rPr>
        <w:t>我单位符合以下条件：</w:t>
      </w:r>
    </w:p>
    <w:p w14:paraId="4FBBDCF5">
      <w:pPr>
        <w:adjustRightInd w:val="0"/>
        <w:spacing w:line="360" w:lineRule="auto"/>
        <w:ind w:firstLine="420" w:firstLineChars="200"/>
        <w:contextualSpacing/>
        <w:textAlignment w:val="baseline"/>
        <w:rPr>
          <w:rFonts w:cs="Arial"/>
          <w:bCs/>
          <w:color w:val="auto"/>
          <w:szCs w:val="21"/>
          <w:highlight w:val="none"/>
        </w:rPr>
      </w:pPr>
      <w:r>
        <w:rPr>
          <w:rFonts w:hint="eastAsia" w:cs="Arial"/>
          <w:bCs/>
          <w:color w:val="auto"/>
          <w:szCs w:val="21"/>
          <w:highlight w:val="none"/>
        </w:rPr>
        <w:t>1）单位负责人为同一人或者存在直接控股、管理关系的不同投标人，不得参加同一合同项下的国企采购活动。除单一来源采购项目外，为采购项目提供整体设计、规范编制或者项目管理、监理、检测等服务的投标人，不得再参加该采购项目的其他采购活动。</w:t>
      </w:r>
    </w:p>
    <w:p w14:paraId="24450621">
      <w:pPr>
        <w:adjustRightInd w:val="0"/>
        <w:spacing w:line="360" w:lineRule="auto"/>
        <w:ind w:firstLine="420" w:firstLineChars="200"/>
        <w:contextualSpacing/>
        <w:textAlignment w:val="baseline"/>
        <w:rPr>
          <w:rFonts w:cs="宋体"/>
          <w:color w:val="auto"/>
          <w:szCs w:val="21"/>
          <w:highlight w:val="none"/>
        </w:rPr>
      </w:pPr>
      <w:r>
        <w:rPr>
          <w:rFonts w:hint="eastAsia" w:cs="宋体"/>
          <w:color w:val="auto"/>
          <w:szCs w:val="21"/>
          <w:highlight w:val="none"/>
        </w:rPr>
        <w:t>2）我单位及我单位法定代表人均无行贿犯罪记录。</w:t>
      </w:r>
    </w:p>
    <w:p w14:paraId="78CF3C89">
      <w:pPr>
        <w:spacing w:line="360" w:lineRule="auto"/>
        <w:ind w:firstLine="517" w:firstLineChars="245"/>
        <w:contextualSpacing/>
        <w:rPr>
          <w:b/>
          <w:bCs/>
          <w:color w:val="auto"/>
          <w:szCs w:val="21"/>
          <w:highlight w:val="none"/>
        </w:rPr>
      </w:pPr>
      <w:r>
        <w:rPr>
          <w:rFonts w:hint="eastAsia" w:cs="宋体"/>
          <w:b/>
          <w:color w:val="auto"/>
          <w:szCs w:val="21"/>
          <w:highlight w:val="none"/>
        </w:rPr>
        <w:t>特此承诺。</w:t>
      </w:r>
    </w:p>
    <w:p w14:paraId="2A1FD5C8">
      <w:pPr>
        <w:spacing w:line="360" w:lineRule="auto"/>
        <w:contextualSpacing/>
        <w:rPr>
          <w:b/>
          <w:bCs/>
          <w:color w:val="auto"/>
          <w:szCs w:val="21"/>
          <w:highlight w:val="none"/>
        </w:rPr>
      </w:pPr>
    </w:p>
    <w:p w14:paraId="6C96F0BA">
      <w:pPr>
        <w:spacing w:line="360" w:lineRule="auto"/>
        <w:contextualSpacing/>
        <w:rPr>
          <w:color w:val="auto"/>
          <w:szCs w:val="21"/>
          <w:highlight w:val="none"/>
        </w:rPr>
      </w:pPr>
    </w:p>
    <w:p w14:paraId="61A3B9F0">
      <w:pPr>
        <w:spacing w:line="360" w:lineRule="auto"/>
        <w:contextualSpacing/>
        <w:rPr>
          <w:color w:val="auto"/>
          <w:szCs w:val="21"/>
          <w:highlight w:val="none"/>
        </w:rPr>
      </w:pPr>
    </w:p>
    <w:p w14:paraId="6081EA41">
      <w:pPr>
        <w:spacing w:line="360" w:lineRule="auto"/>
        <w:contextualSpacing/>
        <w:rPr>
          <w:color w:val="auto"/>
          <w:szCs w:val="21"/>
          <w:highlight w:val="none"/>
        </w:rPr>
      </w:pPr>
    </w:p>
    <w:p w14:paraId="1C8B3406">
      <w:pPr>
        <w:spacing w:line="360" w:lineRule="auto"/>
        <w:contextualSpacing/>
        <w:rPr>
          <w:color w:val="auto"/>
          <w:szCs w:val="21"/>
          <w:highlight w:val="none"/>
        </w:rPr>
      </w:pPr>
      <w:r>
        <w:rPr>
          <w:rFonts w:hint="eastAsia"/>
          <w:color w:val="auto"/>
          <w:szCs w:val="21"/>
          <w:highlight w:val="none"/>
        </w:rPr>
        <w:t>投标人（盖章）：</w:t>
      </w:r>
    </w:p>
    <w:p w14:paraId="5E2D0A1A">
      <w:pPr>
        <w:spacing w:line="360" w:lineRule="auto"/>
        <w:contextualSpacing/>
        <w:rPr>
          <w:color w:val="auto"/>
          <w:szCs w:val="21"/>
          <w:highlight w:val="none"/>
        </w:rPr>
      </w:pPr>
    </w:p>
    <w:p w14:paraId="26AB941A">
      <w:pPr>
        <w:spacing w:line="360" w:lineRule="auto"/>
        <w:contextualSpacing/>
        <w:rPr>
          <w:color w:val="auto"/>
          <w:szCs w:val="21"/>
          <w:highlight w:val="none"/>
        </w:rPr>
      </w:pPr>
      <w:r>
        <w:rPr>
          <w:rFonts w:hint="eastAsia"/>
          <w:color w:val="auto"/>
          <w:szCs w:val="21"/>
          <w:highlight w:val="none"/>
        </w:rPr>
        <w:t>法定代表人或授权代表人（签字或盖章）：</w:t>
      </w:r>
    </w:p>
    <w:p w14:paraId="31A81112">
      <w:pPr>
        <w:spacing w:line="360" w:lineRule="auto"/>
        <w:contextualSpacing/>
        <w:rPr>
          <w:color w:val="auto"/>
          <w:szCs w:val="21"/>
          <w:highlight w:val="none"/>
        </w:rPr>
      </w:pPr>
    </w:p>
    <w:p w14:paraId="2AEC399C">
      <w:pPr>
        <w:spacing w:after="120"/>
        <w:rPr>
          <w:rFonts w:ascii="宋体" w:hAnsi="宋体" w:cs="宋体"/>
          <w:color w:val="auto"/>
          <w:szCs w:val="21"/>
          <w:highlight w:val="none"/>
        </w:rPr>
      </w:pPr>
      <w:r>
        <w:rPr>
          <w:rFonts w:hint="eastAsia"/>
          <w:color w:val="auto"/>
          <w:szCs w:val="21"/>
          <w:highlight w:val="none"/>
        </w:rPr>
        <w:t>日期：年月日</w:t>
      </w:r>
    </w:p>
    <w:p w14:paraId="25E977C8">
      <w:pPr>
        <w:spacing w:after="120"/>
        <w:rPr>
          <w:rFonts w:ascii="宋体" w:hAnsi="宋体" w:cs="宋体"/>
          <w:color w:val="auto"/>
          <w:szCs w:val="21"/>
          <w:highlight w:val="none"/>
        </w:rPr>
      </w:pPr>
    </w:p>
    <w:p w14:paraId="365190C9">
      <w:pPr>
        <w:spacing w:after="120"/>
        <w:rPr>
          <w:rFonts w:ascii="宋体" w:hAnsi="宋体" w:cs="宋体"/>
          <w:color w:val="auto"/>
          <w:szCs w:val="21"/>
          <w:highlight w:val="none"/>
        </w:rPr>
      </w:pPr>
    </w:p>
    <w:p w14:paraId="2DC926FC">
      <w:pPr>
        <w:spacing w:after="120"/>
        <w:rPr>
          <w:rFonts w:ascii="宋体" w:hAnsi="宋体" w:cs="宋体"/>
          <w:color w:val="auto"/>
          <w:szCs w:val="21"/>
          <w:highlight w:val="none"/>
        </w:rPr>
      </w:pPr>
    </w:p>
    <w:p w14:paraId="08056DB3">
      <w:pPr>
        <w:spacing w:after="120"/>
        <w:rPr>
          <w:rFonts w:ascii="宋体" w:hAnsi="宋体" w:cs="宋体"/>
          <w:color w:val="auto"/>
          <w:szCs w:val="21"/>
          <w:highlight w:val="none"/>
        </w:rPr>
      </w:pPr>
    </w:p>
    <w:p w14:paraId="7AF9DF37">
      <w:pPr>
        <w:spacing w:after="120"/>
        <w:rPr>
          <w:rFonts w:ascii="宋体" w:hAnsi="宋体" w:cs="宋体"/>
          <w:color w:val="auto"/>
          <w:szCs w:val="21"/>
          <w:highlight w:val="none"/>
        </w:rPr>
      </w:pPr>
    </w:p>
    <w:p w14:paraId="73A407A8">
      <w:pPr>
        <w:spacing w:after="120"/>
        <w:rPr>
          <w:rFonts w:ascii="宋体" w:hAnsi="宋体" w:cs="宋体"/>
          <w:color w:val="auto"/>
          <w:szCs w:val="21"/>
          <w:highlight w:val="none"/>
        </w:rPr>
      </w:pPr>
    </w:p>
    <w:p w14:paraId="4A4EA72C">
      <w:pPr>
        <w:spacing w:after="120"/>
        <w:rPr>
          <w:rFonts w:ascii="宋体" w:hAnsi="宋体" w:cs="宋体"/>
          <w:color w:val="auto"/>
          <w:szCs w:val="21"/>
          <w:highlight w:val="none"/>
        </w:rPr>
      </w:pPr>
    </w:p>
    <w:p w14:paraId="5E5419D4">
      <w:pPr>
        <w:spacing w:after="120"/>
        <w:rPr>
          <w:rFonts w:ascii="宋体" w:hAnsi="宋体" w:cs="宋体"/>
          <w:color w:val="auto"/>
          <w:szCs w:val="21"/>
          <w:highlight w:val="none"/>
        </w:rPr>
      </w:pPr>
    </w:p>
    <w:p w14:paraId="57E497BE">
      <w:pPr>
        <w:pStyle w:val="18"/>
        <w:ind w:firstLine="0"/>
        <w:rPr>
          <w:color w:val="auto"/>
          <w:highlight w:val="none"/>
        </w:rPr>
        <w:sectPr>
          <w:headerReference r:id="rId24" w:type="default"/>
          <w:pgSz w:w="11906" w:h="16838"/>
          <w:pgMar w:top="1440" w:right="1701" w:bottom="1440" w:left="1559" w:header="426" w:footer="708" w:gutter="0"/>
          <w:pgNumType w:fmt="decimal"/>
          <w:cols w:space="720" w:num="1"/>
          <w:docGrid w:type="lines" w:linePitch="285" w:charSpace="0"/>
        </w:sectPr>
      </w:pPr>
    </w:p>
    <w:p w14:paraId="5B0E6485">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格式十  资格条件审查表</w:t>
      </w:r>
    </w:p>
    <w:p w14:paraId="74747ECC">
      <w:pPr>
        <w:adjustRightInd w:val="0"/>
        <w:spacing w:line="360" w:lineRule="auto"/>
        <w:jc w:val="center"/>
        <w:rPr>
          <w:rFonts w:cs="宋体"/>
          <w:b/>
          <w:color w:val="auto"/>
          <w:sz w:val="24"/>
          <w:highlight w:val="none"/>
        </w:rPr>
      </w:pPr>
      <w:r>
        <w:rPr>
          <w:rFonts w:hint="eastAsia" w:cs="宋体"/>
          <w:b/>
          <w:color w:val="auto"/>
          <w:sz w:val="24"/>
          <w:highlight w:val="none"/>
        </w:rPr>
        <w:t>资格条件自查表</w:t>
      </w:r>
    </w:p>
    <w:tbl>
      <w:tblPr>
        <w:tblStyle w:val="45"/>
        <w:tblW w:w="98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8"/>
        <w:gridCol w:w="5458"/>
        <w:gridCol w:w="1134"/>
        <w:gridCol w:w="2382"/>
      </w:tblGrid>
      <w:tr w14:paraId="7E62B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tblHeader/>
          <w:jc w:val="center"/>
        </w:trPr>
        <w:tc>
          <w:tcPr>
            <w:tcW w:w="838" w:type="dxa"/>
            <w:vAlign w:val="center"/>
          </w:tcPr>
          <w:p w14:paraId="7898AFFF">
            <w:pPr>
              <w:widowControl/>
              <w:adjustRightInd w:val="0"/>
              <w:spacing w:line="360" w:lineRule="exact"/>
              <w:jc w:val="center"/>
              <w:rPr>
                <w:rFonts w:cs="宋体"/>
                <w:b/>
                <w:color w:val="auto"/>
                <w:sz w:val="24"/>
                <w:highlight w:val="none"/>
              </w:rPr>
            </w:pPr>
            <w:r>
              <w:rPr>
                <w:rStyle w:val="48"/>
                <w:rFonts w:hint="eastAsia" w:cs="宋体"/>
                <w:color w:val="auto"/>
                <w:szCs w:val="21"/>
                <w:highlight w:val="none"/>
              </w:rPr>
              <w:t>评审内容</w:t>
            </w:r>
          </w:p>
        </w:tc>
        <w:tc>
          <w:tcPr>
            <w:tcW w:w="5458" w:type="dxa"/>
            <w:vAlign w:val="center"/>
          </w:tcPr>
          <w:p w14:paraId="03BCE8D1">
            <w:pPr>
              <w:widowControl/>
              <w:adjustRightInd w:val="0"/>
              <w:spacing w:line="360" w:lineRule="exact"/>
              <w:jc w:val="center"/>
              <w:rPr>
                <w:rFonts w:cs="宋体"/>
                <w:b/>
                <w:color w:val="auto"/>
                <w:sz w:val="24"/>
                <w:highlight w:val="none"/>
              </w:rPr>
            </w:pPr>
            <w:r>
              <w:rPr>
                <w:rStyle w:val="48"/>
                <w:rFonts w:hint="eastAsia" w:cs="宋体"/>
                <w:color w:val="auto"/>
                <w:szCs w:val="21"/>
                <w:highlight w:val="none"/>
              </w:rPr>
              <w:t>招标文件要求</w:t>
            </w:r>
          </w:p>
        </w:tc>
        <w:tc>
          <w:tcPr>
            <w:tcW w:w="1134" w:type="dxa"/>
            <w:vAlign w:val="center"/>
          </w:tcPr>
          <w:p w14:paraId="208661FD">
            <w:pPr>
              <w:widowControl/>
              <w:adjustRightInd w:val="0"/>
              <w:spacing w:line="360" w:lineRule="exact"/>
              <w:jc w:val="center"/>
              <w:rPr>
                <w:rFonts w:cs="宋体"/>
                <w:b/>
                <w:color w:val="auto"/>
                <w:sz w:val="24"/>
                <w:highlight w:val="none"/>
              </w:rPr>
            </w:pPr>
            <w:r>
              <w:rPr>
                <w:rStyle w:val="48"/>
                <w:rFonts w:hint="eastAsia" w:cs="宋体"/>
                <w:color w:val="auto"/>
                <w:szCs w:val="21"/>
                <w:highlight w:val="none"/>
              </w:rPr>
              <w:t>自查结论</w:t>
            </w:r>
          </w:p>
        </w:tc>
        <w:tc>
          <w:tcPr>
            <w:tcW w:w="2382" w:type="dxa"/>
            <w:vAlign w:val="center"/>
          </w:tcPr>
          <w:p w14:paraId="0ACDFB81">
            <w:pPr>
              <w:widowControl/>
              <w:adjustRightInd w:val="0"/>
              <w:spacing w:line="360" w:lineRule="exact"/>
              <w:jc w:val="center"/>
              <w:rPr>
                <w:rFonts w:cs="宋体"/>
                <w:b/>
                <w:color w:val="auto"/>
                <w:sz w:val="24"/>
                <w:highlight w:val="none"/>
              </w:rPr>
            </w:pPr>
            <w:r>
              <w:rPr>
                <w:rStyle w:val="48"/>
                <w:rFonts w:hint="eastAsia" w:cs="宋体"/>
                <w:color w:val="auto"/>
                <w:szCs w:val="21"/>
                <w:highlight w:val="none"/>
              </w:rPr>
              <w:t>证明资料页码</w:t>
            </w:r>
          </w:p>
        </w:tc>
      </w:tr>
      <w:tr w14:paraId="72CF60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restart"/>
            <w:vAlign w:val="center"/>
          </w:tcPr>
          <w:p w14:paraId="48BDEA30">
            <w:pPr>
              <w:pStyle w:val="222"/>
              <w:adjustRightInd w:val="0"/>
              <w:spacing w:before="0" w:beforeAutospacing="0" w:after="0" w:afterAutospacing="0" w:line="360" w:lineRule="exact"/>
              <w:jc w:val="center"/>
              <w:rPr>
                <w:rFonts w:ascii="Times New Roman" w:hAnsi="Times New Roman" w:cs="宋体"/>
                <w:b/>
                <w:color w:val="auto"/>
                <w:sz w:val="21"/>
                <w:szCs w:val="21"/>
                <w:highlight w:val="none"/>
              </w:rPr>
            </w:pPr>
            <w:r>
              <w:rPr>
                <w:rFonts w:hint="eastAsia" w:ascii="Times New Roman" w:hAnsi="Times New Roman" w:cs="宋体"/>
                <w:b/>
                <w:color w:val="auto"/>
                <w:sz w:val="21"/>
                <w:szCs w:val="21"/>
                <w:highlight w:val="none"/>
              </w:rPr>
              <w:t>资</w:t>
            </w:r>
          </w:p>
          <w:p w14:paraId="7D75B5AB">
            <w:pPr>
              <w:pStyle w:val="222"/>
              <w:adjustRightInd w:val="0"/>
              <w:spacing w:before="0" w:beforeAutospacing="0" w:after="0" w:afterAutospacing="0" w:line="360" w:lineRule="exact"/>
              <w:jc w:val="center"/>
              <w:rPr>
                <w:rFonts w:ascii="Times New Roman" w:hAnsi="Times New Roman" w:cs="宋体"/>
                <w:b/>
                <w:color w:val="auto"/>
                <w:sz w:val="21"/>
                <w:szCs w:val="21"/>
                <w:highlight w:val="none"/>
              </w:rPr>
            </w:pPr>
            <w:r>
              <w:rPr>
                <w:rFonts w:hint="eastAsia" w:ascii="Times New Roman" w:hAnsi="Times New Roman" w:cs="宋体"/>
                <w:b/>
                <w:color w:val="auto"/>
                <w:sz w:val="21"/>
                <w:szCs w:val="21"/>
                <w:highlight w:val="none"/>
              </w:rPr>
              <w:t>格</w:t>
            </w:r>
          </w:p>
          <w:p w14:paraId="7CAD9E71">
            <w:pPr>
              <w:pStyle w:val="222"/>
              <w:adjustRightInd w:val="0"/>
              <w:spacing w:before="0" w:beforeAutospacing="0" w:after="0" w:afterAutospacing="0" w:line="360" w:lineRule="exact"/>
              <w:jc w:val="center"/>
              <w:rPr>
                <w:rFonts w:ascii="Times New Roman" w:hAnsi="Times New Roman" w:cs="宋体"/>
                <w:b/>
                <w:color w:val="auto"/>
                <w:sz w:val="21"/>
                <w:szCs w:val="21"/>
                <w:highlight w:val="none"/>
              </w:rPr>
            </w:pPr>
            <w:r>
              <w:rPr>
                <w:rFonts w:hint="eastAsia" w:ascii="Times New Roman" w:hAnsi="Times New Roman" w:cs="宋体"/>
                <w:b/>
                <w:color w:val="auto"/>
                <w:sz w:val="21"/>
                <w:szCs w:val="21"/>
                <w:highlight w:val="none"/>
              </w:rPr>
              <w:t>性</w:t>
            </w:r>
          </w:p>
          <w:p w14:paraId="53AB77D5">
            <w:pPr>
              <w:pStyle w:val="222"/>
              <w:adjustRightInd w:val="0"/>
              <w:spacing w:before="0" w:beforeAutospacing="0" w:after="0" w:afterAutospacing="0" w:line="360" w:lineRule="exact"/>
              <w:jc w:val="center"/>
              <w:rPr>
                <w:rFonts w:ascii="Times New Roman" w:hAnsi="Times New Roman" w:cs="宋体"/>
                <w:b/>
                <w:color w:val="auto"/>
                <w:sz w:val="21"/>
                <w:szCs w:val="21"/>
                <w:highlight w:val="none"/>
              </w:rPr>
            </w:pPr>
            <w:r>
              <w:rPr>
                <w:rFonts w:hint="eastAsia" w:ascii="Times New Roman" w:hAnsi="Times New Roman" w:cs="宋体"/>
                <w:b/>
                <w:color w:val="auto"/>
                <w:sz w:val="21"/>
                <w:szCs w:val="21"/>
                <w:highlight w:val="none"/>
              </w:rPr>
              <w:t>审</w:t>
            </w:r>
          </w:p>
          <w:p w14:paraId="0E7F2A49">
            <w:pPr>
              <w:widowControl/>
              <w:adjustRightInd w:val="0"/>
              <w:spacing w:line="360" w:lineRule="exact"/>
              <w:jc w:val="center"/>
              <w:rPr>
                <w:rFonts w:cs="宋体"/>
                <w:b/>
                <w:color w:val="auto"/>
                <w:sz w:val="24"/>
                <w:highlight w:val="none"/>
              </w:rPr>
            </w:pPr>
            <w:r>
              <w:rPr>
                <w:rFonts w:hint="eastAsia" w:cs="宋体"/>
                <w:b/>
                <w:color w:val="auto"/>
                <w:szCs w:val="21"/>
                <w:highlight w:val="none"/>
              </w:rPr>
              <w:t>查</w:t>
            </w:r>
          </w:p>
        </w:tc>
        <w:tc>
          <w:tcPr>
            <w:tcW w:w="5458" w:type="dxa"/>
            <w:vAlign w:val="center"/>
          </w:tcPr>
          <w:p w14:paraId="757715E1">
            <w:pPr>
              <w:widowControl/>
              <w:adjustRightInd w:val="0"/>
              <w:spacing w:line="360" w:lineRule="exact"/>
              <w:rPr>
                <w:rFonts w:cs="宋体"/>
                <w:b/>
                <w:color w:val="auto"/>
                <w:sz w:val="24"/>
                <w:highlight w:val="none"/>
              </w:rPr>
            </w:pPr>
            <w:r>
              <w:rPr>
                <w:rFonts w:hint="eastAsia" w:cs="宋体"/>
                <w:color w:val="auto"/>
                <w:szCs w:val="21"/>
                <w:highlight w:val="none"/>
              </w:rPr>
              <w:t>一、投标人具备《</w:t>
            </w:r>
            <w:r>
              <w:rPr>
                <w:rFonts w:hint="eastAsia" w:cs="宋体"/>
                <w:color w:val="auto"/>
                <w:highlight w:val="none"/>
              </w:rPr>
              <w:t>中华人民共和国政府采购法</w:t>
            </w:r>
            <w:r>
              <w:rPr>
                <w:rFonts w:hint="eastAsia" w:cs="宋体"/>
                <w:color w:val="auto"/>
                <w:szCs w:val="21"/>
                <w:highlight w:val="none"/>
              </w:rPr>
              <w:t>》第二十二条所规定的条件：</w:t>
            </w:r>
          </w:p>
        </w:tc>
        <w:tc>
          <w:tcPr>
            <w:tcW w:w="1134" w:type="dxa"/>
            <w:vMerge w:val="restart"/>
            <w:vAlign w:val="center"/>
          </w:tcPr>
          <w:p w14:paraId="68AE895A">
            <w:pPr>
              <w:widowControl/>
              <w:adjustRightInd w:val="0"/>
              <w:spacing w:line="360" w:lineRule="exact"/>
              <w:rPr>
                <w:rFonts w:cs="宋体"/>
                <w:color w:val="auto"/>
                <w:szCs w:val="21"/>
                <w:highlight w:val="none"/>
              </w:rPr>
            </w:pPr>
            <w:r>
              <w:rPr>
                <w:rFonts w:hint="eastAsia" w:cs="宋体"/>
                <w:color w:val="auto"/>
                <w:szCs w:val="21"/>
                <w:highlight w:val="none"/>
              </w:rPr>
              <w:t>□通过</w:t>
            </w:r>
          </w:p>
          <w:p w14:paraId="446B429A">
            <w:pPr>
              <w:widowControl/>
              <w:adjustRightInd w:val="0"/>
              <w:spacing w:line="360" w:lineRule="exact"/>
              <w:rPr>
                <w:rFonts w:cs="宋体"/>
                <w:b/>
                <w:color w:val="auto"/>
                <w:sz w:val="24"/>
                <w:highlight w:val="none"/>
              </w:rPr>
            </w:pPr>
            <w:r>
              <w:rPr>
                <w:rFonts w:hint="eastAsia" w:cs="宋体"/>
                <w:color w:val="auto"/>
                <w:szCs w:val="21"/>
                <w:highlight w:val="none"/>
              </w:rPr>
              <w:t>□不通过</w:t>
            </w:r>
          </w:p>
        </w:tc>
        <w:tc>
          <w:tcPr>
            <w:tcW w:w="2382" w:type="dxa"/>
            <w:vAlign w:val="center"/>
          </w:tcPr>
          <w:p w14:paraId="03A2E425">
            <w:pPr>
              <w:widowControl/>
              <w:adjustRightInd w:val="0"/>
              <w:spacing w:line="360" w:lineRule="exact"/>
              <w:jc w:val="center"/>
              <w:rPr>
                <w:rFonts w:cs="宋体"/>
                <w:b/>
                <w:color w:val="auto"/>
                <w:sz w:val="24"/>
                <w:highlight w:val="none"/>
              </w:rPr>
            </w:pPr>
            <w:r>
              <w:rPr>
                <w:rFonts w:hint="eastAsia" w:cs="宋体"/>
                <w:color w:val="auto"/>
                <w:szCs w:val="21"/>
                <w:highlight w:val="none"/>
              </w:rPr>
              <w:t>/</w:t>
            </w:r>
          </w:p>
        </w:tc>
      </w:tr>
      <w:tr w14:paraId="001CE1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41E79A48">
            <w:pPr>
              <w:widowControl/>
              <w:adjustRightInd w:val="0"/>
              <w:spacing w:line="360" w:lineRule="exact"/>
              <w:rPr>
                <w:rFonts w:cs="宋体"/>
                <w:b/>
                <w:color w:val="auto"/>
                <w:sz w:val="24"/>
                <w:highlight w:val="none"/>
              </w:rPr>
            </w:pPr>
          </w:p>
        </w:tc>
        <w:tc>
          <w:tcPr>
            <w:tcW w:w="5458" w:type="dxa"/>
            <w:vAlign w:val="center"/>
          </w:tcPr>
          <w:p w14:paraId="08C50DAF">
            <w:pPr>
              <w:widowControl/>
              <w:adjustRightInd w:val="0"/>
              <w:spacing w:line="360" w:lineRule="exact"/>
              <w:rPr>
                <w:color w:val="auto"/>
                <w:szCs w:val="21"/>
                <w:highlight w:val="none"/>
              </w:rPr>
            </w:pPr>
            <w:r>
              <w:rPr>
                <w:rFonts w:hint="eastAsia"/>
                <w:color w:val="auto"/>
                <w:szCs w:val="21"/>
                <w:highlight w:val="none"/>
              </w:rPr>
              <w:t>1.关于资格的承诺函（格式见附件）</w:t>
            </w:r>
          </w:p>
        </w:tc>
        <w:tc>
          <w:tcPr>
            <w:tcW w:w="1134" w:type="dxa"/>
            <w:vMerge w:val="continue"/>
          </w:tcPr>
          <w:p w14:paraId="45E58D8D">
            <w:pPr>
              <w:widowControl/>
              <w:adjustRightInd w:val="0"/>
              <w:spacing w:line="360" w:lineRule="exact"/>
              <w:rPr>
                <w:rFonts w:cs="宋体"/>
                <w:b/>
                <w:color w:val="auto"/>
                <w:sz w:val="24"/>
                <w:highlight w:val="none"/>
              </w:rPr>
            </w:pPr>
          </w:p>
        </w:tc>
        <w:tc>
          <w:tcPr>
            <w:tcW w:w="2382" w:type="dxa"/>
            <w:vAlign w:val="center"/>
          </w:tcPr>
          <w:p w14:paraId="177AE369">
            <w:pPr>
              <w:widowControl/>
              <w:adjustRightInd w:val="0"/>
              <w:spacing w:line="360" w:lineRule="exact"/>
              <w:jc w:val="center"/>
              <w:rPr>
                <w:rFonts w:cs="宋体"/>
                <w:b/>
                <w:color w:val="auto"/>
                <w:sz w:val="24"/>
                <w:highlight w:val="none"/>
              </w:rPr>
            </w:pPr>
            <w:r>
              <w:rPr>
                <w:rFonts w:hint="eastAsia" w:cs="宋体"/>
                <w:color w:val="auto"/>
                <w:szCs w:val="21"/>
                <w:highlight w:val="none"/>
              </w:rPr>
              <w:t>第（）页-（）页</w:t>
            </w:r>
          </w:p>
        </w:tc>
      </w:tr>
      <w:tr w14:paraId="0FDA1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38" w:type="dxa"/>
            <w:vMerge w:val="continue"/>
          </w:tcPr>
          <w:p w14:paraId="620EE68F">
            <w:pPr>
              <w:widowControl/>
              <w:adjustRightInd w:val="0"/>
              <w:spacing w:line="360" w:lineRule="exact"/>
              <w:rPr>
                <w:rFonts w:cs="宋体"/>
                <w:b/>
                <w:color w:val="auto"/>
                <w:sz w:val="24"/>
                <w:highlight w:val="none"/>
              </w:rPr>
            </w:pPr>
          </w:p>
        </w:tc>
        <w:tc>
          <w:tcPr>
            <w:tcW w:w="5458" w:type="dxa"/>
            <w:vAlign w:val="center"/>
          </w:tcPr>
          <w:p w14:paraId="175E1E20">
            <w:pPr>
              <w:widowControl/>
              <w:adjustRightInd w:val="0"/>
              <w:spacing w:line="360" w:lineRule="exact"/>
              <w:rPr>
                <w:rFonts w:cs="宋体"/>
                <w:color w:val="auto"/>
                <w:highlight w:val="none"/>
              </w:rPr>
            </w:pPr>
            <w:r>
              <w:rPr>
                <w:rFonts w:hint="eastAsia" w:cs="宋体"/>
                <w:bCs/>
                <w:color w:val="auto"/>
                <w:szCs w:val="28"/>
                <w:highlight w:val="none"/>
              </w:rPr>
              <w:t>2.有效的企业法人营业执照（或事业法人登记证）、其他组织（个体工商户）的营业执照或者民办非企业单位登记证书复印件</w:t>
            </w:r>
            <w:r>
              <w:rPr>
                <w:rFonts w:hint="eastAsia" w:cs="宋体"/>
                <w:color w:val="auto"/>
                <w:highlight w:val="none"/>
              </w:rPr>
              <w:t>。</w:t>
            </w:r>
          </w:p>
          <w:p w14:paraId="05E2FD7E">
            <w:pPr>
              <w:adjustRightInd w:val="0"/>
              <w:spacing w:line="360" w:lineRule="exact"/>
              <w:rPr>
                <w:rFonts w:cs="宋体"/>
                <w:bCs/>
                <w:color w:val="auto"/>
                <w:szCs w:val="28"/>
                <w:highlight w:val="none"/>
              </w:rPr>
            </w:pPr>
            <w:r>
              <w:rPr>
                <w:rFonts w:hint="eastAsia" w:cs="宋体"/>
                <w:color w:val="auto"/>
                <w:highlight w:val="none"/>
              </w:rPr>
              <w:t>（投标人如果有名称变更的，应提供由行政主管部门出具的变更证明文件。）</w:t>
            </w:r>
          </w:p>
        </w:tc>
        <w:tc>
          <w:tcPr>
            <w:tcW w:w="1134" w:type="dxa"/>
            <w:vMerge w:val="continue"/>
          </w:tcPr>
          <w:p w14:paraId="2F3A90A7">
            <w:pPr>
              <w:widowControl/>
              <w:adjustRightInd w:val="0"/>
              <w:spacing w:line="360" w:lineRule="exact"/>
              <w:rPr>
                <w:rFonts w:cs="宋体"/>
                <w:b/>
                <w:color w:val="auto"/>
                <w:sz w:val="24"/>
                <w:highlight w:val="none"/>
              </w:rPr>
            </w:pPr>
          </w:p>
        </w:tc>
        <w:tc>
          <w:tcPr>
            <w:tcW w:w="2382" w:type="dxa"/>
            <w:vAlign w:val="center"/>
          </w:tcPr>
          <w:p w14:paraId="22D51B4B">
            <w:pPr>
              <w:adjustRightInd w:val="0"/>
              <w:spacing w:line="360" w:lineRule="exact"/>
              <w:jc w:val="center"/>
              <w:rPr>
                <w:rFonts w:cs="宋体"/>
                <w:color w:val="auto"/>
                <w:szCs w:val="21"/>
                <w:highlight w:val="none"/>
              </w:rPr>
            </w:pPr>
            <w:r>
              <w:rPr>
                <w:rFonts w:hint="eastAsia" w:cs="宋体"/>
                <w:color w:val="auto"/>
                <w:szCs w:val="21"/>
                <w:highlight w:val="none"/>
              </w:rPr>
              <w:t>第（）页-（）页</w:t>
            </w:r>
          </w:p>
        </w:tc>
      </w:tr>
      <w:tr w14:paraId="223B2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03DE1E8E">
            <w:pPr>
              <w:widowControl/>
              <w:adjustRightInd w:val="0"/>
              <w:spacing w:line="360" w:lineRule="exact"/>
              <w:rPr>
                <w:rFonts w:cs="宋体"/>
                <w:bCs/>
                <w:color w:val="auto"/>
                <w:szCs w:val="28"/>
                <w:highlight w:val="none"/>
              </w:rPr>
            </w:pPr>
          </w:p>
        </w:tc>
        <w:tc>
          <w:tcPr>
            <w:tcW w:w="5458" w:type="dxa"/>
            <w:vAlign w:val="center"/>
          </w:tcPr>
          <w:p w14:paraId="010EB87C">
            <w:pPr>
              <w:widowControl/>
              <w:adjustRightInd w:val="0"/>
              <w:spacing w:line="360" w:lineRule="exact"/>
              <w:rPr>
                <w:rFonts w:cs="宋体"/>
                <w:bCs/>
                <w:color w:val="auto"/>
                <w:szCs w:val="28"/>
                <w:highlight w:val="none"/>
              </w:rPr>
            </w:pPr>
            <w:r>
              <w:rPr>
                <w:rFonts w:hint="eastAsia" w:cs="宋体"/>
                <w:bCs/>
                <w:color w:val="auto"/>
                <w:szCs w:val="28"/>
                <w:highlight w:val="none"/>
              </w:rPr>
              <w:t>二、</w:t>
            </w:r>
            <w:r>
              <w:rPr>
                <w:rFonts w:hint="eastAsia" w:cs="宋体"/>
                <w:color w:val="auto"/>
                <w:highlight w:val="none"/>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134" w:type="dxa"/>
            <w:vAlign w:val="center"/>
          </w:tcPr>
          <w:p w14:paraId="206F2A45">
            <w:pPr>
              <w:widowControl/>
              <w:adjustRightInd w:val="0"/>
              <w:spacing w:line="360" w:lineRule="exact"/>
              <w:rPr>
                <w:rFonts w:cs="宋体"/>
                <w:color w:val="auto"/>
                <w:szCs w:val="21"/>
                <w:highlight w:val="none"/>
              </w:rPr>
            </w:pPr>
            <w:r>
              <w:rPr>
                <w:rFonts w:hint="eastAsia" w:cs="宋体"/>
                <w:color w:val="auto"/>
                <w:szCs w:val="21"/>
                <w:highlight w:val="none"/>
              </w:rPr>
              <w:t>□通过</w:t>
            </w:r>
          </w:p>
          <w:p w14:paraId="2799C5D8">
            <w:pPr>
              <w:widowControl/>
              <w:adjustRightInd w:val="0"/>
              <w:spacing w:line="360" w:lineRule="exact"/>
              <w:rPr>
                <w:rFonts w:cs="宋体"/>
                <w:bCs/>
                <w:color w:val="auto"/>
                <w:szCs w:val="28"/>
                <w:highlight w:val="none"/>
              </w:rPr>
            </w:pPr>
            <w:r>
              <w:rPr>
                <w:rFonts w:hint="eastAsia" w:cs="宋体"/>
                <w:color w:val="auto"/>
                <w:szCs w:val="21"/>
                <w:highlight w:val="none"/>
              </w:rPr>
              <w:t>□不通过</w:t>
            </w:r>
          </w:p>
        </w:tc>
        <w:tc>
          <w:tcPr>
            <w:tcW w:w="2382" w:type="dxa"/>
            <w:vAlign w:val="center"/>
          </w:tcPr>
          <w:p w14:paraId="7B1942EA">
            <w:pPr>
              <w:widowControl/>
              <w:adjustRightInd w:val="0"/>
              <w:spacing w:line="360" w:lineRule="exact"/>
              <w:jc w:val="center"/>
              <w:rPr>
                <w:rFonts w:cs="宋体"/>
                <w:bCs/>
                <w:color w:val="auto"/>
                <w:szCs w:val="28"/>
                <w:highlight w:val="none"/>
                <w:u w:val="single"/>
              </w:rPr>
            </w:pPr>
            <w:r>
              <w:rPr>
                <w:rFonts w:hint="eastAsia" w:cs="宋体"/>
                <w:bCs/>
                <w:color w:val="auto"/>
                <w:szCs w:val="28"/>
                <w:highlight w:val="none"/>
              </w:rPr>
              <w:t>信用记录</w:t>
            </w:r>
            <w:r>
              <w:rPr>
                <w:rFonts w:hint="eastAsia" w:cs="宋体"/>
                <w:bCs/>
                <w:color w:val="auto"/>
                <w:szCs w:val="28"/>
                <w:highlight w:val="none"/>
                <w:u w:val="single"/>
              </w:rPr>
              <w:t>是/否</w:t>
            </w:r>
            <w:r>
              <w:rPr>
                <w:rFonts w:hint="eastAsia" w:cs="宋体"/>
                <w:bCs/>
                <w:color w:val="auto"/>
                <w:szCs w:val="28"/>
                <w:highlight w:val="none"/>
              </w:rPr>
              <w:t>已失效，如失效，证明材料详见</w:t>
            </w:r>
            <w:r>
              <w:rPr>
                <w:rFonts w:hint="eastAsia" w:cs="宋体"/>
                <w:color w:val="auto"/>
                <w:szCs w:val="21"/>
                <w:highlight w:val="none"/>
              </w:rPr>
              <w:t>第（）页-（）页</w:t>
            </w:r>
          </w:p>
        </w:tc>
      </w:tr>
      <w:tr w14:paraId="25100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59999F2A">
            <w:pPr>
              <w:widowControl/>
              <w:adjustRightInd w:val="0"/>
              <w:spacing w:line="360" w:lineRule="exact"/>
              <w:rPr>
                <w:rFonts w:cs="宋体"/>
                <w:bCs/>
                <w:color w:val="auto"/>
                <w:szCs w:val="28"/>
                <w:highlight w:val="none"/>
              </w:rPr>
            </w:pPr>
          </w:p>
        </w:tc>
        <w:tc>
          <w:tcPr>
            <w:tcW w:w="5458" w:type="dxa"/>
            <w:vAlign w:val="center"/>
          </w:tcPr>
          <w:p w14:paraId="74340CDF">
            <w:pPr>
              <w:widowControl/>
              <w:adjustRightInd w:val="0"/>
              <w:spacing w:line="360" w:lineRule="exact"/>
              <w:rPr>
                <w:rFonts w:cs="宋体"/>
                <w:bCs/>
                <w:color w:val="auto"/>
                <w:szCs w:val="28"/>
                <w:highlight w:val="none"/>
              </w:rPr>
            </w:pPr>
            <w:r>
              <w:rPr>
                <w:rFonts w:hint="eastAsia" w:cs="宋体"/>
                <w:bCs/>
                <w:color w:val="auto"/>
                <w:szCs w:val="28"/>
                <w:highlight w:val="none"/>
              </w:rPr>
              <w:t>三、</w:t>
            </w:r>
            <w:r>
              <w:rPr>
                <w:rFonts w:hint="eastAsia" w:cs="宋体"/>
                <w:color w:val="auto"/>
                <w:highlight w:val="none"/>
              </w:rPr>
              <w:t>单位负责人为同一人或者存在直接控股、管理关系的不同投标人，不得参加同一合同项下的政府采购活动。除单一来源采购项目外，为采购项目提供规范编制或者项目管理、监理、检测等服务的投标人，不得再参加本项目投标（提供《</w:t>
            </w:r>
            <w:r>
              <w:rPr>
                <w:rFonts w:hint="eastAsia"/>
                <w:color w:val="auto"/>
                <w:szCs w:val="21"/>
                <w:highlight w:val="none"/>
              </w:rPr>
              <w:t>关于资格的承诺函</w:t>
            </w:r>
            <w:r>
              <w:rPr>
                <w:rFonts w:hint="eastAsia" w:cs="宋体"/>
                <w:color w:val="auto"/>
                <w:highlight w:val="none"/>
              </w:rPr>
              <w:t>》）。</w:t>
            </w:r>
          </w:p>
        </w:tc>
        <w:tc>
          <w:tcPr>
            <w:tcW w:w="1134" w:type="dxa"/>
            <w:vAlign w:val="center"/>
          </w:tcPr>
          <w:p w14:paraId="046C0F1A">
            <w:pPr>
              <w:widowControl/>
              <w:adjustRightInd w:val="0"/>
              <w:spacing w:line="360" w:lineRule="exact"/>
              <w:rPr>
                <w:rFonts w:cs="宋体"/>
                <w:color w:val="auto"/>
                <w:szCs w:val="21"/>
                <w:highlight w:val="none"/>
              </w:rPr>
            </w:pPr>
            <w:r>
              <w:rPr>
                <w:rFonts w:hint="eastAsia" w:cs="宋体"/>
                <w:color w:val="auto"/>
                <w:szCs w:val="21"/>
                <w:highlight w:val="none"/>
              </w:rPr>
              <w:t>□通过</w:t>
            </w:r>
          </w:p>
          <w:p w14:paraId="6283F516">
            <w:pPr>
              <w:widowControl/>
              <w:adjustRightInd w:val="0"/>
              <w:spacing w:line="360" w:lineRule="exact"/>
              <w:rPr>
                <w:rFonts w:cs="宋体"/>
                <w:bCs/>
                <w:color w:val="auto"/>
                <w:szCs w:val="28"/>
                <w:highlight w:val="none"/>
              </w:rPr>
            </w:pPr>
            <w:r>
              <w:rPr>
                <w:rFonts w:hint="eastAsia" w:cs="宋体"/>
                <w:color w:val="auto"/>
                <w:szCs w:val="21"/>
                <w:highlight w:val="none"/>
              </w:rPr>
              <w:t>□不通过</w:t>
            </w:r>
          </w:p>
        </w:tc>
        <w:tc>
          <w:tcPr>
            <w:tcW w:w="2382" w:type="dxa"/>
            <w:vAlign w:val="center"/>
          </w:tcPr>
          <w:p w14:paraId="6BF6A6D8">
            <w:pPr>
              <w:widowControl/>
              <w:adjustRightInd w:val="0"/>
              <w:spacing w:line="360" w:lineRule="exact"/>
              <w:jc w:val="center"/>
              <w:rPr>
                <w:rFonts w:cs="宋体"/>
                <w:bCs/>
                <w:color w:val="auto"/>
                <w:szCs w:val="28"/>
                <w:highlight w:val="none"/>
              </w:rPr>
            </w:pPr>
            <w:r>
              <w:rPr>
                <w:rFonts w:hint="eastAsia" w:cs="宋体"/>
                <w:color w:val="auto"/>
                <w:szCs w:val="21"/>
                <w:highlight w:val="none"/>
              </w:rPr>
              <w:t>第（）页-（）页</w:t>
            </w:r>
          </w:p>
        </w:tc>
      </w:tr>
      <w:tr w14:paraId="40277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04E91DF8">
            <w:pPr>
              <w:widowControl/>
              <w:adjustRightInd w:val="0"/>
              <w:spacing w:line="360" w:lineRule="exact"/>
              <w:rPr>
                <w:rFonts w:cs="宋体"/>
                <w:bCs/>
                <w:color w:val="auto"/>
                <w:szCs w:val="28"/>
                <w:highlight w:val="none"/>
              </w:rPr>
            </w:pPr>
          </w:p>
        </w:tc>
        <w:tc>
          <w:tcPr>
            <w:tcW w:w="5458" w:type="dxa"/>
            <w:vAlign w:val="center"/>
          </w:tcPr>
          <w:p w14:paraId="369E52B7">
            <w:pPr>
              <w:widowControl/>
              <w:adjustRightInd w:val="0"/>
              <w:spacing w:line="360" w:lineRule="exact"/>
              <w:rPr>
                <w:rFonts w:cs="宋体"/>
                <w:color w:val="auto"/>
                <w:szCs w:val="21"/>
                <w:highlight w:val="none"/>
              </w:rPr>
            </w:pPr>
            <w:r>
              <w:rPr>
                <w:rFonts w:hint="eastAsia" w:cs="宋体"/>
                <w:bCs/>
                <w:color w:val="auto"/>
                <w:szCs w:val="28"/>
                <w:highlight w:val="none"/>
              </w:rPr>
              <w:t>四、</w:t>
            </w:r>
            <w:r>
              <w:rPr>
                <w:rFonts w:hint="eastAsia" w:cs="宋体"/>
                <w:color w:val="auto"/>
                <w:szCs w:val="21"/>
                <w:highlight w:val="none"/>
              </w:rPr>
              <w:t>本项目不接受联合体投标。</w:t>
            </w:r>
          </w:p>
        </w:tc>
        <w:tc>
          <w:tcPr>
            <w:tcW w:w="1134" w:type="dxa"/>
            <w:vAlign w:val="center"/>
          </w:tcPr>
          <w:p w14:paraId="7BEDFA9A">
            <w:pPr>
              <w:widowControl/>
              <w:adjustRightInd w:val="0"/>
              <w:spacing w:line="360" w:lineRule="exact"/>
              <w:rPr>
                <w:rFonts w:cs="宋体"/>
                <w:color w:val="auto"/>
                <w:szCs w:val="21"/>
                <w:highlight w:val="none"/>
              </w:rPr>
            </w:pPr>
            <w:r>
              <w:rPr>
                <w:rFonts w:hint="eastAsia" w:cs="宋体"/>
                <w:color w:val="auto"/>
                <w:szCs w:val="21"/>
                <w:highlight w:val="none"/>
              </w:rPr>
              <w:t>□通过</w:t>
            </w:r>
          </w:p>
          <w:p w14:paraId="178B9479">
            <w:pPr>
              <w:widowControl/>
              <w:adjustRightInd w:val="0"/>
              <w:spacing w:line="360" w:lineRule="exact"/>
              <w:rPr>
                <w:rFonts w:cs="宋体"/>
                <w:bCs/>
                <w:color w:val="auto"/>
                <w:szCs w:val="28"/>
                <w:highlight w:val="none"/>
              </w:rPr>
            </w:pPr>
            <w:r>
              <w:rPr>
                <w:rFonts w:hint="eastAsia" w:cs="宋体"/>
                <w:color w:val="auto"/>
                <w:szCs w:val="21"/>
                <w:highlight w:val="none"/>
              </w:rPr>
              <w:t>□不通过</w:t>
            </w:r>
          </w:p>
        </w:tc>
        <w:tc>
          <w:tcPr>
            <w:tcW w:w="2382" w:type="dxa"/>
            <w:vAlign w:val="center"/>
          </w:tcPr>
          <w:p w14:paraId="2F400A33">
            <w:pPr>
              <w:widowControl/>
              <w:adjustRightInd w:val="0"/>
              <w:spacing w:line="360" w:lineRule="exact"/>
              <w:jc w:val="center"/>
              <w:rPr>
                <w:rFonts w:cs="宋体"/>
                <w:bCs/>
                <w:color w:val="auto"/>
                <w:szCs w:val="28"/>
                <w:highlight w:val="none"/>
              </w:rPr>
            </w:pPr>
            <w:r>
              <w:rPr>
                <w:rFonts w:hint="eastAsia" w:cs="宋体"/>
                <w:color w:val="auto"/>
                <w:szCs w:val="21"/>
                <w:highlight w:val="none"/>
              </w:rPr>
              <w:t>第（）页-（）页</w:t>
            </w:r>
          </w:p>
        </w:tc>
      </w:tr>
      <w:tr w14:paraId="40D86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4BAC3BA6">
            <w:pPr>
              <w:widowControl/>
              <w:adjustRightInd w:val="0"/>
              <w:spacing w:line="360" w:lineRule="exact"/>
              <w:rPr>
                <w:rFonts w:cs="宋体"/>
                <w:bCs/>
                <w:color w:val="auto"/>
                <w:szCs w:val="28"/>
                <w:highlight w:val="none"/>
              </w:rPr>
            </w:pPr>
          </w:p>
        </w:tc>
        <w:tc>
          <w:tcPr>
            <w:tcW w:w="5458" w:type="dxa"/>
            <w:vAlign w:val="center"/>
          </w:tcPr>
          <w:p w14:paraId="03D1787C">
            <w:pPr>
              <w:widowControl/>
              <w:adjustRightInd w:val="0"/>
              <w:spacing w:line="360" w:lineRule="exact"/>
              <w:rPr>
                <w:rFonts w:cs="宋体"/>
                <w:bCs/>
                <w:color w:val="auto"/>
                <w:szCs w:val="28"/>
                <w:highlight w:val="none"/>
              </w:rPr>
            </w:pPr>
            <w:r>
              <w:rPr>
                <w:rFonts w:hint="eastAsia" w:cs="宋体"/>
                <w:bCs/>
                <w:color w:val="auto"/>
                <w:szCs w:val="28"/>
                <w:highlight w:val="none"/>
              </w:rPr>
              <w:t>五、</w:t>
            </w:r>
            <w:r>
              <w:rPr>
                <w:rFonts w:hint="eastAsia" w:ascii="宋体" w:hAnsi="宋体" w:cs="Arial"/>
                <w:color w:val="auto"/>
                <w:kern w:val="0"/>
                <w:szCs w:val="21"/>
                <w:highlight w:val="none"/>
              </w:rPr>
              <w:t>本项目的特定资格要求：必须是具有独立法人资格的投标货物的制造商或代理商，如为代理商的提供制造商针对本项目的唯一授权函；</w:t>
            </w:r>
          </w:p>
        </w:tc>
        <w:tc>
          <w:tcPr>
            <w:tcW w:w="1134" w:type="dxa"/>
            <w:vAlign w:val="center"/>
          </w:tcPr>
          <w:p w14:paraId="7C840623">
            <w:pPr>
              <w:widowControl/>
              <w:adjustRightInd w:val="0"/>
              <w:spacing w:line="360" w:lineRule="exact"/>
              <w:rPr>
                <w:rFonts w:cs="宋体"/>
                <w:color w:val="auto"/>
                <w:szCs w:val="21"/>
                <w:highlight w:val="none"/>
              </w:rPr>
            </w:pPr>
            <w:r>
              <w:rPr>
                <w:rFonts w:hint="eastAsia" w:cs="宋体"/>
                <w:color w:val="auto"/>
                <w:szCs w:val="21"/>
                <w:highlight w:val="none"/>
              </w:rPr>
              <w:t>□通过</w:t>
            </w:r>
          </w:p>
          <w:p w14:paraId="44AFE6C6">
            <w:pPr>
              <w:widowControl/>
              <w:adjustRightInd w:val="0"/>
              <w:spacing w:line="360" w:lineRule="exact"/>
              <w:rPr>
                <w:rFonts w:cs="宋体"/>
                <w:bCs/>
                <w:color w:val="auto"/>
                <w:szCs w:val="28"/>
                <w:highlight w:val="none"/>
              </w:rPr>
            </w:pPr>
            <w:r>
              <w:rPr>
                <w:rFonts w:hint="eastAsia" w:cs="宋体"/>
                <w:color w:val="auto"/>
                <w:szCs w:val="21"/>
                <w:highlight w:val="none"/>
              </w:rPr>
              <w:t>□不通过</w:t>
            </w:r>
          </w:p>
        </w:tc>
        <w:tc>
          <w:tcPr>
            <w:tcW w:w="2382" w:type="dxa"/>
            <w:vAlign w:val="center"/>
          </w:tcPr>
          <w:p w14:paraId="5F40C489">
            <w:pPr>
              <w:widowControl/>
              <w:adjustRightInd w:val="0"/>
              <w:spacing w:line="360" w:lineRule="exact"/>
              <w:jc w:val="center"/>
              <w:rPr>
                <w:rFonts w:cs="宋体"/>
                <w:bCs/>
                <w:color w:val="auto"/>
                <w:szCs w:val="28"/>
                <w:highlight w:val="none"/>
              </w:rPr>
            </w:pPr>
            <w:r>
              <w:rPr>
                <w:rFonts w:hint="eastAsia" w:cs="宋体"/>
                <w:color w:val="auto"/>
                <w:szCs w:val="21"/>
                <w:highlight w:val="none"/>
              </w:rPr>
              <w:t>第（）页-（）页</w:t>
            </w:r>
          </w:p>
        </w:tc>
      </w:tr>
    </w:tbl>
    <w:p w14:paraId="34FBCC85">
      <w:pPr>
        <w:pStyle w:val="18"/>
        <w:tabs>
          <w:tab w:val="left" w:pos="4841"/>
        </w:tabs>
        <w:rPr>
          <w:rFonts w:ascii="宋体" w:hAnsi="宋体" w:eastAsia="宋体" w:cs="宋体"/>
          <w:bCs/>
          <w:color w:val="auto"/>
          <w:sz w:val="21"/>
          <w:szCs w:val="21"/>
          <w:highlight w:val="none"/>
        </w:rPr>
      </w:pPr>
    </w:p>
    <w:p w14:paraId="52664349">
      <w:pPr>
        <w:pStyle w:val="18"/>
        <w:ind w:firstLine="0"/>
        <w:rPr>
          <w:color w:val="auto"/>
          <w:highlight w:val="none"/>
        </w:rPr>
      </w:pPr>
    </w:p>
    <w:sectPr>
      <w:pgSz w:w="11906" w:h="16838"/>
      <w:pgMar w:top="1440" w:right="1701" w:bottom="1440" w:left="1559" w:header="426" w:footer="708" w:gutter="0"/>
      <w:pgNumType w:fmt="decimal"/>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Courier New"/>
    <w:panose1 w:val="020B05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微软雅黑 Light">
    <w:panose1 w:val="020B0502040204020203"/>
    <w:charset w:val="86"/>
    <w:family w:val="swiss"/>
    <w:pitch w:val="default"/>
    <w:sig w:usb0="80000287" w:usb1="2ACF001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Helvetica Neue">
    <w:altName w:val="Sylfaen"/>
    <w:panose1 w:val="00000000000000000000"/>
    <w:charset w:val="00"/>
    <w:family w:val="auto"/>
    <w:pitch w:val="default"/>
    <w:sig w:usb0="00000000" w:usb1="00000000" w:usb2="00000010" w:usb3="00000000" w:csb0="00000001" w:csb1="00000000"/>
  </w:font>
  <w:font w:name="方正小标宋简体">
    <w:altName w:val="方正舒体"/>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28F92">
    <w:pPr>
      <w:pStyle w:val="28"/>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F1651">
    <w:pPr>
      <w:spacing w:line="219" w:lineRule="auto"/>
      <w:ind w:left="3932"/>
      <w:rPr>
        <w:rFonts w:ascii="宋体" w:hAnsi="宋体" w:eastAsia="宋体" w:cs="宋体"/>
        <w:sz w:val="20"/>
        <w:szCs w:val="20"/>
      </w:rPr>
    </w:pPr>
    <w:r>
      <w:rPr>
        <w:sz w:val="20"/>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2B48E2E3">
                <w:pPr>
                  <w:pStyle w:val="28"/>
                </w:pPr>
                <w:r>
                  <w:fldChar w:fldCharType="begin"/>
                </w:r>
                <w:r>
                  <w:instrText xml:space="preserve"> PAGE  \* MERGEFORMAT </w:instrText>
                </w:r>
                <w:r>
                  <w:fldChar w:fldCharType="separate"/>
                </w:r>
                <w:r>
                  <w:t>40</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9233B">
    <w:pPr>
      <w:spacing w:line="219" w:lineRule="auto"/>
      <w:ind w:left="3932"/>
      <w:rPr>
        <w:rFonts w:ascii="宋体" w:hAnsi="宋体" w:eastAsia="宋体" w:cs="宋体"/>
        <w:sz w:val="20"/>
        <w:szCs w:val="20"/>
      </w:rPr>
    </w:pPr>
    <w:r>
      <w:rPr>
        <w:sz w:val="20"/>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2440D37D">
                <w:pPr>
                  <w:pStyle w:val="28"/>
                </w:pPr>
                <w:r>
                  <w:fldChar w:fldCharType="begin"/>
                </w:r>
                <w:r>
                  <w:instrText xml:space="preserve"> PAGE  \* MERGEFORMAT </w:instrText>
                </w:r>
                <w:r>
                  <w:fldChar w:fldCharType="separate"/>
                </w:r>
                <w:r>
                  <w:t>41</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32B5D">
    <w:pPr>
      <w:spacing w:line="219" w:lineRule="auto"/>
      <w:ind w:left="3932"/>
      <w:rPr>
        <w:rFonts w:ascii="宋体" w:hAnsi="宋体" w:eastAsia="宋体" w:cs="宋体"/>
        <w:sz w:val="20"/>
        <w:szCs w:val="20"/>
      </w:rPr>
    </w:pPr>
    <w:r>
      <w:rPr>
        <w:sz w:val="20"/>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73922903">
                <w:pPr>
                  <w:pStyle w:val="28"/>
                </w:pPr>
                <w:r>
                  <w:fldChar w:fldCharType="begin"/>
                </w:r>
                <w:r>
                  <w:instrText xml:space="preserve"> PAGE  \* MERGEFORMAT </w:instrText>
                </w:r>
                <w:r>
                  <w:fldChar w:fldCharType="separate"/>
                </w:r>
                <w:r>
                  <w:t>52</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1A374">
    <w:pPr>
      <w:spacing w:line="219" w:lineRule="auto"/>
      <w:ind w:left="3932"/>
      <w:rPr>
        <w:rFonts w:ascii="宋体" w:hAnsi="宋体" w:eastAsia="宋体" w:cs="宋体"/>
        <w:sz w:val="20"/>
        <w:szCs w:val="20"/>
      </w:rPr>
    </w:pPr>
    <w:r>
      <w:rPr>
        <w:sz w:val="20"/>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58312AC3">
                <w:pPr>
                  <w:pStyle w:val="28"/>
                </w:pPr>
                <w:r>
                  <w:fldChar w:fldCharType="begin"/>
                </w:r>
                <w:r>
                  <w:instrText xml:space="preserve"> PAGE  \* MERGEFORMAT </w:instrText>
                </w:r>
                <w:r>
                  <w:fldChar w:fldCharType="separate"/>
                </w:r>
                <w:r>
                  <w:t>53</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8A6E8">
    <w:pPr>
      <w:spacing w:line="219" w:lineRule="auto"/>
      <w:ind w:left="3932"/>
      <w:rPr>
        <w:rFonts w:ascii="宋体" w:hAnsi="宋体" w:eastAsia="宋体" w:cs="宋体"/>
        <w:sz w:val="20"/>
        <w:szCs w:val="20"/>
      </w:rPr>
    </w:pPr>
    <w:r>
      <w:rPr>
        <w:sz w:val="20"/>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664CB9A5">
                <w:pPr>
                  <w:pStyle w:val="28"/>
                </w:pPr>
                <w:r>
                  <w:fldChar w:fldCharType="begin"/>
                </w:r>
                <w:r>
                  <w:instrText xml:space="preserve"> PAGE  \* MERGEFORMAT </w:instrText>
                </w:r>
                <w:r>
                  <w:fldChar w:fldCharType="separate"/>
                </w:r>
                <w:r>
                  <w:t>55</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8547C">
    <w:pPr>
      <w:spacing w:line="219" w:lineRule="auto"/>
      <w:ind w:left="3932"/>
      <w:rPr>
        <w:rFonts w:ascii="宋体" w:hAnsi="宋体" w:eastAsia="宋体" w:cs="宋体"/>
        <w:sz w:val="20"/>
        <w:szCs w:val="20"/>
      </w:rPr>
    </w:pPr>
    <w:r>
      <w:rPr>
        <w:sz w:val="20"/>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2D7DB9C3">
                <w:pPr>
                  <w:pStyle w:val="28"/>
                </w:pPr>
                <w:r>
                  <w:fldChar w:fldCharType="begin"/>
                </w:r>
                <w:r>
                  <w:instrText xml:space="preserve"> PAGE  \* MERGEFORMAT </w:instrText>
                </w:r>
                <w:r>
                  <w:fldChar w:fldCharType="separate"/>
                </w:r>
                <w:r>
                  <w:t>60</w:t>
                </w:r>
                <w:r>
                  <w:fldChar w:fldCharType="end"/>
                </w:r>
              </w:p>
            </w:txbxContent>
          </v:textbox>
        </v:shape>
      </w:pict>
    </w:r>
    <w:r>
      <w:rPr>
        <w:rFonts w:ascii="宋体" w:hAnsi="宋体" w:eastAsia="宋体" w:cs="宋体"/>
        <w:spacing w:val="2"/>
        <w:sz w:val="20"/>
        <w:szCs w:val="20"/>
      </w:rPr>
      <w:t>第</w:t>
    </w:r>
    <w:r>
      <w:rPr>
        <w:rFonts w:ascii="宋体" w:hAnsi="宋体" w:eastAsia="宋体" w:cs="宋体"/>
        <w:spacing w:val="-36"/>
        <w:sz w:val="20"/>
        <w:szCs w:val="20"/>
      </w:rPr>
      <w:t xml:space="preserve"> </w:t>
    </w:r>
    <w:r>
      <w:rPr>
        <w:rFonts w:ascii="宋体" w:hAnsi="宋体" w:eastAsia="宋体" w:cs="宋体"/>
        <w:spacing w:val="2"/>
        <w:sz w:val="20"/>
        <w:szCs w:val="20"/>
      </w:rPr>
      <w:t>33页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0BBF2">
    <w:pPr>
      <w:spacing w:line="219" w:lineRule="auto"/>
      <w:ind w:left="3932"/>
      <w:rPr>
        <w:rFonts w:ascii="宋体" w:hAnsi="宋体" w:eastAsia="宋体" w:cs="宋体"/>
        <w:sz w:val="20"/>
        <w:szCs w:val="20"/>
      </w:rPr>
    </w:pPr>
    <w:r>
      <w:rPr>
        <w:sz w:val="20"/>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20A69512">
                <w:pPr>
                  <w:pStyle w:val="28"/>
                </w:pPr>
                <w:r>
                  <w:fldChar w:fldCharType="begin"/>
                </w:r>
                <w:r>
                  <w:instrText xml:space="preserve"> PAGE  \* MERGEFORMAT </w:instrText>
                </w:r>
                <w:r>
                  <w:fldChar w:fldCharType="separate"/>
                </w:r>
                <w:r>
                  <w:t>61</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926D1">
    <w:pPr>
      <w:spacing w:line="219" w:lineRule="auto"/>
      <w:ind w:left="3932"/>
      <w:rPr>
        <w:rFonts w:ascii="宋体" w:hAnsi="宋体" w:eastAsia="宋体" w:cs="宋体"/>
        <w:sz w:val="20"/>
        <w:szCs w:val="20"/>
      </w:rPr>
    </w:pPr>
    <w:r>
      <w:rPr>
        <w:sz w:val="20"/>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076C0122">
                <w:pPr>
                  <w:pStyle w:val="28"/>
                </w:pPr>
                <w:r>
                  <w:fldChar w:fldCharType="begin"/>
                </w:r>
                <w:r>
                  <w:instrText xml:space="preserve"> PAGE  \* MERGEFORMAT </w:instrText>
                </w:r>
                <w:r>
                  <w:fldChar w:fldCharType="separate"/>
                </w:r>
                <w:r>
                  <w:t>73</w:t>
                </w:r>
                <w:r>
                  <w:fldChar w:fldCharType="end"/>
                </w:r>
              </w:p>
            </w:txbxContent>
          </v:textbox>
        </v:shape>
      </w:pict>
    </w:r>
    <w:r>
      <w:rPr>
        <w:rFonts w:ascii="宋体" w:hAnsi="宋体" w:eastAsia="宋体" w:cs="宋体"/>
        <w:spacing w:val="2"/>
        <w:sz w:val="20"/>
        <w:szCs w:val="20"/>
      </w:rPr>
      <w:t>第</w:t>
    </w:r>
    <w:r>
      <w:rPr>
        <w:rFonts w:ascii="宋体" w:hAnsi="宋体" w:eastAsia="宋体" w:cs="宋体"/>
        <w:spacing w:val="-36"/>
        <w:sz w:val="20"/>
        <w:szCs w:val="20"/>
      </w:rPr>
      <w:t xml:space="preserve"> </w:t>
    </w:r>
    <w:r>
      <w:rPr>
        <w:rFonts w:ascii="宋体" w:hAnsi="宋体" w:eastAsia="宋体" w:cs="宋体"/>
        <w:spacing w:val="2"/>
        <w:sz w:val="20"/>
        <w:szCs w:val="20"/>
      </w:rPr>
      <w:t>33页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5F43C">
    <w:pPr>
      <w:spacing w:line="219" w:lineRule="auto"/>
      <w:ind w:left="3932"/>
      <w:rPr>
        <w:rFonts w:ascii="宋体" w:hAnsi="宋体" w:eastAsia="宋体" w:cs="宋体"/>
        <w:sz w:val="20"/>
        <w:szCs w:val="20"/>
      </w:rPr>
    </w:pPr>
    <w:r>
      <w:rPr>
        <w:sz w:val="20"/>
      </w:rPr>
      <w:pict>
        <v:shape id="_x0000_s4109" o:spid="_x0000_s4109"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5628F6F7">
                <w:pPr>
                  <w:pStyle w:val="28"/>
                </w:pPr>
                <w:r>
                  <w:fldChar w:fldCharType="begin"/>
                </w:r>
                <w:r>
                  <w:instrText xml:space="preserve"> PAGE  \* MERGEFORMAT </w:instrText>
                </w:r>
                <w:r>
                  <w:fldChar w:fldCharType="separate"/>
                </w:r>
                <w:r>
                  <w:t>74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B5C65">
    <w:pPr>
      <w:pStyle w:val="28"/>
      <w:framePr w:wrap="around" w:vAnchor="text" w:hAnchor="margin" w:xAlign="right" w:y="1"/>
      <w:rPr>
        <w:rStyle w:val="49"/>
      </w:rPr>
    </w:pPr>
    <w:r>
      <w:fldChar w:fldCharType="begin"/>
    </w:r>
    <w:r>
      <w:rPr>
        <w:rStyle w:val="49"/>
      </w:rPr>
      <w:instrText xml:space="preserve">PAGE  </w:instrText>
    </w:r>
    <w:r>
      <w:fldChar w:fldCharType="end"/>
    </w:r>
  </w:p>
  <w:p w14:paraId="250DC83C">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71329"/>
    </w:sdtPr>
    <w:sdtContent>
      <w:p w14:paraId="1E497A68">
        <w:pPr>
          <w:pStyle w:val="28"/>
          <w:spacing w:before="120" w:after="120"/>
          <w:jc w:val="center"/>
        </w:pPr>
        <w:r>
          <w:fldChar w:fldCharType="begin"/>
        </w:r>
        <w:r>
          <w:instrText xml:space="preserve"> PAGE   \* MERGEFORMAT </w:instrText>
        </w:r>
        <w:r>
          <w:fldChar w:fldCharType="separate"/>
        </w:r>
        <w:r>
          <w:rPr>
            <w:lang w:val="zh-CN"/>
          </w:rPr>
          <w:t>45</w:t>
        </w:r>
        <w:r>
          <w:rPr>
            <w:lang w:val="zh-CN"/>
          </w:rPr>
          <w:fldChar w:fldCharType="end"/>
        </w:r>
      </w:p>
    </w:sdtContent>
  </w:sdt>
  <w:p w14:paraId="248352B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B066">
    <w:pPr>
      <w:pStyle w:val="28"/>
      <w:jc w:val="center"/>
    </w:pPr>
    <w:r>
      <w:fldChar w:fldCharType="begin"/>
    </w:r>
    <w:r>
      <w:instrText xml:space="preserve"> PAGE   \* MERGEFORMAT </w:instrText>
    </w:r>
    <w:r>
      <w:fldChar w:fldCharType="separate"/>
    </w:r>
    <w:r>
      <w:rPr>
        <w:lang w:val="zh-CN"/>
      </w:rPr>
      <w:t>43</w:t>
    </w:r>
    <w:r>
      <w:rPr>
        <w:lang w:val="zh-CN"/>
      </w:rPr>
      <w:fldChar w:fldCharType="end"/>
    </w:r>
  </w:p>
  <w:p w14:paraId="6C6243C1">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12E76">
    <w:pPr>
      <w:spacing w:line="219" w:lineRule="auto"/>
      <w:rPr>
        <w:rFonts w:ascii="宋体" w:hAnsi="宋体" w:eastAsia="宋体" w:cs="宋体"/>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6CBF">
    <w:pPr>
      <w:spacing w:line="219" w:lineRule="auto"/>
      <w:rPr>
        <w:rFonts w:ascii="宋体" w:hAnsi="宋体" w:eastAsia="宋体" w:cs="宋体"/>
        <w:sz w:val="20"/>
        <w:szCs w:val="20"/>
      </w:rPr>
    </w:pPr>
    <w:r>
      <w:rPr>
        <w:sz w:val="20"/>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AFDA542">
                <w:pPr>
                  <w:pStyle w:val="28"/>
                </w:pPr>
                <w:r>
                  <w:fldChar w:fldCharType="begin"/>
                </w:r>
                <w:r>
                  <w:instrText xml:space="preserve"> PAGE  \* MERGEFORMAT </w:instrText>
                </w:r>
                <w:r>
                  <w:fldChar w:fldCharType="separate"/>
                </w:r>
                <w:r>
                  <w:t>24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BA5AD">
    <w:pPr>
      <w:pStyle w:val="28"/>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31AAF2D">
                <w:pPr>
                  <w:pStyle w:val="28"/>
                  <w:jc w:val="center"/>
                </w:pPr>
                <w:r>
                  <w:fldChar w:fldCharType="begin"/>
                </w:r>
                <w:r>
                  <w:instrText xml:space="preserve"> PAGE   \* MERGEFORMAT </w:instrText>
                </w:r>
                <w:r>
                  <w:fldChar w:fldCharType="separate"/>
                </w:r>
                <w:r>
                  <w:rPr>
                    <w:lang w:val="zh-CN"/>
                  </w:rPr>
                  <w:t>43</w:t>
                </w:r>
                <w:r>
                  <w:rPr>
                    <w:lang w:val="zh-CN"/>
                  </w:rPr>
                  <w:fldChar w:fldCharType="end"/>
                </w:r>
              </w:p>
            </w:txbxContent>
          </v:textbox>
        </v:shape>
      </w:pict>
    </w:r>
  </w:p>
  <w:p w14:paraId="52AED3F9">
    <w:pPr>
      <w:pStyle w:val="2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964F9">
    <w:pPr>
      <w:spacing w:line="219" w:lineRule="auto"/>
      <w:ind w:left="3932"/>
      <w:rPr>
        <w:rFonts w:ascii="宋体" w:hAnsi="宋体" w:eastAsia="宋体" w:cs="宋体"/>
        <w:sz w:val="20"/>
        <w:szCs w:val="20"/>
      </w:rPr>
    </w:pPr>
    <w:r>
      <w:rPr>
        <w:sz w:val="20"/>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4DF041A">
                <w:pPr>
                  <w:pStyle w:val="28"/>
                </w:pPr>
                <w:r>
                  <w:fldChar w:fldCharType="begin"/>
                </w:r>
                <w:r>
                  <w:instrText xml:space="preserve"> PAGE  \* MERGEFORMAT </w:instrText>
                </w:r>
                <w:r>
                  <w:fldChar w:fldCharType="separate"/>
                </w:r>
                <w:r>
                  <w:t>28</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1BBEF">
    <w:pPr>
      <w:spacing w:line="219" w:lineRule="auto"/>
      <w:ind w:left="3932"/>
      <w:rPr>
        <w:rFonts w:ascii="宋体" w:hAnsi="宋体" w:eastAsia="宋体" w:cs="宋体"/>
        <w:sz w:val="20"/>
        <w:szCs w:val="20"/>
      </w:rPr>
    </w:pPr>
    <w:r>
      <w:rPr>
        <w:sz w:val="20"/>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A791F01">
                <w:pPr>
                  <w:pStyle w:val="28"/>
                </w:pPr>
                <w:r>
                  <w:fldChar w:fldCharType="begin"/>
                </w:r>
                <w:r>
                  <w:instrText xml:space="preserve"> PAGE  \* MERGEFORMAT </w:instrText>
                </w:r>
                <w:r>
                  <w:fldChar w:fldCharType="separate"/>
                </w:r>
                <w:r>
                  <w:t>39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13DC4">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E22CD">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308F7">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D601A">
    <w:pPr>
      <w:pStyle w:val="29"/>
      <w:pBdr>
        <w:bottom w:val="single" w:color="auto" w:sz="2" w:space="1"/>
      </w:pBdr>
      <w:tabs>
        <w:tab w:val="right" w:pos="9813"/>
        <w:tab w:val="clear" w:pos="4153"/>
        <w:tab w:val="clear" w:pos="8306"/>
      </w:tabs>
      <w:ind w:left="-966" w:right="-968"/>
      <w:rPr>
        <w:rFonts w:ascii="宋体" w:hAnsi="宋体"/>
        <w:w w:val="80"/>
        <w:sz w:val="21"/>
        <w:szCs w:val="21"/>
      </w:rPr>
    </w:pPr>
    <w:r>
      <w:rPr>
        <w:rFonts w:hint="eastAsia" w:ascii="宋体" w:hAnsi="宋体"/>
        <w:w w:val="80"/>
        <w:sz w:val="21"/>
        <w:szCs w:val="21"/>
      </w:rPr>
      <w:t>中冠工程管理咨询有限公司-[国内公开招标文件]</w:t>
    </w:r>
  </w:p>
  <w:p w14:paraId="062EB16A">
    <w:pPr>
      <w:pStyle w:val="29"/>
      <w:pBdr>
        <w:bottom w:val="none" w:color="auto" w:sz="0" w:space="0"/>
      </w:pBdr>
      <w:rPr>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153F8"/>
    <w:multiLevelType w:val="singleLevel"/>
    <w:tmpl w:val="896153F8"/>
    <w:lvl w:ilvl="0" w:tentative="0">
      <w:start w:val="1"/>
      <w:numFmt w:val="decimal"/>
      <w:suff w:val="nothing"/>
      <w:lvlText w:val="%1、"/>
      <w:lvlJc w:val="left"/>
    </w:lvl>
  </w:abstractNum>
  <w:abstractNum w:abstractNumId="1">
    <w:nsid w:val="8D2CE697"/>
    <w:multiLevelType w:val="singleLevel"/>
    <w:tmpl w:val="8D2CE697"/>
    <w:lvl w:ilvl="0" w:tentative="0">
      <w:start w:val="3"/>
      <w:numFmt w:val="chineseCounting"/>
      <w:suff w:val="nothing"/>
      <w:lvlText w:val="%1、"/>
      <w:lvlJc w:val="left"/>
      <w:rPr>
        <w:rFonts w:hint="eastAsia"/>
      </w:rPr>
    </w:lvl>
  </w:abstractNum>
  <w:abstractNum w:abstractNumId="2">
    <w:nsid w:val="BF1A5FD7"/>
    <w:multiLevelType w:val="singleLevel"/>
    <w:tmpl w:val="BF1A5FD7"/>
    <w:lvl w:ilvl="0" w:tentative="0">
      <w:start w:val="1"/>
      <w:numFmt w:val="chineseCounting"/>
      <w:suff w:val="nothing"/>
      <w:lvlText w:val="（%1）"/>
      <w:lvlJc w:val="left"/>
      <w:rPr>
        <w:rFonts w:hint="eastAsia"/>
      </w:rPr>
    </w:lvl>
  </w:abstractNum>
  <w:abstractNum w:abstractNumId="3">
    <w:nsid w:val="DF674AE5"/>
    <w:multiLevelType w:val="singleLevel"/>
    <w:tmpl w:val="DF674AE5"/>
    <w:lvl w:ilvl="0" w:tentative="0">
      <w:start w:val="1"/>
      <w:numFmt w:val="decimal"/>
      <w:suff w:val="nothing"/>
      <w:lvlText w:val="%1、"/>
      <w:lvlJc w:val="left"/>
    </w:lvl>
  </w:abstractNum>
  <w:abstractNum w:abstractNumId="4">
    <w:nsid w:val="E76191B7"/>
    <w:multiLevelType w:val="singleLevel"/>
    <w:tmpl w:val="E76191B7"/>
    <w:lvl w:ilvl="0" w:tentative="0">
      <w:start w:val="1"/>
      <w:numFmt w:val="decimal"/>
      <w:suff w:val="nothing"/>
      <w:lvlText w:val="%1、"/>
      <w:lvlJc w:val="left"/>
    </w:lvl>
  </w:abstractNum>
  <w:abstractNum w:abstractNumId="5">
    <w:nsid w:val="00000007"/>
    <w:multiLevelType w:val="singleLevel"/>
    <w:tmpl w:val="00000007"/>
    <w:lvl w:ilvl="0" w:tentative="0">
      <w:start w:val="1"/>
      <w:numFmt w:val="decimal"/>
      <w:suff w:val="nothing"/>
      <w:lvlText w:val="（%1）"/>
      <w:lvlJc w:val="left"/>
    </w:lvl>
  </w:abstractNum>
  <w:abstractNum w:abstractNumId="6">
    <w:nsid w:val="200F2774"/>
    <w:multiLevelType w:val="multilevel"/>
    <w:tmpl w:val="200F2774"/>
    <w:lvl w:ilvl="0" w:tentative="0">
      <w:start w:val="3"/>
      <w:numFmt w:val="japaneseCounting"/>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6D883755"/>
    <w:multiLevelType w:val="multilevel"/>
    <w:tmpl w:val="6D883755"/>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3"/>
  </w:num>
  <w:num w:numId="4">
    <w:abstractNumId w:val="4"/>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0"/>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2"/>
  </w:compat>
  <w:docVars>
    <w:docVar w:name="commondata" w:val="eyJoZGlkIjoiYzA3MmQ2YmQxNjk3MzEyYjViMWQ0OTFiNDBlNjAxYjgifQ=="/>
  </w:docVars>
  <w:rsids>
    <w:rsidRoot w:val="00172A27"/>
    <w:rsid w:val="000006CC"/>
    <w:rsid w:val="00001271"/>
    <w:rsid w:val="00001743"/>
    <w:rsid w:val="0000184A"/>
    <w:rsid w:val="00004094"/>
    <w:rsid w:val="00004A4D"/>
    <w:rsid w:val="000055B2"/>
    <w:rsid w:val="00006110"/>
    <w:rsid w:val="00006631"/>
    <w:rsid w:val="00007C24"/>
    <w:rsid w:val="000131FD"/>
    <w:rsid w:val="000144AB"/>
    <w:rsid w:val="000207C1"/>
    <w:rsid w:val="0002452C"/>
    <w:rsid w:val="000245D2"/>
    <w:rsid w:val="0002604A"/>
    <w:rsid w:val="00030925"/>
    <w:rsid w:val="00031280"/>
    <w:rsid w:val="00031AE6"/>
    <w:rsid w:val="00033897"/>
    <w:rsid w:val="00034887"/>
    <w:rsid w:val="0003538E"/>
    <w:rsid w:val="000366C8"/>
    <w:rsid w:val="00037265"/>
    <w:rsid w:val="00037B94"/>
    <w:rsid w:val="00037BCE"/>
    <w:rsid w:val="000437B1"/>
    <w:rsid w:val="00043EC8"/>
    <w:rsid w:val="0004470E"/>
    <w:rsid w:val="000449C8"/>
    <w:rsid w:val="00045A67"/>
    <w:rsid w:val="00045BDA"/>
    <w:rsid w:val="00046C10"/>
    <w:rsid w:val="00047DEA"/>
    <w:rsid w:val="00051572"/>
    <w:rsid w:val="00051DB1"/>
    <w:rsid w:val="000541F1"/>
    <w:rsid w:val="0005471F"/>
    <w:rsid w:val="000552D4"/>
    <w:rsid w:val="00055CAD"/>
    <w:rsid w:val="00057943"/>
    <w:rsid w:val="000602C6"/>
    <w:rsid w:val="0006040C"/>
    <w:rsid w:val="00061115"/>
    <w:rsid w:val="00061417"/>
    <w:rsid w:val="00061BC0"/>
    <w:rsid w:val="000622C0"/>
    <w:rsid w:val="00066BA8"/>
    <w:rsid w:val="000678E7"/>
    <w:rsid w:val="0007113F"/>
    <w:rsid w:val="0007149E"/>
    <w:rsid w:val="00071A7E"/>
    <w:rsid w:val="0007287E"/>
    <w:rsid w:val="00073396"/>
    <w:rsid w:val="00074A40"/>
    <w:rsid w:val="00074C19"/>
    <w:rsid w:val="0007575D"/>
    <w:rsid w:val="00077FC9"/>
    <w:rsid w:val="0008087A"/>
    <w:rsid w:val="0008244D"/>
    <w:rsid w:val="00083647"/>
    <w:rsid w:val="00083D8A"/>
    <w:rsid w:val="00086B68"/>
    <w:rsid w:val="000871C0"/>
    <w:rsid w:val="000875B6"/>
    <w:rsid w:val="00090B46"/>
    <w:rsid w:val="00090B8B"/>
    <w:rsid w:val="00090DB7"/>
    <w:rsid w:val="000926B0"/>
    <w:rsid w:val="00093D06"/>
    <w:rsid w:val="00094624"/>
    <w:rsid w:val="0009486D"/>
    <w:rsid w:val="000962B7"/>
    <w:rsid w:val="00096383"/>
    <w:rsid w:val="00097160"/>
    <w:rsid w:val="000A2B60"/>
    <w:rsid w:val="000A6387"/>
    <w:rsid w:val="000A711E"/>
    <w:rsid w:val="000A7F75"/>
    <w:rsid w:val="000B058B"/>
    <w:rsid w:val="000B0CB5"/>
    <w:rsid w:val="000B21EF"/>
    <w:rsid w:val="000B2999"/>
    <w:rsid w:val="000B2D96"/>
    <w:rsid w:val="000B36B8"/>
    <w:rsid w:val="000B45E0"/>
    <w:rsid w:val="000B4795"/>
    <w:rsid w:val="000B51DC"/>
    <w:rsid w:val="000B6B50"/>
    <w:rsid w:val="000B75AD"/>
    <w:rsid w:val="000C02EE"/>
    <w:rsid w:val="000C0785"/>
    <w:rsid w:val="000C2556"/>
    <w:rsid w:val="000C28E0"/>
    <w:rsid w:val="000C585A"/>
    <w:rsid w:val="000C5D45"/>
    <w:rsid w:val="000D0696"/>
    <w:rsid w:val="000D10B0"/>
    <w:rsid w:val="000D116B"/>
    <w:rsid w:val="000D11DC"/>
    <w:rsid w:val="000D123F"/>
    <w:rsid w:val="000D18C3"/>
    <w:rsid w:val="000D2675"/>
    <w:rsid w:val="000D4D75"/>
    <w:rsid w:val="000D5939"/>
    <w:rsid w:val="000D608E"/>
    <w:rsid w:val="000D6C48"/>
    <w:rsid w:val="000D7B6E"/>
    <w:rsid w:val="000D7C64"/>
    <w:rsid w:val="000D7E0B"/>
    <w:rsid w:val="000E0943"/>
    <w:rsid w:val="000E0A0A"/>
    <w:rsid w:val="000E137C"/>
    <w:rsid w:val="000E2FFB"/>
    <w:rsid w:val="000E46CC"/>
    <w:rsid w:val="000E479A"/>
    <w:rsid w:val="000E54D3"/>
    <w:rsid w:val="000E590B"/>
    <w:rsid w:val="000E5EDB"/>
    <w:rsid w:val="000F0578"/>
    <w:rsid w:val="000F2B24"/>
    <w:rsid w:val="000F3120"/>
    <w:rsid w:val="000F32D1"/>
    <w:rsid w:val="000F3DF6"/>
    <w:rsid w:val="000F4EFE"/>
    <w:rsid w:val="000F52D9"/>
    <w:rsid w:val="000F6368"/>
    <w:rsid w:val="000F67D0"/>
    <w:rsid w:val="000F72F8"/>
    <w:rsid w:val="00100977"/>
    <w:rsid w:val="00100E07"/>
    <w:rsid w:val="001024B6"/>
    <w:rsid w:val="0010392C"/>
    <w:rsid w:val="00104057"/>
    <w:rsid w:val="001053E7"/>
    <w:rsid w:val="00105E6D"/>
    <w:rsid w:val="00106457"/>
    <w:rsid w:val="001141FE"/>
    <w:rsid w:val="00122E9F"/>
    <w:rsid w:val="00122EB9"/>
    <w:rsid w:val="001235EA"/>
    <w:rsid w:val="001239AC"/>
    <w:rsid w:val="00123B28"/>
    <w:rsid w:val="001245ED"/>
    <w:rsid w:val="00124D57"/>
    <w:rsid w:val="00125CED"/>
    <w:rsid w:val="001262B8"/>
    <w:rsid w:val="00127B68"/>
    <w:rsid w:val="001304AB"/>
    <w:rsid w:val="001316F0"/>
    <w:rsid w:val="00131C01"/>
    <w:rsid w:val="001357AF"/>
    <w:rsid w:val="001367B8"/>
    <w:rsid w:val="00136E46"/>
    <w:rsid w:val="001416DF"/>
    <w:rsid w:val="00142079"/>
    <w:rsid w:val="001423BB"/>
    <w:rsid w:val="00142A57"/>
    <w:rsid w:val="00142CCD"/>
    <w:rsid w:val="00142F6E"/>
    <w:rsid w:val="0014431F"/>
    <w:rsid w:val="0014482F"/>
    <w:rsid w:val="00147717"/>
    <w:rsid w:val="001519B2"/>
    <w:rsid w:val="00152D19"/>
    <w:rsid w:val="00154806"/>
    <w:rsid w:val="00157D70"/>
    <w:rsid w:val="001618D9"/>
    <w:rsid w:val="00163239"/>
    <w:rsid w:val="00163623"/>
    <w:rsid w:val="0016556B"/>
    <w:rsid w:val="0017050C"/>
    <w:rsid w:val="001708D4"/>
    <w:rsid w:val="00170BE2"/>
    <w:rsid w:val="001715DB"/>
    <w:rsid w:val="00172A27"/>
    <w:rsid w:val="00173EFD"/>
    <w:rsid w:val="001779C0"/>
    <w:rsid w:val="00180090"/>
    <w:rsid w:val="0018084D"/>
    <w:rsid w:val="0018120C"/>
    <w:rsid w:val="00182415"/>
    <w:rsid w:val="001824BA"/>
    <w:rsid w:val="001837B9"/>
    <w:rsid w:val="00183B4A"/>
    <w:rsid w:val="00184841"/>
    <w:rsid w:val="0018762D"/>
    <w:rsid w:val="00187CD4"/>
    <w:rsid w:val="00190F2D"/>
    <w:rsid w:val="001916D7"/>
    <w:rsid w:val="00192C07"/>
    <w:rsid w:val="00192F9B"/>
    <w:rsid w:val="001941C1"/>
    <w:rsid w:val="00196B81"/>
    <w:rsid w:val="001A1862"/>
    <w:rsid w:val="001A61FB"/>
    <w:rsid w:val="001A6577"/>
    <w:rsid w:val="001A6971"/>
    <w:rsid w:val="001A7531"/>
    <w:rsid w:val="001B0054"/>
    <w:rsid w:val="001B2885"/>
    <w:rsid w:val="001B29CD"/>
    <w:rsid w:val="001B33F4"/>
    <w:rsid w:val="001B360C"/>
    <w:rsid w:val="001B51F4"/>
    <w:rsid w:val="001B5818"/>
    <w:rsid w:val="001B6FEC"/>
    <w:rsid w:val="001C0F86"/>
    <w:rsid w:val="001C1042"/>
    <w:rsid w:val="001C181D"/>
    <w:rsid w:val="001C1BD5"/>
    <w:rsid w:val="001C4872"/>
    <w:rsid w:val="001C4BFA"/>
    <w:rsid w:val="001C506C"/>
    <w:rsid w:val="001C5733"/>
    <w:rsid w:val="001C6422"/>
    <w:rsid w:val="001C67F5"/>
    <w:rsid w:val="001C6D07"/>
    <w:rsid w:val="001D0884"/>
    <w:rsid w:val="001D1DD5"/>
    <w:rsid w:val="001D23C1"/>
    <w:rsid w:val="001D23CF"/>
    <w:rsid w:val="001D49CD"/>
    <w:rsid w:val="001D59B9"/>
    <w:rsid w:val="001D7A46"/>
    <w:rsid w:val="001E113B"/>
    <w:rsid w:val="001E48E5"/>
    <w:rsid w:val="001E55EC"/>
    <w:rsid w:val="001E674D"/>
    <w:rsid w:val="001E7756"/>
    <w:rsid w:val="001E7783"/>
    <w:rsid w:val="001E7E41"/>
    <w:rsid w:val="001F347C"/>
    <w:rsid w:val="001F3C5D"/>
    <w:rsid w:val="001F454A"/>
    <w:rsid w:val="001F4724"/>
    <w:rsid w:val="001F4B40"/>
    <w:rsid w:val="001F4E2C"/>
    <w:rsid w:val="001F607C"/>
    <w:rsid w:val="001F6917"/>
    <w:rsid w:val="001F6989"/>
    <w:rsid w:val="001F69C8"/>
    <w:rsid w:val="001F78C2"/>
    <w:rsid w:val="00200585"/>
    <w:rsid w:val="002006FC"/>
    <w:rsid w:val="00201706"/>
    <w:rsid w:val="002019FB"/>
    <w:rsid w:val="00203132"/>
    <w:rsid w:val="00206562"/>
    <w:rsid w:val="00206868"/>
    <w:rsid w:val="002114E4"/>
    <w:rsid w:val="002118B5"/>
    <w:rsid w:val="00214D95"/>
    <w:rsid w:val="0021625C"/>
    <w:rsid w:val="0022179C"/>
    <w:rsid w:val="00222053"/>
    <w:rsid w:val="002220A7"/>
    <w:rsid w:val="002222C6"/>
    <w:rsid w:val="00222AE1"/>
    <w:rsid w:val="0022388F"/>
    <w:rsid w:val="0022456D"/>
    <w:rsid w:val="002268B2"/>
    <w:rsid w:val="00227C9B"/>
    <w:rsid w:val="00230A7B"/>
    <w:rsid w:val="00230FBC"/>
    <w:rsid w:val="00232D5C"/>
    <w:rsid w:val="002334A5"/>
    <w:rsid w:val="0023720A"/>
    <w:rsid w:val="00240145"/>
    <w:rsid w:val="00240A44"/>
    <w:rsid w:val="00241377"/>
    <w:rsid w:val="0024198F"/>
    <w:rsid w:val="002423BE"/>
    <w:rsid w:val="0024403A"/>
    <w:rsid w:val="00245382"/>
    <w:rsid w:val="00251CE5"/>
    <w:rsid w:val="00252253"/>
    <w:rsid w:val="00255589"/>
    <w:rsid w:val="002557D1"/>
    <w:rsid w:val="00257211"/>
    <w:rsid w:val="002579F1"/>
    <w:rsid w:val="002609E4"/>
    <w:rsid w:val="00260C41"/>
    <w:rsid w:val="002621DA"/>
    <w:rsid w:val="00262C29"/>
    <w:rsid w:val="00263D3B"/>
    <w:rsid w:val="002640B8"/>
    <w:rsid w:val="0026418B"/>
    <w:rsid w:val="00264672"/>
    <w:rsid w:val="00265A13"/>
    <w:rsid w:val="002670D7"/>
    <w:rsid w:val="002701AD"/>
    <w:rsid w:val="002725DE"/>
    <w:rsid w:val="00273092"/>
    <w:rsid w:val="0027376D"/>
    <w:rsid w:val="00274EC2"/>
    <w:rsid w:val="00275929"/>
    <w:rsid w:val="002760BB"/>
    <w:rsid w:val="00276B12"/>
    <w:rsid w:val="002772A8"/>
    <w:rsid w:val="00280037"/>
    <w:rsid w:val="00280D0D"/>
    <w:rsid w:val="00282C85"/>
    <w:rsid w:val="002831E9"/>
    <w:rsid w:val="00284B1C"/>
    <w:rsid w:val="0028551E"/>
    <w:rsid w:val="00285B5F"/>
    <w:rsid w:val="00287555"/>
    <w:rsid w:val="00291FA9"/>
    <w:rsid w:val="00292B7D"/>
    <w:rsid w:val="0029322F"/>
    <w:rsid w:val="00293C21"/>
    <w:rsid w:val="002940AC"/>
    <w:rsid w:val="0029472E"/>
    <w:rsid w:val="002953DB"/>
    <w:rsid w:val="00295503"/>
    <w:rsid w:val="002964CD"/>
    <w:rsid w:val="002A01B7"/>
    <w:rsid w:val="002A0CEE"/>
    <w:rsid w:val="002A1ED5"/>
    <w:rsid w:val="002A3C2E"/>
    <w:rsid w:val="002A4D22"/>
    <w:rsid w:val="002A6DF2"/>
    <w:rsid w:val="002B0951"/>
    <w:rsid w:val="002B1466"/>
    <w:rsid w:val="002B1A2A"/>
    <w:rsid w:val="002B2665"/>
    <w:rsid w:val="002B3D6D"/>
    <w:rsid w:val="002B47D8"/>
    <w:rsid w:val="002B5C1B"/>
    <w:rsid w:val="002B66B5"/>
    <w:rsid w:val="002C0B46"/>
    <w:rsid w:val="002C197A"/>
    <w:rsid w:val="002C1F8C"/>
    <w:rsid w:val="002C5B02"/>
    <w:rsid w:val="002C6A37"/>
    <w:rsid w:val="002D0832"/>
    <w:rsid w:val="002D1BCB"/>
    <w:rsid w:val="002D221A"/>
    <w:rsid w:val="002D3919"/>
    <w:rsid w:val="002D4E8B"/>
    <w:rsid w:val="002D5468"/>
    <w:rsid w:val="002D6715"/>
    <w:rsid w:val="002D6A9A"/>
    <w:rsid w:val="002D6F4B"/>
    <w:rsid w:val="002D7FCE"/>
    <w:rsid w:val="002E1F9E"/>
    <w:rsid w:val="002E4433"/>
    <w:rsid w:val="002E4631"/>
    <w:rsid w:val="002E79F5"/>
    <w:rsid w:val="002F04C4"/>
    <w:rsid w:val="002F0519"/>
    <w:rsid w:val="002F16FD"/>
    <w:rsid w:val="002F1CE6"/>
    <w:rsid w:val="00302A6B"/>
    <w:rsid w:val="00302FBD"/>
    <w:rsid w:val="00305590"/>
    <w:rsid w:val="00306A5A"/>
    <w:rsid w:val="0031019A"/>
    <w:rsid w:val="00311225"/>
    <w:rsid w:val="003114B8"/>
    <w:rsid w:val="00320B9B"/>
    <w:rsid w:val="00322CA9"/>
    <w:rsid w:val="0032314D"/>
    <w:rsid w:val="0033036A"/>
    <w:rsid w:val="003315FC"/>
    <w:rsid w:val="00331689"/>
    <w:rsid w:val="00331EC0"/>
    <w:rsid w:val="0033201D"/>
    <w:rsid w:val="00333C09"/>
    <w:rsid w:val="00333E55"/>
    <w:rsid w:val="00335C86"/>
    <w:rsid w:val="0033722A"/>
    <w:rsid w:val="003373F5"/>
    <w:rsid w:val="00340658"/>
    <w:rsid w:val="00343F26"/>
    <w:rsid w:val="00344E42"/>
    <w:rsid w:val="00346FB4"/>
    <w:rsid w:val="00352265"/>
    <w:rsid w:val="00353307"/>
    <w:rsid w:val="00353477"/>
    <w:rsid w:val="00353C5D"/>
    <w:rsid w:val="00354B7E"/>
    <w:rsid w:val="003554F7"/>
    <w:rsid w:val="00355991"/>
    <w:rsid w:val="00360374"/>
    <w:rsid w:val="00360DD5"/>
    <w:rsid w:val="0036325F"/>
    <w:rsid w:val="00364009"/>
    <w:rsid w:val="003654D9"/>
    <w:rsid w:val="0037018C"/>
    <w:rsid w:val="0037061E"/>
    <w:rsid w:val="0037067D"/>
    <w:rsid w:val="00370D68"/>
    <w:rsid w:val="00371028"/>
    <w:rsid w:val="003712BF"/>
    <w:rsid w:val="00371BB0"/>
    <w:rsid w:val="00373A04"/>
    <w:rsid w:val="00377C7E"/>
    <w:rsid w:val="00381C0A"/>
    <w:rsid w:val="00382200"/>
    <w:rsid w:val="00382CCB"/>
    <w:rsid w:val="00383F0E"/>
    <w:rsid w:val="00384964"/>
    <w:rsid w:val="00385494"/>
    <w:rsid w:val="00386F74"/>
    <w:rsid w:val="00387C50"/>
    <w:rsid w:val="00390129"/>
    <w:rsid w:val="00392794"/>
    <w:rsid w:val="00392876"/>
    <w:rsid w:val="003931FA"/>
    <w:rsid w:val="00393456"/>
    <w:rsid w:val="003957CF"/>
    <w:rsid w:val="003966CB"/>
    <w:rsid w:val="00396794"/>
    <w:rsid w:val="00397B74"/>
    <w:rsid w:val="003A5FAB"/>
    <w:rsid w:val="003A73C7"/>
    <w:rsid w:val="003C0339"/>
    <w:rsid w:val="003C1713"/>
    <w:rsid w:val="003C3476"/>
    <w:rsid w:val="003C4189"/>
    <w:rsid w:val="003C52C7"/>
    <w:rsid w:val="003C6677"/>
    <w:rsid w:val="003D0669"/>
    <w:rsid w:val="003D0F1B"/>
    <w:rsid w:val="003D1260"/>
    <w:rsid w:val="003D5B39"/>
    <w:rsid w:val="003D6027"/>
    <w:rsid w:val="003E0260"/>
    <w:rsid w:val="003E2899"/>
    <w:rsid w:val="003E2FDC"/>
    <w:rsid w:val="003E48FD"/>
    <w:rsid w:val="003E4E68"/>
    <w:rsid w:val="003E4EC4"/>
    <w:rsid w:val="003F1BC2"/>
    <w:rsid w:val="003F2CAF"/>
    <w:rsid w:val="003F34C5"/>
    <w:rsid w:val="003F4009"/>
    <w:rsid w:val="003F4533"/>
    <w:rsid w:val="003F4804"/>
    <w:rsid w:val="003F4C52"/>
    <w:rsid w:val="003F6629"/>
    <w:rsid w:val="00400725"/>
    <w:rsid w:val="00402F34"/>
    <w:rsid w:val="00403B7F"/>
    <w:rsid w:val="00403C7E"/>
    <w:rsid w:val="00404203"/>
    <w:rsid w:val="00405438"/>
    <w:rsid w:val="0040575A"/>
    <w:rsid w:val="00407583"/>
    <w:rsid w:val="00407E41"/>
    <w:rsid w:val="004111FA"/>
    <w:rsid w:val="00412969"/>
    <w:rsid w:val="00414242"/>
    <w:rsid w:val="00415F39"/>
    <w:rsid w:val="004160DF"/>
    <w:rsid w:val="00417589"/>
    <w:rsid w:val="00420824"/>
    <w:rsid w:val="0042226B"/>
    <w:rsid w:val="00422928"/>
    <w:rsid w:val="00423134"/>
    <w:rsid w:val="00424137"/>
    <w:rsid w:val="00424162"/>
    <w:rsid w:val="00424E36"/>
    <w:rsid w:val="004265E9"/>
    <w:rsid w:val="00426AA4"/>
    <w:rsid w:val="00427184"/>
    <w:rsid w:val="00433033"/>
    <w:rsid w:val="00433566"/>
    <w:rsid w:val="004347F1"/>
    <w:rsid w:val="00436C4A"/>
    <w:rsid w:val="00440A13"/>
    <w:rsid w:val="00441911"/>
    <w:rsid w:val="004424CF"/>
    <w:rsid w:val="004455AC"/>
    <w:rsid w:val="00446A06"/>
    <w:rsid w:val="00447651"/>
    <w:rsid w:val="00450EAE"/>
    <w:rsid w:val="004510E6"/>
    <w:rsid w:val="00452BD5"/>
    <w:rsid w:val="00453516"/>
    <w:rsid w:val="00454027"/>
    <w:rsid w:val="00454515"/>
    <w:rsid w:val="0045460F"/>
    <w:rsid w:val="004569D6"/>
    <w:rsid w:val="00456DB9"/>
    <w:rsid w:val="0045766C"/>
    <w:rsid w:val="00462692"/>
    <w:rsid w:val="004626B8"/>
    <w:rsid w:val="00462FBA"/>
    <w:rsid w:val="004631FE"/>
    <w:rsid w:val="004658F0"/>
    <w:rsid w:val="0046593C"/>
    <w:rsid w:val="0047015C"/>
    <w:rsid w:val="0047129D"/>
    <w:rsid w:val="0047213F"/>
    <w:rsid w:val="0047368F"/>
    <w:rsid w:val="0047487A"/>
    <w:rsid w:val="00476250"/>
    <w:rsid w:val="00476D8B"/>
    <w:rsid w:val="004777BD"/>
    <w:rsid w:val="004817B2"/>
    <w:rsid w:val="00481B9E"/>
    <w:rsid w:val="00482B27"/>
    <w:rsid w:val="00484B0B"/>
    <w:rsid w:val="00485731"/>
    <w:rsid w:val="004878DB"/>
    <w:rsid w:val="0049068E"/>
    <w:rsid w:val="0049107F"/>
    <w:rsid w:val="00491223"/>
    <w:rsid w:val="00491EEE"/>
    <w:rsid w:val="00492264"/>
    <w:rsid w:val="00493510"/>
    <w:rsid w:val="0049628D"/>
    <w:rsid w:val="00497048"/>
    <w:rsid w:val="004972FE"/>
    <w:rsid w:val="004A295F"/>
    <w:rsid w:val="004A7A0D"/>
    <w:rsid w:val="004B0343"/>
    <w:rsid w:val="004B100D"/>
    <w:rsid w:val="004B2017"/>
    <w:rsid w:val="004B4A60"/>
    <w:rsid w:val="004C033A"/>
    <w:rsid w:val="004C0FB2"/>
    <w:rsid w:val="004C2BCC"/>
    <w:rsid w:val="004C47BC"/>
    <w:rsid w:val="004C51A7"/>
    <w:rsid w:val="004C7B8D"/>
    <w:rsid w:val="004C7EE9"/>
    <w:rsid w:val="004D1E4C"/>
    <w:rsid w:val="004D3AE0"/>
    <w:rsid w:val="004E1F22"/>
    <w:rsid w:val="004E3105"/>
    <w:rsid w:val="004E382B"/>
    <w:rsid w:val="004E52E7"/>
    <w:rsid w:val="004E6754"/>
    <w:rsid w:val="004E6E24"/>
    <w:rsid w:val="004F0E13"/>
    <w:rsid w:val="004F0F88"/>
    <w:rsid w:val="004F1FB4"/>
    <w:rsid w:val="004F414B"/>
    <w:rsid w:val="004F4783"/>
    <w:rsid w:val="004F55C4"/>
    <w:rsid w:val="004F6F74"/>
    <w:rsid w:val="004F7EEA"/>
    <w:rsid w:val="00500F40"/>
    <w:rsid w:val="00500FDB"/>
    <w:rsid w:val="00502AAC"/>
    <w:rsid w:val="00502CFA"/>
    <w:rsid w:val="00506342"/>
    <w:rsid w:val="00507130"/>
    <w:rsid w:val="00510BD5"/>
    <w:rsid w:val="00510DC4"/>
    <w:rsid w:val="005111E4"/>
    <w:rsid w:val="00515A53"/>
    <w:rsid w:val="00515BDB"/>
    <w:rsid w:val="00515E74"/>
    <w:rsid w:val="00516C3D"/>
    <w:rsid w:val="00520E76"/>
    <w:rsid w:val="00523614"/>
    <w:rsid w:val="00523753"/>
    <w:rsid w:val="00524221"/>
    <w:rsid w:val="00525E89"/>
    <w:rsid w:val="005262BA"/>
    <w:rsid w:val="0052796F"/>
    <w:rsid w:val="00530A6C"/>
    <w:rsid w:val="0053155F"/>
    <w:rsid w:val="0053177A"/>
    <w:rsid w:val="0053353B"/>
    <w:rsid w:val="00533B21"/>
    <w:rsid w:val="00534243"/>
    <w:rsid w:val="00535E69"/>
    <w:rsid w:val="00540874"/>
    <w:rsid w:val="0054598F"/>
    <w:rsid w:val="0054701D"/>
    <w:rsid w:val="005474FF"/>
    <w:rsid w:val="00547895"/>
    <w:rsid w:val="00547F59"/>
    <w:rsid w:val="005536D8"/>
    <w:rsid w:val="005550E5"/>
    <w:rsid w:val="00557132"/>
    <w:rsid w:val="00557C86"/>
    <w:rsid w:val="00561AE7"/>
    <w:rsid w:val="0056236D"/>
    <w:rsid w:val="00563140"/>
    <w:rsid w:val="00563B27"/>
    <w:rsid w:val="00563B2F"/>
    <w:rsid w:val="00565C52"/>
    <w:rsid w:val="00570291"/>
    <w:rsid w:val="00571D0D"/>
    <w:rsid w:val="00572889"/>
    <w:rsid w:val="00572D12"/>
    <w:rsid w:val="005745F8"/>
    <w:rsid w:val="005760F6"/>
    <w:rsid w:val="00580C25"/>
    <w:rsid w:val="00583320"/>
    <w:rsid w:val="005840BF"/>
    <w:rsid w:val="005859E9"/>
    <w:rsid w:val="00585DE2"/>
    <w:rsid w:val="00587351"/>
    <w:rsid w:val="00590BDD"/>
    <w:rsid w:val="00593059"/>
    <w:rsid w:val="00595255"/>
    <w:rsid w:val="00595C55"/>
    <w:rsid w:val="005961A8"/>
    <w:rsid w:val="005979EA"/>
    <w:rsid w:val="005A0112"/>
    <w:rsid w:val="005A0D46"/>
    <w:rsid w:val="005A1057"/>
    <w:rsid w:val="005A2289"/>
    <w:rsid w:val="005A6DC0"/>
    <w:rsid w:val="005B0B95"/>
    <w:rsid w:val="005B0FB1"/>
    <w:rsid w:val="005B22B1"/>
    <w:rsid w:val="005B3F0D"/>
    <w:rsid w:val="005B4AFF"/>
    <w:rsid w:val="005B67DD"/>
    <w:rsid w:val="005B6AF0"/>
    <w:rsid w:val="005B7047"/>
    <w:rsid w:val="005B7920"/>
    <w:rsid w:val="005C2587"/>
    <w:rsid w:val="005C2691"/>
    <w:rsid w:val="005C3C5B"/>
    <w:rsid w:val="005C4E10"/>
    <w:rsid w:val="005C555A"/>
    <w:rsid w:val="005C5B11"/>
    <w:rsid w:val="005C72A0"/>
    <w:rsid w:val="005C751C"/>
    <w:rsid w:val="005C7BC1"/>
    <w:rsid w:val="005D073E"/>
    <w:rsid w:val="005D25C2"/>
    <w:rsid w:val="005D2FEE"/>
    <w:rsid w:val="005D4EFC"/>
    <w:rsid w:val="005D5A3A"/>
    <w:rsid w:val="005D644D"/>
    <w:rsid w:val="005E044D"/>
    <w:rsid w:val="005E0AE7"/>
    <w:rsid w:val="005E0EE4"/>
    <w:rsid w:val="005E1B5E"/>
    <w:rsid w:val="005E230E"/>
    <w:rsid w:val="005E2658"/>
    <w:rsid w:val="005E3031"/>
    <w:rsid w:val="005E34A8"/>
    <w:rsid w:val="005E48E1"/>
    <w:rsid w:val="005E689F"/>
    <w:rsid w:val="005F17FE"/>
    <w:rsid w:val="005F1B3C"/>
    <w:rsid w:val="005F3EE9"/>
    <w:rsid w:val="005F53DE"/>
    <w:rsid w:val="005F5D67"/>
    <w:rsid w:val="005F6FFE"/>
    <w:rsid w:val="005F7205"/>
    <w:rsid w:val="006026BC"/>
    <w:rsid w:val="00604E73"/>
    <w:rsid w:val="006055A2"/>
    <w:rsid w:val="00605E05"/>
    <w:rsid w:val="0061014C"/>
    <w:rsid w:val="006113DA"/>
    <w:rsid w:val="00611D7B"/>
    <w:rsid w:val="00612A81"/>
    <w:rsid w:val="00612AA9"/>
    <w:rsid w:val="00612D0B"/>
    <w:rsid w:val="00613202"/>
    <w:rsid w:val="006135A8"/>
    <w:rsid w:val="006146BE"/>
    <w:rsid w:val="006146DE"/>
    <w:rsid w:val="006159A6"/>
    <w:rsid w:val="00616213"/>
    <w:rsid w:val="00616AB0"/>
    <w:rsid w:val="00625735"/>
    <w:rsid w:val="00627507"/>
    <w:rsid w:val="006276CD"/>
    <w:rsid w:val="00627F82"/>
    <w:rsid w:val="006305F8"/>
    <w:rsid w:val="00631DC4"/>
    <w:rsid w:val="00632870"/>
    <w:rsid w:val="006328C7"/>
    <w:rsid w:val="00635058"/>
    <w:rsid w:val="006353A3"/>
    <w:rsid w:val="00635A9C"/>
    <w:rsid w:val="006366CA"/>
    <w:rsid w:val="0063695A"/>
    <w:rsid w:val="00637C16"/>
    <w:rsid w:val="006408D6"/>
    <w:rsid w:val="00645EEC"/>
    <w:rsid w:val="0064629B"/>
    <w:rsid w:val="006468DE"/>
    <w:rsid w:val="00646CC5"/>
    <w:rsid w:val="0065023B"/>
    <w:rsid w:val="0065183D"/>
    <w:rsid w:val="00652CA4"/>
    <w:rsid w:val="006530FA"/>
    <w:rsid w:val="0065460A"/>
    <w:rsid w:val="006553C2"/>
    <w:rsid w:val="00655A45"/>
    <w:rsid w:val="00657876"/>
    <w:rsid w:val="006612D7"/>
    <w:rsid w:val="006614E9"/>
    <w:rsid w:val="0066299A"/>
    <w:rsid w:val="00663044"/>
    <w:rsid w:val="00664AD4"/>
    <w:rsid w:val="00665607"/>
    <w:rsid w:val="00665D20"/>
    <w:rsid w:val="006666AB"/>
    <w:rsid w:val="006672CD"/>
    <w:rsid w:val="006702FD"/>
    <w:rsid w:val="0067071C"/>
    <w:rsid w:val="0067085F"/>
    <w:rsid w:val="00670925"/>
    <w:rsid w:val="00670E22"/>
    <w:rsid w:val="00671378"/>
    <w:rsid w:val="006720FB"/>
    <w:rsid w:val="00673521"/>
    <w:rsid w:val="006747D1"/>
    <w:rsid w:val="0067489E"/>
    <w:rsid w:val="00676263"/>
    <w:rsid w:val="006808E2"/>
    <w:rsid w:val="00682803"/>
    <w:rsid w:val="00683FCA"/>
    <w:rsid w:val="00685C46"/>
    <w:rsid w:val="006877E0"/>
    <w:rsid w:val="00687C4E"/>
    <w:rsid w:val="006913B0"/>
    <w:rsid w:val="006913E7"/>
    <w:rsid w:val="00691469"/>
    <w:rsid w:val="0069309C"/>
    <w:rsid w:val="00695963"/>
    <w:rsid w:val="006973CE"/>
    <w:rsid w:val="006A1602"/>
    <w:rsid w:val="006A2617"/>
    <w:rsid w:val="006A2BD9"/>
    <w:rsid w:val="006A4E77"/>
    <w:rsid w:val="006A685D"/>
    <w:rsid w:val="006B080B"/>
    <w:rsid w:val="006B0BD2"/>
    <w:rsid w:val="006B0C75"/>
    <w:rsid w:val="006B16FF"/>
    <w:rsid w:val="006B232F"/>
    <w:rsid w:val="006B24F5"/>
    <w:rsid w:val="006B2C50"/>
    <w:rsid w:val="006B2D36"/>
    <w:rsid w:val="006C1C7D"/>
    <w:rsid w:val="006C2284"/>
    <w:rsid w:val="006C3C3F"/>
    <w:rsid w:val="006C4824"/>
    <w:rsid w:val="006C59F4"/>
    <w:rsid w:val="006C5E03"/>
    <w:rsid w:val="006C6714"/>
    <w:rsid w:val="006C6A06"/>
    <w:rsid w:val="006C7EC3"/>
    <w:rsid w:val="006D069D"/>
    <w:rsid w:val="006D06BD"/>
    <w:rsid w:val="006D093C"/>
    <w:rsid w:val="006D19E2"/>
    <w:rsid w:val="006D26E6"/>
    <w:rsid w:val="006D2836"/>
    <w:rsid w:val="006D343B"/>
    <w:rsid w:val="006D4235"/>
    <w:rsid w:val="006D6802"/>
    <w:rsid w:val="006D69C1"/>
    <w:rsid w:val="006D7058"/>
    <w:rsid w:val="006D7CDB"/>
    <w:rsid w:val="006E1CA3"/>
    <w:rsid w:val="006E35F0"/>
    <w:rsid w:val="006E4605"/>
    <w:rsid w:val="006E4E04"/>
    <w:rsid w:val="006E5EE1"/>
    <w:rsid w:val="006E7A8D"/>
    <w:rsid w:val="006F0E21"/>
    <w:rsid w:val="006F4A39"/>
    <w:rsid w:val="006F4F23"/>
    <w:rsid w:val="006F568F"/>
    <w:rsid w:val="006F62BE"/>
    <w:rsid w:val="006F6562"/>
    <w:rsid w:val="006F6597"/>
    <w:rsid w:val="006F7E44"/>
    <w:rsid w:val="007005AE"/>
    <w:rsid w:val="007006BA"/>
    <w:rsid w:val="00700CF3"/>
    <w:rsid w:val="00701CBC"/>
    <w:rsid w:val="00701FFE"/>
    <w:rsid w:val="00703934"/>
    <w:rsid w:val="007066FB"/>
    <w:rsid w:val="00706E8A"/>
    <w:rsid w:val="00707F52"/>
    <w:rsid w:val="00713D52"/>
    <w:rsid w:val="00714DC0"/>
    <w:rsid w:val="00715EC6"/>
    <w:rsid w:val="00717B96"/>
    <w:rsid w:val="0072011F"/>
    <w:rsid w:val="00720367"/>
    <w:rsid w:val="0072037C"/>
    <w:rsid w:val="0072121F"/>
    <w:rsid w:val="00721542"/>
    <w:rsid w:val="00721693"/>
    <w:rsid w:val="00723138"/>
    <w:rsid w:val="0072435A"/>
    <w:rsid w:val="0072475B"/>
    <w:rsid w:val="00725F60"/>
    <w:rsid w:val="00727263"/>
    <w:rsid w:val="007303B6"/>
    <w:rsid w:val="00731D27"/>
    <w:rsid w:val="00736DE5"/>
    <w:rsid w:val="00737CB8"/>
    <w:rsid w:val="007407A1"/>
    <w:rsid w:val="00741592"/>
    <w:rsid w:val="00742705"/>
    <w:rsid w:val="00742D89"/>
    <w:rsid w:val="00744302"/>
    <w:rsid w:val="00745281"/>
    <w:rsid w:val="0074616A"/>
    <w:rsid w:val="00752219"/>
    <w:rsid w:val="007534AF"/>
    <w:rsid w:val="0075398E"/>
    <w:rsid w:val="00753E93"/>
    <w:rsid w:val="00754C53"/>
    <w:rsid w:val="00755276"/>
    <w:rsid w:val="007561A8"/>
    <w:rsid w:val="00757026"/>
    <w:rsid w:val="007576F7"/>
    <w:rsid w:val="007602DF"/>
    <w:rsid w:val="00760CCD"/>
    <w:rsid w:val="00761BA9"/>
    <w:rsid w:val="00762974"/>
    <w:rsid w:val="0076362E"/>
    <w:rsid w:val="00763B3E"/>
    <w:rsid w:val="0076461E"/>
    <w:rsid w:val="00764A13"/>
    <w:rsid w:val="00765092"/>
    <w:rsid w:val="0076591B"/>
    <w:rsid w:val="00766ABC"/>
    <w:rsid w:val="00767352"/>
    <w:rsid w:val="007679E9"/>
    <w:rsid w:val="0077115D"/>
    <w:rsid w:val="00773409"/>
    <w:rsid w:val="00773A80"/>
    <w:rsid w:val="00773BF3"/>
    <w:rsid w:val="00773D74"/>
    <w:rsid w:val="007744C8"/>
    <w:rsid w:val="00777137"/>
    <w:rsid w:val="007777A1"/>
    <w:rsid w:val="007778EA"/>
    <w:rsid w:val="0077795A"/>
    <w:rsid w:val="00780088"/>
    <w:rsid w:val="0078132F"/>
    <w:rsid w:val="007814E4"/>
    <w:rsid w:val="00782689"/>
    <w:rsid w:val="0078367F"/>
    <w:rsid w:val="00783F8E"/>
    <w:rsid w:val="00784BC8"/>
    <w:rsid w:val="0078546B"/>
    <w:rsid w:val="00785ACE"/>
    <w:rsid w:val="00792C4B"/>
    <w:rsid w:val="007930A0"/>
    <w:rsid w:val="007959BF"/>
    <w:rsid w:val="007960B1"/>
    <w:rsid w:val="007963E8"/>
    <w:rsid w:val="00797496"/>
    <w:rsid w:val="007A0265"/>
    <w:rsid w:val="007A0937"/>
    <w:rsid w:val="007A1A56"/>
    <w:rsid w:val="007A57ED"/>
    <w:rsid w:val="007A66B2"/>
    <w:rsid w:val="007A779E"/>
    <w:rsid w:val="007B085D"/>
    <w:rsid w:val="007B123B"/>
    <w:rsid w:val="007B1339"/>
    <w:rsid w:val="007B2197"/>
    <w:rsid w:val="007B23F9"/>
    <w:rsid w:val="007B2B29"/>
    <w:rsid w:val="007B33B2"/>
    <w:rsid w:val="007B37CE"/>
    <w:rsid w:val="007B39DD"/>
    <w:rsid w:val="007B4388"/>
    <w:rsid w:val="007B4C44"/>
    <w:rsid w:val="007B4FD6"/>
    <w:rsid w:val="007B7975"/>
    <w:rsid w:val="007B7A03"/>
    <w:rsid w:val="007C281D"/>
    <w:rsid w:val="007C2A80"/>
    <w:rsid w:val="007C331B"/>
    <w:rsid w:val="007C5605"/>
    <w:rsid w:val="007C5A5C"/>
    <w:rsid w:val="007C7096"/>
    <w:rsid w:val="007D105E"/>
    <w:rsid w:val="007D19CA"/>
    <w:rsid w:val="007D1ACF"/>
    <w:rsid w:val="007D1FFC"/>
    <w:rsid w:val="007D2326"/>
    <w:rsid w:val="007D2C5F"/>
    <w:rsid w:val="007D3125"/>
    <w:rsid w:val="007D408E"/>
    <w:rsid w:val="007D4F99"/>
    <w:rsid w:val="007D5B85"/>
    <w:rsid w:val="007E030B"/>
    <w:rsid w:val="007E096F"/>
    <w:rsid w:val="007E25D1"/>
    <w:rsid w:val="007E54C2"/>
    <w:rsid w:val="007E787B"/>
    <w:rsid w:val="007F18FB"/>
    <w:rsid w:val="007F268E"/>
    <w:rsid w:val="007F359E"/>
    <w:rsid w:val="007F3EDD"/>
    <w:rsid w:val="007F480C"/>
    <w:rsid w:val="007F77C0"/>
    <w:rsid w:val="007F7AB6"/>
    <w:rsid w:val="007F7E7F"/>
    <w:rsid w:val="0080062E"/>
    <w:rsid w:val="00801AA8"/>
    <w:rsid w:val="00805A16"/>
    <w:rsid w:val="008063C1"/>
    <w:rsid w:val="00806D58"/>
    <w:rsid w:val="00807DA1"/>
    <w:rsid w:val="00810288"/>
    <w:rsid w:val="008140CB"/>
    <w:rsid w:val="00814BD2"/>
    <w:rsid w:val="00816E62"/>
    <w:rsid w:val="008171D6"/>
    <w:rsid w:val="00824D53"/>
    <w:rsid w:val="00825A0E"/>
    <w:rsid w:val="0082602F"/>
    <w:rsid w:val="00832956"/>
    <w:rsid w:val="00836CD4"/>
    <w:rsid w:val="00837BDB"/>
    <w:rsid w:val="00841E3D"/>
    <w:rsid w:val="00842F83"/>
    <w:rsid w:val="008433E2"/>
    <w:rsid w:val="00843A7C"/>
    <w:rsid w:val="008478B9"/>
    <w:rsid w:val="00847C95"/>
    <w:rsid w:val="00850C37"/>
    <w:rsid w:val="00850E15"/>
    <w:rsid w:val="00851AC6"/>
    <w:rsid w:val="00851BD6"/>
    <w:rsid w:val="00852F53"/>
    <w:rsid w:val="00853A5B"/>
    <w:rsid w:val="00856621"/>
    <w:rsid w:val="008576A3"/>
    <w:rsid w:val="008606E0"/>
    <w:rsid w:val="008609A6"/>
    <w:rsid w:val="00863284"/>
    <w:rsid w:val="00863506"/>
    <w:rsid w:val="00863934"/>
    <w:rsid w:val="00863F1F"/>
    <w:rsid w:val="0086413F"/>
    <w:rsid w:val="0086478A"/>
    <w:rsid w:val="00864DBD"/>
    <w:rsid w:val="00865841"/>
    <w:rsid w:val="00867F8E"/>
    <w:rsid w:val="00870691"/>
    <w:rsid w:val="00871A58"/>
    <w:rsid w:val="00873FB0"/>
    <w:rsid w:val="008742DC"/>
    <w:rsid w:val="00881BFF"/>
    <w:rsid w:val="00881ED8"/>
    <w:rsid w:val="00883656"/>
    <w:rsid w:val="00893FD0"/>
    <w:rsid w:val="0089488A"/>
    <w:rsid w:val="00894EEA"/>
    <w:rsid w:val="008953A2"/>
    <w:rsid w:val="008975BD"/>
    <w:rsid w:val="00897632"/>
    <w:rsid w:val="00897ADC"/>
    <w:rsid w:val="008A10FF"/>
    <w:rsid w:val="008A13F9"/>
    <w:rsid w:val="008A3E67"/>
    <w:rsid w:val="008A56DC"/>
    <w:rsid w:val="008A63E4"/>
    <w:rsid w:val="008A6D7D"/>
    <w:rsid w:val="008B0596"/>
    <w:rsid w:val="008B0895"/>
    <w:rsid w:val="008B0906"/>
    <w:rsid w:val="008B145D"/>
    <w:rsid w:val="008B2BBF"/>
    <w:rsid w:val="008B3161"/>
    <w:rsid w:val="008B350E"/>
    <w:rsid w:val="008B6C9A"/>
    <w:rsid w:val="008B6F29"/>
    <w:rsid w:val="008B7AD7"/>
    <w:rsid w:val="008B7E85"/>
    <w:rsid w:val="008C10EE"/>
    <w:rsid w:val="008C3798"/>
    <w:rsid w:val="008C67A2"/>
    <w:rsid w:val="008C724E"/>
    <w:rsid w:val="008D10B0"/>
    <w:rsid w:val="008D126A"/>
    <w:rsid w:val="008D138B"/>
    <w:rsid w:val="008D2D8B"/>
    <w:rsid w:val="008D31AE"/>
    <w:rsid w:val="008D4C8E"/>
    <w:rsid w:val="008D4E3F"/>
    <w:rsid w:val="008D59EE"/>
    <w:rsid w:val="008D62D9"/>
    <w:rsid w:val="008D7899"/>
    <w:rsid w:val="008E007C"/>
    <w:rsid w:val="008E06AE"/>
    <w:rsid w:val="008E07DC"/>
    <w:rsid w:val="008E0BA1"/>
    <w:rsid w:val="008E1FCB"/>
    <w:rsid w:val="008E2637"/>
    <w:rsid w:val="008E2742"/>
    <w:rsid w:val="008E351E"/>
    <w:rsid w:val="008E3691"/>
    <w:rsid w:val="008E53D4"/>
    <w:rsid w:val="008E6756"/>
    <w:rsid w:val="008E6CAE"/>
    <w:rsid w:val="008E7C48"/>
    <w:rsid w:val="008F2987"/>
    <w:rsid w:val="008F30BC"/>
    <w:rsid w:val="008F366F"/>
    <w:rsid w:val="008F393C"/>
    <w:rsid w:val="008F7C1C"/>
    <w:rsid w:val="009009C7"/>
    <w:rsid w:val="00900B06"/>
    <w:rsid w:val="00901C55"/>
    <w:rsid w:val="00902129"/>
    <w:rsid w:val="0090414F"/>
    <w:rsid w:val="00906979"/>
    <w:rsid w:val="009119FF"/>
    <w:rsid w:val="00912FE2"/>
    <w:rsid w:val="00913021"/>
    <w:rsid w:val="00915340"/>
    <w:rsid w:val="00915E6C"/>
    <w:rsid w:val="00916613"/>
    <w:rsid w:val="009179DC"/>
    <w:rsid w:val="00920BA2"/>
    <w:rsid w:val="009232B8"/>
    <w:rsid w:val="00923A9D"/>
    <w:rsid w:val="00924774"/>
    <w:rsid w:val="00924E3F"/>
    <w:rsid w:val="00925B65"/>
    <w:rsid w:val="0092608E"/>
    <w:rsid w:val="0092678F"/>
    <w:rsid w:val="00930EE7"/>
    <w:rsid w:val="009310CB"/>
    <w:rsid w:val="009312F8"/>
    <w:rsid w:val="00934708"/>
    <w:rsid w:val="00934BBA"/>
    <w:rsid w:val="00934C2B"/>
    <w:rsid w:val="00934C53"/>
    <w:rsid w:val="0093678C"/>
    <w:rsid w:val="00936AD9"/>
    <w:rsid w:val="00937275"/>
    <w:rsid w:val="00940F14"/>
    <w:rsid w:val="009417AE"/>
    <w:rsid w:val="0094219E"/>
    <w:rsid w:val="00943CBB"/>
    <w:rsid w:val="00943E95"/>
    <w:rsid w:val="00943ED1"/>
    <w:rsid w:val="00945589"/>
    <w:rsid w:val="00945DA5"/>
    <w:rsid w:val="00951009"/>
    <w:rsid w:val="009532DF"/>
    <w:rsid w:val="00957E68"/>
    <w:rsid w:val="00960142"/>
    <w:rsid w:val="0096180C"/>
    <w:rsid w:val="0096283E"/>
    <w:rsid w:val="00962B0D"/>
    <w:rsid w:val="009637B8"/>
    <w:rsid w:val="0096392A"/>
    <w:rsid w:val="00963B20"/>
    <w:rsid w:val="009648A4"/>
    <w:rsid w:val="00964B0B"/>
    <w:rsid w:val="00964EAF"/>
    <w:rsid w:val="009651BA"/>
    <w:rsid w:val="009655A7"/>
    <w:rsid w:val="00965D23"/>
    <w:rsid w:val="00966AEE"/>
    <w:rsid w:val="00967112"/>
    <w:rsid w:val="009674E2"/>
    <w:rsid w:val="0097030F"/>
    <w:rsid w:val="009706C7"/>
    <w:rsid w:val="00971646"/>
    <w:rsid w:val="00972D0D"/>
    <w:rsid w:val="009732B3"/>
    <w:rsid w:val="00973521"/>
    <w:rsid w:val="009739BC"/>
    <w:rsid w:val="00974918"/>
    <w:rsid w:val="00975672"/>
    <w:rsid w:val="009834D9"/>
    <w:rsid w:val="00983608"/>
    <w:rsid w:val="00983F58"/>
    <w:rsid w:val="00985BA1"/>
    <w:rsid w:val="00986872"/>
    <w:rsid w:val="00986F7E"/>
    <w:rsid w:val="009908C1"/>
    <w:rsid w:val="00992893"/>
    <w:rsid w:val="00993DAE"/>
    <w:rsid w:val="00996172"/>
    <w:rsid w:val="00996B55"/>
    <w:rsid w:val="00996B79"/>
    <w:rsid w:val="00997110"/>
    <w:rsid w:val="009A0983"/>
    <w:rsid w:val="009A3C1A"/>
    <w:rsid w:val="009A40F7"/>
    <w:rsid w:val="009A6C33"/>
    <w:rsid w:val="009A738A"/>
    <w:rsid w:val="009A76A7"/>
    <w:rsid w:val="009B15EE"/>
    <w:rsid w:val="009B2B3D"/>
    <w:rsid w:val="009B3F58"/>
    <w:rsid w:val="009B615D"/>
    <w:rsid w:val="009B663A"/>
    <w:rsid w:val="009C000A"/>
    <w:rsid w:val="009C1894"/>
    <w:rsid w:val="009C3417"/>
    <w:rsid w:val="009C4CAF"/>
    <w:rsid w:val="009D02F3"/>
    <w:rsid w:val="009D12A5"/>
    <w:rsid w:val="009D1BAC"/>
    <w:rsid w:val="009D6176"/>
    <w:rsid w:val="009D6D20"/>
    <w:rsid w:val="009D74F7"/>
    <w:rsid w:val="009E0D29"/>
    <w:rsid w:val="009E19D7"/>
    <w:rsid w:val="009E1BB5"/>
    <w:rsid w:val="009E2588"/>
    <w:rsid w:val="009E2B18"/>
    <w:rsid w:val="009E2C81"/>
    <w:rsid w:val="009E598F"/>
    <w:rsid w:val="009E5BE8"/>
    <w:rsid w:val="009E7704"/>
    <w:rsid w:val="009F4234"/>
    <w:rsid w:val="009F6315"/>
    <w:rsid w:val="009F793E"/>
    <w:rsid w:val="00A03611"/>
    <w:rsid w:val="00A05E50"/>
    <w:rsid w:val="00A11A86"/>
    <w:rsid w:val="00A120A7"/>
    <w:rsid w:val="00A1241C"/>
    <w:rsid w:val="00A12639"/>
    <w:rsid w:val="00A14A6B"/>
    <w:rsid w:val="00A1711F"/>
    <w:rsid w:val="00A173ED"/>
    <w:rsid w:val="00A21072"/>
    <w:rsid w:val="00A21631"/>
    <w:rsid w:val="00A2322C"/>
    <w:rsid w:val="00A23E27"/>
    <w:rsid w:val="00A24782"/>
    <w:rsid w:val="00A26662"/>
    <w:rsid w:val="00A3028F"/>
    <w:rsid w:val="00A30C51"/>
    <w:rsid w:val="00A315F0"/>
    <w:rsid w:val="00A33663"/>
    <w:rsid w:val="00A34164"/>
    <w:rsid w:val="00A36428"/>
    <w:rsid w:val="00A378A1"/>
    <w:rsid w:val="00A37C08"/>
    <w:rsid w:val="00A40A2D"/>
    <w:rsid w:val="00A41396"/>
    <w:rsid w:val="00A4259E"/>
    <w:rsid w:val="00A42ED4"/>
    <w:rsid w:val="00A4581D"/>
    <w:rsid w:val="00A46349"/>
    <w:rsid w:val="00A47616"/>
    <w:rsid w:val="00A47E13"/>
    <w:rsid w:val="00A50DC8"/>
    <w:rsid w:val="00A526AB"/>
    <w:rsid w:val="00A55483"/>
    <w:rsid w:val="00A55A1C"/>
    <w:rsid w:val="00A56EC8"/>
    <w:rsid w:val="00A574BB"/>
    <w:rsid w:val="00A60E16"/>
    <w:rsid w:val="00A60ED2"/>
    <w:rsid w:val="00A61269"/>
    <w:rsid w:val="00A63E1E"/>
    <w:rsid w:val="00A63F93"/>
    <w:rsid w:val="00A64562"/>
    <w:rsid w:val="00A64995"/>
    <w:rsid w:val="00A662AB"/>
    <w:rsid w:val="00A66A92"/>
    <w:rsid w:val="00A66F46"/>
    <w:rsid w:val="00A67A1F"/>
    <w:rsid w:val="00A67E87"/>
    <w:rsid w:val="00A70213"/>
    <w:rsid w:val="00A7259D"/>
    <w:rsid w:val="00A72C09"/>
    <w:rsid w:val="00A7578E"/>
    <w:rsid w:val="00A761C8"/>
    <w:rsid w:val="00A77AAF"/>
    <w:rsid w:val="00A8127A"/>
    <w:rsid w:val="00A81E31"/>
    <w:rsid w:val="00A836EE"/>
    <w:rsid w:val="00A861C1"/>
    <w:rsid w:val="00A87927"/>
    <w:rsid w:val="00A90734"/>
    <w:rsid w:val="00A90A42"/>
    <w:rsid w:val="00A91156"/>
    <w:rsid w:val="00A92047"/>
    <w:rsid w:val="00A93C3D"/>
    <w:rsid w:val="00A93CD7"/>
    <w:rsid w:val="00A9520F"/>
    <w:rsid w:val="00A95D81"/>
    <w:rsid w:val="00A972B8"/>
    <w:rsid w:val="00A97B94"/>
    <w:rsid w:val="00AA0F0C"/>
    <w:rsid w:val="00AA0F22"/>
    <w:rsid w:val="00AA27CA"/>
    <w:rsid w:val="00AA294E"/>
    <w:rsid w:val="00AA30BC"/>
    <w:rsid w:val="00AA6CFF"/>
    <w:rsid w:val="00AA6EDE"/>
    <w:rsid w:val="00AA7E18"/>
    <w:rsid w:val="00AB0D0C"/>
    <w:rsid w:val="00AB1D69"/>
    <w:rsid w:val="00AB272B"/>
    <w:rsid w:val="00AB2E74"/>
    <w:rsid w:val="00AB33C8"/>
    <w:rsid w:val="00AB360D"/>
    <w:rsid w:val="00AB40F0"/>
    <w:rsid w:val="00AB45B1"/>
    <w:rsid w:val="00AB5385"/>
    <w:rsid w:val="00AB6A9A"/>
    <w:rsid w:val="00AB6F4F"/>
    <w:rsid w:val="00AB7A57"/>
    <w:rsid w:val="00AB7A5D"/>
    <w:rsid w:val="00AC05EF"/>
    <w:rsid w:val="00AC143D"/>
    <w:rsid w:val="00AC1F7A"/>
    <w:rsid w:val="00AC51D9"/>
    <w:rsid w:val="00AC6E06"/>
    <w:rsid w:val="00AD0962"/>
    <w:rsid w:val="00AD0F0B"/>
    <w:rsid w:val="00AD1533"/>
    <w:rsid w:val="00AD2893"/>
    <w:rsid w:val="00AD384F"/>
    <w:rsid w:val="00AD3EE0"/>
    <w:rsid w:val="00AD3FFE"/>
    <w:rsid w:val="00AD43F5"/>
    <w:rsid w:val="00AD6680"/>
    <w:rsid w:val="00AD7D6A"/>
    <w:rsid w:val="00AD7DAC"/>
    <w:rsid w:val="00AD7FF8"/>
    <w:rsid w:val="00AE16A5"/>
    <w:rsid w:val="00AE17E3"/>
    <w:rsid w:val="00AE3D95"/>
    <w:rsid w:val="00AE4C43"/>
    <w:rsid w:val="00AE51B8"/>
    <w:rsid w:val="00AE5707"/>
    <w:rsid w:val="00AE62B1"/>
    <w:rsid w:val="00AE7E83"/>
    <w:rsid w:val="00AF097F"/>
    <w:rsid w:val="00AF1BF2"/>
    <w:rsid w:val="00AF1BF5"/>
    <w:rsid w:val="00AF55D8"/>
    <w:rsid w:val="00AF5D2A"/>
    <w:rsid w:val="00B007B0"/>
    <w:rsid w:val="00B017FD"/>
    <w:rsid w:val="00B01FA3"/>
    <w:rsid w:val="00B047D6"/>
    <w:rsid w:val="00B04BBA"/>
    <w:rsid w:val="00B0594D"/>
    <w:rsid w:val="00B07579"/>
    <w:rsid w:val="00B079D5"/>
    <w:rsid w:val="00B10423"/>
    <w:rsid w:val="00B10517"/>
    <w:rsid w:val="00B1060B"/>
    <w:rsid w:val="00B10E54"/>
    <w:rsid w:val="00B12E37"/>
    <w:rsid w:val="00B17F97"/>
    <w:rsid w:val="00B20355"/>
    <w:rsid w:val="00B20AB9"/>
    <w:rsid w:val="00B22BD1"/>
    <w:rsid w:val="00B2348F"/>
    <w:rsid w:val="00B23AB2"/>
    <w:rsid w:val="00B23D74"/>
    <w:rsid w:val="00B24C45"/>
    <w:rsid w:val="00B26E43"/>
    <w:rsid w:val="00B27232"/>
    <w:rsid w:val="00B27E7E"/>
    <w:rsid w:val="00B27F31"/>
    <w:rsid w:val="00B3079F"/>
    <w:rsid w:val="00B31661"/>
    <w:rsid w:val="00B32C1C"/>
    <w:rsid w:val="00B32D95"/>
    <w:rsid w:val="00B32E6F"/>
    <w:rsid w:val="00B3320B"/>
    <w:rsid w:val="00B3557A"/>
    <w:rsid w:val="00B357FC"/>
    <w:rsid w:val="00B4161A"/>
    <w:rsid w:val="00B42335"/>
    <w:rsid w:val="00B476DA"/>
    <w:rsid w:val="00B50829"/>
    <w:rsid w:val="00B5480F"/>
    <w:rsid w:val="00B56303"/>
    <w:rsid w:val="00B5741A"/>
    <w:rsid w:val="00B6015B"/>
    <w:rsid w:val="00B6054A"/>
    <w:rsid w:val="00B62959"/>
    <w:rsid w:val="00B63F55"/>
    <w:rsid w:val="00B6426C"/>
    <w:rsid w:val="00B642BE"/>
    <w:rsid w:val="00B646E8"/>
    <w:rsid w:val="00B65E34"/>
    <w:rsid w:val="00B71A11"/>
    <w:rsid w:val="00B71C67"/>
    <w:rsid w:val="00B72495"/>
    <w:rsid w:val="00B72920"/>
    <w:rsid w:val="00B72ED2"/>
    <w:rsid w:val="00B73752"/>
    <w:rsid w:val="00B73B03"/>
    <w:rsid w:val="00B7425E"/>
    <w:rsid w:val="00B75F0E"/>
    <w:rsid w:val="00B7621D"/>
    <w:rsid w:val="00B76570"/>
    <w:rsid w:val="00B76AC3"/>
    <w:rsid w:val="00B80F17"/>
    <w:rsid w:val="00B81BC1"/>
    <w:rsid w:val="00B82886"/>
    <w:rsid w:val="00B853BF"/>
    <w:rsid w:val="00B91F96"/>
    <w:rsid w:val="00B92383"/>
    <w:rsid w:val="00B927F2"/>
    <w:rsid w:val="00B93173"/>
    <w:rsid w:val="00B93CA2"/>
    <w:rsid w:val="00B9435C"/>
    <w:rsid w:val="00B94B20"/>
    <w:rsid w:val="00B953B9"/>
    <w:rsid w:val="00B968ED"/>
    <w:rsid w:val="00B973A6"/>
    <w:rsid w:val="00B9788B"/>
    <w:rsid w:val="00B97B22"/>
    <w:rsid w:val="00BA36E0"/>
    <w:rsid w:val="00BA5559"/>
    <w:rsid w:val="00BA565C"/>
    <w:rsid w:val="00BA6887"/>
    <w:rsid w:val="00BA747C"/>
    <w:rsid w:val="00BB0396"/>
    <w:rsid w:val="00BB1932"/>
    <w:rsid w:val="00BB4306"/>
    <w:rsid w:val="00BB5048"/>
    <w:rsid w:val="00BB580B"/>
    <w:rsid w:val="00BB69EF"/>
    <w:rsid w:val="00BB6E6C"/>
    <w:rsid w:val="00BC1016"/>
    <w:rsid w:val="00BC108D"/>
    <w:rsid w:val="00BC11D8"/>
    <w:rsid w:val="00BC232E"/>
    <w:rsid w:val="00BC2ED2"/>
    <w:rsid w:val="00BC3876"/>
    <w:rsid w:val="00BC5195"/>
    <w:rsid w:val="00BC51CE"/>
    <w:rsid w:val="00BC60D4"/>
    <w:rsid w:val="00BC6484"/>
    <w:rsid w:val="00BC67AA"/>
    <w:rsid w:val="00BC757E"/>
    <w:rsid w:val="00BC7C97"/>
    <w:rsid w:val="00BC7EFE"/>
    <w:rsid w:val="00BD090E"/>
    <w:rsid w:val="00BD14A2"/>
    <w:rsid w:val="00BD1708"/>
    <w:rsid w:val="00BD4544"/>
    <w:rsid w:val="00BD50C8"/>
    <w:rsid w:val="00BD5369"/>
    <w:rsid w:val="00BD6C26"/>
    <w:rsid w:val="00BD6EC9"/>
    <w:rsid w:val="00BE0876"/>
    <w:rsid w:val="00BE0D9C"/>
    <w:rsid w:val="00BE3C6A"/>
    <w:rsid w:val="00BE496B"/>
    <w:rsid w:val="00BE5782"/>
    <w:rsid w:val="00BE5E06"/>
    <w:rsid w:val="00BE62C4"/>
    <w:rsid w:val="00BE6D22"/>
    <w:rsid w:val="00BE76CB"/>
    <w:rsid w:val="00BE7FA8"/>
    <w:rsid w:val="00BF076A"/>
    <w:rsid w:val="00BF27D5"/>
    <w:rsid w:val="00BF2E2C"/>
    <w:rsid w:val="00BF5D31"/>
    <w:rsid w:val="00C025AB"/>
    <w:rsid w:val="00C027DA"/>
    <w:rsid w:val="00C03CE3"/>
    <w:rsid w:val="00C06FA4"/>
    <w:rsid w:val="00C150BF"/>
    <w:rsid w:val="00C15157"/>
    <w:rsid w:val="00C157F4"/>
    <w:rsid w:val="00C16BD7"/>
    <w:rsid w:val="00C174E4"/>
    <w:rsid w:val="00C17811"/>
    <w:rsid w:val="00C20A7A"/>
    <w:rsid w:val="00C22882"/>
    <w:rsid w:val="00C23B0A"/>
    <w:rsid w:val="00C241BE"/>
    <w:rsid w:val="00C245E9"/>
    <w:rsid w:val="00C25830"/>
    <w:rsid w:val="00C25BA1"/>
    <w:rsid w:val="00C26692"/>
    <w:rsid w:val="00C26B21"/>
    <w:rsid w:val="00C270C8"/>
    <w:rsid w:val="00C27AB8"/>
    <w:rsid w:val="00C3048D"/>
    <w:rsid w:val="00C31892"/>
    <w:rsid w:val="00C31956"/>
    <w:rsid w:val="00C330FB"/>
    <w:rsid w:val="00C3371C"/>
    <w:rsid w:val="00C33907"/>
    <w:rsid w:val="00C34EDB"/>
    <w:rsid w:val="00C36185"/>
    <w:rsid w:val="00C3631C"/>
    <w:rsid w:val="00C36F5B"/>
    <w:rsid w:val="00C37540"/>
    <w:rsid w:val="00C37A05"/>
    <w:rsid w:val="00C40C2A"/>
    <w:rsid w:val="00C42EE1"/>
    <w:rsid w:val="00C44AA7"/>
    <w:rsid w:val="00C44E65"/>
    <w:rsid w:val="00C46610"/>
    <w:rsid w:val="00C478A7"/>
    <w:rsid w:val="00C5037C"/>
    <w:rsid w:val="00C5123D"/>
    <w:rsid w:val="00C540B2"/>
    <w:rsid w:val="00C545F2"/>
    <w:rsid w:val="00C54707"/>
    <w:rsid w:val="00C55E06"/>
    <w:rsid w:val="00C55E5E"/>
    <w:rsid w:val="00C569B6"/>
    <w:rsid w:val="00C56D44"/>
    <w:rsid w:val="00C601A0"/>
    <w:rsid w:val="00C60911"/>
    <w:rsid w:val="00C61C02"/>
    <w:rsid w:val="00C61D57"/>
    <w:rsid w:val="00C64CAF"/>
    <w:rsid w:val="00C65785"/>
    <w:rsid w:val="00C65841"/>
    <w:rsid w:val="00C70665"/>
    <w:rsid w:val="00C70DD7"/>
    <w:rsid w:val="00C71348"/>
    <w:rsid w:val="00C71D50"/>
    <w:rsid w:val="00C73282"/>
    <w:rsid w:val="00C745A9"/>
    <w:rsid w:val="00C74CD0"/>
    <w:rsid w:val="00C760D0"/>
    <w:rsid w:val="00C768AB"/>
    <w:rsid w:val="00C77715"/>
    <w:rsid w:val="00C814E2"/>
    <w:rsid w:val="00C81CC7"/>
    <w:rsid w:val="00C82410"/>
    <w:rsid w:val="00C84F55"/>
    <w:rsid w:val="00C858FF"/>
    <w:rsid w:val="00C86580"/>
    <w:rsid w:val="00C86D4D"/>
    <w:rsid w:val="00C86EE4"/>
    <w:rsid w:val="00C91E62"/>
    <w:rsid w:val="00C93E4B"/>
    <w:rsid w:val="00C93FCA"/>
    <w:rsid w:val="00C949EF"/>
    <w:rsid w:val="00C95933"/>
    <w:rsid w:val="00CA335E"/>
    <w:rsid w:val="00CA3B37"/>
    <w:rsid w:val="00CA47E9"/>
    <w:rsid w:val="00CA5658"/>
    <w:rsid w:val="00CA7245"/>
    <w:rsid w:val="00CA72A8"/>
    <w:rsid w:val="00CA7B0B"/>
    <w:rsid w:val="00CB0F22"/>
    <w:rsid w:val="00CB13BC"/>
    <w:rsid w:val="00CB2D5C"/>
    <w:rsid w:val="00CB2FB8"/>
    <w:rsid w:val="00CB30EA"/>
    <w:rsid w:val="00CB36C7"/>
    <w:rsid w:val="00CB3D75"/>
    <w:rsid w:val="00CB4E1B"/>
    <w:rsid w:val="00CB5BD2"/>
    <w:rsid w:val="00CB6C4D"/>
    <w:rsid w:val="00CC24E4"/>
    <w:rsid w:val="00CC357B"/>
    <w:rsid w:val="00CC37FB"/>
    <w:rsid w:val="00CC3A6C"/>
    <w:rsid w:val="00CC3B75"/>
    <w:rsid w:val="00CC4DA2"/>
    <w:rsid w:val="00CD29BB"/>
    <w:rsid w:val="00CD492B"/>
    <w:rsid w:val="00CD5A95"/>
    <w:rsid w:val="00CD5EDC"/>
    <w:rsid w:val="00CD6321"/>
    <w:rsid w:val="00CD6395"/>
    <w:rsid w:val="00CE0AF5"/>
    <w:rsid w:val="00CE1095"/>
    <w:rsid w:val="00CE1CA6"/>
    <w:rsid w:val="00CF174D"/>
    <w:rsid w:val="00CF182D"/>
    <w:rsid w:val="00CF1D21"/>
    <w:rsid w:val="00CF220F"/>
    <w:rsid w:val="00CF5D61"/>
    <w:rsid w:val="00CF7BDB"/>
    <w:rsid w:val="00D0027B"/>
    <w:rsid w:val="00D004D1"/>
    <w:rsid w:val="00D00C3C"/>
    <w:rsid w:val="00D0233D"/>
    <w:rsid w:val="00D05A8D"/>
    <w:rsid w:val="00D12705"/>
    <w:rsid w:val="00D14EC8"/>
    <w:rsid w:val="00D15D34"/>
    <w:rsid w:val="00D165DF"/>
    <w:rsid w:val="00D17CEF"/>
    <w:rsid w:val="00D21C56"/>
    <w:rsid w:val="00D21E1E"/>
    <w:rsid w:val="00D2312E"/>
    <w:rsid w:val="00D307D9"/>
    <w:rsid w:val="00D3093C"/>
    <w:rsid w:val="00D31F34"/>
    <w:rsid w:val="00D326AE"/>
    <w:rsid w:val="00D32743"/>
    <w:rsid w:val="00D34DF7"/>
    <w:rsid w:val="00D372AE"/>
    <w:rsid w:val="00D372B3"/>
    <w:rsid w:val="00D406C8"/>
    <w:rsid w:val="00D407E8"/>
    <w:rsid w:val="00D41444"/>
    <w:rsid w:val="00D41EF1"/>
    <w:rsid w:val="00D432F0"/>
    <w:rsid w:val="00D437A5"/>
    <w:rsid w:val="00D44B4E"/>
    <w:rsid w:val="00D4778B"/>
    <w:rsid w:val="00D51892"/>
    <w:rsid w:val="00D54750"/>
    <w:rsid w:val="00D555E5"/>
    <w:rsid w:val="00D55F63"/>
    <w:rsid w:val="00D60292"/>
    <w:rsid w:val="00D61D45"/>
    <w:rsid w:val="00D621AB"/>
    <w:rsid w:val="00D62E57"/>
    <w:rsid w:val="00D63B49"/>
    <w:rsid w:val="00D64B1D"/>
    <w:rsid w:val="00D65511"/>
    <w:rsid w:val="00D716C8"/>
    <w:rsid w:val="00D72005"/>
    <w:rsid w:val="00D74CB7"/>
    <w:rsid w:val="00D7568F"/>
    <w:rsid w:val="00D76346"/>
    <w:rsid w:val="00D76D3F"/>
    <w:rsid w:val="00D82B10"/>
    <w:rsid w:val="00D8432F"/>
    <w:rsid w:val="00D848F8"/>
    <w:rsid w:val="00D84B76"/>
    <w:rsid w:val="00D8542A"/>
    <w:rsid w:val="00D85ED4"/>
    <w:rsid w:val="00D85F67"/>
    <w:rsid w:val="00D860FD"/>
    <w:rsid w:val="00D86DA5"/>
    <w:rsid w:val="00D87E9A"/>
    <w:rsid w:val="00D9128D"/>
    <w:rsid w:val="00D930DE"/>
    <w:rsid w:val="00D93E90"/>
    <w:rsid w:val="00D94718"/>
    <w:rsid w:val="00D9487E"/>
    <w:rsid w:val="00D94912"/>
    <w:rsid w:val="00D94985"/>
    <w:rsid w:val="00D9582A"/>
    <w:rsid w:val="00D958D9"/>
    <w:rsid w:val="00D976F2"/>
    <w:rsid w:val="00DA035D"/>
    <w:rsid w:val="00DA14AF"/>
    <w:rsid w:val="00DA16E1"/>
    <w:rsid w:val="00DA270A"/>
    <w:rsid w:val="00DA27C6"/>
    <w:rsid w:val="00DA3590"/>
    <w:rsid w:val="00DA5417"/>
    <w:rsid w:val="00DA5585"/>
    <w:rsid w:val="00DA5853"/>
    <w:rsid w:val="00DA6032"/>
    <w:rsid w:val="00DA6E90"/>
    <w:rsid w:val="00DB090D"/>
    <w:rsid w:val="00DB221F"/>
    <w:rsid w:val="00DB2F4A"/>
    <w:rsid w:val="00DB674E"/>
    <w:rsid w:val="00DC0095"/>
    <w:rsid w:val="00DC1579"/>
    <w:rsid w:val="00DC2705"/>
    <w:rsid w:val="00DC2861"/>
    <w:rsid w:val="00DC5D00"/>
    <w:rsid w:val="00DC6543"/>
    <w:rsid w:val="00DD03C4"/>
    <w:rsid w:val="00DD0F11"/>
    <w:rsid w:val="00DD14D4"/>
    <w:rsid w:val="00DD1C51"/>
    <w:rsid w:val="00DD2C95"/>
    <w:rsid w:val="00DD45D6"/>
    <w:rsid w:val="00DD47C9"/>
    <w:rsid w:val="00DD52E2"/>
    <w:rsid w:val="00DD53F8"/>
    <w:rsid w:val="00DD59DE"/>
    <w:rsid w:val="00DD79E4"/>
    <w:rsid w:val="00DE12F5"/>
    <w:rsid w:val="00DE3485"/>
    <w:rsid w:val="00DE7EB2"/>
    <w:rsid w:val="00DF0A2B"/>
    <w:rsid w:val="00DF0C91"/>
    <w:rsid w:val="00DF36F2"/>
    <w:rsid w:val="00DF3847"/>
    <w:rsid w:val="00DF6058"/>
    <w:rsid w:val="00DF67A1"/>
    <w:rsid w:val="00E00F07"/>
    <w:rsid w:val="00E014C1"/>
    <w:rsid w:val="00E02A4B"/>
    <w:rsid w:val="00E02E27"/>
    <w:rsid w:val="00E02E7A"/>
    <w:rsid w:val="00E04A79"/>
    <w:rsid w:val="00E053A7"/>
    <w:rsid w:val="00E1358A"/>
    <w:rsid w:val="00E145AD"/>
    <w:rsid w:val="00E17083"/>
    <w:rsid w:val="00E17803"/>
    <w:rsid w:val="00E17CF0"/>
    <w:rsid w:val="00E204F2"/>
    <w:rsid w:val="00E20758"/>
    <w:rsid w:val="00E224E5"/>
    <w:rsid w:val="00E24094"/>
    <w:rsid w:val="00E24308"/>
    <w:rsid w:val="00E2467B"/>
    <w:rsid w:val="00E24D28"/>
    <w:rsid w:val="00E2648D"/>
    <w:rsid w:val="00E26A25"/>
    <w:rsid w:val="00E27EA3"/>
    <w:rsid w:val="00E30475"/>
    <w:rsid w:val="00E31646"/>
    <w:rsid w:val="00E35778"/>
    <w:rsid w:val="00E35C5E"/>
    <w:rsid w:val="00E35FB5"/>
    <w:rsid w:val="00E367C7"/>
    <w:rsid w:val="00E36B5B"/>
    <w:rsid w:val="00E40681"/>
    <w:rsid w:val="00E40927"/>
    <w:rsid w:val="00E41318"/>
    <w:rsid w:val="00E41AFC"/>
    <w:rsid w:val="00E42C7F"/>
    <w:rsid w:val="00E43D19"/>
    <w:rsid w:val="00E44198"/>
    <w:rsid w:val="00E50A86"/>
    <w:rsid w:val="00E50C5C"/>
    <w:rsid w:val="00E51FEE"/>
    <w:rsid w:val="00E531C3"/>
    <w:rsid w:val="00E53D89"/>
    <w:rsid w:val="00E53E00"/>
    <w:rsid w:val="00E54629"/>
    <w:rsid w:val="00E54C1C"/>
    <w:rsid w:val="00E54EA8"/>
    <w:rsid w:val="00E55106"/>
    <w:rsid w:val="00E56255"/>
    <w:rsid w:val="00E567FF"/>
    <w:rsid w:val="00E61962"/>
    <w:rsid w:val="00E61AB0"/>
    <w:rsid w:val="00E61C1C"/>
    <w:rsid w:val="00E62097"/>
    <w:rsid w:val="00E62422"/>
    <w:rsid w:val="00E634B9"/>
    <w:rsid w:val="00E65826"/>
    <w:rsid w:val="00E71AC6"/>
    <w:rsid w:val="00E72B3B"/>
    <w:rsid w:val="00E7461E"/>
    <w:rsid w:val="00E76250"/>
    <w:rsid w:val="00E7683A"/>
    <w:rsid w:val="00E83856"/>
    <w:rsid w:val="00E83FD5"/>
    <w:rsid w:val="00E83FF6"/>
    <w:rsid w:val="00E8582D"/>
    <w:rsid w:val="00E8769F"/>
    <w:rsid w:val="00E9056B"/>
    <w:rsid w:val="00E905E2"/>
    <w:rsid w:val="00E929CB"/>
    <w:rsid w:val="00E93A7D"/>
    <w:rsid w:val="00E93AF9"/>
    <w:rsid w:val="00E93D6D"/>
    <w:rsid w:val="00EA0192"/>
    <w:rsid w:val="00EA182F"/>
    <w:rsid w:val="00EA2B74"/>
    <w:rsid w:val="00EA2E49"/>
    <w:rsid w:val="00EA31EC"/>
    <w:rsid w:val="00EA52E7"/>
    <w:rsid w:val="00EB084A"/>
    <w:rsid w:val="00EB0ECB"/>
    <w:rsid w:val="00EB195D"/>
    <w:rsid w:val="00EB2CA6"/>
    <w:rsid w:val="00EB35DB"/>
    <w:rsid w:val="00EB4BCE"/>
    <w:rsid w:val="00EB4E51"/>
    <w:rsid w:val="00EB50CD"/>
    <w:rsid w:val="00EB5EA2"/>
    <w:rsid w:val="00EB648F"/>
    <w:rsid w:val="00EB6F9A"/>
    <w:rsid w:val="00EC2943"/>
    <w:rsid w:val="00EC4F86"/>
    <w:rsid w:val="00EC7470"/>
    <w:rsid w:val="00ED0C0A"/>
    <w:rsid w:val="00ED3AC0"/>
    <w:rsid w:val="00ED7938"/>
    <w:rsid w:val="00EE10D7"/>
    <w:rsid w:val="00EE55D0"/>
    <w:rsid w:val="00EE7AAF"/>
    <w:rsid w:val="00EE7B9E"/>
    <w:rsid w:val="00EE7E9E"/>
    <w:rsid w:val="00EF0441"/>
    <w:rsid w:val="00EF052D"/>
    <w:rsid w:val="00EF11D0"/>
    <w:rsid w:val="00EF164C"/>
    <w:rsid w:val="00EF21DE"/>
    <w:rsid w:val="00EF2A74"/>
    <w:rsid w:val="00EF4097"/>
    <w:rsid w:val="00EF4BC4"/>
    <w:rsid w:val="00EF4E5A"/>
    <w:rsid w:val="00EF7C25"/>
    <w:rsid w:val="00F00B04"/>
    <w:rsid w:val="00F00BF9"/>
    <w:rsid w:val="00F010FD"/>
    <w:rsid w:val="00F0197E"/>
    <w:rsid w:val="00F042DC"/>
    <w:rsid w:val="00F0531B"/>
    <w:rsid w:val="00F06155"/>
    <w:rsid w:val="00F07556"/>
    <w:rsid w:val="00F07B74"/>
    <w:rsid w:val="00F1262F"/>
    <w:rsid w:val="00F127F6"/>
    <w:rsid w:val="00F15B46"/>
    <w:rsid w:val="00F22ECD"/>
    <w:rsid w:val="00F25929"/>
    <w:rsid w:val="00F26372"/>
    <w:rsid w:val="00F26384"/>
    <w:rsid w:val="00F27080"/>
    <w:rsid w:val="00F2717D"/>
    <w:rsid w:val="00F30918"/>
    <w:rsid w:val="00F30B48"/>
    <w:rsid w:val="00F3190C"/>
    <w:rsid w:val="00F31A84"/>
    <w:rsid w:val="00F31FF2"/>
    <w:rsid w:val="00F321EB"/>
    <w:rsid w:val="00F33731"/>
    <w:rsid w:val="00F3454C"/>
    <w:rsid w:val="00F346A1"/>
    <w:rsid w:val="00F350A1"/>
    <w:rsid w:val="00F367A9"/>
    <w:rsid w:val="00F36A49"/>
    <w:rsid w:val="00F42472"/>
    <w:rsid w:val="00F42A69"/>
    <w:rsid w:val="00F42DDA"/>
    <w:rsid w:val="00F445B6"/>
    <w:rsid w:val="00F501E3"/>
    <w:rsid w:val="00F513E2"/>
    <w:rsid w:val="00F544C6"/>
    <w:rsid w:val="00F55918"/>
    <w:rsid w:val="00F559F0"/>
    <w:rsid w:val="00F5600E"/>
    <w:rsid w:val="00F567F8"/>
    <w:rsid w:val="00F60F71"/>
    <w:rsid w:val="00F613A2"/>
    <w:rsid w:val="00F62392"/>
    <w:rsid w:val="00F62E1E"/>
    <w:rsid w:val="00F65431"/>
    <w:rsid w:val="00F66677"/>
    <w:rsid w:val="00F6712E"/>
    <w:rsid w:val="00F67562"/>
    <w:rsid w:val="00F675D1"/>
    <w:rsid w:val="00F67ADC"/>
    <w:rsid w:val="00F70618"/>
    <w:rsid w:val="00F7184F"/>
    <w:rsid w:val="00F73131"/>
    <w:rsid w:val="00F73C28"/>
    <w:rsid w:val="00F74759"/>
    <w:rsid w:val="00F765F9"/>
    <w:rsid w:val="00F7753D"/>
    <w:rsid w:val="00F7795B"/>
    <w:rsid w:val="00F81DB6"/>
    <w:rsid w:val="00F821DE"/>
    <w:rsid w:val="00F83334"/>
    <w:rsid w:val="00F83382"/>
    <w:rsid w:val="00F833F1"/>
    <w:rsid w:val="00F850E7"/>
    <w:rsid w:val="00F869C9"/>
    <w:rsid w:val="00F9086A"/>
    <w:rsid w:val="00F94F91"/>
    <w:rsid w:val="00F950F4"/>
    <w:rsid w:val="00F95231"/>
    <w:rsid w:val="00F953AA"/>
    <w:rsid w:val="00F95C4F"/>
    <w:rsid w:val="00F96D73"/>
    <w:rsid w:val="00FA023D"/>
    <w:rsid w:val="00FA0A0D"/>
    <w:rsid w:val="00FA0AB9"/>
    <w:rsid w:val="00FA2A65"/>
    <w:rsid w:val="00FA3025"/>
    <w:rsid w:val="00FA3448"/>
    <w:rsid w:val="00FA3AC8"/>
    <w:rsid w:val="00FA4172"/>
    <w:rsid w:val="00FA6D47"/>
    <w:rsid w:val="00FA6F26"/>
    <w:rsid w:val="00FB2B76"/>
    <w:rsid w:val="00FB309A"/>
    <w:rsid w:val="00FB4251"/>
    <w:rsid w:val="00FB594F"/>
    <w:rsid w:val="00FB6458"/>
    <w:rsid w:val="00FB76F6"/>
    <w:rsid w:val="00FC0DCE"/>
    <w:rsid w:val="00FC10B3"/>
    <w:rsid w:val="00FC11BB"/>
    <w:rsid w:val="00FC3E94"/>
    <w:rsid w:val="00FC477A"/>
    <w:rsid w:val="00FC572E"/>
    <w:rsid w:val="00FC5EF1"/>
    <w:rsid w:val="00FC7150"/>
    <w:rsid w:val="00FC7151"/>
    <w:rsid w:val="00FD138E"/>
    <w:rsid w:val="00FD2AE6"/>
    <w:rsid w:val="00FD5303"/>
    <w:rsid w:val="00FD5448"/>
    <w:rsid w:val="00FD782C"/>
    <w:rsid w:val="00FE0569"/>
    <w:rsid w:val="00FE1B0E"/>
    <w:rsid w:val="00FE1FA0"/>
    <w:rsid w:val="00FE200E"/>
    <w:rsid w:val="00FE2870"/>
    <w:rsid w:val="00FE2E07"/>
    <w:rsid w:val="00FE47AD"/>
    <w:rsid w:val="00FE49F7"/>
    <w:rsid w:val="00FE5755"/>
    <w:rsid w:val="00FE6D15"/>
    <w:rsid w:val="00FE7CEA"/>
    <w:rsid w:val="00FE7F7B"/>
    <w:rsid w:val="00FF0A89"/>
    <w:rsid w:val="00FF0DBE"/>
    <w:rsid w:val="00FF38DC"/>
    <w:rsid w:val="00FF3E6F"/>
    <w:rsid w:val="00FF4650"/>
    <w:rsid w:val="00FF7BEC"/>
    <w:rsid w:val="016C1738"/>
    <w:rsid w:val="021D0F93"/>
    <w:rsid w:val="04830CD2"/>
    <w:rsid w:val="057C58B2"/>
    <w:rsid w:val="06CA47C0"/>
    <w:rsid w:val="06D67D39"/>
    <w:rsid w:val="077C22FC"/>
    <w:rsid w:val="0894078E"/>
    <w:rsid w:val="09600B1D"/>
    <w:rsid w:val="09E9650E"/>
    <w:rsid w:val="0A7322FC"/>
    <w:rsid w:val="0C273C26"/>
    <w:rsid w:val="0C4646B0"/>
    <w:rsid w:val="0EB1632C"/>
    <w:rsid w:val="0F5337A0"/>
    <w:rsid w:val="0FBA7D0C"/>
    <w:rsid w:val="102F7D7D"/>
    <w:rsid w:val="13C4753B"/>
    <w:rsid w:val="14E559EA"/>
    <w:rsid w:val="15F158BF"/>
    <w:rsid w:val="16053E99"/>
    <w:rsid w:val="190B53E7"/>
    <w:rsid w:val="19A66173"/>
    <w:rsid w:val="1A9120E3"/>
    <w:rsid w:val="1C755AB4"/>
    <w:rsid w:val="1CAD2761"/>
    <w:rsid w:val="1D041CE2"/>
    <w:rsid w:val="1D60082E"/>
    <w:rsid w:val="1ED91A9C"/>
    <w:rsid w:val="1FFE4F20"/>
    <w:rsid w:val="20072C23"/>
    <w:rsid w:val="203C4C8B"/>
    <w:rsid w:val="211535CB"/>
    <w:rsid w:val="211E2B61"/>
    <w:rsid w:val="255332AF"/>
    <w:rsid w:val="258E59F8"/>
    <w:rsid w:val="268A0FF9"/>
    <w:rsid w:val="26C93FB6"/>
    <w:rsid w:val="28033FDC"/>
    <w:rsid w:val="280D7F14"/>
    <w:rsid w:val="2814341F"/>
    <w:rsid w:val="28FF7F80"/>
    <w:rsid w:val="2905127E"/>
    <w:rsid w:val="294A1318"/>
    <w:rsid w:val="2A4C014D"/>
    <w:rsid w:val="2A685995"/>
    <w:rsid w:val="2D217CB1"/>
    <w:rsid w:val="2D541A5D"/>
    <w:rsid w:val="2DEE6D47"/>
    <w:rsid w:val="2E1246E7"/>
    <w:rsid w:val="2F902F82"/>
    <w:rsid w:val="30702BBA"/>
    <w:rsid w:val="30A27C8C"/>
    <w:rsid w:val="30CF778B"/>
    <w:rsid w:val="313D47D6"/>
    <w:rsid w:val="31600E7A"/>
    <w:rsid w:val="31E247F7"/>
    <w:rsid w:val="330B008B"/>
    <w:rsid w:val="33BB2EC8"/>
    <w:rsid w:val="349F5937"/>
    <w:rsid w:val="366E663A"/>
    <w:rsid w:val="3888582F"/>
    <w:rsid w:val="38DE332C"/>
    <w:rsid w:val="3A2C3EA1"/>
    <w:rsid w:val="3D460A26"/>
    <w:rsid w:val="3EC30E23"/>
    <w:rsid w:val="3F261226"/>
    <w:rsid w:val="410E05F4"/>
    <w:rsid w:val="414E4542"/>
    <w:rsid w:val="4182092A"/>
    <w:rsid w:val="42950137"/>
    <w:rsid w:val="43590E76"/>
    <w:rsid w:val="44623562"/>
    <w:rsid w:val="44964FD9"/>
    <w:rsid w:val="45C21F37"/>
    <w:rsid w:val="46C976FF"/>
    <w:rsid w:val="474D674C"/>
    <w:rsid w:val="479C7108"/>
    <w:rsid w:val="48145A0D"/>
    <w:rsid w:val="482515A1"/>
    <w:rsid w:val="483568BD"/>
    <w:rsid w:val="4B1B6BCC"/>
    <w:rsid w:val="4D714816"/>
    <w:rsid w:val="4D8E7FDC"/>
    <w:rsid w:val="4E3241AE"/>
    <w:rsid w:val="4FEF0ACC"/>
    <w:rsid w:val="51EF4DEB"/>
    <w:rsid w:val="527B1259"/>
    <w:rsid w:val="53F727DF"/>
    <w:rsid w:val="54036C58"/>
    <w:rsid w:val="55752747"/>
    <w:rsid w:val="55F2009D"/>
    <w:rsid w:val="56573605"/>
    <w:rsid w:val="57380881"/>
    <w:rsid w:val="57572A3A"/>
    <w:rsid w:val="5956071F"/>
    <w:rsid w:val="5ABC5EF0"/>
    <w:rsid w:val="5B1746A8"/>
    <w:rsid w:val="5B397326"/>
    <w:rsid w:val="5BAB0621"/>
    <w:rsid w:val="5C0F3F9F"/>
    <w:rsid w:val="5DD326D4"/>
    <w:rsid w:val="5E8E70E7"/>
    <w:rsid w:val="5ED16223"/>
    <w:rsid w:val="5F240B36"/>
    <w:rsid w:val="60CD288A"/>
    <w:rsid w:val="61FB500B"/>
    <w:rsid w:val="621209DE"/>
    <w:rsid w:val="623C5907"/>
    <w:rsid w:val="6240236C"/>
    <w:rsid w:val="624D1DDB"/>
    <w:rsid w:val="62C41118"/>
    <w:rsid w:val="62E0779F"/>
    <w:rsid w:val="63777A38"/>
    <w:rsid w:val="63E80B2D"/>
    <w:rsid w:val="65125E58"/>
    <w:rsid w:val="65391204"/>
    <w:rsid w:val="665A5FAA"/>
    <w:rsid w:val="66F15F79"/>
    <w:rsid w:val="672D7318"/>
    <w:rsid w:val="68690308"/>
    <w:rsid w:val="68B21E77"/>
    <w:rsid w:val="693427C5"/>
    <w:rsid w:val="693E3203"/>
    <w:rsid w:val="69B93DF4"/>
    <w:rsid w:val="6BA33CC8"/>
    <w:rsid w:val="6C4B2622"/>
    <w:rsid w:val="6D6353C9"/>
    <w:rsid w:val="7013236B"/>
    <w:rsid w:val="703F51DF"/>
    <w:rsid w:val="70B17662"/>
    <w:rsid w:val="71271141"/>
    <w:rsid w:val="71CF4EC0"/>
    <w:rsid w:val="729A0998"/>
    <w:rsid w:val="72C17B4C"/>
    <w:rsid w:val="72CA1C2C"/>
    <w:rsid w:val="73D12007"/>
    <w:rsid w:val="75D048F4"/>
    <w:rsid w:val="767E4702"/>
    <w:rsid w:val="790C56D7"/>
    <w:rsid w:val="795904AE"/>
    <w:rsid w:val="7B5A6BDA"/>
    <w:rsid w:val="7B9C756A"/>
    <w:rsid w:val="7CB41A87"/>
    <w:rsid w:val="7CED1725"/>
    <w:rsid w:val="7E2F5D89"/>
    <w:rsid w:val="7EDF67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1"/>
    <w:autoRedefine/>
    <w:qFormat/>
    <w:uiPriority w:val="0"/>
    <w:pPr>
      <w:keepNext/>
      <w:spacing w:line="380" w:lineRule="exact"/>
      <w:jc w:val="center"/>
      <w:outlineLvl w:val="0"/>
    </w:pPr>
    <w:rPr>
      <w:rFonts w:ascii="宋体"/>
      <w:b/>
      <w:bCs/>
      <w:sz w:val="28"/>
    </w:rPr>
  </w:style>
  <w:style w:type="paragraph" w:styleId="3">
    <w:name w:val="heading 2"/>
    <w:basedOn w:val="1"/>
    <w:next w:val="1"/>
    <w:link w:val="83"/>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3"/>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2"/>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94"/>
    <w:autoRedefine/>
    <w:qFormat/>
    <w:uiPriority w:val="0"/>
    <w:pPr>
      <w:widowControl/>
      <w:spacing w:before="240" w:after="60"/>
      <w:jc w:val="left"/>
      <w:outlineLvl w:val="4"/>
    </w:pPr>
    <w:rPr>
      <w:rFonts w:ascii="MS Sans Serif" w:hAnsi="Arial" w:eastAsia="MS Sans Serif"/>
      <w:kern w:val="0"/>
      <w:sz w:val="24"/>
    </w:rPr>
  </w:style>
  <w:style w:type="paragraph" w:styleId="7">
    <w:name w:val="heading 6"/>
    <w:basedOn w:val="1"/>
    <w:next w:val="8"/>
    <w:link w:val="56"/>
    <w:autoRedefine/>
    <w:qFormat/>
    <w:uiPriority w:val="0"/>
    <w:pPr>
      <w:keepNext/>
      <w:keepLines/>
      <w:spacing w:before="240" w:after="64" w:line="320" w:lineRule="auto"/>
      <w:outlineLvl w:val="5"/>
    </w:pPr>
    <w:rPr>
      <w:rFonts w:ascii="黑体" w:hAnsi="黑体" w:eastAsia="楷体"/>
      <w:b/>
      <w:sz w:val="24"/>
    </w:rPr>
  </w:style>
  <w:style w:type="paragraph" w:styleId="9">
    <w:name w:val="heading 7"/>
    <w:basedOn w:val="1"/>
    <w:next w:val="8"/>
    <w:link w:val="88"/>
    <w:autoRedefine/>
    <w:qFormat/>
    <w:uiPriority w:val="0"/>
    <w:pPr>
      <w:keepNext/>
      <w:keepLines/>
      <w:spacing w:before="240" w:after="64" w:line="320" w:lineRule="auto"/>
      <w:outlineLvl w:val="6"/>
    </w:pPr>
    <w:rPr>
      <w:rFonts w:ascii="Arial" w:hAnsi="Arial"/>
      <w:b/>
      <w:sz w:val="24"/>
    </w:rPr>
  </w:style>
  <w:style w:type="paragraph" w:styleId="10">
    <w:name w:val="heading 8"/>
    <w:basedOn w:val="1"/>
    <w:next w:val="8"/>
    <w:link w:val="75"/>
    <w:autoRedefine/>
    <w:qFormat/>
    <w:uiPriority w:val="0"/>
    <w:pPr>
      <w:keepNext/>
      <w:keepLines/>
      <w:spacing w:before="240" w:after="64" w:line="320" w:lineRule="auto"/>
      <w:outlineLvl w:val="7"/>
    </w:pPr>
    <w:rPr>
      <w:rFonts w:ascii="黑体" w:hAnsi="黑体" w:eastAsia="楷体"/>
      <w:sz w:val="24"/>
    </w:rPr>
  </w:style>
  <w:style w:type="paragraph" w:styleId="11">
    <w:name w:val="heading 9"/>
    <w:basedOn w:val="1"/>
    <w:next w:val="8"/>
    <w:link w:val="113"/>
    <w:autoRedefine/>
    <w:qFormat/>
    <w:uiPriority w:val="0"/>
    <w:pPr>
      <w:keepNext/>
      <w:keepLines/>
      <w:spacing w:before="240" w:after="64" w:line="320" w:lineRule="auto"/>
      <w:outlineLvl w:val="8"/>
    </w:pPr>
    <w:rPr>
      <w:rFonts w:ascii="黑体" w:hAnsi="黑体" w:eastAsia="楷体"/>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link w:val="55"/>
    <w:autoRedefine/>
    <w:qFormat/>
    <w:uiPriority w:val="0"/>
    <w:pPr>
      <w:adjustRightInd w:val="0"/>
      <w:spacing w:line="315" w:lineRule="atLeast"/>
      <w:ind w:firstLine="420"/>
      <w:jc w:val="left"/>
      <w:textAlignment w:val="baseline"/>
    </w:pPr>
    <w:rPr>
      <w:rFonts w:ascii="宋体"/>
      <w:kern w:val="0"/>
    </w:rPr>
  </w:style>
  <w:style w:type="paragraph" w:styleId="12">
    <w:name w:val="toc 7"/>
    <w:basedOn w:val="1"/>
    <w:next w:val="1"/>
    <w:autoRedefine/>
    <w:qFormat/>
    <w:uiPriority w:val="0"/>
    <w:pPr>
      <w:ind w:left="2520" w:leftChars="1200"/>
    </w:pPr>
    <w:rPr>
      <w:szCs w:val="24"/>
    </w:rPr>
  </w:style>
  <w:style w:type="paragraph" w:styleId="13">
    <w:name w:val="List Number"/>
    <w:basedOn w:val="1"/>
    <w:autoRedefine/>
    <w:qFormat/>
    <w:uiPriority w:val="0"/>
    <w:pPr>
      <w:widowControl/>
      <w:tabs>
        <w:tab w:val="left" w:pos="420"/>
        <w:tab w:val="left" w:pos="454"/>
      </w:tabs>
      <w:spacing w:afterLines="50"/>
      <w:ind w:left="454" w:hanging="284"/>
      <w:jc w:val="left"/>
    </w:pPr>
    <w:rPr>
      <w:rFonts w:ascii="Arial" w:hAnsi="Arial" w:cs="Arial"/>
      <w:kern w:val="0"/>
      <w:sz w:val="24"/>
    </w:rPr>
  </w:style>
  <w:style w:type="paragraph" w:styleId="14">
    <w:name w:val="caption"/>
    <w:basedOn w:val="1"/>
    <w:next w:val="1"/>
    <w:autoRedefine/>
    <w:qFormat/>
    <w:uiPriority w:val="0"/>
    <w:rPr>
      <w:rFonts w:ascii="黑体" w:hAnsi="黑体" w:eastAsia="楷体" w:cs="黑体"/>
      <w:sz w:val="20"/>
    </w:rPr>
  </w:style>
  <w:style w:type="paragraph" w:styleId="15">
    <w:name w:val="Document Map"/>
    <w:basedOn w:val="1"/>
    <w:link w:val="67"/>
    <w:autoRedefine/>
    <w:qFormat/>
    <w:uiPriority w:val="0"/>
    <w:pPr>
      <w:shd w:val="clear" w:color="auto" w:fill="000080"/>
    </w:pPr>
  </w:style>
  <w:style w:type="paragraph" w:styleId="16">
    <w:name w:val="annotation text"/>
    <w:basedOn w:val="1"/>
    <w:link w:val="122"/>
    <w:autoRedefine/>
    <w:qFormat/>
    <w:uiPriority w:val="0"/>
    <w:pPr>
      <w:jc w:val="left"/>
    </w:pPr>
  </w:style>
  <w:style w:type="paragraph" w:styleId="17">
    <w:name w:val="Body Text"/>
    <w:basedOn w:val="1"/>
    <w:link w:val="101"/>
    <w:autoRedefine/>
    <w:qFormat/>
    <w:uiPriority w:val="0"/>
    <w:pPr>
      <w:spacing w:after="120"/>
    </w:pPr>
  </w:style>
  <w:style w:type="paragraph" w:styleId="18">
    <w:name w:val="Body Text Indent"/>
    <w:basedOn w:val="1"/>
    <w:next w:val="1"/>
    <w:link w:val="82"/>
    <w:autoRedefine/>
    <w:qFormat/>
    <w:uiPriority w:val="0"/>
    <w:pPr>
      <w:spacing w:line="380" w:lineRule="exact"/>
      <w:ind w:firstLine="480"/>
    </w:pPr>
    <w:rPr>
      <w:rFonts w:eastAsia="方正书宋简体"/>
      <w:sz w:val="24"/>
    </w:rPr>
  </w:style>
  <w:style w:type="paragraph" w:styleId="19">
    <w:name w:val="List Number 3"/>
    <w:basedOn w:val="1"/>
    <w:autoRedefine/>
    <w:qFormat/>
    <w:uiPriority w:val="0"/>
    <w:pPr>
      <w:widowControl/>
      <w:tabs>
        <w:tab w:val="left" w:pos="482"/>
        <w:tab w:val="left" w:pos="1157"/>
      </w:tabs>
      <w:spacing w:afterLines="50"/>
      <w:ind w:left="482" w:hanging="340"/>
      <w:jc w:val="left"/>
    </w:pPr>
    <w:rPr>
      <w:rFonts w:ascii="Arial" w:hAnsi="Arial" w:cs="Arial"/>
      <w:kern w:val="0"/>
      <w:sz w:val="24"/>
    </w:rPr>
  </w:style>
  <w:style w:type="paragraph" w:styleId="20">
    <w:name w:val="Block Text"/>
    <w:basedOn w:val="1"/>
    <w:autoRedefine/>
    <w:qFormat/>
    <w:uiPriority w:val="0"/>
    <w:pPr>
      <w:adjustRightInd w:val="0"/>
      <w:snapToGrid w:val="0"/>
      <w:spacing w:line="300" w:lineRule="auto"/>
      <w:ind w:left="958" w:right="-120" w:rightChars="-120"/>
      <w:jc w:val="left"/>
    </w:pPr>
    <w:rPr>
      <w:rFonts w:hint="eastAsia" w:ascii="Century Gothic" w:hAnsi="Century Gothic" w:cs="Arial"/>
      <w:sz w:val="28"/>
    </w:rPr>
  </w:style>
  <w:style w:type="paragraph" w:styleId="21">
    <w:name w:val="toc 5"/>
    <w:basedOn w:val="1"/>
    <w:next w:val="1"/>
    <w:autoRedefine/>
    <w:qFormat/>
    <w:uiPriority w:val="0"/>
    <w:pPr>
      <w:ind w:left="1680" w:leftChars="800"/>
    </w:pPr>
    <w:rPr>
      <w:szCs w:val="24"/>
    </w:rPr>
  </w:style>
  <w:style w:type="paragraph" w:styleId="22">
    <w:name w:val="toc 3"/>
    <w:basedOn w:val="1"/>
    <w:next w:val="1"/>
    <w:autoRedefine/>
    <w:qFormat/>
    <w:uiPriority w:val="0"/>
    <w:pPr>
      <w:tabs>
        <w:tab w:val="left" w:pos="1236"/>
        <w:tab w:val="right" w:leader="dot" w:pos="8789"/>
      </w:tabs>
      <w:ind w:left="840" w:leftChars="400"/>
    </w:pPr>
  </w:style>
  <w:style w:type="paragraph" w:styleId="23">
    <w:name w:val="Plain Text"/>
    <w:basedOn w:val="1"/>
    <w:link w:val="119"/>
    <w:autoRedefine/>
    <w:qFormat/>
    <w:uiPriority w:val="0"/>
    <w:pPr>
      <w:widowControl/>
      <w:overflowPunct w:val="0"/>
      <w:autoSpaceDE w:val="0"/>
      <w:autoSpaceDN w:val="0"/>
      <w:adjustRightInd w:val="0"/>
      <w:jc w:val="left"/>
      <w:textAlignment w:val="baseline"/>
    </w:pPr>
    <w:rPr>
      <w:rFonts w:ascii="宋体" w:hAnsi="Courier New"/>
      <w:kern w:val="0"/>
      <w:sz w:val="20"/>
    </w:rPr>
  </w:style>
  <w:style w:type="paragraph" w:styleId="24">
    <w:name w:val="toc 8"/>
    <w:basedOn w:val="1"/>
    <w:next w:val="1"/>
    <w:autoRedefine/>
    <w:qFormat/>
    <w:uiPriority w:val="0"/>
    <w:pPr>
      <w:ind w:left="2940" w:leftChars="1400"/>
    </w:pPr>
    <w:rPr>
      <w:szCs w:val="24"/>
    </w:rPr>
  </w:style>
  <w:style w:type="paragraph" w:styleId="25">
    <w:name w:val="Date"/>
    <w:basedOn w:val="1"/>
    <w:next w:val="1"/>
    <w:link w:val="105"/>
    <w:autoRedefine/>
    <w:qFormat/>
    <w:uiPriority w:val="0"/>
    <w:pPr>
      <w:adjustRightInd w:val="0"/>
      <w:spacing w:line="312" w:lineRule="atLeast"/>
      <w:jc w:val="right"/>
      <w:textAlignment w:val="baseline"/>
    </w:pPr>
    <w:rPr>
      <w:rFonts w:ascii="宋体"/>
      <w:kern w:val="0"/>
      <w:sz w:val="24"/>
    </w:rPr>
  </w:style>
  <w:style w:type="paragraph" w:styleId="26">
    <w:name w:val="Body Text Indent 2"/>
    <w:basedOn w:val="1"/>
    <w:link w:val="126"/>
    <w:autoRedefine/>
    <w:qFormat/>
    <w:uiPriority w:val="0"/>
    <w:pPr>
      <w:spacing w:line="380" w:lineRule="exact"/>
      <w:ind w:left="840" w:hanging="45"/>
    </w:pPr>
    <w:rPr>
      <w:rFonts w:ascii="宋体"/>
      <w:sz w:val="24"/>
    </w:rPr>
  </w:style>
  <w:style w:type="paragraph" w:styleId="27">
    <w:name w:val="Balloon Text"/>
    <w:basedOn w:val="1"/>
    <w:link w:val="76"/>
    <w:autoRedefine/>
    <w:qFormat/>
    <w:uiPriority w:val="99"/>
    <w:rPr>
      <w:sz w:val="18"/>
      <w:szCs w:val="18"/>
    </w:rPr>
  </w:style>
  <w:style w:type="paragraph" w:styleId="28">
    <w:name w:val="footer"/>
    <w:basedOn w:val="1"/>
    <w:link w:val="98"/>
    <w:autoRedefine/>
    <w:qFormat/>
    <w:uiPriority w:val="99"/>
    <w:pPr>
      <w:tabs>
        <w:tab w:val="center" w:pos="4153"/>
        <w:tab w:val="right" w:pos="8306"/>
      </w:tabs>
      <w:snapToGrid w:val="0"/>
      <w:jc w:val="left"/>
    </w:pPr>
    <w:rPr>
      <w:sz w:val="18"/>
      <w:szCs w:val="18"/>
    </w:rPr>
  </w:style>
  <w:style w:type="paragraph" w:styleId="29">
    <w:name w:val="header"/>
    <w:basedOn w:val="1"/>
    <w:link w:val="6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tabs>
        <w:tab w:val="right" w:leader="middleDot" w:pos="8789"/>
      </w:tabs>
      <w:spacing w:line="360" w:lineRule="auto"/>
    </w:pPr>
    <w:rPr>
      <w:sz w:val="24"/>
    </w:rPr>
  </w:style>
  <w:style w:type="paragraph" w:styleId="31">
    <w:name w:val="toc 4"/>
    <w:basedOn w:val="1"/>
    <w:next w:val="1"/>
    <w:autoRedefine/>
    <w:qFormat/>
    <w:uiPriority w:val="0"/>
    <w:pPr>
      <w:ind w:left="1260" w:leftChars="600"/>
    </w:pPr>
    <w:rPr>
      <w:szCs w:val="24"/>
    </w:rPr>
  </w:style>
  <w:style w:type="paragraph" w:styleId="32">
    <w:name w:val="List"/>
    <w:basedOn w:val="1"/>
    <w:autoRedefine/>
    <w:qFormat/>
    <w:uiPriority w:val="0"/>
    <w:pPr>
      <w:ind w:left="200" w:hanging="200" w:hangingChars="200"/>
    </w:pPr>
  </w:style>
  <w:style w:type="paragraph" w:styleId="33">
    <w:name w:val="toc 6"/>
    <w:basedOn w:val="1"/>
    <w:next w:val="1"/>
    <w:autoRedefine/>
    <w:qFormat/>
    <w:uiPriority w:val="0"/>
    <w:pPr>
      <w:ind w:left="2100" w:leftChars="1000"/>
    </w:pPr>
    <w:rPr>
      <w:szCs w:val="24"/>
    </w:rPr>
  </w:style>
  <w:style w:type="paragraph" w:styleId="34">
    <w:name w:val="List 5"/>
    <w:basedOn w:val="1"/>
    <w:autoRedefine/>
    <w:qFormat/>
    <w:uiPriority w:val="0"/>
    <w:pPr>
      <w:ind w:left="100" w:leftChars="800" w:hanging="200" w:hangingChars="200"/>
    </w:pPr>
    <w:rPr>
      <w:rFonts w:ascii="Arial" w:hAnsi="Arial" w:cs="Arial"/>
    </w:rPr>
  </w:style>
  <w:style w:type="paragraph" w:styleId="35">
    <w:name w:val="Body Text Indent 3"/>
    <w:basedOn w:val="1"/>
    <w:link w:val="70"/>
    <w:autoRedefine/>
    <w:qFormat/>
    <w:uiPriority w:val="0"/>
    <w:pPr>
      <w:spacing w:line="380" w:lineRule="exact"/>
      <w:ind w:left="525"/>
    </w:pPr>
    <w:rPr>
      <w:rFonts w:ascii="宋体"/>
      <w:sz w:val="24"/>
    </w:rPr>
  </w:style>
  <w:style w:type="paragraph" w:styleId="36">
    <w:name w:val="toc 2"/>
    <w:basedOn w:val="1"/>
    <w:next w:val="1"/>
    <w:autoRedefine/>
    <w:qFormat/>
    <w:uiPriority w:val="39"/>
    <w:pPr>
      <w:tabs>
        <w:tab w:val="right" w:leader="middleDot" w:pos="8789"/>
      </w:tabs>
      <w:spacing w:after="60"/>
      <w:ind w:left="420" w:leftChars="200"/>
    </w:pPr>
  </w:style>
  <w:style w:type="paragraph" w:styleId="37">
    <w:name w:val="toc 9"/>
    <w:basedOn w:val="1"/>
    <w:next w:val="1"/>
    <w:autoRedefine/>
    <w:qFormat/>
    <w:uiPriority w:val="0"/>
    <w:pPr>
      <w:ind w:left="3360" w:leftChars="1600"/>
    </w:pPr>
    <w:rPr>
      <w:szCs w:val="24"/>
    </w:rPr>
  </w:style>
  <w:style w:type="paragraph" w:styleId="38">
    <w:name w:val="Body Text 2"/>
    <w:basedOn w:val="1"/>
    <w:link w:val="99"/>
    <w:autoRedefine/>
    <w:qFormat/>
    <w:uiPriority w:val="0"/>
    <w:rPr>
      <w:rFonts w:ascii="Arial" w:hAnsi="Arial"/>
      <w:kern w:val="0"/>
      <w:sz w:val="24"/>
      <w:szCs w:val="24"/>
    </w:rPr>
  </w:style>
  <w:style w:type="paragraph" w:styleId="39">
    <w:name w:val="HTML Preformatted"/>
    <w:basedOn w:val="1"/>
    <w:link w:val="54"/>
    <w:autoRedefine/>
    <w:qFormat/>
    <w:uiPriority w:val="0"/>
    <w:rPr>
      <w:rFonts w:ascii="Courier New" w:hAnsi="Courier New"/>
      <w:sz w:val="20"/>
    </w:rPr>
  </w:style>
  <w:style w:type="paragraph" w:styleId="40">
    <w:name w:val="Normal (Web)"/>
    <w:basedOn w:val="1"/>
    <w:autoRedefine/>
    <w:qFormat/>
    <w:uiPriority w:val="0"/>
    <w:pPr>
      <w:widowControl/>
      <w:shd w:val="clear" w:color="auto" w:fill="FFFFFF"/>
      <w:spacing w:before="100" w:beforeAutospacing="1" w:after="100" w:afterAutospacing="1"/>
      <w:jc w:val="left"/>
    </w:pPr>
    <w:rPr>
      <w:rFonts w:ascii="Century Gothic" w:hAnsi="Century Gothic" w:cs="Arial"/>
      <w:kern w:val="0"/>
      <w:sz w:val="18"/>
      <w:szCs w:val="18"/>
    </w:rPr>
  </w:style>
  <w:style w:type="paragraph" w:styleId="41">
    <w:name w:val="Title"/>
    <w:basedOn w:val="1"/>
    <w:next w:val="1"/>
    <w:link w:val="71"/>
    <w:autoRedefine/>
    <w:qFormat/>
    <w:uiPriority w:val="0"/>
    <w:pPr>
      <w:spacing w:before="240" w:after="60"/>
      <w:jc w:val="center"/>
      <w:outlineLvl w:val="0"/>
    </w:pPr>
    <w:rPr>
      <w:rFonts w:ascii="Cambria" w:hAnsi="Cambria"/>
      <w:b/>
      <w:bCs/>
      <w:sz w:val="32"/>
      <w:szCs w:val="32"/>
    </w:rPr>
  </w:style>
  <w:style w:type="paragraph" w:styleId="42">
    <w:name w:val="annotation subject"/>
    <w:basedOn w:val="16"/>
    <w:next w:val="16"/>
    <w:link w:val="106"/>
    <w:autoRedefine/>
    <w:qFormat/>
    <w:uiPriority w:val="99"/>
    <w:rPr>
      <w:b/>
      <w:bCs/>
    </w:rPr>
  </w:style>
  <w:style w:type="paragraph" w:styleId="43">
    <w:name w:val="Body Text First Indent"/>
    <w:basedOn w:val="17"/>
    <w:next w:val="1"/>
    <w:link w:val="117"/>
    <w:autoRedefine/>
    <w:qFormat/>
    <w:uiPriority w:val="0"/>
    <w:pPr>
      <w:ind w:firstLine="420" w:firstLineChars="100"/>
    </w:pPr>
    <w:rPr>
      <w:szCs w:val="24"/>
    </w:rPr>
  </w:style>
  <w:style w:type="paragraph" w:styleId="44">
    <w:name w:val="Body Text First Indent 2"/>
    <w:basedOn w:val="18"/>
    <w:next w:val="43"/>
    <w:link w:val="74"/>
    <w:autoRedefine/>
    <w:qFormat/>
    <w:uiPriority w:val="0"/>
    <w:pPr>
      <w:spacing w:after="120" w:line="240" w:lineRule="auto"/>
      <w:ind w:left="420" w:leftChars="200" w:firstLine="420" w:firstLineChars="200"/>
    </w:pPr>
    <w:rPr>
      <w:sz w:val="21"/>
    </w:rPr>
  </w:style>
  <w:style w:type="table" w:styleId="46">
    <w:name w:val="Table Grid"/>
    <w:basedOn w:val="4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8">
    <w:name w:val="Strong"/>
    <w:autoRedefine/>
    <w:qFormat/>
    <w:uiPriority w:val="0"/>
    <w:rPr>
      <w:b/>
      <w:bCs/>
    </w:rPr>
  </w:style>
  <w:style w:type="character" w:styleId="49">
    <w:name w:val="page number"/>
    <w:basedOn w:val="47"/>
    <w:autoRedefine/>
    <w:qFormat/>
    <w:uiPriority w:val="0"/>
  </w:style>
  <w:style w:type="character" w:styleId="50">
    <w:name w:val="Hyperlink"/>
    <w:basedOn w:val="47"/>
    <w:autoRedefine/>
    <w:qFormat/>
    <w:uiPriority w:val="99"/>
    <w:rPr>
      <w:color w:val="0000FF"/>
      <w:u w:val="single"/>
    </w:rPr>
  </w:style>
  <w:style w:type="character" w:styleId="51">
    <w:name w:val="annotation reference"/>
    <w:autoRedefine/>
    <w:qFormat/>
    <w:uiPriority w:val="99"/>
    <w:rPr>
      <w:sz w:val="21"/>
      <w:szCs w:val="21"/>
    </w:rPr>
  </w:style>
  <w:style w:type="character" w:customStyle="1" w:styleId="52">
    <w:name w:val="标题 4 Char"/>
    <w:link w:val="5"/>
    <w:autoRedefine/>
    <w:qFormat/>
    <w:uiPriority w:val="0"/>
    <w:rPr>
      <w:rFonts w:ascii="Cambria" w:hAnsi="Cambria" w:eastAsia="宋体"/>
      <w:b/>
      <w:bCs/>
      <w:kern w:val="2"/>
      <w:sz w:val="28"/>
      <w:szCs w:val="28"/>
      <w:lang w:val="en-US" w:eastAsia="zh-CN" w:bidi="ar-SA"/>
    </w:rPr>
  </w:style>
  <w:style w:type="character" w:customStyle="1" w:styleId="53">
    <w:name w:val="标题 3 Char"/>
    <w:link w:val="4"/>
    <w:autoRedefine/>
    <w:qFormat/>
    <w:uiPriority w:val="0"/>
    <w:rPr>
      <w:rFonts w:eastAsia="宋体"/>
      <w:b/>
      <w:bCs/>
      <w:kern w:val="2"/>
      <w:sz w:val="32"/>
      <w:szCs w:val="32"/>
      <w:lang w:val="en-US" w:eastAsia="zh-CN" w:bidi="ar-SA"/>
    </w:rPr>
  </w:style>
  <w:style w:type="character" w:customStyle="1" w:styleId="54">
    <w:name w:val="HTML 预设格式 Char"/>
    <w:link w:val="39"/>
    <w:autoRedefine/>
    <w:qFormat/>
    <w:uiPriority w:val="0"/>
    <w:rPr>
      <w:rFonts w:ascii="Courier New" w:hAnsi="Courier New" w:cs="Courier New"/>
      <w:kern w:val="2"/>
    </w:rPr>
  </w:style>
  <w:style w:type="character" w:customStyle="1" w:styleId="55">
    <w:name w:val="正文缩进 Char"/>
    <w:link w:val="8"/>
    <w:autoRedefine/>
    <w:qFormat/>
    <w:uiPriority w:val="0"/>
    <w:rPr>
      <w:rFonts w:ascii="宋体"/>
      <w:sz w:val="21"/>
    </w:rPr>
  </w:style>
  <w:style w:type="character" w:customStyle="1" w:styleId="56">
    <w:name w:val="标题 6 Char"/>
    <w:link w:val="7"/>
    <w:autoRedefine/>
    <w:qFormat/>
    <w:uiPriority w:val="0"/>
    <w:rPr>
      <w:rFonts w:ascii="黑体" w:hAnsi="黑体" w:eastAsia="楷体"/>
      <w:b/>
      <w:kern w:val="2"/>
      <w:sz w:val="24"/>
    </w:rPr>
  </w:style>
  <w:style w:type="character" w:customStyle="1" w:styleId="57">
    <w:name w:val="文档结构图 Char Char"/>
    <w:link w:val="58"/>
    <w:autoRedefine/>
    <w:qFormat/>
    <w:uiPriority w:val="0"/>
    <w:rPr>
      <w:rFonts w:ascii="Tahoma" w:hAnsi="Tahoma"/>
      <w:sz w:val="16"/>
      <w:szCs w:val="16"/>
    </w:rPr>
  </w:style>
  <w:style w:type="paragraph" w:customStyle="1" w:styleId="58">
    <w:name w:val="文档结构图1"/>
    <w:basedOn w:val="1"/>
    <w:link w:val="57"/>
    <w:autoRedefine/>
    <w:qFormat/>
    <w:uiPriority w:val="0"/>
    <w:rPr>
      <w:rFonts w:ascii="Tahoma" w:hAnsi="Tahoma"/>
      <w:kern w:val="0"/>
      <w:sz w:val="16"/>
      <w:szCs w:val="16"/>
    </w:rPr>
  </w:style>
  <w:style w:type="character" w:customStyle="1" w:styleId="59">
    <w:name w:val="标题 1 Char Char"/>
    <w:autoRedefine/>
    <w:qFormat/>
    <w:uiPriority w:val="0"/>
    <w:rPr>
      <w:rFonts w:eastAsia="宋体"/>
      <w:b/>
      <w:spacing w:val="-2"/>
      <w:sz w:val="24"/>
      <w:lang w:val="en-US" w:eastAsia="zh-CN" w:bidi="ar-SA"/>
    </w:rPr>
  </w:style>
  <w:style w:type="character" w:customStyle="1" w:styleId="60">
    <w:name w:val="段 Char Char"/>
    <w:link w:val="61"/>
    <w:autoRedefine/>
    <w:qFormat/>
    <w:uiPriority w:val="0"/>
    <w:rPr>
      <w:rFonts w:ascii="宋体"/>
      <w:sz w:val="21"/>
      <w:lang w:val="en-US" w:eastAsia="zh-CN" w:bidi="ar-SA"/>
    </w:rPr>
  </w:style>
  <w:style w:type="paragraph" w:customStyle="1" w:styleId="61">
    <w:name w:val="段"/>
    <w:link w:val="6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62">
    <w:name w:val="Char Char18"/>
    <w:autoRedefine/>
    <w:qFormat/>
    <w:uiPriority w:val="0"/>
    <w:rPr>
      <w:rFonts w:ascii="Arial" w:hAnsi="Arial" w:eastAsia="Century Gothic" w:cs="Times New Roman"/>
      <w:b/>
      <w:bCs/>
      <w:kern w:val="44"/>
      <w:sz w:val="44"/>
      <w:szCs w:val="44"/>
    </w:rPr>
  </w:style>
  <w:style w:type="character" w:customStyle="1" w:styleId="63">
    <w:name w:val="批注引用1"/>
    <w:autoRedefine/>
    <w:qFormat/>
    <w:uiPriority w:val="0"/>
    <w:rPr>
      <w:sz w:val="21"/>
      <w:szCs w:val="21"/>
    </w:rPr>
  </w:style>
  <w:style w:type="character" w:customStyle="1" w:styleId="64">
    <w:name w:val="已访问的超链接1"/>
    <w:autoRedefine/>
    <w:qFormat/>
    <w:uiPriority w:val="0"/>
    <w:rPr>
      <w:color w:val="800080"/>
      <w:u w:val="single"/>
    </w:rPr>
  </w:style>
  <w:style w:type="character" w:customStyle="1" w:styleId="65">
    <w:name w:val="Char Char12"/>
    <w:autoRedefine/>
    <w:qFormat/>
    <w:uiPriority w:val="0"/>
    <w:rPr>
      <w:rFonts w:ascii="Century Gothic" w:hAnsi="Century Gothic" w:eastAsia="Century Gothic" w:cs="Arial"/>
      <w:sz w:val="24"/>
    </w:rPr>
  </w:style>
  <w:style w:type="character" w:customStyle="1" w:styleId="66">
    <w:name w:val="纯文本 Char Char"/>
    <w:autoRedefine/>
    <w:qFormat/>
    <w:uiPriority w:val="0"/>
    <w:rPr>
      <w:rFonts w:ascii="宋体" w:hAnsi="Courier New" w:cs="Courier New"/>
      <w:kern w:val="2"/>
      <w:sz w:val="21"/>
      <w:szCs w:val="21"/>
    </w:rPr>
  </w:style>
  <w:style w:type="character" w:customStyle="1" w:styleId="67">
    <w:name w:val="文档结构图 Char"/>
    <w:link w:val="15"/>
    <w:autoRedefine/>
    <w:qFormat/>
    <w:uiPriority w:val="0"/>
    <w:rPr>
      <w:kern w:val="2"/>
      <w:sz w:val="21"/>
      <w:shd w:val="clear" w:color="auto" w:fill="000080"/>
    </w:rPr>
  </w:style>
  <w:style w:type="character" w:customStyle="1" w:styleId="68">
    <w:name w:val="H4 Char1"/>
    <w:autoRedefine/>
    <w:qFormat/>
    <w:uiPriority w:val="0"/>
    <w:rPr>
      <w:rFonts w:ascii="MS Sans Serif" w:hAnsi="仿宋_GB2312" w:eastAsia="MS Sans Serif" w:cs="Times New Roman"/>
      <w:snapToGrid w:val="0"/>
      <w:kern w:val="0"/>
      <w:sz w:val="24"/>
      <w:szCs w:val="20"/>
    </w:rPr>
  </w:style>
  <w:style w:type="character" w:customStyle="1" w:styleId="69">
    <w:name w:val="页眉 Char"/>
    <w:link w:val="29"/>
    <w:autoRedefine/>
    <w:qFormat/>
    <w:uiPriority w:val="99"/>
    <w:rPr>
      <w:rFonts w:eastAsia="宋体"/>
      <w:kern w:val="2"/>
      <w:sz w:val="18"/>
      <w:szCs w:val="18"/>
      <w:lang w:val="en-US" w:eastAsia="zh-CN" w:bidi="ar-SA"/>
    </w:rPr>
  </w:style>
  <w:style w:type="character" w:customStyle="1" w:styleId="70">
    <w:name w:val="正文文本缩进 3 Char"/>
    <w:link w:val="35"/>
    <w:autoRedefine/>
    <w:qFormat/>
    <w:uiPriority w:val="0"/>
    <w:rPr>
      <w:rFonts w:ascii="宋体" w:eastAsia="宋体"/>
      <w:kern w:val="2"/>
      <w:sz w:val="24"/>
      <w:lang w:val="en-US" w:eastAsia="zh-CN" w:bidi="ar-SA"/>
    </w:rPr>
  </w:style>
  <w:style w:type="character" w:customStyle="1" w:styleId="71">
    <w:name w:val="标题 Char"/>
    <w:link w:val="41"/>
    <w:autoRedefine/>
    <w:qFormat/>
    <w:uiPriority w:val="0"/>
    <w:rPr>
      <w:rFonts w:ascii="Cambria" w:hAnsi="Cambria" w:cs="Times New Roman"/>
      <w:b/>
      <w:bCs/>
      <w:kern w:val="2"/>
      <w:sz w:val="32"/>
      <w:szCs w:val="32"/>
    </w:rPr>
  </w:style>
  <w:style w:type="character" w:customStyle="1" w:styleId="72">
    <w:name w:val="zbggtop11 style5"/>
    <w:basedOn w:val="47"/>
    <w:autoRedefine/>
    <w:qFormat/>
    <w:uiPriority w:val="0"/>
  </w:style>
  <w:style w:type="character" w:customStyle="1" w:styleId="73">
    <w:name w:val="BOD 0 Char"/>
    <w:autoRedefine/>
    <w:qFormat/>
    <w:uiPriority w:val="0"/>
    <w:rPr>
      <w:rFonts w:ascii="Calibri" w:hAnsi="Calibri" w:eastAsia="宋体" w:cs="Times New Roman"/>
      <w:b/>
      <w:bCs/>
      <w:sz w:val="32"/>
      <w:szCs w:val="32"/>
    </w:rPr>
  </w:style>
  <w:style w:type="character" w:customStyle="1" w:styleId="74">
    <w:name w:val="正文首行缩进 2 Char"/>
    <w:link w:val="44"/>
    <w:autoRedefine/>
    <w:qFormat/>
    <w:uiPriority w:val="0"/>
    <w:rPr>
      <w:rFonts w:eastAsia="方正书宋简体"/>
      <w:kern w:val="2"/>
      <w:sz w:val="21"/>
      <w:lang w:val="en-US" w:eastAsia="zh-CN" w:bidi="ar-SA"/>
    </w:rPr>
  </w:style>
  <w:style w:type="character" w:customStyle="1" w:styleId="75">
    <w:name w:val="标题 8 Char"/>
    <w:link w:val="10"/>
    <w:autoRedefine/>
    <w:qFormat/>
    <w:uiPriority w:val="0"/>
    <w:rPr>
      <w:rFonts w:ascii="黑体" w:hAnsi="黑体" w:eastAsia="楷体"/>
      <w:kern w:val="2"/>
      <w:sz w:val="24"/>
    </w:rPr>
  </w:style>
  <w:style w:type="character" w:customStyle="1" w:styleId="76">
    <w:name w:val="批注框文本 Char"/>
    <w:link w:val="27"/>
    <w:autoRedefine/>
    <w:qFormat/>
    <w:uiPriority w:val="99"/>
    <w:rPr>
      <w:rFonts w:eastAsia="宋体"/>
      <w:kern w:val="2"/>
      <w:sz w:val="18"/>
      <w:szCs w:val="18"/>
      <w:lang w:val="en-US" w:eastAsia="zh-CN" w:bidi="ar-SA"/>
    </w:rPr>
  </w:style>
  <w:style w:type="character" w:customStyle="1" w:styleId="77">
    <w:name w:val="表格抬头 Char Char"/>
    <w:link w:val="78"/>
    <w:autoRedefine/>
    <w:qFormat/>
    <w:uiPriority w:val="0"/>
    <w:rPr>
      <w:rFonts w:ascii="黑体" w:eastAsia="黑体"/>
      <w:b/>
    </w:rPr>
  </w:style>
  <w:style w:type="paragraph" w:customStyle="1" w:styleId="78">
    <w:name w:val="表格抬头"/>
    <w:basedOn w:val="1"/>
    <w:link w:val="77"/>
    <w:autoRedefine/>
    <w:qFormat/>
    <w:uiPriority w:val="0"/>
    <w:pPr>
      <w:jc w:val="center"/>
    </w:pPr>
    <w:rPr>
      <w:rFonts w:ascii="黑体" w:eastAsia="黑体"/>
      <w:b/>
      <w:kern w:val="0"/>
      <w:sz w:val="20"/>
    </w:rPr>
  </w:style>
  <w:style w:type="character" w:customStyle="1" w:styleId="79">
    <w:name w:val="Char Char Char"/>
    <w:autoRedefine/>
    <w:qFormat/>
    <w:uiPriority w:val="0"/>
    <w:rPr>
      <w:rFonts w:ascii="Courier New" w:eastAsia="Courier New"/>
      <w:color w:val="FF0000"/>
      <w:kern w:val="2"/>
      <w:sz w:val="24"/>
      <w:szCs w:val="24"/>
      <w:u w:val="single"/>
      <w:lang w:val="en-US" w:eastAsia="zh-CN" w:bidi="ar-SA"/>
    </w:rPr>
  </w:style>
  <w:style w:type="character" w:customStyle="1" w:styleId="80">
    <w:name w:val="font11"/>
    <w:autoRedefine/>
    <w:qFormat/>
    <w:uiPriority w:val="0"/>
    <w:rPr>
      <w:rFonts w:hint="default" w:ascii="Arial" w:hAnsi="Arial" w:cs="Arial"/>
      <w:color w:val="000000"/>
      <w:sz w:val="20"/>
      <w:szCs w:val="20"/>
      <w:u w:val="none"/>
    </w:rPr>
  </w:style>
  <w:style w:type="character" w:customStyle="1" w:styleId="81">
    <w:name w:val="标题 3 Char Char"/>
    <w:autoRedefine/>
    <w:qFormat/>
    <w:uiPriority w:val="0"/>
    <w:rPr>
      <w:rFonts w:ascii="Times New Roman" w:hAnsi="Times New Roman" w:eastAsia="宋体" w:cs="Times New Roman"/>
      <w:kern w:val="0"/>
      <w:sz w:val="24"/>
      <w:szCs w:val="20"/>
    </w:rPr>
  </w:style>
  <w:style w:type="character" w:customStyle="1" w:styleId="82">
    <w:name w:val="正文文本缩进 Char"/>
    <w:link w:val="18"/>
    <w:autoRedefine/>
    <w:qFormat/>
    <w:uiPriority w:val="0"/>
    <w:rPr>
      <w:rFonts w:eastAsia="方正书宋简体"/>
      <w:kern w:val="2"/>
      <w:sz w:val="24"/>
      <w:lang w:val="en-US" w:eastAsia="zh-CN" w:bidi="ar-SA"/>
    </w:rPr>
  </w:style>
  <w:style w:type="character" w:customStyle="1" w:styleId="83">
    <w:name w:val="标题 2 Char"/>
    <w:link w:val="3"/>
    <w:autoRedefine/>
    <w:qFormat/>
    <w:uiPriority w:val="9"/>
    <w:rPr>
      <w:rFonts w:ascii="Arial" w:hAnsi="Arial" w:eastAsia="黑体"/>
      <w:b/>
      <w:bCs/>
      <w:kern w:val="2"/>
      <w:sz w:val="32"/>
      <w:szCs w:val="32"/>
      <w:lang w:val="en-US" w:eastAsia="zh-CN" w:bidi="ar-SA"/>
    </w:rPr>
  </w:style>
  <w:style w:type="character" w:customStyle="1" w:styleId="84">
    <w:name w:val="font01"/>
    <w:autoRedefine/>
    <w:qFormat/>
    <w:uiPriority w:val="0"/>
    <w:rPr>
      <w:rFonts w:hint="eastAsia" w:ascii="宋体" w:hAnsi="宋体" w:eastAsia="宋体" w:cs="宋体"/>
      <w:color w:val="000000"/>
      <w:sz w:val="24"/>
      <w:szCs w:val="24"/>
      <w:u w:val="none"/>
    </w:rPr>
  </w:style>
  <w:style w:type="character" w:customStyle="1" w:styleId="85">
    <w:name w:val="批注框文本 Char Char"/>
    <w:autoRedefine/>
    <w:qFormat/>
    <w:uiPriority w:val="0"/>
    <w:rPr>
      <w:rFonts w:ascii="Calibri" w:hAnsi="Calibri" w:eastAsia="宋体" w:cs="Times New Roman"/>
      <w:sz w:val="16"/>
      <w:szCs w:val="16"/>
    </w:rPr>
  </w:style>
  <w:style w:type="character" w:customStyle="1" w:styleId="86">
    <w:name w:val="正文文本缩进 2 Char Char"/>
    <w:autoRedefine/>
    <w:qFormat/>
    <w:uiPriority w:val="0"/>
    <w:rPr>
      <w:rFonts w:ascii="宋体" w:eastAsia="宋体"/>
      <w:kern w:val="2"/>
      <w:sz w:val="24"/>
      <w:lang w:val="en-US" w:eastAsia="zh-CN" w:bidi="ar-SA"/>
    </w:rPr>
  </w:style>
  <w:style w:type="character" w:customStyle="1" w:styleId="87">
    <w:name w:val="正文文本 Char Char"/>
    <w:autoRedefine/>
    <w:qFormat/>
    <w:uiPriority w:val="0"/>
    <w:rPr>
      <w:rFonts w:ascii="Calibri" w:hAnsi="Calibri" w:eastAsia="宋体" w:cs="Times New Roman"/>
    </w:rPr>
  </w:style>
  <w:style w:type="character" w:customStyle="1" w:styleId="88">
    <w:name w:val="标题 7 Char"/>
    <w:link w:val="9"/>
    <w:autoRedefine/>
    <w:qFormat/>
    <w:uiPriority w:val="0"/>
    <w:rPr>
      <w:rFonts w:ascii="Arial" w:hAnsi="Arial"/>
      <w:b/>
      <w:kern w:val="2"/>
      <w:sz w:val="24"/>
    </w:rPr>
  </w:style>
  <w:style w:type="character" w:customStyle="1" w:styleId="89">
    <w:name w:val="H4 Char"/>
    <w:autoRedefine/>
    <w:qFormat/>
    <w:uiPriority w:val="0"/>
    <w:rPr>
      <w:rFonts w:ascii="Arial" w:hAnsi="Arial" w:eastAsia="黑体" w:cs="Times New Roman"/>
      <w:b/>
      <w:bCs/>
      <w:sz w:val="28"/>
      <w:szCs w:val="28"/>
    </w:rPr>
  </w:style>
  <w:style w:type="character" w:customStyle="1" w:styleId="90">
    <w:name w:val="Char Char10"/>
    <w:autoRedefine/>
    <w:qFormat/>
    <w:uiPriority w:val="0"/>
    <w:rPr>
      <w:rFonts w:ascii="宋体" w:eastAsia="宋体"/>
      <w:kern w:val="2"/>
      <w:sz w:val="24"/>
      <w:lang w:val="en-US" w:eastAsia="zh-CN" w:bidi="ar-SA"/>
    </w:rPr>
  </w:style>
  <w:style w:type="character" w:customStyle="1" w:styleId="91">
    <w:name w:val="标题 1 Char"/>
    <w:link w:val="2"/>
    <w:autoRedefine/>
    <w:qFormat/>
    <w:uiPriority w:val="0"/>
    <w:rPr>
      <w:rFonts w:ascii="宋体" w:eastAsia="宋体"/>
      <w:b/>
      <w:bCs/>
      <w:kern w:val="2"/>
      <w:sz w:val="28"/>
      <w:lang w:val="en-US" w:eastAsia="zh-CN" w:bidi="ar-SA"/>
    </w:rPr>
  </w:style>
  <w:style w:type="character" w:customStyle="1" w:styleId="92">
    <w:name w:val="tpc_content1"/>
    <w:autoRedefine/>
    <w:qFormat/>
    <w:uiPriority w:val="0"/>
    <w:rPr>
      <w:sz w:val="20"/>
      <w:szCs w:val="20"/>
    </w:rPr>
  </w:style>
  <w:style w:type="character" w:customStyle="1" w:styleId="93">
    <w:name w:val="标题 4 Char Char"/>
    <w:autoRedefine/>
    <w:qFormat/>
    <w:uiPriority w:val="0"/>
    <w:rPr>
      <w:rFonts w:ascii="Times New Roman" w:hAnsi="Times New Roman" w:eastAsia="宋体" w:cs="Times New Roman"/>
      <w:sz w:val="24"/>
      <w:szCs w:val="20"/>
    </w:rPr>
  </w:style>
  <w:style w:type="character" w:customStyle="1" w:styleId="94">
    <w:name w:val="标题 5 Char"/>
    <w:link w:val="6"/>
    <w:autoRedefine/>
    <w:qFormat/>
    <w:uiPriority w:val="0"/>
    <w:rPr>
      <w:rFonts w:ascii="MS Sans Serif" w:hAnsi="Arial" w:eastAsia="MS Sans Serif"/>
      <w:sz w:val="24"/>
    </w:rPr>
  </w:style>
  <w:style w:type="character" w:customStyle="1" w:styleId="95">
    <w:name w:val="标题 Char Char"/>
    <w:autoRedefine/>
    <w:qFormat/>
    <w:uiPriority w:val="0"/>
    <w:rPr>
      <w:rFonts w:ascii="Cambria" w:hAnsi="Cambria" w:eastAsia="宋体" w:cs="Times New Roman"/>
      <w:b/>
      <w:bCs/>
      <w:sz w:val="32"/>
      <w:szCs w:val="32"/>
    </w:rPr>
  </w:style>
  <w:style w:type="character" w:customStyle="1" w:styleId="96">
    <w:name w:val="Char Char13"/>
    <w:autoRedefine/>
    <w:qFormat/>
    <w:uiPriority w:val="0"/>
    <w:rPr>
      <w:rFonts w:eastAsia="方正书宋简体"/>
      <w:kern w:val="2"/>
      <w:sz w:val="24"/>
      <w:lang w:val="en-US" w:eastAsia="zh-CN" w:bidi="ar-SA"/>
    </w:rPr>
  </w:style>
  <w:style w:type="character" w:customStyle="1" w:styleId="97">
    <w:name w:val="Char Char Char Char Char Char"/>
    <w:autoRedefine/>
    <w:qFormat/>
    <w:uiPriority w:val="0"/>
    <w:rPr>
      <w:rFonts w:ascii="宋体" w:hAnsi="Courier New"/>
      <w:kern w:val="2"/>
      <w:sz w:val="24"/>
      <w:szCs w:val="24"/>
    </w:rPr>
  </w:style>
  <w:style w:type="character" w:customStyle="1" w:styleId="98">
    <w:name w:val="页脚 Char"/>
    <w:link w:val="28"/>
    <w:autoRedefine/>
    <w:qFormat/>
    <w:uiPriority w:val="99"/>
    <w:rPr>
      <w:rFonts w:eastAsia="宋体"/>
      <w:kern w:val="2"/>
      <w:sz w:val="18"/>
      <w:szCs w:val="18"/>
      <w:lang w:val="en-US" w:eastAsia="zh-CN" w:bidi="ar-SA"/>
    </w:rPr>
  </w:style>
  <w:style w:type="character" w:customStyle="1" w:styleId="99">
    <w:name w:val="正文文本 2 Char"/>
    <w:link w:val="38"/>
    <w:autoRedefine/>
    <w:qFormat/>
    <w:uiPriority w:val="0"/>
    <w:rPr>
      <w:rFonts w:ascii="Arial" w:hAnsi="Arial"/>
      <w:sz w:val="24"/>
      <w:szCs w:val="24"/>
    </w:rPr>
  </w:style>
  <w:style w:type="character" w:customStyle="1" w:styleId="100">
    <w:name w:val="页眉 Char Char"/>
    <w:autoRedefine/>
    <w:qFormat/>
    <w:uiPriority w:val="0"/>
    <w:rPr>
      <w:rFonts w:ascii="Calibri" w:hAnsi="Calibri" w:eastAsia="宋体" w:cs="Times New Roman"/>
      <w:sz w:val="18"/>
      <w:szCs w:val="18"/>
    </w:rPr>
  </w:style>
  <w:style w:type="character" w:customStyle="1" w:styleId="101">
    <w:name w:val="正文文本 Char"/>
    <w:link w:val="17"/>
    <w:autoRedefine/>
    <w:qFormat/>
    <w:uiPriority w:val="0"/>
    <w:rPr>
      <w:kern w:val="2"/>
      <w:sz w:val="21"/>
    </w:rPr>
  </w:style>
  <w:style w:type="character" w:customStyle="1" w:styleId="102">
    <w:name w:val="pagename"/>
    <w:basedOn w:val="47"/>
    <w:autoRedefine/>
    <w:qFormat/>
    <w:uiPriority w:val="0"/>
  </w:style>
  <w:style w:type="character" w:customStyle="1" w:styleId="103">
    <w:name w:val="正文文本缩进 Char Char"/>
    <w:autoRedefine/>
    <w:qFormat/>
    <w:uiPriority w:val="0"/>
    <w:rPr>
      <w:kern w:val="2"/>
      <w:sz w:val="21"/>
      <w:szCs w:val="24"/>
    </w:rPr>
  </w:style>
  <w:style w:type="character" w:customStyle="1" w:styleId="104">
    <w:name w:val="Char Char21"/>
    <w:autoRedefine/>
    <w:qFormat/>
    <w:uiPriority w:val="0"/>
    <w:rPr>
      <w:rFonts w:eastAsia="Century Gothic"/>
      <w:b/>
      <w:bCs/>
      <w:kern w:val="44"/>
      <w:sz w:val="32"/>
      <w:szCs w:val="44"/>
      <w:lang w:val="en-US" w:eastAsia="zh-CN" w:bidi="ar-SA"/>
    </w:rPr>
  </w:style>
  <w:style w:type="character" w:customStyle="1" w:styleId="105">
    <w:name w:val="日期 Char"/>
    <w:link w:val="25"/>
    <w:autoRedefine/>
    <w:qFormat/>
    <w:uiPriority w:val="0"/>
    <w:rPr>
      <w:rFonts w:ascii="宋体" w:eastAsia="宋体"/>
      <w:sz w:val="24"/>
      <w:lang w:val="en-US" w:eastAsia="zh-CN" w:bidi="ar-SA"/>
    </w:rPr>
  </w:style>
  <w:style w:type="character" w:customStyle="1" w:styleId="106">
    <w:name w:val="批注主题 Char"/>
    <w:link w:val="42"/>
    <w:autoRedefine/>
    <w:qFormat/>
    <w:uiPriority w:val="99"/>
    <w:rPr>
      <w:rFonts w:eastAsia="宋体"/>
      <w:b/>
      <w:bCs/>
      <w:kern w:val="2"/>
      <w:sz w:val="21"/>
      <w:lang w:val="en-US" w:eastAsia="zh-CN" w:bidi="ar-SA"/>
    </w:rPr>
  </w:style>
  <w:style w:type="character" w:customStyle="1" w:styleId="107">
    <w:name w:val="普通文字 Char Char1"/>
    <w:autoRedefine/>
    <w:qFormat/>
    <w:uiPriority w:val="0"/>
    <w:rPr>
      <w:rFonts w:ascii="Century Gothic" w:hAnsi="楷体_GB2312" w:eastAsia="Century Gothic" w:cs="楷体_GB2312"/>
      <w:kern w:val="2"/>
      <w:sz w:val="21"/>
      <w:szCs w:val="21"/>
      <w:lang w:val="en-US" w:eastAsia="zh-CN" w:bidi="ar-SA"/>
    </w:rPr>
  </w:style>
  <w:style w:type="character" w:customStyle="1" w:styleId="108">
    <w:name w:val="页脚 Char Char"/>
    <w:autoRedefine/>
    <w:qFormat/>
    <w:uiPriority w:val="0"/>
    <w:rPr>
      <w:rFonts w:ascii="Calibri" w:hAnsi="Calibri" w:eastAsia="宋体" w:cs="Times New Roman"/>
      <w:sz w:val="18"/>
      <w:szCs w:val="18"/>
    </w:rPr>
  </w:style>
  <w:style w:type="character" w:customStyle="1" w:styleId="109">
    <w:name w:val="标准文本 Char Char"/>
    <w:link w:val="110"/>
    <w:autoRedefine/>
    <w:qFormat/>
    <w:uiPriority w:val="0"/>
    <w:rPr>
      <w:rFonts w:ascii="Arial" w:hAnsi="Arial"/>
      <w:sz w:val="24"/>
    </w:rPr>
  </w:style>
  <w:style w:type="paragraph" w:customStyle="1" w:styleId="110">
    <w:name w:val="标准文本"/>
    <w:basedOn w:val="1"/>
    <w:link w:val="109"/>
    <w:autoRedefine/>
    <w:qFormat/>
    <w:uiPriority w:val="0"/>
    <w:pPr>
      <w:spacing w:line="360" w:lineRule="auto"/>
      <w:ind w:firstLine="480" w:firstLineChars="200"/>
    </w:pPr>
    <w:rPr>
      <w:rFonts w:ascii="Arial" w:hAnsi="Arial"/>
      <w:kern w:val="0"/>
      <w:sz w:val="24"/>
    </w:rPr>
  </w:style>
  <w:style w:type="character" w:customStyle="1" w:styleId="111">
    <w:name w:val="正文标准 Char Char"/>
    <w:link w:val="112"/>
    <w:autoRedefine/>
    <w:qFormat/>
    <w:uiPriority w:val="0"/>
    <w:rPr>
      <w:rFonts w:ascii="Arial" w:hAnsi="Arial"/>
      <w:sz w:val="24"/>
      <w:szCs w:val="21"/>
    </w:rPr>
  </w:style>
  <w:style w:type="paragraph" w:customStyle="1" w:styleId="112">
    <w:name w:val="正文标准"/>
    <w:basedOn w:val="1"/>
    <w:link w:val="111"/>
    <w:autoRedefine/>
    <w:qFormat/>
    <w:uiPriority w:val="0"/>
    <w:pPr>
      <w:spacing w:beforeLines="50"/>
      <w:ind w:firstLine="200" w:firstLineChars="200"/>
    </w:pPr>
    <w:rPr>
      <w:rFonts w:ascii="Arial" w:hAnsi="Arial"/>
      <w:kern w:val="0"/>
      <w:sz w:val="24"/>
      <w:szCs w:val="21"/>
    </w:rPr>
  </w:style>
  <w:style w:type="character" w:customStyle="1" w:styleId="113">
    <w:name w:val="标题 9 Char"/>
    <w:link w:val="11"/>
    <w:autoRedefine/>
    <w:qFormat/>
    <w:uiPriority w:val="0"/>
    <w:rPr>
      <w:rFonts w:ascii="黑体" w:hAnsi="黑体" w:eastAsia="楷体"/>
      <w:kern w:val="2"/>
      <w:sz w:val="21"/>
    </w:rPr>
  </w:style>
  <w:style w:type="character" w:customStyle="1" w:styleId="114">
    <w:name w:val="bulletintext1"/>
    <w:autoRedefine/>
    <w:qFormat/>
    <w:uiPriority w:val="0"/>
    <w:rPr>
      <w:color w:val="000000"/>
      <w:sz w:val="18"/>
    </w:rPr>
  </w:style>
  <w:style w:type="character" w:customStyle="1" w:styleId="115">
    <w:name w:val="无间隔 Char"/>
    <w:link w:val="116"/>
    <w:autoRedefine/>
    <w:qFormat/>
    <w:uiPriority w:val="1"/>
    <w:rPr>
      <w:rFonts w:ascii="Calibri" w:hAnsi="Calibri"/>
      <w:sz w:val="22"/>
      <w:szCs w:val="22"/>
      <w:lang w:val="en-US" w:eastAsia="zh-CN" w:bidi="ar-SA"/>
    </w:rPr>
  </w:style>
  <w:style w:type="paragraph" w:styleId="116">
    <w:name w:val="No Spacing"/>
    <w:link w:val="115"/>
    <w:autoRedefine/>
    <w:qFormat/>
    <w:uiPriority w:val="1"/>
    <w:rPr>
      <w:rFonts w:ascii="Calibri" w:hAnsi="Calibri" w:eastAsia="宋体" w:cs="Times New Roman"/>
      <w:sz w:val="22"/>
      <w:szCs w:val="22"/>
      <w:lang w:val="en-US" w:eastAsia="zh-CN" w:bidi="ar-SA"/>
    </w:rPr>
  </w:style>
  <w:style w:type="character" w:customStyle="1" w:styleId="117">
    <w:name w:val="正文首行缩进 Char"/>
    <w:link w:val="43"/>
    <w:autoRedefine/>
    <w:qFormat/>
    <w:uiPriority w:val="0"/>
    <w:rPr>
      <w:kern w:val="2"/>
      <w:sz w:val="21"/>
      <w:szCs w:val="24"/>
    </w:rPr>
  </w:style>
  <w:style w:type="character" w:customStyle="1" w:styleId="118">
    <w:name w:val="段 Char"/>
    <w:autoRedefine/>
    <w:qFormat/>
    <w:uiPriority w:val="0"/>
    <w:rPr>
      <w:rFonts w:ascii="宋体" w:eastAsia="宋体"/>
      <w:sz w:val="21"/>
      <w:lang w:val="en-US" w:eastAsia="zh-CN" w:bidi="ar-SA"/>
    </w:rPr>
  </w:style>
  <w:style w:type="character" w:customStyle="1" w:styleId="119">
    <w:name w:val="纯文本 Char"/>
    <w:link w:val="23"/>
    <w:autoRedefine/>
    <w:qFormat/>
    <w:uiPriority w:val="0"/>
    <w:rPr>
      <w:rFonts w:ascii="宋体" w:hAnsi="Courier New"/>
    </w:rPr>
  </w:style>
  <w:style w:type="character" w:customStyle="1" w:styleId="120">
    <w:name w:val="批注主题 Char Char"/>
    <w:link w:val="121"/>
    <w:autoRedefine/>
    <w:qFormat/>
    <w:uiPriority w:val="0"/>
    <w:rPr>
      <w:rFonts w:ascii="Calibri" w:hAnsi="Calibri"/>
      <w:b/>
      <w:bCs/>
    </w:rPr>
  </w:style>
  <w:style w:type="paragraph" w:customStyle="1" w:styleId="121">
    <w:name w:val="批注主题1"/>
    <w:basedOn w:val="16"/>
    <w:next w:val="16"/>
    <w:link w:val="120"/>
    <w:autoRedefine/>
    <w:qFormat/>
    <w:uiPriority w:val="0"/>
    <w:rPr>
      <w:rFonts w:ascii="Calibri" w:hAnsi="Calibri"/>
      <w:b/>
      <w:bCs/>
      <w:kern w:val="0"/>
      <w:sz w:val="20"/>
    </w:rPr>
  </w:style>
  <w:style w:type="character" w:customStyle="1" w:styleId="122">
    <w:name w:val="批注文字 Char"/>
    <w:link w:val="16"/>
    <w:autoRedefine/>
    <w:qFormat/>
    <w:uiPriority w:val="0"/>
    <w:rPr>
      <w:rFonts w:eastAsia="宋体"/>
      <w:kern w:val="2"/>
      <w:sz w:val="21"/>
      <w:lang w:val="en-US" w:eastAsia="zh-CN" w:bidi="ar-SA"/>
    </w:rPr>
  </w:style>
  <w:style w:type="character" w:customStyle="1" w:styleId="123">
    <w:name w:val="Char Char121"/>
    <w:autoRedefine/>
    <w:qFormat/>
    <w:uiPriority w:val="0"/>
    <w:rPr>
      <w:rFonts w:ascii="Century Gothic" w:hAnsi="楷体_GB2312" w:eastAsia="Century Gothic" w:cs="楷体_GB2312"/>
      <w:kern w:val="2"/>
      <w:sz w:val="21"/>
      <w:szCs w:val="21"/>
      <w:lang w:val="en-US" w:eastAsia="zh-CN" w:bidi="ar-SA"/>
    </w:rPr>
  </w:style>
  <w:style w:type="character" w:customStyle="1" w:styleId="124">
    <w:name w:val="批注文字 Char Char"/>
    <w:autoRedefine/>
    <w:qFormat/>
    <w:uiPriority w:val="0"/>
    <w:rPr>
      <w:rFonts w:ascii="Calibri" w:hAnsi="Calibri" w:eastAsia="宋体" w:cs="Times New Roman"/>
    </w:rPr>
  </w:style>
  <w:style w:type="character" w:customStyle="1" w:styleId="125">
    <w:name w:val="style1"/>
    <w:basedOn w:val="47"/>
    <w:autoRedefine/>
    <w:qFormat/>
    <w:uiPriority w:val="0"/>
  </w:style>
  <w:style w:type="character" w:customStyle="1" w:styleId="126">
    <w:name w:val="正文文本缩进 2 Char"/>
    <w:link w:val="26"/>
    <w:autoRedefine/>
    <w:qFormat/>
    <w:uiPriority w:val="0"/>
    <w:rPr>
      <w:rFonts w:ascii="宋体" w:eastAsia="宋体"/>
      <w:kern w:val="2"/>
      <w:sz w:val="24"/>
      <w:lang w:val="en-US" w:eastAsia="zh-CN" w:bidi="ar-SA"/>
    </w:rPr>
  </w:style>
  <w:style w:type="character" w:customStyle="1" w:styleId="127">
    <w:name w:val="BOD 0 Char1"/>
    <w:autoRedefine/>
    <w:qFormat/>
    <w:uiPriority w:val="0"/>
    <w:rPr>
      <w:rFonts w:ascii="Arial" w:hAnsi="Arial" w:eastAsia="宋体" w:cs="Times New Roman"/>
      <w:b/>
      <w:bCs/>
      <w:sz w:val="32"/>
      <w:szCs w:val="32"/>
    </w:rPr>
  </w:style>
  <w:style w:type="character" w:customStyle="1" w:styleId="128">
    <w:name w:val="zbggmain style9"/>
    <w:autoRedefine/>
    <w:qFormat/>
    <w:uiPriority w:val="0"/>
    <w:rPr>
      <w:rFonts w:ascii="Courier New" w:eastAsia="Courier New"/>
      <w:b/>
      <w:kern w:val="2"/>
      <w:sz w:val="32"/>
      <w:szCs w:val="32"/>
      <w:lang w:val="en-US" w:eastAsia="zh-CN" w:bidi="ar-SA"/>
    </w:rPr>
  </w:style>
  <w:style w:type="paragraph" w:customStyle="1" w:styleId="12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130">
    <w:name w:val="Char Char9 Char Char"/>
    <w:basedOn w:val="1"/>
    <w:autoRedefine/>
    <w:qFormat/>
    <w:uiPriority w:val="0"/>
    <w:pPr>
      <w:ind w:firstLine="200" w:firstLineChars="200"/>
    </w:pPr>
  </w:style>
  <w:style w:type="paragraph" w:customStyle="1" w:styleId="131">
    <w:name w:val="正文图标题"/>
    <w:next w:val="61"/>
    <w:autoRedefine/>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2">
    <w:name w:val="二级无"/>
    <w:basedOn w:val="133"/>
    <w:autoRedefine/>
    <w:qFormat/>
    <w:uiPriority w:val="0"/>
    <w:rPr>
      <w:rFonts w:ascii="宋体" w:eastAsia="宋体"/>
    </w:rPr>
  </w:style>
  <w:style w:type="paragraph" w:customStyle="1" w:styleId="133">
    <w:name w:val="二级条标题"/>
    <w:basedOn w:val="134"/>
    <w:next w:val="61"/>
    <w:autoRedefine/>
    <w:qFormat/>
    <w:uiPriority w:val="0"/>
    <w:pPr>
      <w:spacing w:beforeLines="0" w:afterLines="0"/>
      <w:ind w:left="1236"/>
      <w:outlineLvl w:val="3"/>
    </w:pPr>
  </w:style>
  <w:style w:type="paragraph" w:customStyle="1" w:styleId="134">
    <w:name w:val="一级条标题"/>
    <w:next w:val="61"/>
    <w:autoRedefine/>
    <w:qFormat/>
    <w:uiPriority w:val="0"/>
    <w:pPr>
      <w:spacing w:beforeLines="50" w:afterLines="50"/>
      <w:ind w:left="824"/>
      <w:outlineLvl w:val="2"/>
    </w:pPr>
    <w:rPr>
      <w:rFonts w:ascii="黑体" w:hAnsi="Times New Roman" w:eastAsia="黑体" w:cs="Times New Roman"/>
      <w:sz w:val="21"/>
      <w:szCs w:val="21"/>
      <w:lang w:val="en-US" w:eastAsia="zh-CN" w:bidi="ar-SA"/>
    </w:rPr>
  </w:style>
  <w:style w:type="paragraph" w:customStyle="1" w:styleId="135">
    <w:name w:val="p21"/>
    <w:basedOn w:val="1"/>
    <w:autoRedefine/>
    <w:qFormat/>
    <w:uiPriority w:val="0"/>
    <w:pPr>
      <w:widowControl/>
      <w:jc w:val="left"/>
    </w:pPr>
    <w:rPr>
      <w:rFonts w:ascii="Calibri" w:hAnsi="Calibri" w:cs="宋体"/>
      <w:kern w:val="0"/>
      <w:sz w:val="18"/>
      <w:szCs w:val="18"/>
    </w:rPr>
  </w:style>
  <w:style w:type="paragraph" w:customStyle="1" w:styleId="136">
    <w:name w:val="xl3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styleId="137">
    <w:name w:val="List Paragraph"/>
    <w:basedOn w:val="1"/>
    <w:autoRedefine/>
    <w:qFormat/>
    <w:uiPriority w:val="34"/>
    <w:pPr>
      <w:ind w:firstLine="420" w:firstLineChars="200"/>
    </w:pPr>
    <w:rPr>
      <w:rFonts w:ascii="Calibri" w:hAnsi="Calibri"/>
      <w:szCs w:val="22"/>
    </w:rPr>
  </w:style>
  <w:style w:type="paragraph" w:customStyle="1" w:styleId="138">
    <w:name w:val="样式 表格正文 + 两端对齐"/>
    <w:basedOn w:val="1"/>
    <w:autoRedefine/>
    <w:qFormat/>
    <w:uiPriority w:val="0"/>
    <w:pPr>
      <w:spacing w:line="300" w:lineRule="auto"/>
    </w:pPr>
    <w:rPr>
      <w:sz w:val="24"/>
    </w:rPr>
  </w:style>
  <w:style w:type="paragraph" w:customStyle="1" w:styleId="139">
    <w:name w:val="一级无"/>
    <w:basedOn w:val="134"/>
    <w:autoRedefine/>
    <w:qFormat/>
    <w:uiPriority w:val="0"/>
    <w:pPr>
      <w:spacing w:beforeLines="0" w:afterLines="0"/>
    </w:pPr>
    <w:rPr>
      <w:rFonts w:ascii="宋体" w:eastAsia="宋体"/>
    </w:rPr>
  </w:style>
  <w:style w:type="paragraph" w:customStyle="1" w:styleId="140">
    <w:name w:val="p18"/>
    <w:basedOn w:val="1"/>
    <w:autoRedefine/>
    <w:qFormat/>
    <w:uiPriority w:val="0"/>
    <w:pPr>
      <w:widowControl/>
      <w:ind w:firstLine="420"/>
    </w:pPr>
    <w:rPr>
      <w:rFonts w:ascii="Calibri" w:hAnsi="Calibri" w:cs="宋体"/>
      <w:kern w:val="0"/>
      <w:szCs w:val="21"/>
    </w:rPr>
  </w:style>
  <w:style w:type="paragraph" w:customStyle="1" w:styleId="141">
    <w:name w:val="标书标题2"/>
    <w:basedOn w:val="3"/>
    <w:autoRedefine/>
    <w:qFormat/>
    <w:uiPriority w:val="0"/>
    <w:pPr>
      <w:keepLines w:val="0"/>
      <w:widowControl/>
      <w:tabs>
        <w:tab w:val="left" w:pos="1320"/>
      </w:tabs>
      <w:adjustRightInd w:val="0"/>
      <w:snapToGrid w:val="0"/>
      <w:spacing w:beforeLines="50" w:after="60" w:line="300" w:lineRule="auto"/>
      <w:ind w:left="1320" w:hanging="420"/>
    </w:pPr>
    <w:rPr>
      <w:rFonts w:ascii="黑体" w:hAnsi="黑体" w:eastAsia="Courier New" w:cs="Arial"/>
      <w:color w:val="000000"/>
      <w:kern w:val="0"/>
      <w:sz w:val="28"/>
      <w:szCs w:val="20"/>
    </w:rPr>
  </w:style>
  <w:style w:type="paragraph" w:customStyle="1" w:styleId="142">
    <w:name w:val="修订1"/>
    <w:autoRedefine/>
    <w:semiHidden/>
    <w:qFormat/>
    <w:uiPriority w:val="99"/>
    <w:rPr>
      <w:rFonts w:ascii="Times New Roman" w:hAnsi="Times New Roman" w:eastAsia="宋体" w:cs="Times New Roman"/>
      <w:kern w:val="2"/>
      <w:sz w:val="21"/>
      <w:lang w:val="en-US" w:eastAsia="zh-CN" w:bidi="ar-SA"/>
    </w:rPr>
  </w:style>
  <w:style w:type="paragraph" w:customStyle="1" w:styleId="143">
    <w:name w:val="章标题"/>
    <w:next w:val="61"/>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144">
    <w:name w:val="五级条标题"/>
    <w:basedOn w:val="145"/>
    <w:next w:val="61"/>
    <w:autoRedefine/>
    <w:qFormat/>
    <w:uiPriority w:val="0"/>
    <w:pPr>
      <w:outlineLvl w:val="6"/>
    </w:pPr>
  </w:style>
  <w:style w:type="paragraph" w:customStyle="1" w:styleId="145">
    <w:name w:val="四级条标题"/>
    <w:basedOn w:val="146"/>
    <w:next w:val="61"/>
    <w:autoRedefine/>
    <w:qFormat/>
    <w:uiPriority w:val="0"/>
    <w:pPr>
      <w:outlineLvl w:val="5"/>
    </w:pPr>
  </w:style>
  <w:style w:type="paragraph" w:customStyle="1" w:styleId="146">
    <w:name w:val="三级条标题"/>
    <w:basedOn w:val="133"/>
    <w:next w:val="61"/>
    <w:autoRedefine/>
    <w:qFormat/>
    <w:uiPriority w:val="0"/>
    <w:pPr>
      <w:ind w:left="0"/>
      <w:outlineLvl w:val="4"/>
    </w:pPr>
  </w:style>
  <w:style w:type="paragraph" w:customStyle="1" w:styleId="147">
    <w:name w:val="p0"/>
    <w:basedOn w:val="1"/>
    <w:autoRedefine/>
    <w:qFormat/>
    <w:uiPriority w:val="0"/>
    <w:pPr>
      <w:widowControl/>
    </w:pPr>
    <w:rPr>
      <w:rFonts w:ascii="Calibri" w:hAnsi="Calibri" w:cs="宋体"/>
      <w:kern w:val="0"/>
      <w:szCs w:val="21"/>
    </w:rPr>
  </w:style>
  <w:style w:type="paragraph" w:customStyle="1" w:styleId="148">
    <w:name w:val="正文首行缩进1"/>
    <w:basedOn w:val="1"/>
    <w:autoRedefine/>
    <w:qFormat/>
    <w:uiPriority w:val="0"/>
    <w:pPr>
      <w:autoSpaceDE w:val="0"/>
      <w:autoSpaceDN w:val="0"/>
      <w:adjustRightInd w:val="0"/>
      <w:snapToGrid w:val="0"/>
      <w:spacing w:line="360" w:lineRule="auto"/>
      <w:ind w:firstLine="425"/>
    </w:pPr>
    <w:rPr>
      <w:rFonts w:ascii="Calibri" w:hAnsi="Calibri"/>
      <w:kern w:val="0"/>
      <w:sz w:val="20"/>
    </w:rPr>
  </w:style>
  <w:style w:type="paragraph" w:customStyle="1" w:styleId="149">
    <w:name w:val="正文文字格式"/>
    <w:basedOn w:val="1"/>
    <w:autoRedefine/>
    <w:qFormat/>
    <w:uiPriority w:val="0"/>
    <w:pPr>
      <w:spacing w:line="460" w:lineRule="exact"/>
      <w:ind w:firstLine="505"/>
      <w:jc w:val="left"/>
    </w:pPr>
    <w:rPr>
      <w:rFonts w:ascii="Century Gothic" w:hAnsi="Arial" w:cs="Arial"/>
      <w:kern w:val="24"/>
      <w:sz w:val="24"/>
    </w:rPr>
  </w:style>
  <w:style w:type="paragraph" w:customStyle="1" w:styleId="150">
    <w:name w:val="其他发布日期"/>
    <w:basedOn w:val="1"/>
    <w:autoRedefine/>
    <w:qFormat/>
    <w:uiPriority w:val="0"/>
    <w:pPr>
      <w:widowControl/>
      <w:jc w:val="left"/>
    </w:pPr>
    <w:rPr>
      <w:rFonts w:eastAsia="黑体"/>
      <w:kern w:val="0"/>
      <w:sz w:val="28"/>
    </w:rPr>
  </w:style>
  <w:style w:type="paragraph" w:customStyle="1" w:styleId="151">
    <w:name w:val="font5"/>
    <w:basedOn w:val="1"/>
    <w:autoRedefine/>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5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rPr>
  </w:style>
  <w:style w:type="paragraph" w:customStyle="1" w:styleId="153">
    <w:name w:val="xl3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54">
    <w:name w:val="font1"/>
    <w:basedOn w:val="1"/>
    <w:autoRedefine/>
    <w:qFormat/>
    <w:uiPriority w:val="0"/>
    <w:pPr>
      <w:widowControl/>
      <w:spacing w:before="100" w:beforeAutospacing="1" w:after="100" w:afterAutospacing="1"/>
      <w:jc w:val="left"/>
    </w:pPr>
    <w:rPr>
      <w:rFonts w:ascii="Century Gothic" w:hAnsi="Century Gothic" w:cs="Arial"/>
      <w:kern w:val="0"/>
      <w:sz w:val="24"/>
    </w:rPr>
  </w:style>
  <w:style w:type="paragraph" w:customStyle="1" w:styleId="155">
    <w:name w:val="List Paragraph1"/>
    <w:basedOn w:val="1"/>
    <w:autoRedefine/>
    <w:qFormat/>
    <w:uiPriority w:val="0"/>
    <w:pPr>
      <w:ind w:firstLine="420" w:firstLineChars="200"/>
    </w:pPr>
    <w:rPr>
      <w:rFonts w:ascii="Calibri" w:hAnsi="Calibri"/>
      <w:szCs w:val="22"/>
    </w:rPr>
  </w:style>
  <w:style w:type="paragraph" w:customStyle="1" w:styleId="156">
    <w:name w:val="xl3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57">
    <w:name w:val="p16"/>
    <w:basedOn w:val="1"/>
    <w:autoRedefine/>
    <w:qFormat/>
    <w:uiPriority w:val="0"/>
    <w:pPr>
      <w:widowControl/>
      <w:ind w:firstLine="420"/>
    </w:pPr>
    <w:rPr>
      <w:rFonts w:ascii="Calibri" w:hAnsi="Calibri" w:cs="宋体"/>
      <w:kern w:val="0"/>
      <w:szCs w:val="21"/>
    </w:rPr>
  </w:style>
  <w:style w:type="paragraph" w:customStyle="1" w:styleId="158">
    <w:name w:val="Char Char Char Char Char Char Char Char"/>
    <w:basedOn w:val="1"/>
    <w:autoRedefine/>
    <w:qFormat/>
    <w:uiPriority w:val="0"/>
    <w:pPr>
      <w:tabs>
        <w:tab w:val="left" w:pos="360"/>
      </w:tabs>
    </w:pPr>
    <w:rPr>
      <w:rFonts w:ascii="Calibri" w:hAnsi="Calibri"/>
    </w:rPr>
  </w:style>
  <w:style w:type="paragraph" w:customStyle="1" w:styleId="159">
    <w:name w:val="1."/>
    <w:basedOn w:val="1"/>
    <w:autoRedefine/>
    <w:qFormat/>
    <w:uiPriority w:val="0"/>
    <w:pPr>
      <w:spacing w:line="360" w:lineRule="auto"/>
      <w:ind w:firstLine="480" w:firstLineChars="200"/>
    </w:pPr>
    <w:rPr>
      <w:rFonts w:ascii="宋体" w:hAnsi="宋体"/>
      <w:sz w:val="24"/>
      <w:szCs w:val="24"/>
    </w:rPr>
  </w:style>
  <w:style w:type="paragraph" w:customStyle="1" w:styleId="160">
    <w:name w:val="正文1"/>
    <w:basedOn w:val="1"/>
    <w:autoRedefine/>
    <w:qFormat/>
    <w:uiPriority w:val="0"/>
    <w:pPr>
      <w:tabs>
        <w:tab w:val="left" w:pos="306"/>
      </w:tabs>
      <w:spacing w:line="360" w:lineRule="auto"/>
      <w:ind w:left="306" w:hanging="360"/>
      <w:jc w:val="left"/>
    </w:pPr>
    <w:rPr>
      <w:rFonts w:ascii="宋体" w:hAnsi="宋体"/>
      <w:spacing w:val="4"/>
      <w:sz w:val="18"/>
    </w:rPr>
  </w:style>
  <w:style w:type="paragraph" w:customStyle="1" w:styleId="161">
    <w:name w:val="Char Char Char Char"/>
    <w:basedOn w:val="1"/>
    <w:autoRedefine/>
    <w:qFormat/>
    <w:uiPriority w:val="0"/>
    <w:rPr>
      <w:rFonts w:ascii="Arial" w:hAnsi="Arial"/>
    </w:rPr>
  </w:style>
  <w:style w:type="paragraph" w:customStyle="1" w:styleId="162">
    <w:name w:val="Char"/>
    <w:basedOn w:val="1"/>
    <w:autoRedefine/>
    <w:qFormat/>
    <w:uiPriority w:val="0"/>
    <w:rPr>
      <w:rFonts w:ascii="Arial" w:hAnsi="Arial" w:cs="Arial"/>
      <w:szCs w:val="24"/>
    </w:rPr>
  </w:style>
  <w:style w:type="paragraph" w:customStyle="1" w:styleId="163">
    <w:name w:val="Char Char 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64">
    <w:name w:val="Char Char Char Char Char Char Char"/>
    <w:basedOn w:val="1"/>
    <w:autoRedefine/>
    <w:qFormat/>
    <w:uiPriority w:val="0"/>
    <w:pPr>
      <w:tabs>
        <w:tab w:val="left" w:pos="432"/>
      </w:tabs>
      <w:ind w:left="432" w:hanging="432"/>
    </w:pPr>
    <w:rPr>
      <w:rFonts w:ascii="Tahoma" w:hAnsi="Tahoma"/>
      <w:sz w:val="24"/>
    </w:rPr>
  </w:style>
  <w:style w:type="paragraph" w:customStyle="1" w:styleId="165">
    <w:name w:val="四级无"/>
    <w:basedOn w:val="1"/>
    <w:autoRedefine/>
    <w:qFormat/>
    <w:uiPriority w:val="0"/>
    <w:pPr>
      <w:widowControl/>
      <w:tabs>
        <w:tab w:val="left" w:pos="2551"/>
      </w:tabs>
      <w:ind w:left="2551" w:hanging="850"/>
      <w:jc w:val="left"/>
      <w:outlineLvl w:val="5"/>
    </w:pPr>
    <w:rPr>
      <w:rFonts w:ascii="宋体"/>
      <w:kern w:val="0"/>
      <w:szCs w:val="21"/>
    </w:rPr>
  </w:style>
  <w:style w:type="paragraph" w:customStyle="1" w:styleId="166">
    <w:name w:val="正文文本 21"/>
    <w:basedOn w:val="1"/>
    <w:autoRedefine/>
    <w:qFormat/>
    <w:uiPriority w:val="0"/>
    <w:pPr>
      <w:adjustRightInd w:val="0"/>
      <w:spacing w:line="300" w:lineRule="auto"/>
      <w:jc w:val="center"/>
    </w:pPr>
    <w:rPr>
      <w:rFonts w:hint="eastAsia" w:ascii="Century Gothic" w:hAnsi="Century Gothic"/>
      <w:sz w:val="24"/>
    </w:rPr>
  </w:style>
  <w:style w:type="paragraph" w:customStyle="1" w:styleId="167">
    <w:name w:val="标书标题4"/>
    <w:basedOn w:val="5"/>
    <w:autoRedefine/>
    <w:qFormat/>
    <w:uiPriority w:val="0"/>
    <w:pPr>
      <w:keepLines w:val="0"/>
      <w:adjustRightInd w:val="0"/>
      <w:snapToGrid w:val="0"/>
      <w:spacing w:before="0" w:after="0" w:line="300" w:lineRule="auto"/>
    </w:pPr>
    <w:rPr>
      <w:rFonts w:ascii="MS Sans Serif" w:hAnsi="仿宋_GB2312" w:eastAsia="Courier New"/>
      <w:bCs w:val="0"/>
      <w:color w:val="000000"/>
      <w:kern w:val="0"/>
      <w:szCs w:val="32"/>
    </w:rPr>
  </w:style>
  <w:style w:type="paragraph" w:customStyle="1" w:styleId="168">
    <w:name w:val="font6"/>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169">
    <w:name w:val="p20"/>
    <w:basedOn w:val="1"/>
    <w:autoRedefine/>
    <w:qFormat/>
    <w:uiPriority w:val="0"/>
    <w:pPr>
      <w:widowControl/>
      <w:ind w:firstLine="420"/>
    </w:pPr>
    <w:rPr>
      <w:rFonts w:ascii="Calibri" w:hAnsi="Calibri" w:cs="宋体"/>
      <w:kern w:val="0"/>
      <w:szCs w:val="21"/>
    </w:rPr>
  </w:style>
  <w:style w:type="paragraph" w:customStyle="1" w:styleId="170">
    <w:name w:val="p17"/>
    <w:basedOn w:val="1"/>
    <w:autoRedefine/>
    <w:qFormat/>
    <w:uiPriority w:val="0"/>
    <w:pPr>
      <w:widowControl/>
      <w:ind w:firstLine="420"/>
    </w:pPr>
    <w:rPr>
      <w:rFonts w:ascii="Calibri" w:hAnsi="Calibri" w:cs="宋体"/>
      <w:kern w:val="0"/>
      <w:szCs w:val="21"/>
    </w:rPr>
  </w:style>
  <w:style w:type="paragraph" w:customStyle="1" w:styleId="171">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72">
    <w:name w:val="正文表标题"/>
    <w:next w:val="61"/>
    <w:autoRedefine/>
    <w:qFormat/>
    <w:uiPriority w:val="0"/>
    <w:pPr>
      <w:tabs>
        <w:tab w:val="left" w:pos="360"/>
        <w:tab w:val="left" w:pos="846"/>
      </w:tabs>
      <w:spacing w:beforeLines="50" w:afterLines="50"/>
      <w:ind w:left="846" w:hanging="420"/>
      <w:jc w:val="center"/>
    </w:pPr>
    <w:rPr>
      <w:rFonts w:ascii="黑体" w:hAnsi="Times New Roman" w:eastAsia="黑体" w:cs="Times New Roman"/>
      <w:sz w:val="21"/>
      <w:lang w:val="en-US" w:eastAsia="zh-CN" w:bidi="ar-SA"/>
    </w:rPr>
  </w:style>
  <w:style w:type="paragraph" w:customStyle="1" w:styleId="173">
    <w:name w:val="列出段落1"/>
    <w:basedOn w:val="1"/>
    <w:link w:val="214"/>
    <w:autoRedefine/>
    <w:qFormat/>
    <w:uiPriority w:val="0"/>
    <w:pPr>
      <w:ind w:firstLine="420" w:firstLineChars="200"/>
    </w:pPr>
    <w:rPr>
      <w:rFonts w:ascii="Calibri" w:hAnsi="Calibri"/>
      <w:szCs w:val="22"/>
    </w:rPr>
  </w:style>
  <w:style w:type="paragraph" w:customStyle="1" w:styleId="174">
    <w:name w:val="Char1"/>
    <w:basedOn w:val="1"/>
    <w:autoRedefine/>
    <w:qFormat/>
    <w:uiPriority w:val="0"/>
    <w:rPr>
      <w:szCs w:val="24"/>
    </w:rPr>
  </w:style>
  <w:style w:type="paragraph" w:customStyle="1" w:styleId="175">
    <w:name w:val="表头文本"/>
    <w:basedOn w:val="1"/>
    <w:autoRedefine/>
    <w:qFormat/>
    <w:uiPriority w:val="0"/>
    <w:pPr>
      <w:autoSpaceDE w:val="0"/>
      <w:autoSpaceDN w:val="0"/>
      <w:adjustRightInd w:val="0"/>
      <w:jc w:val="center"/>
    </w:pPr>
    <w:rPr>
      <w:b/>
      <w:kern w:val="0"/>
      <w:sz w:val="24"/>
    </w:rPr>
  </w:style>
  <w:style w:type="paragraph" w:customStyle="1" w:styleId="176">
    <w:name w:val="正文缩进1"/>
    <w:basedOn w:val="1"/>
    <w:autoRedefine/>
    <w:qFormat/>
    <w:uiPriority w:val="0"/>
    <w:pPr>
      <w:ind w:firstLine="420" w:firstLineChars="200"/>
    </w:pPr>
    <w:rPr>
      <w:rFonts w:ascii="Calibri" w:hAnsi="Calibri"/>
      <w:szCs w:val="22"/>
    </w:rPr>
  </w:style>
  <w:style w:type="paragraph" w:customStyle="1" w:styleId="177">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78">
    <w:name w:val="xl27"/>
    <w:basedOn w:val="1"/>
    <w:autoRedefine/>
    <w:qFormat/>
    <w:uiPriority w:val="0"/>
    <w:pPr>
      <w:widowControl/>
      <w:pBdr>
        <w:bottom w:val="single" w:color="auto" w:sz="4" w:space="0"/>
      </w:pBdr>
      <w:spacing w:before="100" w:beforeAutospacing="1" w:after="100" w:afterAutospacing="1"/>
      <w:jc w:val="center"/>
      <w:textAlignment w:val="center"/>
    </w:pPr>
    <w:rPr>
      <w:rFonts w:ascii="Arial Narrow" w:hAnsi="Century Gothic" w:eastAsia="Arial Narrow" w:cs="Century Gothic"/>
      <w:kern w:val="0"/>
      <w:sz w:val="36"/>
      <w:szCs w:val="36"/>
    </w:rPr>
  </w:style>
  <w:style w:type="paragraph" w:customStyle="1" w:styleId="179">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180">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81">
    <w:name w:val="标书标题3"/>
    <w:basedOn w:val="4"/>
    <w:autoRedefine/>
    <w:qFormat/>
    <w:uiPriority w:val="0"/>
    <w:pPr>
      <w:keepLines w:val="0"/>
      <w:widowControl/>
      <w:adjustRightInd w:val="0"/>
      <w:snapToGrid w:val="0"/>
      <w:spacing w:before="120" w:after="60" w:line="300" w:lineRule="auto"/>
      <w:jc w:val="left"/>
    </w:pPr>
    <w:rPr>
      <w:rFonts w:ascii="Arial" w:hAnsi="Arial" w:eastAsia="Courier New"/>
      <w:b w:val="0"/>
      <w:bCs w:val="0"/>
      <w:color w:val="000000"/>
      <w:kern w:val="0"/>
      <w:sz w:val="28"/>
    </w:rPr>
  </w:style>
  <w:style w:type="paragraph" w:customStyle="1" w:styleId="182">
    <w:name w:val="Default"/>
    <w:autoRedefine/>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183">
    <w:name w:val="xl3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84">
    <w:name w:val="小节"/>
    <w:basedOn w:val="4"/>
    <w:autoRedefine/>
    <w:qFormat/>
    <w:uiPriority w:val="0"/>
    <w:pPr>
      <w:spacing w:before="200" w:after="200" w:line="560" w:lineRule="exact"/>
      <w:jc w:val="left"/>
    </w:pPr>
    <w:rPr>
      <w:rFonts w:ascii="Century Gothic" w:hAnsi="Century Gothic"/>
      <w:bCs w:val="0"/>
      <w:color w:val="000000"/>
      <w:spacing w:val="10"/>
      <w:kern w:val="24"/>
      <w:sz w:val="28"/>
    </w:rPr>
  </w:style>
  <w:style w:type="paragraph" w:customStyle="1" w:styleId="185">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186">
    <w:name w:val="Char2"/>
    <w:basedOn w:val="1"/>
    <w:autoRedefine/>
    <w:qFormat/>
    <w:uiPriority w:val="0"/>
    <w:rPr>
      <w:rFonts w:ascii="Courier New" w:hAnsi="Arial" w:eastAsia="Courier New" w:cs="Arial"/>
      <w:b/>
      <w:sz w:val="32"/>
      <w:szCs w:val="32"/>
    </w:rPr>
  </w:style>
  <w:style w:type="paragraph" w:customStyle="1" w:styleId="187">
    <w:name w:val="Char3 Char Char Char"/>
    <w:basedOn w:val="1"/>
    <w:autoRedefine/>
    <w:qFormat/>
    <w:uiPriority w:val="0"/>
    <w:pPr>
      <w:widowControl/>
      <w:spacing w:after="160" w:line="240" w:lineRule="exact"/>
      <w:jc w:val="left"/>
    </w:pPr>
    <w:rPr>
      <w:rFonts w:ascii="Arial" w:hAnsi="Arial" w:cs="Arial"/>
    </w:rPr>
  </w:style>
  <w:style w:type="paragraph" w:customStyle="1" w:styleId="1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89">
    <w:name w:val="正文段"/>
    <w:basedOn w:val="1"/>
    <w:autoRedefine/>
    <w:qFormat/>
    <w:uiPriority w:val="0"/>
    <w:pPr>
      <w:widowControl/>
      <w:snapToGrid w:val="0"/>
      <w:spacing w:afterLines="50"/>
      <w:ind w:firstLine="200" w:firstLineChars="200"/>
    </w:pPr>
    <w:rPr>
      <w:rFonts w:ascii="Arial" w:hAnsi="Arial" w:cs="Arial"/>
      <w:kern w:val="0"/>
      <w:sz w:val="24"/>
    </w:rPr>
  </w:style>
  <w:style w:type="paragraph" w:customStyle="1" w:styleId="190">
    <w:name w:val="xl38"/>
    <w:basedOn w:val="1"/>
    <w:autoRedefine/>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91">
    <w:name w:val="xl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kern w:val="0"/>
      <w:sz w:val="24"/>
    </w:rPr>
  </w:style>
  <w:style w:type="paragraph" w:customStyle="1" w:styleId="192">
    <w:name w:val="Body Text 21"/>
    <w:basedOn w:val="1"/>
    <w:autoRedefine/>
    <w:qFormat/>
    <w:uiPriority w:val="0"/>
    <w:pPr>
      <w:adjustRightInd w:val="0"/>
      <w:spacing w:line="300" w:lineRule="auto"/>
      <w:jc w:val="center"/>
    </w:pPr>
    <w:rPr>
      <w:rFonts w:hint="eastAsia" w:ascii="Century Gothic" w:hAnsi="Century Gothic" w:cs="Arial"/>
      <w:sz w:val="24"/>
    </w:rPr>
  </w:style>
  <w:style w:type="paragraph" w:customStyle="1" w:styleId="193">
    <w:name w:val="Char3"/>
    <w:basedOn w:val="1"/>
    <w:autoRedefine/>
    <w:qFormat/>
    <w:uiPriority w:val="0"/>
    <w:rPr>
      <w:rFonts w:ascii="仿宋_GB2312" w:eastAsia="仿宋_GB2312"/>
      <w:b/>
      <w:sz w:val="32"/>
      <w:szCs w:val="32"/>
    </w:rPr>
  </w:style>
  <w:style w:type="paragraph" w:customStyle="1" w:styleId="19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95">
    <w:name w:val="_Style 27"/>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p19"/>
    <w:basedOn w:val="1"/>
    <w:autoRedefine/>
    <w:qFormat/>
    <w:uiPriority w:val="0"/>
    <w:pPr>
      <w:widowControl/>
      <w:pBdr>
        <w:bottom w:val="single" w:color="000000" w:sz="6" w:space="1"/>
      </w:pBdr>
      <w:jc w:val="center"/>
    </w:pPr>
    <w:rPr>
      <w:rFonts w:ascii="Calibri" w:hAnsi="Calibri" w:cs="宋体"/>
      <w:kern w:val="0"/>
      <w:sz w:val="18"/>
      <w:szCs w:val="18"/>
    </w:rPr>
  </w:style>
  <w:style w:type="paragraph" w:customStyle="1" w:styleId="197">
    <w:name w:val="默认段落字体 Para Char Char Char Char"/>
    <w:basedOn w:val="1"/>
    <w:qFormat/>
    <w:uiPriority w:val="0"/>
    <w:pPr>
      <w:adjustRightInd w:val="0"/>
      <w:spacing w:line="360" w:lineRule="auto"/>
    </w:pPr>
    <w:rPr>
      <w:szCs w:val="24"/>
    </w:rPr>
  </w:style>
  <w:style w:type="paragraph" w:customStyle="1" w:styleId="198">
    <w:name w:val="_Style 61"/>
    <w:basedOn w:val="1"/>
    <w:qFormat/>
    <w:uiPriority w:val="0"/>
    <w:pPr>
      <w:widowControl/>
      <w:spacing w:after="160" w:line="240" w:lineRule="exact"/>
      <w:jc w:val="left"/>
    </w:pPr>
    <w:rPr>
      <w:szCs w:val="24"/>
    </w:rPr>
  </w:style>
  <w:style w:type="paragraph" w:customStyle="1" w:styleId="199">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00">
    <w:name w:val="样式5"/>
    <w:basedOn w:val="5"/>
    <w:qFormat/>
    <w:uiPriority w:val="0"/>
    <w:pPr>
      <w:jc w:val="center"/>
    </w:pPr>
    <w:rPr>
      <w:rFonts w:ascii="Century Gothic" w:hAnsi="Century Gothic" w:eastAsia="Century Gothic"/>
      <w:sz w:val="32"/>
      <w:szCs w:val="32"/>
    </w:rPr>
  </w:style>
  <w:style w:type="paragraph" w:customStyle="1" w:styleId="201">
    <w:name w:val="Blockquote"/>
    <w:basedOn w:val="1"/>
    <w:qFormat/>
    <w:uiPriority w:val="0"/>
    <w:pPr>
      <w:autoSpaceDE w:val="0"/>
      <w:autoSpaceDN w:val="0"/>
      <w:adjustRightInd w:val="0"/>
      <w:spacing w:before="100" w:after="100"/>
      <w:ind w:left="360" w:right="360"/>
      <w:jc w:val="left"/>
    </w:pPr>
    <w:rPr>
      <w:rFonts w:ascii="Arial" w:hAnsi="Arial" w:cs="Arial"/>
      <w:kern w:val="0"/>
      <w:sz w:val="24"/>
    </w:rPr>
  </w:style>
  <w:style w:type="paragraph" w:customStyle="1" w:styleId="202">
    <w:name w:val="Char Char Char Char Char Char1"/>
    <w:basedOn w:val="1"/>
    <w:qFormat/>
    <w:uiPriority w:val="0"/>
    <w:pPr>
      <w:widowControl/>
      <w:ind w:firstLine="200" w:firstLineChars="200"/>
      <w:jc w:val="left"/>
    </w:pPr>
    <w:rPr>
      <w:rFonts w:ascii="Tahoma" w:hAnsi="Tahoma" w:cs="宋体"/>
      <w:kern w:val="0"/>
      <w:sz w:val="24"/>
    </w:rPr>
  </w:style>
  <w:style w:type="paragraph" w:customStyle="1" w:styleId="203">
    <w:name w:val="目次、标准名称标题"/>
    <w:basedOn w:val="1"/>
    <w:next w:val="61"/>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204">
    <w:name w:val="Char1 Char Char Char"/>
    <w:basedOn w:val="1"/>
    <w:qFormat/>
    <w:uiPriority w:val="0"/>
    <w:rPr>
      <w:rFonts w:ascii="仿宋_GB2312" w:eastAsia="仿宋_GB2312" w:cs="仿宋_GB2312"/>
      <w:b/>
      <w:bCs/>
      <w:sz w:val="32"/>
      <w:szCs w:val="32"/>
    </w:rPr>
  </w:style>
  <w:style w:type="paragraph" w:customStyle="1" w:styleId="2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szCs w:val="24"/>
    </w:rPr>
  </w:style>
  <w:style w:type="paragraph" w:customStyle="1" w:styleId="20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07">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08">
    <w:name w:val="p15"/>
    <w:basedOn w:val="1"/>
    <w:autoRedefine/>
    <w:qFormat/>
    <w:uiPriority w:val="0"/>
    <w:pPr>
      <w:widowControl/>
      <w:snapToGrid w:val="0"/>
      <w:spacing w:line="360" w:lineRule="auto"/>
      <w:ind w:firstLine="420"/>
      <w:jc w:val="left"/>
    </w:pPr>
    <w:rPr>
      <w:rFonts w:ascii="Arial" w:hAnsi="Arial" w:cs="Arial"/>
      <w:kern w:val="0"/>
      <w:sz w:val="24"/>
      <w:szCs w:val="24"/>
    </w:rPr>
  </w:style>
  <w:style w:type="character" w:customStyle="1" w:styleId="209">
    <w:name w:val="bookmark-item"/>
    <w:basedOn w:val="47"/>
    <w:qFormat/>
    <w:uiPriority w:val="0"/>
  </w:style>
  <w:style w:type="character" w:customStyle="1" w:styleId="210">
    <w:name w:val="纯文本 Char2"/>
    <w:qFormat/>
    <w:uiPriority w:val="0"/>
    <w:rPr>
      <w:rFonts w:ascii="宋体" w:hAnsi="Courier New" w:eastAsia="宋体"/>
      <w:kern w:val="2"/>
      <w:sz w:val="24"/>
      <w:szCs w:val="24"/>
      <w:lang w:val="en-US" w:eastAsia="zh-CN" w:bidi="ar-SA"/>
    </w:rPr>
  </w:style>
  <w:style w:type="character" w:customStyle="1" w:styleId="211">
    <w:name w:val="font31"/>
    <w:basedOn w:val="47"/>
    <w:qFormat/>
    <w:uiPriority w:val="0"/>
    <w:rPr>
      <w:rFonts w:hint="eastAsia" w:ascii="宋体" w:hAnsi="宋体" w:eastAsia="宋体" w:cs="宋体"/>
      <w:color w:val="000000"/>
      <w:sz w:val="24"/>
      <w:szCs w:val="24"/>
      <w:u w:val="none"/>
    </w:rPr>
  </w:style>
  <w:style w:type="character" w:customStyle="1" w:styleId="212">
    <w:name w:val="font21"/>
    <w:basedOn w:val="47"/>
    <w:qFormat/>
    <w:uiPriority w:val="0"/>
    <w:rPr>
      <w:rFonts w:hint="eastAsia" w:ascii="宋体" w:hAnsi="宋体" w:eastAsia="宋体" w:cs="宋体"/>
      <w:color w:val="000000"/>
      <w:sz w:val="24"/>
      <w:szCs w:val="24"/>
      <w:u w:val="none"/>
      <w:vertAlign w:val="superscript"/>
    </w:rPr>
  </w:style>
  <w:style w:type="paragraph" w:customStyle="1" w:styleId="213">
    <w:name w:val="列出段落2"/>
    <w:basedOn w:val="1"/>
    <w:qFormat/>
    <w:uiPriority w:val="0"/>
    <w:pPr>
      <w:spacing w:line="360" w:lineRule="auto"/>
      <w:ind w:firstLine="420" w:firstLineChars="200"/>
    </w:pPr>
    <w:rPr>
      <w:rFonts w:ascii="Calibri" w:hAnsi="Calibri"/>
      <w:kern w:val="0"/>
      <w:sz w:val="20"/>
    </w:rPr>
  </w:style>
  <w:style w:type="character" w:customStyle="1" w:styleId="214">
    <w:name w:val="列出段落 Char"/>
    <w:link w:val="173"/>
    <w:qFormat/>
    <w:uiPriority w:val="0"/>
    <w:rPr>
      <w:rFonts w:cs="Times New Roman"/>
      <w:kern w:val="2"/>
      <w:sz w:val="21"/>
      <w:szCs w:val="22"/>
    </w:rPr>
  </w:style>
  <w:style w:type="character" w:customStyle="1" w:styleId="215">
    <w:name w:val="font51"/>
    <w:basedOn w:val="47"/>
    <w:qFormat/>
    <w:uiPriority w:val="0"/>
    <w:rPr>
      <w:rFonts w:hint="eastAsia" w:ascii="宋体" w:hAnsi="宋体" w:eastAsia="宋体" w:cs="宋体"/>
      <w:color w:val="000000"/>
      <w:sz w:val="20"/>
      <w:szCs w:val="20"/>
      <w:u w:val="none"/>
    </w:rPr>
  </w:style>
  <w:style w:type="character" w:customStyle="1" w:styleId="216">
    <w:name w:val="font71"/>
    <w:basedOn w:val="47"/>
    <w:qFormat/>
    <w:uiPriority w:val="0"/>
    <w:rPr>
      <w:rFonts w:hint="eastAsia" w:ascii="宋体" w:hAnsi="宋体" w:eastAsia="宋体" w:cs="宋体"/>
      <w:color w:val="FF0000"/>
      <w:sz w:val="20"/>
      <w:szCs w:val="20"/>
      <w:u w:val="none"/>
    </w:rPr>
  </w:style>
  <w:style w:type="paragraph" w:customStyle="1" w:styleId="217">
    <w:name w:val="Comment"/>
    <w:basedOn w:val="1"/>
    <w:autoRedefine/>
    <w:qFormat/>
    <w:uiPriority w:val="0"/>
    <w:pPr>
      <w:widowControl/>
      <w:spacing w:after="120"/>
      <w:jc w:val="left"/>
    </w:pPr>
    <w:rPr>
      <w:i/>
      <w:color w:val="000080"/>
      <w:kern w:val="0"/>
      <w:sz w:val="22"/>
    </w:rPr>
  </w:style>
  <w:style w:type="paragraph" w:customStyle="1" w:styleId="218">
    <w:name w:val="默认"/>
    <w:qFormat/>
    <w:uiPriority w:val="0"/>
    <w:rPr>
      <w:rFonts w:ascii="Helvetica Neue" w:hAnsi="Helvetica Neue" w:eastAsia="Helvetica Neue" w:cs="Helvetica Neue"/>
      <w:color w:val="000000"/>
      <w:sz w:val="22"/>
      <w:szCs w:val="22"/>
      <w:lang w:val="en-US" w:eastAsia="zh-CN" w:bidi="ar-SA"/>
    </w:rPr>
  </w:style>
  <w:style w:type="character" w:customStyle="1" w:styleId="219">
    <w:name w:val="font41"/>
    <w:basedOn w:val="47"/>
    <w:autoRedefine/>
    <w:qFormat/>
    <w:uiPriority w:val="0"/>
    <w:rPr>
      <w:rFonts w:hint="eastAsia" w:ascii="宋体" w:hAnsi="宋体" w:eastAsia="宋体" w:cs="宋体"/>
      <w:color w:val="000000"/>
      <w:sz w:val="20"/>
      <w:szCs w:val="20"/>
      <w:u w:val="none"/>
    </w:rPr>
  </w:style>
  <w:style w:type="paragraph" w:customStyle="1" w:styleId="220">
    <w:name w:val="招标内容"/>
    <w:basedOn w:val="4"/>
    <w:qFormat/>
    <w:uiPriority w:val="0"/>
    <w:pPr>
      <w:keepNext w:val="0"/>
      <w:keepLines w:val="0"/>
      <w:widowControl/>
      <w:autoSpaceDE w:val="0"/>
      <w:autoSpaceDN w:val="0"/>
      <w:spacing w:before="120" w:after="120" w:line="300" w:lineRule="auto"/>
    </w:pPr>
    <w:rPr>
      <w:b w:val="0"/>
      <w:bCs w:val="0"/>
      <w:sz w:val="24"/>
      <w:szCs w:val="20"/>
    </w:rPr>
  </w:style>
  <w:style w:type="character" w:customStyle="1" w:styleId="221">
    <w:name w:val="样式 宋体 小四"/>
    <w:qFormat/>
    <w:uiPriority w:val="0"/>
    <w:rPr>
      <w:rFonts w:hint="eastAsia" w:ascii="宋体" w:hAnsi="宋体" w:eastAsia="宋体"/>
      <w:sz w:val="21"/>
    </w:rPr>
  </w:style>
  <w:style w:type="paragraph" w:customStyle="1" w:styleId="222">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23">
    <w:name w:val="Table Text"/>
    <w:basedOn w:val="1"/>
    <w:semiHidden/>
    <w:qFormat/>
    <w:uiPriority w:val="0"/>
    <w:rPr>
      <w:rFonts w:ascii="宋体" w:hAnsi="宋体" w:eastAsia="宋体" w:cs="宋体"/>
      <w:sz w:val="20"/>
      <w:szCs w:val="20"/>
      <w:lang w:val="en-US" w:eastAsia="en-US" w:bidi="ar-SA"/>
    </w:rPr>
  </w:style>
  <w:style w:type="table" w:customStyle="1" w:styleId="22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header" Target="header4.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textRotate="1"/>
    <customShpInfo spid="_x0000_s4097"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0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CD638-75A6-4A23-9E17-777B2092C956}">
  <ds:schemaRefs/>
</ds:datastoreItem>
</file>

<file path=docProps/app.xml><?xml version="1.0" encoding="utf-8"?>
<Properties xmlns="http://schemas.openxmlformats.org/officeDocument/2006/extended-properties" xmlns:vt="http://schemas.openxmlformats.org/officeDocument/2006/docPropsVTypes">
  <Template>Normal</Template>
  <Company>中冠</Company>
  <Pages>93</Pages>
  <Words>52739</Words>
  <Characters>55905</Characters>
  <Lines>319</Lines>
  <Paragraphs>89</Paragraphs>
  <TotalTime>1</TotalTime>
  <ScaleCrop>false</ScaleCrop>
  <LinksUpToDate>false</LinksUpToDate>
  <CharactersWithSpaces>57212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2022-04-15T08:52:00Z</dcterms:created>
  <dc:creator>周全</dc:creator>
  <cp:lastModifiedBy>周全</cp:lastModifiedBy>
  <cp:lastPrinted>2022-04-07T00:16:00Z</cp:lastPrinted>
  <dcterms:modified xsi:type="dcterms:W3CDTF">2024-09-03T00:25:53Z</dcterms:modified>
  <dc:title>服务类文件</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5409440808994325A619FE7336E52CFD_12</vt:lpwstr>
  </property>
</Properties>
</file>