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E6D2A">
      <w:pPr>
        <w:pStyle w:val="80"/>
        <w:jc w:val="center"/>
        <w:rPr>
          <w:rFonts w:ascii="仿宋" w:hAnsi="仿宋" w:eastAsia="仿宋" w:cs="仿宋"/>
          <w:b/>
          <w:color w:val="000000" w:themeColor="text1"/>
          <w:sz w:val="48"/>
          <w:szCs w:val="48"/>
          <w:highlight w:val="none"/>
          <w14:textFill>
            <w14:solidFill>
              <w14:schemeClr w14:val="tx1"/>
            </w14:solidFill>
          </w14:textFill>
        </w:rPr>
      </w:pPr>
      <w:bookmarkStart w:id="0" w:name="_Hlt67893495"/>
      <w:bookmarkEnd w:id="0"/>
    </w:p>
    <w:p w14:paraId="25F960AC">
      <w:pPr>
        <w:pStyle w:val="81"/>
        <w:ind w:left="0" w:leftChars="0" w:firstLine="0" w:firstLineChars="0"/>
        <w:jc w:val="center"/>
        <w:rPr>
          <w:rFonts w:ascii="仿宋" w:hAnsi="仿宋" w:eastAsia="仿宋" w:cs="仿宋"/>
          <w:color w:val="000000" w:themeColor="text1"/>
          <w:sz w:val="56"/>
          <w:szCs w:val="56"/>
          <w:highlight w:val="none"/>
          <w14:textFill>
            <w14:solidFill>
              <w14:schemeClr w14:val="tx1"/>
            </w14:solidFill>
          </w14:textFill>
        </w:rPr>
      </w:pPr>
      <w:r>
        <w:rPr>
          <w:rFonts w:hint="eastAsia" w:ascii="仿宋" w:hAnsi="仿宋" w:eastAsia="仿宋" w:cs="仿宋"/>
          <w:b/>
          <w:color w:val="000000" w:themeColor="text1"/>
          <w:sz w:val="56"/>
          <w:szCs w:val="56"/>
          <w:highlight w:val="none"/>
          <w:lang w:eastAsia="zh-CN"/>
          <w14:textFill>
            <w14:solidFill>
              <w14:schemeClr w14:val="tx1"/>
            </w14:solidFill>
          </w14:textFill>
        </w:rPr>
        <w:t>绍兴天然气投资有限公司2025年度液化天然气（LNG）采购项目</w:t>
      </w:r>
    </w:p>
    <w:p w14:paraId="29DA7A9A">
      <w:pPr>
        <w:jc w:val="center"/>
        <w:outlineLvl w:val="0"/>
        <w:rPr>
          <w:rFonts w:ascii="仿宋" w:hAnsi="仿宋" w:eastAsia="仿宋" w:cs="仿宋"/>
          <w:b/>
          <w:color w:val="000000" w:themeColor="text1"/>
          <w:sz w:val="72"/>
          <w:szCs w:val="72"/>
          <w:highlight w:val="none"/>
          <w14:textFill>
            <w14:solidFill>
              <w14:schemeClr w14:val="tx1"/>
            </w14:solidFill>
          </w14:textFill>
        </w:rPr>
      </w:pPr>
    </w:p>
    <w:p w14:paraId="547A8A3A">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公</w:t>
      </w:r>
    </w:p>
    <w:p w14:paraId="7552DBA2">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开</w:t>
      </w:r>
    </w:p>
    <w:p w14:paraId="7471633F">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招</w:t>
      </w:r>
    </w:p>
    <w:p w14:paraId="3BF34EFE">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标</w:t>
      </w:r>
    </w:p>
    <w:p w14:paraId="15EAF7F8">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文</w:t>
      </w:r>
    </w:p>
    <w:p w14:paraId="017B0117">
      <w:pPr>
        <w:jc w:val="center"/>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件</w:t>
      </w:r>
    </w:p>
    <w:p w14:paraId="15DC2AA4">
      <w:pPr>
        <w:spacing w:line="360" w:lineRule="auto"/>
        <w:rPr>
          <w:rFonts w:ascii="仿宋" w:hAnsi="仿宋" w:eastAsia="仿宋" w:cs="仿宋"/>
          <w:b/>
          <w:color w:val="000000" w:themeColor="text1"/>
          <w:sz w:val="44"/>
          <w:szCs w:val="44"/>
          <w:highlight w:val="none"/>
          <w14:textFill>
            <w14:solidFill>
              <w14:schemeClr w14:val="tx1"/>
            </w14:solidFill>
          </w14:textFill>
        </w:rPr>
      </w:pPr>
    </w:p>
    <w:p w14:paraId="369BE541">
      <w:pPr>
        <w:spacing w:line="360" w:lineRule="auto"/>
        <w:rPr>
          <w:rFonts w:ascii="仿宋" w:hAnsi="仿宋" w:eastAsia="仿宋" w:cs="仿宋"/>
          <w:b/>
          <w:color w:val="000000" w:themeColor="text1"/>
          <w:sz w:val="44"/>
          <w:szCs w:val="44"/>
          <w:highlight w:val="none"/>
          <w14:textFill>
            <w14:solidFill>
              <w14:schemeClr w14:val="tx1"/>
            </w14:solidFill>
          </w14:textFill>
        </w:rPr>
      </w:pPr>
    </w:p>
    <w:p w14:paraId="0E9D74B4">
      <w:pPr>
        <w:jc w:val="center"/>
        <w:rPr>
          <w:rFonts w:hint="default"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招标编号:</w:t>
      </w:r>
      <w:r>
        <w:rPr>
          <w:rFonts w:hint="eastAsia" w:ascii="仿宋" w:hAnsi="仿宋" w:eastAsia="仿宋" w:cs="仿宋"/>
          <w:b/>
          <w:color w:val="000000" w:themeColor="text1"/>
          <w:sz w:val="28"/>
          <w:szCs w:val="28"/>
          <w:highlight w:val="none"/>
          <w:lang w:eastAsia="zh-CN"/>
          <w14:textFill>
            <w14:solidFill>
              <w14:schemeClr w14:val="tx1"/>
            </w14:solidFill>
          </w14:textFill>
        </w:rPr>
        <w:t>天投2024-SCB-</w:t>
      </w:r>
      <w:r>
        <w:rPr>
          <w:rFonts w:hint="eastAsia" w:ascii="仿宋" w:hAnsi="仿宋" w:eastAsia="仿宋" w:cs="仿宋"/>
          <w:b/>
          <w:color w:val="000000" w:themeColor="text1"/>
          <w:sz w:val="28"/>
          <w:szCs w:val="28"/>
          <w:highlight w:val="none"/>
          <w:lang w:val="en-US" w:eastAsia="zh-CN"/>
          <w14:textFill>
            <w14:solidFill>
              <w14:schemeClr w14:val="tx1"/>
            </w14:solidFill>
          </w14:textFill>
        </w:rPr>
        <w:t>014</w:t>
      </w:r>
    </w:p>
    <w:tbl>
      <w:tblPr>
        <w:tblStyle w:val="62"/>
        <w:tblW w:w="8136" w:type="dxa"/>
        <w:jc w:val="center"/>
        <w:tblLayout w:type="fixed"/>
        <w:tblCellMar>
          <w:top w:w="0" w:type="dxa"/>
          <w:left w:w="108" w:type="dxa"/>
          <w:bottom w:w="0" w:type="dxa"/>
          <w:right w:w="108" w:type="dxa"/>
        </w:tblCellMar>
      </w:tblPr>
      <w:tblGrid>
        <w:gridCol w:w="2691"/>
        <w:gridCol w:w="5445"/>
      </w:tblGrid>
      <w:tr w14:paraId="31667F20">
        <w:tblPrEx>
          <w:tblCellMar>
            <w:top w:w="0" w:type="dxa"/>
            <w:left w:w="108" w:type="dxa"/>
            <w:bottom w:w="0" w:type="dxa"/>
            <w:right w:w="108" w:type="dxa"/>
          </w:tblCellMar>
        </w:tblPrEx>
        <w:trPr>
          <w:trHeight w:val="443" w:hRule="atLeast"/>
          <w:jc w:val="center"/>
        </w:trPr>
        <w:tc>
          <w:tcPr>
            <w:tcW w:w="2691" w:type="dxa"/>
          </w:tcPr>
          <w:p w14:paraId="3842ABF9">
            <w:pPr>
              <w:autoSpaceDE w:val="0"/>
              <w:autoSpaceDN w:val="0"/>
              <w:spacing w:before="100" w:after="100" w:afterAutospacing="1" w:line="440" w:lineRule="exact"/>
              <w:ind w:right="3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93"/>
                <w:kern w:val="0"/>
                <w:sz w:val="28"/>
                <w:szCs w:val="28"/>
                <w:highlight w:val="none"/>
                <w14:textFill>
                  <w14:solidFill>
                    <w14:schemeClr w14:val="tx1"/>
                  </w14:solidFill>
                </w14:textFill>
              </w:rPr>
              <w:t>招标单</w:t>
            </w:r>
            <w:r>
              <w:rPr>
                <w:rFonts w:hint="eastAsia" w:ascii="仿宋" w:hAnsi="仿宋" w:eastAsia="仿宋" w:cs="仿宋"/>
                <w:color w:val="000000" w:themeColor="text1"/>
                <w:spacing w:val="1"/>
                <w:kern w:val="0"/>
                <w:sz w:val="28"/>
                <w:szCs w:val="28"/>
                <w:highlight w:val="none"/>
                <w14:textFill>
                  <w14:solidFill>
                    <w14:schemeClr w14:val="tx1"/>
                  </w14:solidFill>
                </w14:textFill>
              </w:rPr>
              <w:t>位</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vAlign w:val="center"/>
          </w:tcPr>
          <w:p w14:paraId="2E349BEA">
            <w:pPr>
              <w:autoSpaceDE w:val="0"/>
              <w:autoSpaceDN w:val="0"/>
              <w:spacing w:before="100" w:after="100" w:afterAutospacing="1" w:line="440" w:lineRule="exact"/>
              <w:ind w:right="3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绍兴天然气投资有限公司</w:t>
            </w:r>
          </w:p>
        </w:tc>
      </w:tr>
      <w:tr w14:paraId="5363AB15">
        <w:tblPrEx>
          <w:tblCellMar>
            <w:top w:w="0" w:type="dxa"/>
            <w:left w:w="108" w:type="dxa"/>
            <w:bottom w:w="0" w:type="dxa"/>
            <w:right w:w="108" w:type="dxa"/>
          </w:tblCellMar>
        </w:tblPrEx>
        <w:trPr>
          <w:trHeight w:val="494" w:hRule="atLeast"/>
          <w:jc w:val="center"/>
        </w:trPr>
        <w:tc>
          <w:tcPr>
            <w:tcW w:w="2691" w:type="dxa"/>
          </w:tcPr>
          <w:p w14:paraId="2004ACE9">
            <w:pPr>
              <w:autoSpaceDE w:val="0"/>
              <w:autoSpaceDN w:val="0"/>
              <w:spacing w:before="100" w:after="100" w:afterAutospacing="1" w:line="440" w:lineRule="exact"/>
              <w:ind w:right="3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w w:val="93"/>
                <w:kern w:val="0"/>
                <w:sz w:val="28"/>
                <w:szCs w:val="28"/>
                <w:highlight w:val="none"/>
                <w14:textFill>
                  <w14:solidFill>
                    <w14:schemeClr w14:val="tx1"/>
                  </w14:solidFill>
                </w14:textFill>
              </w:rPr>
              <w:t>招标代理机</w:t>
            </w:r>
            <w:r>
              <w:rPr>
                <w:rFonts w:hint="eastAsia" w:ascii="仿宋" w:hAnsi="仿宋" w:eastAsia="仿宋" w:cs="仿宋"/>
                <w:color w:val="000000" w:themeColor="text1"/>
                <w:spacing w:val="30"/>
                <w:w w:val="93"/>
                <w:kern w:val="0"/>
                <w:sz w:val="28"/>
                <w:szCs w:val="28"/>
                <w:highlight w:val="none"/>
                <w14:textFill>
                  <w14:solidFill>
                    <w14:schemeClr w14:val="tx1"/>
                  </w14:solidFill>
                </w14:textFill>
              </w:rPr>
              <w:t>构</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tcPr>
          <w:p w14:paraId="0BA85C5E">
            <w:pPr>
              <w:autoSpaceDE w:val="0"/>
              <w:autoSpaceDN w:val="0"/>
              <w:spacing w:before="100" w:after="100" w:afterAutospacing="1" w:line="440" w:lineRule="exact"/>
              <w:ind w:right="3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浙江华耀建设咨询有限公司</w:t>
            </w:r>
          </w:p>
        </w:tc>
      </w:tr>
      <w:tr w14:paraId="313E5C3D">
        <w:tblPrEx>
          <w:tblCellMar>
            <w:top w:w="0" w:type="dxa"/>
            <w:left w:w="108" w:type="dxa"/>
            <w:bottom w:w="0" w:type="dxa"/>
            <w:right w:w="108" w:type="dxa"/>
          </w:tblCellMar>
        </w:tblPrEx>
        <w:trPr>
          <w:trHeight w:val="397" w:hRule="atLeast"/>
          <w:jc w:val="center"/>
        </w:trPr>
        <w:tc>
          <w:tcPr>
            <w:tcW w:w="2691" w:type="dxa"/>
            <w:vAlign w:val="center"/>
          </w:tcPr>
          <w:p w14:paraId="391BC77D">
            <w:pPr>
              <w:spacing w:after="100" w:afterAutospacing="1"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93"/>
                <w:kern w:val="0"/>
                <w:sz w:val="28"/>
                <w:szCs w:val="28"/>
                <w:highlight w:val="none"/>
                <w:fitText w:val="1680" w:id="1"/>
                <w14:textFill>
                  <w14:solidFill>
                    <w14:schemeClr w14:val="tx1"/>
                  </w14:solidFill>
                </w14:textFill>
              </w:rPr>
              <w:t>监督单</w:t>
            </w:r>
            <w:r>
              <w:rPr>
                <w:rFonts w:hint="eastAsia" w:ascii="仿宋" w:hAnsi="仿宋" w:eastAsia="仿宋" w:cs="仿宋"/>
                <w:color w:val="000000" w:themeColor="text1"/>
                <w:spacing w:val="1"/>
                <w:kern w:val="0"/>
                <w:sz w:val="28"/>
                <w:szCs w:val="28"/>
                <w:highlight w:val="none"/>
                <w:fitText w:val="1680" w:id="1"/>
                <w14:textFill>
                  <w14:solidFill>
                    <w14:schemeClr w14:val="tx1"/>
                  </w14:solidFill>
                </w14:textFill>
              </w:rPr>
              <w:t>位</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tcPr>
          <w:p w14:paraId="77FAD250">
            <w:pPr>
              <w:autoSpaceDE w:val="0"/>
              <w:autoSpaceDN w:val="0"/>
              <w:spacing w:before="100" w:after="100" w:afterAutospacing="1" w:line="440" w:lineRule="exact"/>
              <w:ind w:right="360"/>
              <w:rPr>
                <w:rFonts w:ascii="仿宋" w:hAnsi="仿宋" w:eastAsia="仿宋" w:cs="仿宋"/>
                <w:color w:val="000000" w:themeColor="text1"/>
                <w:spacing w:val="93"/>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绍兴市公用事业集团有限公司</w:t>
            </w:r>
          </w:p>
        </w:tc>
      </w:tr>
      <w:tr w14:paraId="1B940BB7">
        <w:tblPrEx>
          <w:tblCellMar>
            <w:top w:w="0" w:type="dxa"/>
            <w:left w:w="108" w:type="dxa"/>
            <w:bottom w:w="0" w:type="dxa"/>
            <w:right w:w="108" w:type="dxa"/>
          </w:tblCellMar>
        </w:tblPrEx>
        <w:trPr>
          <w:trHeight w:val="333" w:hRule="atLeast"/>
          <w:jc w:val="center"/>
        </w:trPr>
        <w:tc>
          <w:tcPr>
            <w:tcW w:w="8136" w:type="dxa"/>
            <w:gridSpan w:val="2"/>
          </w:tcPr>
          <w:p w14:paraId="45FD00A4">
            <w:pPr>
              <w:spacing w:after="100" w:afterAutospacing="1"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二○二四年</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月</w:t>
            </w:r>
          </w:p>
        </w:tc>
      </w:tr>
    </w:tbl>
    <w:p w14:paraId="1CFD7DA2">
      <w:pPr>
        <w:pStyle w:val="636"/>
        <w:rPr>
          <w:rFonts w:ascii="仿宋" w:hAnsi="仿宋" w:eastAsia="仿宋" w:cs="仿宋"/>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p>
    <w:p w14:paraId="6AF5F5DC">
      <w:pPr>
        <w:spacing w:line="360" w:lineRule="auto"/>
        <w:jc w:val="center"/>
        <w:rPr>
          <w:rFonts w:ascii="仿宋" w:hAnsi="仿宋" w:eastAsia="仿宋" w:cs="仿宋"/>
          <w:color w:val="000000" w:themeColor="text1"/>
          <w:sz w:val="24"/>
          <w:highlight w:val="none"/>
          <w14:textFill>
            <w14:solidFill>
              <w14:schemeClr w14:val="tx1"/>
            </w14:solidFill>
          </w14:textFill>
        </w:rPr>
      </w:pPr>
    </w:p>
    <w:p w14:paraId="66B1903B">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bookmarkStart w:id="1" w:name="_Hlt91233176"/>
      <w:bookmarkEnd w:id="1"/>
      <w:bookmarkStart w:id="2" w:name="_Toc91899869"/>
      <w:r>
        <w:rPr>
          <w:rFonts w:hint="eastAsia" w:ascii="仿宋" w:hAnsi="仿宋" w:eastAsia="仿宋" w:cs="仿宋"/>
          <w:b/>
          <w:color w:val="000000" w:themeColor="text1"/>
          <w:sz w:val="44"/>
          <w:szCs w:val="44"/>
          <w:highlight w:val="none"/>
          <w14:textFill>
            <w14:solidFill>
              <w14:schemeClr w14:val="tx1"/>
            </w14:solidFill>
          </w14:textFill>
        </w:rPr>
        <w:t>目录</w:t>
      </w:r>
    </w:p>
    <w:p w14:paraId="77B72EFC">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14:paraId="6424737C">
      <w:pPr>
        <w:spacing w:line="360" w:lineRule="auto"/>
        <w:jc w:val="center"/>
        <w:rPr>
          <w:rFonts w:ascii="仿宋" w:hAnsi="仿宋" w:eastAsia="仿宋" w:cs="仿宋"/>
          <w:color w:val="000000" w:themeColor="text1"/>
          <w:highlight w:val="none"/>
          <w14:textFill>
            <w14:solidFill>
              <w14:schemeClr w14:val="tx1"/>
            </w14:solidFill>
          </w14:textFill>
        </w:rPr>
      </w:pPr>
    </w:p>
    <w:p w14:paraId="42039D3A">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第一部分    招标公告</w:t>
      </w:r>
    </w:p>
    <w:p w14:paraId="1BB9F94D">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第二部分    投标须知</w:t>
      </w:r>
    </w:p>
    <w:p w14:paraId="7351F196">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招标项目范围及要求</w:t>
      </w:r>
    </w:p>
    <w:p w14:paraId="57F17119">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合同的主要条款</w:t>
      </w:r>
    </w:p>
    <w:p w14:paraId="46C000AE">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评标方法及标准</w:t>
      </w:r>
    </w:p>
    <w:p w14:paraId="1BB1DC26">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    投标文件及其附件格式</w:t>
      </w:r>
    </w:p>
    <w:p w14:paraId="2A4EA4F6">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0F8C67CF">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67265435">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07CCFEA7">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65D1DAB4">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604EE6B5">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3C0A52A5">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1104427C">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3EC9C9A9">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2DE6C0D4">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616D3065">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520845C6">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08C9B7D1">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15892B6D">
      <w:pPr>
        <w:spacing w:line="360" w:lineRule="auto"/>
        <w:rPr>
          <w:rFonts w:ascii="仿宋" w:hAnsi="仿宋" w:eastAsia="仿宋" w:cs="仿宋"/>
          <w:color w:val="000000" w:themeColor="text1"/>
          <w:sz w:val="24"/>
          <w:highlight w:val="none"/>
          <w14:textFill>
            <w14:solidFill>
              <w14:schemeClr w14:val="tx1"/>
            </w14:solidFill>
          </w14:textFill>
        </w:rPr>
      </w:pPr>
    </w:p>
    <w:bookmarkEnd w:id="2"/>
    <w:p w14:paraId="70487E63">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cols w:space="720" w:num="1"/>
          <w:titlePg/>
          <w:docGrid w:linePitch="312" w:charSpace="0"/>
        </w:sectPr>
      </w:pPr>
      <w:bookmarkStart w:id="3" w:name="_Hlt74707423"/>
      <w:bookmarkEnd w:id="3"/>
      <w:bookmarkStart w:id="4" w:name="_Hlt74649545"/>
      <w:bookmarkEnd w:id="4"/>
      <w:bookmarkStart w:id="5" w:name="_Hlt74729822"/>
      <w:bookmarkEnd w:id="5"/>
      <w:bookmarkStart w:id="6" w:name="_Hlt74728647"/>
      <w:bookmarkEnd w:id="6"/>
      <w:bookmarkStart w:id="7" w:name="_Toc91899870"/>
      <w:bookmarkStart w:id="8" w:name="第二部分"/>
      <w:bookmarkStart w:id="9" w:name="_Toc91899871"/>
    </w:p>
    <w:p w14:paraId="52B38CA0">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2AE262F1">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292A3B6F">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000000" w:themeColor="text1"/>
          <w:kern w:val="0"/>
          <w:sz w:val="24"/>
          <w:highlight w:val="none"/>
          <w:lang w:eastAsia="zh-CN"/>
          <w14:textFill>
            <w14:solidFill>
              <w14:schemeClr w14:val="tx1"/>
            </w14:solidFill>
          </w14:textFill>
        </w:rPr>
        <w:t>绍兴天然气投资有限公司2025年度液化天然气（LNG）采购项目</w:t>
      </w:r>
      <w:r>
        <w:rPr>
          <w:rFonts w:hint="eastAsia" w:ascii="仿宋" w:hAnsi="仿宋" w:eastAsia="仿宋" w:cs="仿宋"/>
          <w:color w:val="000000" w:themeColor="text1"/>
          <w:sz w:val="24"/>
          <w:highlight w:val="none"/>
          <w14:textFill>
            <w14:solidFill>
              <w14:schemeClr w14:val="tx1"/>
            </w14:solidFill>
          </w14:textFill>
        </w:rPr>
        <w:t>的潜在投标人应</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Fonts w:hint="eastAsia" w:ascii="仿宋" w:hAnsi="仿宋" w:eastAsia="仿宋" w:cs="仿宋"/>
          <w:color w:val="auto"/>
          <w:sz w:val="24"/>
          <w:highlight w:val="none"/>
        </w:rPr>
        <w:t>在规定时间内报名并获取招标</w:t>
      </w:r>
      <w:r>
        <w:rPr>
          <w:rStyle w:val="76"/>
          <w:rFonts w:hint="eastAsia" w:ascii="仿宋" w:hAnsi="仿宋" w:eastAsia="仿宋" w:cs="仿宋"/>
          <w:snapToGrid/>
          <w:color w:val="auto"/>
          <w:kern w:val="2"/>
          <w:sz w:val="24"/>
          <w:szCs w:val="24"/>
          <w:highlight w:val="none"/>
        </w:rPr>
        <w:t>文件，并于2024年</w:t>
      </w:r>
      <w:r>
        <w:rPr>
          <w:rStyle w:val="76"/>
          <w:rFonts w:hint="eastAsia" w:ascii="仿宋" w:hAnsi="仿宋" w:eastAsia="仿宋" w:cs="仿宋"/>
          <w:snapToGrid/>
          <w:color w:val="auto"/>
          <w:kern w:val="2"/>
          <w:sz w:val="24"/>
          <w:szCs w:val="24"/>
          <w:highlight w:val="none"/>
          <w:lang w:val="en-US" w:eastAsia="zh-CN"/>
        </w:rPr>
        <w:t xml:space="preserve">  </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 xml:space="preserve">  </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 xml:space="preserve">  </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00时</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递交投标文件。</w:t>
      </w:r>
    </w:p>
    <w:p w14:paraId="5948079E">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8DF3F09">
      <w:pPr>
        <w:spacing w:line="440" w:lineRule="exact"/>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天投2024-SCB-</w:t>
      </w:r>
      <w:r>
        <w:rPr>
          <w:rFonts w:hint="eastAsia" w:ascii="仿宋" w:hAnsi="仿宋" w:eastAsia="仿宋" w:cs="仿宋"/>
          <w:b/>
          <w:color w:val="auto"/>
          <w:sz w:val="24"/>
          <w:highlight w:val="none"/>
          <w:lang w:val="en-US" w:eastAsia="zh-CN"/>
        </w:rPr>
        <w:t>014</w:t>
      </w:r>
    </w:p>
    <w:p w14:paraId="2A83FE16">
      <w:pPr>
        <w:spacing w:line="440" w:lineRule="exact"/>
        <w:ind w:firstLine="482"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auto"/>
          <w:sz w:val="24"/>
          <w:highlight w:val="none"/>
        </w:rPr>
        <w:t>项目名称：</w:t>
      </w:r>
      <w:r>
        <w:rPr>
          <w:rFonts w:hint="eastAsia" w:ascii="仿宋" w:hAnsi="仿宋" w:eastAsia="仿宋" w:cs="仿宋"/>
          <w:color w:val="auto"/>
          <w:kern w:val="0"/>
          <w:sz w:val="24"/>
          <w:highlight w:val="none"/>
          <w:lang w:eastAsia="zh-CN"/>
        </w:rPr>
        <w:t>绍兴天然气投资有限公司202</w:t>
      </w:r>
      <w:r>
        <w:rPr>
          <w:rFonts w:hint="eastAsia" w:ascii="仿宋" w:hAnsi="仿宋" w:eastAsia="仿宋" w:cs="仿宋"/>
          <w:color w:val="000000" w:themeColor="text1"/>
          <w:kern w:val="0"/>
          <w:sz w:val="24"/>
          <w:highlight w:val="none"/>
          <w:lang w:eastAsia="zh-CN"/>
          <w14:textFill>
            <w14:solidFill>
              <w14:schemeClr w14:val="tx1"/>
            </w14:solidFill>
          </w14:textFill>
        </w:rPr>
        <w:t>5年度液化天然气（LNG）采购项目</w:t>
      </w:r>
    </w:p>
    <w:p w14:paraId="4475A4DB">
      <w:pPr>
        <w:spacing w:line="440" w:lineRule="exact"/>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Cs/>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 xml:space="preserve">元 </w:t>
      </w:r>
      <w:r>
        <w:rPr>
          <w:rFonts w:hint="eastAsia" w:ascii="仿宋" w:hAnsi="仿宋" w:eastAsia="仿宋" w:cs="仿宋"/>
          <w:color w:val="000000" w:themeColor="text1"/>
          <w:kern w:val="0"/>
          <w:sz w:val="24"/>
          <w:highlight w:val="none"/>
          <w:lang w:val="en-US" w:eastAsia="zh-CN"/>
          <w14:textFill>
            <w14:solidFill>
              <w14:schemeClr w14:val="tx1"/>
            </w14:solidFill>
          </w14:textFill>
        </w:rPr>
        <w:t>（大写：/元整）</w:t>
      </w:r>
    </w:p>
    <w:p w14:paraId="707A3291">
      <w:pPr>
        <w:spacing w:line="440" w:lineRule="exact"/>
        <w:ind w:firstLine="482" w:firstLineChars="200"/>
        <w:rPr>
          <w:ins w:id="0" w:author="杨凯" w:date="2024-09-09T10:19:32Z"/>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lang w:val="en-US" w:eastAsia="zh-CN"/>
        </w:rPr>
        <w:t>本项目“液化天然气上限单价”为招标人《供货通知单》发出当日的卓创资讯（https://www.sci99.com/）→LNG接收站价→华东（浙江宁波、舟山新奥、江苏如东）接收站单日价格。</w:t>
      </w:r>
    </w:p>
    <w:p w14:paraId="16F542D9">
      <w:pPr>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p>
    <w:p w14:paraId="0DB7B459">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标项一：</w:t>
      </w:r>
    </w:p>
    <w:p w14:paraId="048B2C6D">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标项名称：</w:t>
      </w:r>
      <w:r>
        <w:rPr>
          <w:rFonts w:hint="eastAsia" w:ascii="仿宋" w:hAnsi="仿宋" w:eastAsia="仿宋" w:cs="仿宋"/>
          <w:color w:val="000000" w:themeColor="text1"/>
          <w:kern w:val="0"/>
          <w:sz w:val="24"/>
          <w:highlight w:val="none"/>
          <w:lang w:eastAsia="zh-CN"/>
          <w14:textFill>
            <w14:solidFill>
              <w14:schemeClr w14:val="tx1"/>
            </w14:solidFill>
          </w14:textFill>
        </w:rPr>
        <w:t>绍兴天然气投资有限公司2025年度液化天然气（LNG）采购项目</w:t>
      </w:r>
    </w:p>
    <w:p w14:paraId="169CE449">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数量：1</w:t>
      </w:r>
    </w:p>
    <w:p w14:paraId="6648D469">
      <w:pPr>
        <w:spacing w:line="44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预算金额：</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元</w:t>
      </w:r>
    </w:p>
    <w:p w14:paraId="325173B8">
      <w:pPr>
        <w:spacing w:line="44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主要内容：</w:t>
      </w:r>
      <w:r>
        <w:rPr>
          <w:rFonts w:hint="eastAsia" w:ascii="仿宋" w:hAnsi="仿宋" w:eastAsia="仿宋" w:cs="仿宋"/>
          <w:bCs/>
          <w:color w:val="000000" w:themeColor="text1"/>
          <w:sz w:val="24"/>
          <w:highlight w:val="none"/>
          <w:u w:val="single"/>
          <w14:textFill>
            <w14:solidFill>
              <w14:schemeClr w14:val="tx1"/>
            </w14:solidFill>
          </w14:textFill>
        </w:rPr>
        <w:t>液化天然气（LNG）采购</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详见招标文件。</w:t>
      </w:r>
    </w:p>
    <w:p w14:paraId="6E78B2E5">
      <w:pPr>
        <w:spacing w:line="440" w:lineRule="exact"/>
        <w:ind w:firstLine="482" w:firstLineChars="200"/>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合同</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期</w:t>
      </w:r>
      <w:r>
        <w:rPr>
          <w:rFonts w:hint="eastAsia" w:ascii="仿宋" w:hAnsi="仿宋" w:eastAsia="仿宋" w:cs="仿宋"/>
          <w:bCs/>
          <w:color w:val="000000" w:themeColor="text1"/>
          <w:sz w:val="24"/>
          <w:highlight w:val="none"/>
          <w:u w:val="single"/>
          <w14:textFill>
            <w14:solidFill>
              <w14:schemeClr w14:val="tx1"/>
            </w14:solidFill>
          </w14:textFill>
        </w:rPr>
        <w:t>一年（具体以合同条款约定为准），合同期内LNG采购量</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约</w:t>
      </w:r>
      <w:r>
        <w:rPr>
          <w:rFonts w:hint="eastAsia" w:ascii="仿宋" w:hAnsi="仿宋" w:eastAsia="仿宋" w:cs="仿宋"/>
          <w:bCs/>
          <w:color w:val="000000" w:themeColor="text1"/>
          <w:sz w:val="24"/>
          <w:highlight w:val="none"/>
          <w:u w:val="single"/>
          <w14:textFill>
            <w14:solidFill>
              <w14:schemeClr w14:val="tx1"/>
            </w14:solidFill>
          </w14:textFill>
        </w:rPr>
        <w:t>400吨（按实际需求量为准）,具体供货数量、时间和指定接收站根据招标人《供货通知单》情况确定。合同</w:t>
      </w:r>
      <w:r>
        <w:rPr>
          <w:rFonts w:hint="eastAsia" w:ascii="仿宋" w:hAnsi="仿宋" w:eastAsia="仿宋" w:cs="仿宋"/>
          <w:bCs/>
          <w:color w:val="auto"/>
          <w:sz w:val="24"/>
          <w:highlight w:val="none"/>
          <w:u w:val="single"/>
          <w:lang w:eastAsia="zh-CN"/>
        </w:rPr>
        <w:t>期满</w:t>
      </w:r>
      <w:r>
        <w:rPr>
          <w:rFonts w:hint="eastAsia" w:ascii="仿宋" w:hAnsi="仿宋" w:eastAsia="仿宋" w:cs="仿宋"/>
          <w:bCs/>
          <w:color w:val="000000" w:themeColor="text1"/>
          <w:sz w:val="24"/>
          <w:highlight w:val="none"/>
          <w:u w:val="single"/>
          <w14:textFill>
            <w14:solidFill>
              <w14:schemeClr w14:val="tx1"/>
            </w14:solidFill>
          </w14:textFill>
        </w:rPr>
        <w:t>，未出具《供货通知单》的液化天然气（LNG)不用继续供应，</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招标人</w:t>
      </w:r>
      <w:r>
        <w:rPr>
          <w:rFonts w:hint="eastAsia" w:ascii="仿宋" w:hAnsi="仿宋" w:eastAsia="仿宋" w:cs="仿宋"/>
          <w:bCs/>
          <w:color w:val="000000" w:themeColor="text1"/>
          <w:sz w:val="24"/>
          <w:highlight w:val="none"/>
          <w:u w:val="single"/>
          <w14:textFill>
            <w14:solidFill>
              <w14:schemeClr w14:val="tx1"/>
            </w14:solidFill>
          </w14:textFill>
        </w:rPr>
        <w:t>不承担任何责任。</w:t>
      </w:r>
    </w:p>
    <w:p w14:paraId="71F7E997">
      <w:pPr>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本项目（否）接受联合体投标。</w:t>
      </w:r>
    </w:p>
    <w:p w14:paraId="7F05CCA6">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7BCC2677">
      <w:pPr>
        <w:spacing w:line="440" w:lineRule="exact"/>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FB40D8E">
      <w:pPr>
        <w:spacing w:line="440" w:lineRule="exact"/>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2.本项目不接受联合体投标；</w:t>
      </w:r>
    </w:p>
    <w:p w14:paraId="64264622">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3.落实采购政策需满足的资格要求：</w:t>
      </w:r>
      <w:r>
        <w:rPr>
          <w:rFonts w:hint="eastAsia" w:ascii="仿宋" w:hAnsi="仿宋" w:eastAsia="仿宋" w:cs="仿宋"/>
          <w:color w:val="000000" w:themeColor="text1"/>
          <w:sz w:val="24"/>
          <w:highlight w:val="none"/>
          <w14:textFill>
            <w14:solidFill>
              <w14:schemeClr w14:val="tx1"/>
            </w14:solidFill>
          </w14:textFill>
        </w:rPr>
        <w:t>无；</w:t>
      </w:r>
    </w:p>
    <w:p w14:paraId="5E433D5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⑴须具有应急管理局颁发的《危险化学品经营许可证》（许可范围：天然气）；⑵自行运输或委托第三方运输，须具备由道路运输管理部门颁发的《道路运输经营许可证》（经营范围：危险货物运输[2类1项]或[2.1项]）(如委托第三方运输，需提供第三方运输单位的《营业执照》和《道路运输</w:t>
      </w:r>
      <w:r>
        <w:rPr>
          <w:rFonts w:hint="eastAsia" w:ascii="仿宋" w:hAnsi="仿宋" w:eastAsia="仿宋" w:cs="仿宋"/>
          <w:color w:val="000000" w:themeColor="text1"/>
          <w:sz w:val="24"/>
          <w:highlight w:val="none"/>
          <w:lang w:eastAsia="zh-CN"/>
          <w14:textFill>
            <w14:solidFill>
              <w14:schemeClr w14:val="tx1"/>
            </w14:solidFill>
          </w14:textFill>
        </w:rPr>
        <w:t>经营</w:t>
      </w:r>
      <w:r>
        <w:rPr>
          <w:rFonts w:hint="eastAsia" w:ascii="仿宋" w:hAnsi="仿宋" w:eastAsia="仿宋" w:cs="仿宋"/>
          <w:color w:val="000000" w:themeColor="text1"/>
          <w:sz w:val="24"/>
          <w:highlight w:val="none"/>
          <w14:textFill>
            <w14:solidFill>
              <w14:schemeClr w14:val="tx1"/>
            </w14:solidFill>
          </w14:textFill>
        </w:rPr>
        <w:t>许可证》外，同时还须提供与第三方运输单位的运输合同)。</w:t>
      </w:r>
    </w:p>
    <w:p w14:paraId="4851A767">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A3AD8E0">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68B9B899">
      <w:pPr>
        <w:snapToGrid w:val="0"/>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lang w:val="en-US" w:eastAsia="zh-CN"/>
        </w:rPr>
        <w:t>公告之日起</w:t>
      </w:r>
      <w:r>
        <w:rPr>
          <w:rFonts w:hint="eastAsia" w:ascii="仿宋" w:hAnsi="仿宋" w:eastAsia="仿宋" w:cs="仿宋"/>
          <w:color w:val="auto"/>
          <w:sz w:val="24"/>
          <w:highlight w:val="none"/>
        </w:rPr>
        <w:t>至</w:t>
      </w:r>
      <w:r>
        <w:rPr>
          <w:rFonts w:hint="eastAsia" w:ascii="仿宋" w:hAnsi="仿宋" w:eastAsia="仿宋" w:cs="仿宋"/>
          <w:bCs/>
          <w:color w:val="auto"/>
          <w:sz w:val="22"/>
          <w:szCs w:val="22"/>
          <w:highlight w:val="none"/>
        </w:rPr>
        <w:t xml:space="preserve"> </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日上午9：00-11：30时整；下午14：30-16：30时整（双休日及法定节假日除外）本项目在规定时间内参与报名，并将下列加盖单位公章的资料扫描件以邮件形式发至</w:t>
      </w:r>
      <w:r>
        <w:rPr>
          <w:rFonts w:hint="eastAsia" w:ascii="仿宋" w:hAnsi="仿宋" w:eastAsia="仿宋" w:cs="仿宋"/>
          <w:color w:val="auto"/>
          <w:sz w:val="24"/>
          <w:highlight w:val="none"/>
          <w:lang w:val="en-US" w:eastAsia="zh-CN"/>
        </w:rPr>
        <w:t>2075478864</w:t>
      </w:r>
      <w:r>
        <w:rPr>
          <w:rFonts w:hint="eastAsia" w:ascii="仿宋" w:hAnsi="仿宋" w:eastAsia="仿宋" w:cs="仿宋"/>
          <w:color w:val="auto"/>
          <w:sz w:val="24"/>
          <w:highlight w:val="none"/>
        </w:rPr>
        <w:t>@qq.com邮箱内,报名资料：</w:t>
      </w:r>
    </w:p>
    <w:p w14:paraId="0CF3A2E5">
      <w:pPr>
        <w:snapToGrid w:val="0"/>
        <w:spacing w:line="440" w:lineRule="exact"/>
        <w:ind w:firstLine="480" w:firstLineChars="200"/>
        <w:rPr>
          <w:ins w:id="1" w:author="Administrator" w:date="2024-09-05T09:11:37Z"/>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①营业执照、法定代表人身份证和本项目的特定资格要求；</w:t>
      </w:r>
    </w:p>
    <w:p w14:paraId="2E6E656D">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②法定代表人授权委托书、授权代表身份证及近三个月（2024年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月至2024年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月）的社保证明（如是法定代表人参与投标的则无需提供），备注联系人及联系电话。</w:t>
      </w:r>
    </w:p>
    <w:p w14:paraId="18D93D8B">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A0598B2">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B41A59F">
      <w:pPr>
        <w:widowControl/>
        <w:spacing w:line="400" w:lineRule="exact"/>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本项目采用投标单位不见面开标方式。</w:t>
      </w:r>
      <w:r>
        <w:rPr>
          <w:rFonts w:hint="eastAsia" w:ascii="仿宋" w:hAnsi="仿宋" w:eastAsia="仿宋" w:cs="仿宋"/>
          <w:color w:val="auto"/>
          <w:kern w:val="0"/>
          <w:sz w:val="24"/>
          <w:highlight w:val="none"/>
        </w:rPr>
        <w:t>投标人应于</w:t>
      </w:r>
      <w:r>
        <w:rPr>
          <w:rFonts w:hint="eastAsia" w:ascii="仿宋" w:hAnsi="仿宋" w:eastAsia="仿宋" w:cs="仿宋"/>
          <w:color w:val="auto"/>
          <w:kern w:val="0"/>
          <w:sz w:val="24"/>
          <w:highlight w:val="none"/>
          <w:u w:val="single"/>
        </w:rPr>
        <w:t>2024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日17：00时整之前将投标文件密封以邮寄(建议采用EMS</w:t>
      </w:r>
      <w:r>
        <w:rPr>
          <w:rFonts w:hint="eastAsia" w:ascii="仿宋" w:hAnsi="仿宋" w:eastAsia="仿宋" w:cs="仿宋"/>
          <w:color w:val="auto"/>
          <w:kern w:val="0"/>
          <w:sz w:val="24"/>
          <w:highlight w:val="none"/>
          <w:shd w:val="clear" w:color="auto" w:fill="FFFFFF"/>
        </w:rPr>
        <w:t>或顺丰)</w:t>
      </w:r>
      <w:r>
        <w:rPr>
          <w:rFonts w:hint="eastAsia" w:ascii="仿宋" w:hAnsi="仿宋" w:eastAsia="仿宋" w:cs="仿宋"/>
          <w:color w:val="auto"/>
          <w:kern w:val="0"/>
          <w:sz w:val="24"/>
          <w:highlight w:val="none"/>
        </w:rPr>
        <w:t>的方式送达至</w:t>
      </w:r>
      <w:r>
        <w:rPr>
          <w:rFonts w:hint="eastAsia" w:ascii="仿宋" w:hAnsi="仿宋" w:eastAsia="仿宋" w:cs="仿宋"/>
          <w:color w:val="auto"/>
          <w:sz w:val="24"/>
          <w:highlight w:val="none"/>
          <w:lang w:eastAsia="zh-CN"/>
        </w:rPr>
        <w:t>浙江华耀</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lang w:eastAsia="zh-CN"/>
        </w:rPr>
        <w:t>咨询有限公司</w:t>
      </w:r>
      <w:r>
        <w:rPr>
          <w:rFonts w:hint="eastAsia" w:ascii="仿宋" w:hAnsi="仿宋" w:eastAsia="仿宋" w:cs="仿宋"/>
          <w:color w:val="auto"/>
          <w:sz w:val="24"/>
          <w:highlight w:val="none"/>
        </w:rPr>
        <w:t>（绍兴市越城区五泄路90号京华科技文创园B幢二楼</w:t>
      </w:r>
      <w:r>
        <w:rPr>
          <w:rFonts w:hint="eastAsia" w:ascii="仿宋" w:hAnsi="仿宋" w:eastAsia="仿宋" w:cs="仿宋"/>
          <w:color w:val="auto"/>
          <w:kern w:val="0"/>
          <w:sz w:val="24"/>
          <w:highlight w:val="none"/>
          <w:shd w:val="clear" w:color="auto" w:fill="FFFFFF"/>
        </w:rPr>
        <w:t>，联系人：</w:t>
      </w:r>
      <w:r>
        <w:rPr>
          <w:rFonts w:hint="eastAsia" w:ascii="仿宋" w:hAnsi="仿宋" w:eastAsia="仿宋" w:cs="仿宋"/>
          <w:color w:val="auto"/>
          <w:kern w:val="0"/>
          <w:sz w:val="24"/>
          <w:highlight w:val="none"/>
          <w:shd w:val="clear" w:color="auto" w:fill="FFFFFF"/>
          <w:lang w:val="en-US" w:eastAsia="zh-CN"/>
        </w:rPr>
        <w:t>何其峰</w:t>
      </w:r>
      <w:r>
        <w:rPr>
          <w:rFonts w:hint="eastAsia" w:ascii="仿宋" w:hAnsi="仿宋" w:eastAsia="仿宋" w:cs="仿宋"/>
          <w:color w:val="auto"/>
          <w:kern w:val="0"/>
          <w:sz w:val="24"/>
          <w:highlight w:val="none"/>
          <w:shd w:val="clear" w:color="auto" w:fill="FFFFFF"/>
        </w:rPr>
        <w:t>，电话</w:t>
      </w:r>
      <w:r>
        <w:rPr>
          <w:rFonts w:hint="eastAsia" w:ascii="仿宋" w:hAnsi="仿宋" w:eastAsia="仿宋" w:cs="仿宋"/>
          <w:color w:val="auto"/>
          <w:kern w:val="0"/>
          <w:sz w:val="24"/>
          <w:highlight w:val="none"/>
          <w:shd w:val="clear" w:color="auto" w:fill="FFFFFF"/>
          <w:lang w:val="en-US" w:eastAsia="zh-CN"/>
        </w:rPr>
        <w:t>15757586601</w:t>
      </w: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rPr>
        <w:t>邮政编码:312000，请寄件人在邮件外包装注明投标项目名称，投标人名称，</w:t>
      </w:r>
      <w:r>
        <w:rPr>
          <w:rFonts w:hint="eastAsia" w:ascii="仿宋" w:hAnsi="仿宋" w:eastAsia="仿宋" w:cs="仿宋"/>
          <w:color w:val="auto"/>
          <w:kern w:val="0"/>
          <w:sz w:val="24"/>
          <w:highlight w:val="none"/>
          <w:lang w:eastAsia="zh-CN"/>
        </w:rPr>
        <w:t>授权代表姓名</w:t>
      </w:r>
      <w:r>
        <w:rPr>
          <w:rFonts w:hint="eastAsia" w:ascii="仿宋" w:hAnsi="仿宋" w:eastAsia="仿宋" w:cs="仿宋"/>
          <w:color w:val="auto"/>
          <w:kern w:val="0"/>
          <w:sz w:val="24"/>
          <w:highlight w:val="none"/>
        </w:rPr>
        <w:t>及联系电话,</w:t>
      </w:r>
      <w:r>
        <w:rPr>
          <w:rFonts w:hint="eastAsia" w:ascii="仿宋" w:hAnsi="仿宋" w:eastAsia="仿宋" w:cs="仿宋"/>
          <w:color w:val="auto"/>
          <w:kern w:val="0"/>
          <w:sz w:val="24"/>
          <w:highlight w:val="none"/>
          <w:shd w:val="clear" w:color="auto" w:fill="FFFFFF"/>
        </w:rPr>
        <w:t>邮寄以签收时间为准，</w:t>
      </w:r>
      <w:r>
        <w:rPr>
          <w:rFonts w:hint="eastAsia" w:ascii="仿宋" w:hAnsi="仿宋" w:eastAsia="仿宋" w:cs="仿宋"/>
          <w:color w:val="auto"/>
          <w:kern w:val="0"/>
          <w:sz w:val="24"/>
          <w:highlight w:val="none"/>
        </w:rPr>
        <w:t>逾期送达或未按照招标文件要求密封将予以拒收（或作无效标处理）。</w:t>
      </w:r>
    </w:p>
    <w:p w14:paraId="426A597F">
      <w:pPr>
        <w:widowControl/>
        <w:spacing w:line="400" w:lineRule="exact"/>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2、也可现场递交标书，投标人应于</w:t>
      </w:r>
      <w:r>
        <w:rPr>
          <w:rFonts w:hint="eastAsia" w:ascii="仿宋" w:hAnsi="仿宋" w:eastAsia="仿宋" w:cs="仿宋"/>
          <w:color w:val="auto"/>
          <w:kern w:val="0"/>
          <w:sz w:val="24"/>
          <w:highlight w:val="none"/>
          <w:u w:val="single"/>
        </w:rPr>
        <w:t>2024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时</w:t>
      </w:r>
      <w:r>
        <w:rPr>
          <w:rFonts w:hint="eastAsia" w:ascii="仿宋" w:hAnsi="仿宋" w:eastAsia="仿宋" w:cs="仿宋"/>
          <w:color w:val="auto"/>
          <w:kern w:val="0"/>
          <w:sz w:val="24"/>
          <w:highlight w:val="none"/>
          <w:lang w:val="en-US" w:eastAsia="zh-CN"/>
        </w:rPr>
        <w:t>00</w:t>
      </w:r>
      <w:r>
        <w:rPr>
          <w:rFonts w:hint="eastAsia" w:ascii="仿宋" w:hAnsi="仿宋" w:eastAsia="仿宋" w:cs="仿宋"/>
          <w:color w:val="auto"/>
          <w:kern w:val="0"/>
          <w:sz w:val="24"/>
          <w:highlight w:val="none"/>
        </w:rPr>
        <w:t>分整之前将投标文件送达至</w:t>
      </w:r>
      <w:r>
        <w:rPr>
          <w:rFonts w:hint="eastAsia" w:ascii="仿宋" w:hAnsi="仿宋" w:eastAsia="仿宋" w:cs="仿宋"/>
          <w:color w:val="auto"/>
          <w:sz w:val="24"/>
          <w:highlight w:val="none"/>
        </w:rPr>
        <w:t>绍兴市公用事业集团有限公司（解放大道308号二楼招投标中心 3号开标室）</w:t>
      </w:r>
      <w:r>
        <w:rPr>
          <w:rFonts w:hint="eastAsia" w:ascii="仿宋" w:hAnsi="仿宋" w:eastAsia="仿宋" w:cs="仿宋"/>
          <w:color w:val="auto"/>
          <w:kern w:val="0"/>
          <w:sz w:val="24"/>
          <w:highlight w:val="none"/>
        </w:rPr>
        <w:t>，现场递交，应即交即走。</w:t>
      </w:r>
    </w:p>
    <w:p w14:paraId="47C651AB">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3、招标人对邮寄过程中发生的遗失或损坏不负责任。</w:t>
      </w:r>
    </w:p>
    <w:p w14:paraId="78A3EDFF">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4、</w:t>
      </w: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 xml:space="preserve">  </w:t>
      </w:r>
    </w:p>
    <w:p w14:paraId="3ED08856">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
          <w:color w:val="auto"/>
          <w:sz w:val="24"/>
          <w:highlight w:val="none"/>
        </w:rPr>
        <w:t>开标地点：</w:t>
      </w:r>
      <w:r>
        <w:rPr>
          <w:rFonts w:hint="eastAsia" w:ascii="仿宋" w:hAnsi="仿宋" w:eastAsia="仿宋" w:cs="仿宋"/>
          <w:color w:val="auto"/>
          <w:sz w:val="24"/>
          <w:highlight w:val="none"/>
        </w:rPr>
        <w:t>绍兴市公用事业集团有限公司（解放大道308号二楼招投标中心 3号开标室）</w:t>
      </w:r>
    </w:p>
    <w:p w14:paraId="35B75D8A">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010D522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0F9FB351">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72C55D20">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根据《浙江省财政厅关于进一步促进政府采购公平竞争打造最优营商环境的通知》（浙财采监（2021）22号）文件关于“健全行政裁决机制”要求，鼓励供应商提起询问、质疑。质疑供应商对质疑答复不满意的，可提起投诉。</w:t>
      </w:r>
    </w:p>
    <w:p w14:paraId="5298268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2B656A12">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3.其他事项：（1）需要落实的采购政策：包括节约资源、保护环境、支持创新等。详见招标文件的第二部分总则。（2）招标文件公告期限与招标公告的公告期限一致。</w:t>
      </w:r>
    </w:p>
    <w:p w14:paraId="39F09477">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2BD099FA">
      <w:pPr>
        <w:pStyle w:val="6"/>
        <w:spacing w:line="440" w:lineRule="exact"/>
        <w:ind w:left="0" w:firstLine="482" w:firstLineChars="200"/>
        <w:rPr>
          <w:rFonts w:ascii="仿宋" w:eastAsia="仿宋" w:cs="仿宋"/>
          <w:color w:val="000000" w:themeColor="text1"/>
          <w:sz w:val="24"/>
          <w:szCs w:val="24"/>
          <w:highlight w:val="none"/>
          <w14:textFill>
            <w14:solidFill>
              <w14:schemeClr w14:val="tx1"/>
            </w14:solidFill>
          </w14:textFill>
        </w:rPr>
      </w:pPr>
      <w:bookmarkStart w:id="10" w:name="_Toc35393637"/>
      <w:bookmarkStart w:id="11" w:name="_Toc28359019"/>
      <w:bookmarkStart w:id="12" w:name="_Toc28359096"/>
      <w:bookmarkStart w:id="13" w:name="_Toc35393806"/>
      <w:r>
        <w:rPr>
          <w:rFonts w:hint="eastAsia" w:ascii="仿宋" w:eastAsia="仿宋" w:cs="仿宋"/>
          <w:color w:val="000000" w:themeColor="text1"/>
          <w:sz w:val="24"/>
          <w:szCs w:val="24"/>
          <w:highlight w:val="none"/>
          <w14:textFill>
            <w14:solidFill>
              <w14:schemeClr w14:val="tx1"/>
            </w14:solidFill>
          </w14:textFill>
        </w:rPr>
        <w:t>1.采购人信息</w:t>
      </w:r>
      <w:bookmarkEnd w:id="10"/>
      <w:bookmarkEnd w:id="11"/>
      <w:bookmarkEnd w:id="12"/>
      <w:bookmarkEnd w:id="13"/>
      <w:r>
        <w:rPr>
          <w:rFonts w:hint="eastAsia" w:ascii="仿宋" w:eastAsia="仿宋" w:cs="仿宋"/>
          <w:color w:val="000000" w:themeColor="text1"/>
          <w:sz w:val="24"/>
          <w:szCs w:val="24"/>
          <w:highlight w:val="none"/>
          <w14:textFill>
            <w14:solidFill>
              <w14:schemeClr w14:val="tx1"/>
            </w14:solidFill>
          </w14:textFill>
        </w:rPr>
        <w:t>：</w:t>
      </w:r>
    </w:p>
    <w:p w14:paraId="25AA3518">
      <w:pPr>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称：绍兴天然气投资有限公司</w:t>
      </w:r>
    </w:p>
    <w:p w14:paraId="3196B2E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址：绍兴袍江工业区汤公路319号</w:t>
      </w:r>
    </w:p>
    <w:p w14:paraId="01EE52B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3AE21568">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杨</w:t>
      </w:r>
      <w:r>
        <w:rPr>
          <w:rFonts w:hint="eastAsia" w:ascii="仿宋" w:hAnsi="仿宋" w:eastAsia="仿宋" w:cs="仿宋"/>
          <w:color w:val="000000" w:themeColor="text1"/>
          <w:sz w:val="24"/>
          <w:highlight w:val="none"/>
          <w14:textFill>
            <w14:solidFill>
              <w14:schemeClr w14:val="tx1"/>
            </w14:solidFill>
          </w14:textFill>
        </w:rPr>
        <w:t>工</w:t>
      </w:r>
    </w:p>
    <w:p w14:paraId="7E1451FE">
      <w:pPr>
        <w:spacing w:line="440" w:lineRule="exact"/>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项目联系方式（询问）：0575-88097702</w:t>
      </w:r>
    </w:p>
    <w:p w14:paraId="4CAE91D8">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方</w:t>
      </w:r>
      <w:r>
        <w:rPr>
          <w:rFonts w:hint="eastAsia" w:ascii="仿宋" w:hAnsi="仿宋" w:eastAsia="仿宋" w:cs="仿宋"/>
          <w:color w:val="000000" w:themeColor="text1"/>
          <w:sz w:val="24"/>
          <w:highlight w:val="none"/>
          <w14:textFill>
            <w14:solidFill>
              <w14:schemeClr w14:val="tx1"/>
            </w14:solidFill>
          </w14:textFill>
        </w:rPr>
        <w:t>工</w:t>
      </w:r>
    </w:p>
    <w:p w14:paraId="6F384D91">
      <w:pPr>
        <w:spacing w:line="440" w:lineRule="exact"/>
        <w:ind w:firstLine="480" w:firstLineChars="200"/>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 0575-88097702</w:t>
      </w:r>
    </w:p>
    <w:p w14:paraId="08D9FB3A">
      <w:pPr>
        <w:pStyle w:val="6"/>
        <w:spacing w:line="440" w:lineRule="exact"/>
        <w:ind w:left="0" w:firstLine="482" w:firstLineChars="200"/>
        <w:rPr>
          <w:rFonts w:ascii="仿宋" w:eastAsia="仿宋" w:cs="仿宋"/>
          <w:color w:val="000000" w:themeColor="text1"/>
          <w:sz w:val="24"/>
          <w:highlight w:val="none"/>
          <w14:textFill>
            <w14:solidFill>
              <w14:schemeClr w14:val="tx1"/>
            </w14:solidFill>
          </w14:textFill>
        </w:rPr>
      </w:pPr>
      <w:bookmarkStart w:id="14" w:name="_Toc28359097"/>
      <w:bookmarkStart w:id="15" w:name="_Toc35393807"/>
      <w:bookmarkStart w:id="16" w:name="_Toc35393638"/>
      <w:bookmarkStart w:id="17" w:name="_Toc28359020"/>
      <w:r>
        <w:rPr>
          <w:rFonts w:hint="eastAsia" w:ascii="仿宋" w:eastAsia="仿宋" w:cs="仿宋"/>
          <w:color w:val="000000" w:themeColor="text1"/>
          <w:sz w:val="24"/>
          <w:szCs w:val="24"/>
          <w:highlight w:val="none"/>
          <w14:textFill>
            <w14:solidFill>
              <w14:schemeClr w14:val="tx1"/>
            </w14:solidFill>
          </w14:textFill>
        </w:rPr>
        <w:t>2.采购代理机构信息</w:t>
      </w:r>
      <w:bookmarkEnd w:id="14"/>
      <w:bookmarkEnd w:id="15"/>
      <w:bookmarkEnd w:id="16"/>
      <w:bookmarkEnd w:id="17"/>
      <w:r>
        <w:rPr>
          <w:rFonts w:hint="eastAsia" w:ascii="仿宋" w:eastAsia="仿宋" w:cs="仿宋"/>
          <w:color w:val="000000" w:themeColor="text1"/>
          <w:sz w:val="24"/>
          <w:szCs w:val="24"/>
          <w:highlight w:val="none"/>
          <w14:textFill>
            <w14:solidFill>
              <w14:schemeClr w14:val="tx1"/>
            </w14:solidFill>
          </w14:textFill>
        </w:rPr>
        <w:t>：</w:t>
      </w:r>
    </w:p>
    <w:p w14:paraId="6AF7E84D">
      <w:pPr>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浙江华耀</w:t>
      </w:r>
      <w:r>
        <w:rPr>
          <w:rFonts w:hint="eastAsia" w:ascii="仿宋" w:hAnsi="仿宋" w:eastAsia="仿宋" w:cs="仿宋"/>
          <w:color w:val="000000" w:themeColor="text1"/>
          <w:sz w:val="24"/>
          <w:highlight w:val="none"/>
          <w:lang w:val="en-US" w:eastAsia="zh-CN"/>
          <w14:textFill>
            <w14:solidFill>
              <w14:schemeClr w14:val="tx1"/>
            </w14:solidFill>
          </w14:textFill>
        </w:rPr>
        <w:t>建设</w:t>
      </w:r>
      <w:r>
        <w:rPr>
          <w:rFonts w:hint="eastAsia" w:ascii="仿宋" w:hAnsi="仿宋" w:eastAsia="仿宋" w:cs="仿宋"/>
          <w:color w:val="000000" w:themeColor="text1"/>
          <w:sz w:val="24"/>
          <w:highlight w:val="none"/>
          <w:lang w:eastAsia="zh-CN"/>
          <w14:textFill>
            <w14:solidFill>
              <w14:schemeClr w14:val="tx1"/>
            </w14:solidFill>
          </w14:textFill>
        </w:rPr>
        <w:t>咨询有限公司</w:t>
      </w:r>
    </w:p>
    <w:p w14:paraId="70BB221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址：绍兴市越城区五泄路90号京华科技文创园B幢二楼 </w:t>
      </w:r>
    </w:p>
    <w:p w14:paraId="7558B4A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14:paraId="1E110FD5">
      <w:pPr>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何其峰</w:t>
      </w:r>
    </w:p>
    <w:p w14:paraId="28812F31">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15757586601</w:t>
      </w:r>
      <w:r>
        <w:rPr>
          <w:rFonts w:hint="eastAsia" w:ascii="仿宋" w:hAnsi="仿宋" w:eastAsia="仿宋" w:cs="仿宋"/>
          <w:color w:val="000000" w:themeColor="text1"/>
          <w:sz w:val="24"/>
          <w:highlight w:val="none"/>
          <w14:textFill>
            <w14:solidFill>
              <w14:schemeClr w14:val="tx1"/>
            </w14:solidFill>
          </w14:textFill>
        </w:rPr>
        <w:t xml:space="preserve"> </w:t>
      </w:r>
    </w:p>
    <w:p w14:paraId="2483525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谢工</w:t>
      </w:r>
      <w:r>
        <w:rPr>
          <w:rFonts w:hint="eastAsia" w:ascii="仿宋" w:hAnsi="仿宋" w:eastAsia="仿宋" w:cs="仿宋"/>
          <w:color w:val="000000" w:themeColor="text1"/>
          <w:sz w:val="24"/>
          <w:highlight w:val="none"/>
          <w14:textFill>
            <w14:solidFill>
              <w14:schemeClr w14:val="tx1"/>
            </w14:solidFill>
          </w14:textFill>
        </w:rPr>
        <w:t xml:space="preserve">   </w:t>
      </w:r>
    </w:p>
    <w:p w14:paraId="36718F12">
      <w:pPr>
        <w:spacing w:line="440" w:lineRule="exact"/>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18357580240</w:t>
      </w:r>
    </w:p>
    <w:p w14:paraId="705EDA32">
      <w:pPr>
        <w:spacing w:line="440" w:lineRule="exact"/>
        <w:ind w:firstLine="482" w:firstLineChars="200"/>
        <w:rPr>
          <w:rFonts w:ascii="仿宋" w:hAnsi="仿宋" w:eastAsia="仿宋" w:cs="仿宋"/>
          <w:b/>
          <w:color w:val="000000" w:themeColor="text1"/>
          <w:sz w:val="24"/>
          <w:highlight w:val="none"/>
          <w14:textFill>
            <w14:solidFill>
              <w14:schemeClr w14:val="tx1"/>
            </w14:solidFill>
          </w14:textFill>
        </w:rPr>
      </w:pPr>
      <w:bookmarkStart w:id="18" w:name="_Toc35393808"/>
      <w:bookmarkStart w:id="19" w:name="_Toc35393639"/>
      <w:bookmarkStart w:id="20" w:name="_Toc28359098"/>
      <w:bookmarkStart w:id="21" w:name="_Toc28359021"/>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 采购监督管理部门信息： </w:t>
      </w:r>
    </w:p>
    <w:bookmarkEnd w:id="18"/>
    <w:bookmarkEnd w:id="19"/>
    <w:bookmarkEnd w:id="20"/>
    <w:bookmarkEnd w:id="21"/>
    <w:p w14:paraId="1F389B78">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称：绍兴市公用事业集团有限公司</w:t>
      </w:r>
    </w:p>
    <w:p w14:paraId="708ADC9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auto"/>
          <w:sz w:val="24"/>
          <w:highlight w:val="none"/>
        </w:rPr>
        <w:t>解放大道308号</w:t>
      </w:r>
    </w:p>
    <w:p w14:paraId="5425C4A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：吕工</w:t>
      </w:r>
    </w:p>
    <w:p w14:paraId="2C522CD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监督投诉电话：0575-88050323</w:t>
      </w:r>
    </w:p>
    <w:p w14:paraId="5D4398A7">
      <w:pPr>
        <w:widowControl/>
        <w:adjustRightInd/>
        <w:jc w:val="left"/>
        <w:rPr>
          <w:rFonts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bookmarkEnd w:id="7"/>
    <w:bookmarkEnd w:id="8"/>
    <w:p w14:paraId="7787698F">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 投标须知</w:t>
      </w:r>
    </w:p>
    <w:p w14:paraId="642666EB">
      <w:pPr>
        <w:adjustRightInd/>
        <w:spacing w:line="360"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0"/>
        <w:gridCol w:w="7310"/>
      </w:tblGrid>
      <w:tr w14:paraId="7C76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EB1BBC2">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8370" w:type="dxa"/>
            <w:gridSpan w:val="2"/>
            <w:vAlign w:val="center"/>
          </w:tcPr>
          <w:p w14:paraId="718C900A">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　　　　容</w:t>
            </w:r>
          </w:p>
        </w:tc>
      </w:tr>
      <w:tr w14:paraId="6F4B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AA8ABA8">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370" w:type="dxa"/>
            <w:gridSpan w:val="2"/>
            <w:vAlign w:val="center"/>
          </w:tcPr>
          <w:p w14:paraId="2B94A5C0">
            <w:pPr>
              <w:autoSpaceDE w:val="0"/>
              <w:autoSpaceDN w:val="0"/>
              <w:snapToGrid w:val="0"/>
              <w:spacing w:line="440" w:lineRule="exact"/>
              <w:textAlignment w:val="cente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投标人按照项目要求特许资格、资信证明文件（如果有）：</w:t>
            </w:r>
          </w:p>
          <w:p w14:paraId="0CBE7F40">
            <w:pPr>
              <w:autoSpaceDE w:val="0"/>
              <w:autoSpaceDN w:val="0"/>
              <w:spacing w:line="440" w:lineRule="exact"/>
              <w:ind w:firstLine="480" w:firstLineChars="200"/>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C2E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E94DA68">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370" w:type="dxa"/>
            <w:gridSpan w:val="2"/>
            <w:vAlign w:val="center"/>
          </w:tcPr>
          <w:p w14:paraId="11D516B0">
            <w:pPr>
              <w:autoSpaceDE w:val="0"/>
              <w:autoSpaceDN w:val="0"/>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资格审查方式：</w:t>
            </w:r>
          </w:p>
          <w:p w14:paraId="6B0C3C67">
            <w:pPr>
              <w:autoSpaceDE w:val="0"/>
              <w:autoSpaceDN w:val="0"/>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1.资格后审。</w:t>
            </w:r>
          </w:p>
          <w:p w14:paraId="34285FF9">
            <w:pPr>
              <w:autoSpaceDE w:val="0"/>
              <w:autoSpaceDN w:val="0"/>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2.法定代表人的授权</w:t>
            </w:r>
            <w:r>
              <w:rPr>
                <w:rFonts w:hint="eastAsia" w:ascii="仿宋" w:hAnsi="仿宋" w:eastAsia="仿宋" w:cs="仿宋"/>
                <w:b/>
                <w:color w:val="000000" w:themeColor="text1"/>
                <w:sz w:val="24"/>
                <w:highlight w:val="none"/>
                <w:lang w:val="en-US" w:eastAsia="zh-CN"/>
                <w14:textFill>
                  <w14:solidFill>
                    <w14:schemeClr w14:val="tx1"/>
                  </w14:solidFill>
                </w14:textFill>
              </w:rPr>
              <w:t>代表</w:t>
            </w:r>
            <w:r>
              <w:rPr>
                <w:rFonts w:hint="eastAsia" w:ascii="仿宋" w:hAnsi="仿宋" w:eastAsia="仿宋" w:cs="仿宋"/>
                <w:b/>
                <w:color w:val="000000" w:themeColor="text1"/>
                <w:sz w:val="24"/>
                <w:highlight w:val="none"/>
                <w14:textFill>
                  <w14:solidFill>
                    <w14:schemeClr w14:val="tx1"/>
                  </w14:solidFill>
                </w14:textFill>
              </w:rPr>
              <w:t>必须是投标单位职工。需在投标响应文件技术部分内提供由社保机构出具的该授权代</w:t>
            </w:r>
            <w:r>
              <w:rPr>
                <w:rFonts w:hint="eastAsia" w:ascii="仿宋" w:hAnsi="仿宋" w:eastAsia="仿宋" w:cs="仿宋"/>
                <w:b/>
                <w:color w:val="auto"/>
                <w:sz w:val="24"/>
                <w:highlight w:val="none"/>
              </w:rPr>
              <w:t>表的社保证明</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2024年7月-2024年9月</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color w:val="000000" w:themeColor="text1"/>
                <w:sz w:val="24"/>
                <w:highlight w:val="none"/>
                <w14:textFill>
                  <w14:solidFill>
                    <w14:schemeClr w14:val="tx1"/>
                  </w14:solidFill>
                </w14:textFill>
              </w:rPr>
              <w:t>1.如该授权代表为离退休返聘人员的，投标响应文件技术部分内需提供退休证明及单位聘用证明;2.如由第三方代理社保事项的，则需提供加盖投标人公章的委托代理协议复印件）。</w:t>
            </w:r>
          </w:p>
        </w:tc>
      </w:tr>
      <w:tr w14:paraId="2DC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15F5A15">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370" w:type="dxa"/>
            <w:gridSpan w:val="2"/>
            <w:vAlign w:val="center"/>
          </w:tcPr>
          <w:p w14:paraId="3170FA92">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投标有效期：</w:t>
            </w:r>
            <w:r>
              <w:rPr>
                <w:rFonts w:hint="eastAsia" w:ascii="仿宋" w:hAnsi="仿宋" w:eastAsia="仿宋" w:cs="仿宋"/>
                <w:color w:val="000000" w:themeColor="text1"/>
                <w:sz w:val="24"/>
                <w:highlight w:val="none"/>
                <w14:textFill>
                  <w14:solidFill>
                    <w14:schemeClr w14:val="tx1"/>
                  </w14:solidFill>
                </w14:textFill>
              </w:rPr>
              <w:t>投标有效期为从提交投标文件的截止之日起90天。</w:t>
            </w:r>
            <w:r>
              <w:rPr>
                <w:rFonts w:hint="eastAsia" w:ascii="仿宋" w:hAnsi="仿宋" w:eastAsia="仿宋" w:cs="仿宋"/>
                <w:b/>
                <w:color w:val="000000" w:themeColor="text1"/>
                <w:sz w:val="24"/>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tc>
      </w:tr>
      <w:tr w14:paraId="4E13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DF11767">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370" w:type="dxa"/>
            <w:gridSpan w:val="2"/>
            <w:vAlign w:val="center"/>
          </w:tcPr>
          <w:p w14:paraId="1570D7E0">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转包：</w:t>
            </w:r>
            <w:r>
              <w:rPr>
                <w:rFonts w:hint="eastAsia" w:ascii="仿宋" w:hAnsi="仿宋" w:eastAsia="仿宋" w:cs="仿宋"/>
                <w:color w:val="000000" w:themeColor="text1"/>
                <w:sz w:val="24"/>
                <w:highlight w:val="none"/>
                <w14:textFill>
                  <w14:solidFill>
                    <w14:schemeClr w14:val="tx1"/>
                  </w14:solidFill>
                </w14:textFill>
              </w:rPr>
              <w:t>本项目不得转包。</w:t>
            </w:r>
          </w:p>
        </w:tc>
      </w:tr>
      <w:tr w14:paraId="5CE5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2F35883">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370" w:type="dxa"/>
            <w:gridSpan w:val="2"/>
            <w:vAlign w:val="center"/>
          </w:tcPr>
          <w:p w14:paraId="6C82A123">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r>
              <w:rPr>
                <w:rFonts w:hint="eastAsia" w:ascii="仿宋" w:hAnsi="仿宋" w:eastAsia="仿宋" w:cs="仿宋"/>
                <w:color w:val="000000" w:themeColor="text1"/>
                <w:kern w:val="0"/>
                <w:sz w:val="24"/>
                <w:highlight w:val="none"/>
                <w14:textFill>
                  <w14:solidFill>
                    <w14:schemeClr w14:val="tx1"/>
                  </w14:solidFill>
                </w14:textFill>
              </w:rPr>
              <w:t>☐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p>
          <w:p w14:paraId="734744CA">
            <w:pPr>
              <w:autoSpaceDE w:val="0"/>
              <w:autoSpaceDN w:val="0"/>
              <w:spacing w:line="440" w:lineRule="exact"/>
              <w:ind w:firstLine="720" w:firstLineChars="300"/>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B</w:t>
            </w:r>
            <w:r>
              <w:rPr>
                <w:rFonts w:hint="eastAsia" w:ascii="仿宋" w:hAnsi="仿宋" w:eastAsia="仿宋" w:cs="仿宋"/>
                <w:color w:val="000000" w:themeColor="text1"/>
                <w:sz w:val="24"/>
                <w:highlight w:val="none"/>
                <w14:textFill>
                  <w14:solidFill>
                    <w14:schemeClr w14:val="tx1"/>
                  </w14:solidFill>
                </w14:textFill>
              </w:rPr>
              <w:t>不同意分包。</w:t>
            </w:r>
          </w:p>
        </w:tc>
      </w:tr>
      <w:tr w14:paraId="1397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177F26B">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370" w:type="dxa"/>
            <w:gridSpan w:val="2"/>
            <w:vAlign w:val="center"/>
          </w:tcPr>
          <w:p w14:paraId="1DC3FDEC">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投标文件份数：</w:t>
            </w:r>
            <w:r>
              <w:rPr>
                <w:rFonts w:hint="eastAsia" w:ascii="仿宋" w:hAnsi="仿宋" w:eastAsia="仿宋" w:cs="仿宋"/>
                <w:color w:val="000000" w:themeColor="text1"/>
                <w:sz w:val="24"/>
                <w:highlight w:val="none"/>
                <w14:textFill>
                  <w14:solidFill>
                    <w14:schemeClr w14:val="tx1"/>
                  </w14:solidFill>
                </w14:textFill>
              </w:rPr>
              <w:t>正本一份、副本四份。</w:t>
            </w:r>
          </w:p>
          <w:p w14:paraId="769E0DB5">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投标人须提供电子投标文件所投项目的所有投标文件（正本）完整的PDF彩色扫描件U盘一份，须单独密封递交。若未递交符合要求的U盘或PDF文件无法正常打开的，则投标文件作无效处理。</w:t>
            </w:r>
          </w:p>
        </w:tc>
      </w:tr>
      <w:tr w14:paraId="01C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60D5877">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370" w:type="dxa"/>
            <w:gridSpan w:val="2"/>
            <w:vAlign w:val="center"/>
          </w:tcPr>
          <w:p w14:paraId="38A5C7FA">
            <w:pPr>
              <w:autoSpaceDE w:val="0"/>
              <w:autoSpaceDN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14:paraId="295C8E56">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0A8D633">
            <w:pPr>
              <w:autoSpaceDE w:val="0"/>
              <w:autoSpaceDN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7CD5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5108B1CC">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370" w:type="dxa"/>
            <w:gridSpan w:val="2"/>
            <w:vAlign w:val="center"/>
          </w:tcPr>
          <w:p w14:paraId="0E2C2086">
            <w:pPr>
              <w:autoSpaceDE w:val="0"/>
              <w:autoSpaceDN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p w14:paraId="1B9EF4FC">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348EC43D">
            <w:pPr>
              <w:autoSpaceDE w:val="0"/>
              <w:autoSpaceDN w:val="0"/>
              <w:spacing w:line="440" w:lineRule="exact"/>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□B要求提供，</w:t>
            </w:r>
          </w:p>
          <w:p w14:paraId="67019501">
            <w:pPr>
              <w:autoSpaceDE w:val="0"/>
              <w:autoSpaceDN w:val="0"/>
              <w:spacing w:line="440" w:lineRule="exact"/>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5C334A7">
            <w:pPr>
              <w:autoSpaceDE w:val="0"/>
              <w:autoSpaceDN w:val="0"/>
              <w:spacing w:line="440" w:lineRule="exact"/>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7CAEEAE">
            <w:pPr>
              <w:autoSpaceDE w:val="0"/>
              <w:autoSpaceDN w:val="0"/>
              <w:spacing w:line="440" w:lineRule="exact"/>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533F6228">
            <w:pPr>
              <w:autoSpaceDE w:val="0"/>
              <w:autoSpaceDN w:val="0"/>
              <w:spacing w:line="440" w:lineRule="exact"/>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（4）是否需要随样品提交检测报告：□否；□是，检测机构的要求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w:t>
            </w:r>
          </w:p>
          <w:p w14:paraId="2245ABDE">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E08EE80">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40CE87A">
            <w:pPr>
              <w:autoSpaceDE w:val="0"/>
              <w:autoSpaceDN w:val="0"/>
              <w:spacing w:line="440" w:lineRule="exact"/>
              <w:jc w:val="lef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60B8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3E38ADF2">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8370" w:type="dxa"/>
            <w:gridSpan w:val="2"/>
            <w:vAlign w:val="center"/>
          </w:tcPr>
          <w:p w14:paraId="1E86FAE3">
            <w:pPr>
              <w:autoSpaceDE w:val="0"/>
              <w:autoSpaceDN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p w14:paraId="6AE24077">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☑A无方案讲解演示。</w:t>
            </w:r>
          </w:p>
          <w:p w14:paraId="40ABFD91">
            <w:pPr>
              <w:autoSpaceDE w:val="0"/>
              <w:autoSpaceDN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□B有方案讲解演示：</w:t>
            </w:r>
          </w:p>
          <w:p w14:paraId="14BDDAA5">
            <w:pPr>
              <w:autoSpaceDE w:val="0"/>
              <w:autoSpaceDN w:val="0"/>
              <w:spacing w:line="440" w:lineRule="exact"/>
              <w:textAlignment w:val="center"/>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（1）在评标时安排每个供应商进行方案讲解演示。每个供应商时间不超过</w:t>
            </w:r>
            <w:r>
              <w:rPr>
                <w:rFonts w:hint="eastAsia" w:ascii="仿宋" w:hAnsi="仿宋" w:eastAsia="仿宋" w:cs="仿宋"/>
                <w:color w:val="000000" w:themeColor="text1"/>
                <w:sz w:val="24"/>
                <w:highlight w:val="none"/>
                <w:u w:val="single"/>
                <w:lang w:val="zh-CN"/>
                <w14:textFill>
                  <w14:solidFill>
                    <w14:schemeClr w14:val="tx1"/>
                  </w14:solidFill>
                </w14:textFill>
              </w:rPr>
              <w:t>15</w:t>
            </w:r>
            <w:r>
              <w:rPr>
                <w:rFonts w:hint="eastAsia" w:ascii="仿宋" w:hAnsi="仿宋" w:eastAsia="仿宋" w:cs="仿宋"/>
                <w:color w:val="000000" w:themeColor="text1"/>
                <w:sz w:val="24"/>
                <w:highlight w:val="none"/>
                <w:lang w:val="zh-CN"/>
                <w14:textFill>
                  <w14:solidFill>
                    <w14:schemeClr w14:val="tx1"/>
                  </w14:solidFill>
                </w14:textFill>
              </w:rPr>
              <w:t>分钟，讲解次序以投标文件解密时间先后次序为准。讲解演示结束后按要求解答评标委员会提问。</w:t>
            </w:r>
          </w:p>
          <w:p w14:paraId="12DE8B43">
            <w:pPr>
              <w:autoSpaceDE w:val="0"/>
              <w:autoSpaceDN w:val="0"/>
              <w:spacing w:line="440" w:lineRule="exact"/>
              <w:textAlignment w:val="center"/>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（2）方案讲解演示可选择以下其中一种方式：</w:t>
            </w:r>
          </w:p>
          <w:p w14:paraId="17E2C1A8">
            <w:pPr>
              <w:autoSpaceDE w:val="0"/>
              <w:autoSpaceDN w:val="0"/>
              <w:spacing w:line="440" w:lineRule="exact"/>
              <w:textAlignment w:val="center"/>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方式一：在线讲解演示。在线讲解需供应商根据操作要求做好准备工作，提前完善软硬件配置环境。</w:t>
            </w:r>
          </w:p>
          <w:p w14:paraId="72200A19">
            <w:pPr>
              <w:autoSpaceDE w:val="0"/>
              <w:autoSpaceDN w:val="0"/>
              <w:spacing w:line="440" w:lineRule="exact"/>
              <w:textAlignment w:val="center"/>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方式二：现场讲解演示。现场讲解地点为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讲解演示人员不超过</w:t>
            </w:r>
            <w:r>
              <w:rPr>
                <w:rFonts w:hint="eastAsia" w:ascii="仿宋" w:hAnsi="仿宋" w:eastAsia="仿宋" w:cs="仿宋"/>
                <w:color w:val="000000" w:themeColor="text1"/>
                <w:kern w:val="0"/>
                <w:sz w:val="24"/>
                <w:highlight w:val="none"/>
                <w:u w:val="single"/>
                <w:lang w:val="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人。</w:t>
            </w:r>
            <w:r>
              <w:rPr>
                <w:rFonts w:hint="eastAsia" w:ascii="仿宋" w:hAnsi="仿宋" w:eastAsia="仿宋" w:cs="仿宋"/>
                <w:color w:val="000000" w:themeColor="text1"/>
                <w:sz w:val="24"/>
                <w:highlight w:val="none"/>
                <w:lang w:val="zh-CN"/>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306F55B8">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4CB4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F620DB0">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060" w:type="dxa"/>
            <w:vAlign w:val="center"/>
          </w:tcPr>
          <w:p w14:paraId="4C5E6ED8">
            <w:pPr>
              <w:autoSpaceDE w:val="0"/>
              <w:autoSpaceDN w:val="0"/>
              <w:snapToGrid w:val="0"/>
              <w:spacing w:line="440" w:lineRule="exact"/>
              <w:jc w:val="lef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进口产品</w:t>
            </w:r>
          </w:p>
        </w:tc>
        <w:tc>
          <w:tcPr>
            <w:tcW w:w="7310" w:type="dxa"/>
            <w:vAlign w:val="center"/>
          </w:tcPr>
          <w:p w14:paraId="1A0BBF4E">
            <w:pPr>
              <w:autoSpaceDE w:val="0"/>
              <w:autoSpaceDN w:val="0"/>
              <w:spacing w:line="440" w:lineRule="exact"/>
              <w:textAlignment w:val="center"/>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1DBE6656">
            <w:pPr>
              <w:autoSpaceDE w:val="0"/>
              <w:autoSpaceDN w:val="0"/>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70D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989A917">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060" w:type="dxa"/>
            <w:vAlign w:val="center"/>
          </w:tcPr>
          <w:p w14:paraId="10C52662">
            <w:pPr>
              <w:autoSpaceDE w:val="0"/>
              <w:autoSpaceDN w:val="0"/>
              <w:snapToGrid w:val="0"/>
              <w:spacing w:line="440" w:lineRule="exact"/>
              <w:ind w:left="14" w:hanging="14" w:hangingChars="7"/>
              <w:jc w:val="left"/>
              <w:textAlignment w:val="center"/>
              <w:rPr>
                <w:rFonts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项目属性与核心产品</w:t>
            </w:r>
          </w:p>
        </w:tc>
        <w:tc>
          <w:tcPr>
            <w:tcW w:w="7310" w:type="dxa"/>
            <w:vAlign w:val="center"/>
          </w:tcPr>
          <w:p w14:paraId="6CF8BE1E">
            <w:pPr>
              <w:autoSpaceDE w:val="0"/>
              <w:autoSpaceDN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详见招标文件</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24FE19F">
            <w:pPr>
              <w:autoSpaceDE w:val="0"/>
              <w:autoSpaceDN w:val="0"/>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服务类。</w:t>
            </w:r>
          </w:p>
        </w:tc>
      </w:tr>
      <w:tr w14:paraId="11DB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32FD9DD">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060" w:type="dxa"/>
            <w:vAlign w:val="center"/>
          </w:tcPr>
          <w:p w14:paraId="28834FB4">
            <w:pPr>
              <w:autoSpaceDE w:val="0"/>
              <w:autoSpaceDN w:val="0"/>
              <w:snapToGrid w:val="0"/>
              <w:spacing w:line="440" w:lineRule="exact"/>
              <w:ind w:hanging="1"/>
              <w:jc w:val="left"/>
              <w:textAlignment w:val="center"/>
              <w:rPr>
                <w:rFonts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采购标的对应的中小企业划分标准所属行业</w:t>
            </w:r>
          </w:p>
        </w:tc>
        <w:tc>
          <w:tcPr>
            <w:tcW w:w="7310" w:type="dxa"/>
            <w:vAlign w:val="center"/>
          </w:tcPr>
          <w:p w14:paraId="0BA5EE86">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绍兴天然气投资有限公司2025年度液化天然气（LNG）采购项目</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其他未列明</w:t>
            </w:r>
            <w:r>
              <w:rPr>
                <w:rFonts w:hint="eastAsia" w:ascii="仿宋" w:hAnsi="仿宋" w:eastAsia="仿宋" w:cs="仿宋"/>
                <w:color w:val="000000" w:themeColor="text1"/>
                <w:kern w:val="0"/>
                <w:sz w:val="24"/>
                <w:highlight w:val="none"/>
                <w14:textFill>
                  <w14:solidFill>
                    <w14:schemeClr w14:val="tx1"/>
                  </w14:solidFill>
                </w14:textFill>
              </w:rPr>
              <w:t>行业；</w:t>
            </w:r>
          </w:p>
        </w:tc>
      </w:tr>
      <w:tr w14:paraId="5D08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0894B590">
            <w:pPr>
              <w:autoSpaceDE w:val="0"/>
              <w:autoSpaceDN w:val="0"/>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060" w:type="dxa"/>
            <w:vMerge w:val="restart"/>
            <w:vAlign w:val="center"/>
          </w:tcPr>
          <w:p w14:paraId="0B1898CC">
            <w:pPr>
              <w:autoSpaceDE w:val="0"/>
              <w:autoSpaceDN w:val="0"/>
              <w:snapToGrid w:val="0"/>
              <w:spacing w:line="440" w:lineRule="exact"/>
              <w:jc w:val="lef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投标人信用信息事项</w:t>
            </w:r>
          </w:p>
        </w:tc>
        <w:tc>
          <w:tcPr>
            <w:tcW w:w="7310" w:type="dxa"/>
            <w:vAlign w:val="center"/>
          </w:tcPr>
          <w:p w14:paraId="77D0DF9B">
            <w:pPr>
              <w:autoSpaceDE w:val="0"/>
              <w:autoSpaceDN w:val="0"/>
              <w:snapToGrid w:val="0"/>
              <w:spacing w:line="440" w:lineRule="exact"/>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信用信息查询渠道及截止时间：</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 w:hAnsi="仿宋" w:eastAsia="仿宋" w:cs="仿宋"/>
                <w:b/>
                <w:color w:val="000000" w:themeColor="text1"/>
                <w:sz w:val="24"/>
                <w:highlight w:val="none"/>
                <w14:textFill>
                  <w14:solidFill>
                    <w14:schemeClr w14:val="tx1"/>
                  </w14:solidFill>
                </w14:textFill>
              </w:rPr>
              <w:t>开标当天</w:t>
            </w:r>
            <w:r>
              <w:rPr>
                <w:rFonts w:hint="eastAsia" w:ascii="仿宋" w:hAnsi="仿宋" w:eastAsia="仿宋" w:cs="仿宋"/>
                <w:color w:val="000000" w:themeColor="text1"/>
                <w:sz w:val="24"/>
                <w:highlight w:val="none"/>
                <w14:textFill>
                  <w14:solidFill>
                    <w14:schemeClr w14:val="tx1"/>
                  </w14:solidFill>
                </w14:textFill>
              </w:rPr>
              <w:t>的信用记录。</w:t>
            </w:r>
          </w:p>
        </w:tc>
      </w:tr>
      <w:tr w14:paraId="33E8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B92A5F6">
            <w:pPr>
              <w:keepNext/>
              <w:keepLines/>
              <w:tabs>
                <w:tab w:val="left" w:pos="900"/>
              </w:tabs>
              <w:spacing w:line="440" w:lineRule="exact"/>
              <w:ind w:hanging="720"/>
              <w:jc w:val="center"/>
              <w:textAlignment w:val="center"/>
              <w:outlineLvl w:val="2"/>
              <w:rPr>
                <w:rFonts w:ascii="仿宋" w:hAnsi="仿宋" w:eastAsia="仿宋" w:cs="仿宋"/>
                <w:color w:val="000000" w:themeColor="text1"/>
                <w:sz w:val="24"/>
                <w:highlight w:val="none"/>
                <w14:textFill>
                  <w14:solidFill>
                    <w14:schemeClr w14:val="tx1"/>
                  </w14:solidFill>
                </w14:textFill>
              </w:rPr>
            </w:pPr>
          </w:p>
        </w:tc>
        <w:tc>
          <w:tcPr>
            <w:tcW w:w="1060" w:type="dxa"/>
            <w:vMerge w:val="continue"/>
            <w:vAlign w:val="center"/>
          </w:tcPr>
          <w:p w14:paraId="3D97228F">
            <w:pPr>
              <w:keepNext/>
              <w:keepLines/>
              <w:tabs>
                <w:tab w:val="left" w:pos="900"/>
              </w:tabs>
              <w:snapToGrid w:val="0"/>
              <w:spacing w:line="440" w:lineRule="exact"/>
              <w:ind w:hanging="720"/>
              <w:textAlignment w:val="center"/>
              <w:outlineLvl w:val="2"/>
              <w:rPr>
                <w:rFonts w:ascii="仿宋" w:hAnsi="仿宋" w:eastAsia="仿宋" w:cs="仿宋"/>
                <w:b/>
                <w:color w:val="000000" w:themeColor="text1"/>
                <w:sz w:val="24"/>
                <w:highlight w:val="none"/>
                <w14:textFill>
                  <w14:solidFill>
                    <w14:schemeClr w14:val="tx1"/>
                  </w14:solidFill>
                </w14:textFill>
              </w:rPr>
            </w:pPr>
          </w:p>
        </w:tc>
        <w:tc>
          <w:tcPr>
            <w:tcW w:w="7310" w:type="dxa"/>
            <w:vAlign w:val="center"/>
          </w:tcPr>
          <w:p w14:paraId="67B54914">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信用信息查询记录和证据留存的具体方式：</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采购人或采购人委托的评审小组或采购代理机构现场查询投标人的信用记录，查询结果经确认后与招标文件一起存档。</w:t>
            </w:r>
          </w:p>
        </w:tc>
      </w:tr>
      <w:tr w14:paraId="5067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F088AE7">
            <w:pPr>
              <w:keepNext/>
              <w:keepLines/>
              <w:tabs>
                <w:tab w:val="left" w:pos="900"/>
              </w:tabs>
              <w:spacing w:line="440" w:lineRule="exact"/>
              <w:ind w:hanging="720"/>
              <w:jc w:val="center"/>
              <w:textAlignment w:val="center"/>
              <w:outlineLvl w:val="2"/>
              <w:rPr>
                <w:rFonts w:ascii="仿宋" w:hAnsi="仿宋" w:eastAsia="仿宋" w:cs="仿宋"/>
                <w:color w:val="000000" w:themeColor="text1"/>
                <w:sz w:val="24"/>
                <w:highlight w:val="none"/>
                <w14:textFill>
                  <w14:solidFill>
                    <w14:schemeClr w14:val="tx1"/>
                  </w14:solidFill>
                </w14:textFill>
              </w:rPr>
            </w:pPr>
          </w:p>
        </w:tc>
        <w:tc>
          <w:tcPr>
            <w:tcW w:w="1060" w:type="dxa"/>
            <w:vMerge w:val="continue"/>
            <w:vAlign w:val="center"/>
          </w:tcPr>
          <w:p w14:paraId="7A01D8EC">
            <w:pPr>
              <w:keepNext/>
              <w:keepLines/>
              <w:tabs>
                <w:tab w:val="left" w:pos="900"/>
              </w:tabs>
              <w:snapToGrid w:val="0"/>
              <w:spacing w:line="440" w:lineRule="exact"/>
              <w:ind w:hanging="720"/>
              <w:textAlignment w:val="center"/>
              <w:outlineLvl w:val="2"/>
              <w:rPr>
                <w:rFonts w:ascii="仿宋" w:hAnsi="仿宋" w:eastAsia="仿宋" w:cs="仿宋"/>
                <w:b/>
                <w:color w:val="000000" w:themeColor="text1"/>
                <w:sz w:val="24"/>
                <w:highlight w:val="none"/>
                <w14:textFill>
                  <w14:solidFill>
                    <w14:schemeClr w14:val="tx1"/>
                  </w14:solidFill>
                </w14:textFill>
              </w:rPr>
            </w:pPr>
          </w:p>
        </w:tc>
        <w:tc>
          <w:tcPr>
            <w:tcW w:w="7310" w:type="dxa"/>
            <w:vAlign w:val="center"/>
          </w:tcPr>
          <w:p w14:paraId="03C86AA4">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信用信息的使用规则：</w:t>
            </w:r>
            <w:r>
              <w:rPr>
                <w:rFonts w:hint="eastAsia" w:ascii="仿宋" w:hAnsi="仿宋" w:eastAsia="仿宋" w:cs="仿宋"/>
                <w:color w:val="000000" w:themeColor="text1"/>
                <w:sz w:val="24"/>
                <w:highlight w:val="none"/>
                <w14:textFill>
                  <w14:solidFill>
                    <w14:schemeClr w14:val="tx1"/>
                  </w14:solidFill>
                </w14:textFill>
              </w:rPr>
              <w:t>经查询列入失信被执行人名单、重大税收违法案件当事人名单、政府采购严重违法失信行为记录名单的投标人将被拒绝参与采购活动。</w:t>
            </w:r>
          </w:p>
          <w:p w14:paraId="10FFEB4B">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0181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31BF7C22">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8370" w:type="dxa"/>
            <w:gridSpan w:val="2"/>
            <w:vAlign w:val="center"/>
          </w:tcPr>
          <w:p w14:paraId="34EC3C38">
            <w:pPr>
              <w:snapToGrid w:val="0"/>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扰乱公共资源交易市场秩序行为：</w:t>
            </w:r>
          </w:p>
          <w:p w14:paraId="3AFCA8B3">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不诚信参加公共资源交易活动，扰乱市场秩序，被绍兴市公共资源交易平台责令整改、暂停交易的投标人，在此期间将被拒绝参与采购活动。</w:t>
            </w:r>
          </w:p>
        </w:tc>
      </w:tr>
      <w:tr w14:paraId="76A2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 w:type="dxa"/>
            <w:vAlign w:val="center"/>
          </w:tcPr>
          <w:p w14:paraId="34705548">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8370" w:type="dxa"/>
            <w:gridSpan w:val="2"/>
            <w:vAlign w:val="center"/>
          </w:tcPr>
          <w:p w14:paraId="391F4762">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需要落实的采购政策：包括保护环境、节约能源。详见招标文件第二部分总则。</w:t>
            </w:r>
          </w:p>
        </w:tc>
      </w:tr>
      <w:tr w14:paraId="5C6C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8446090">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p>
        </w:tc>
        <w:tc>
          <w:tcPr>
            <w:tcW w:w="8370" w:type="dxa"/>
            <w:gridSpan w:val="2"/>
            <w:vAlign w:val="center"/>
          </w:tcPr>
          <w:p w14:paraId="0FC30D95">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更正补充公告请自行登录浙江政府采购网、绍兴公共资源交易网或绍兴市公用集团网</w:t>
            </w:r>
            <w:r>
              <w:rPr>
                <w:rFonts w:hint="eastAsia" w:ascii="仿宋" w:hAnsi="仿宋" w:eastAsia="仿宋" w:cs="仿宋"/>
                <w:color w:val="000000" w:themeColor="text1"/>
                <w:sz w:val="24"/>
                <w:highlight w:val="none"/>
                <w:lang w:eastAsia="zh-CN"/>
                <w14:textFill>
                  <w14:solidFill>
                    <w14:schemeClr w14:val="tx1"/>
                  </w14:solidFill>
                </w14:textFill>
              </w:rPr>
              <w:t>站</w:t>
            </w:r>
            <w:r>
              <w:rPr>
                <w:rFonts w:hint="eastAsia" w:ascii="仿宋" w:hAnsi="仿宋" w:eastAsia="仿宋" w:cs="仿宋"/>
                <w:color w:val="000000" w:themeColor="text1"/>
                <w:sz w:val="24"/>
                <w:highlight w:val="none"/>
                <w14:textFill>
                  <w14:solidFill>
                    <w14:schemeClr w14:val="tx1"/>
                  </w14:solidFill>
                </w14:textFill>
              </w:rPr>
              <w:t>查看下载。</w:t>
            </w:r>
          </w:p>
        </w:tc>
      </w:tr>
      <w:tr w14:paraId="2493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48DB32A">
            <w:pPr>
              <w:spacing w:line="440" w:lineRule="exact"/>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17                                                                                                                                                                                                                                                                                                                                                                                                                                                                                                                                                                                                                                                                                                                                                                                                                                                                                                                                                                                                                                                                                                                                                                                                                                                                                                                                        </w:t>
            </w:r>
          </w:p>
        </w:tc>
        <w:tc>
          <w:tcPr>
            <w:tcW w:w="8370" w:type="dxa"/>
            <w:gridSpan w:val="2"/>
            <w:vAlign w:val="center"/>
          </w:tcPr>
          <w:p w14:paraId="30FAB7BB">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投标与开标注意事项：</w:t>
            </w:r>
          </w:p>
          <w:p w14:paraId="231CDA9D">
            <w:pPr>
              <w:widowControl/>
              <w:spacing w:line="400" w:lineRule="exact"/>
              <w:ind w:firstLine="420"/>
              <w:rPr>
                <w:rFonts w:ascii="仿宋" w:hAnsi="仿宋" w:eastAsia="仿宋" w:cs="仿宋"/>
                <w:color w:val="auto"/>
                <w:kern w:val="0"/>
                <w:sz w:val="24"/>
                <w:highlight w:val="none"/>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本项目采用投标单位不见面开标方</w:t>
            </w:r>
            <w:r>
              <w:rPr>
                <w:rFonts w:hint="eastAsia" w:ascii="仿宋" w:hAnsi="仿宋" w:eastAsia="仿宋" w:cs="仿宋"/>
                <w:color w:val="auto"/>
                <w:sz w:val="24"/>
                <w:highlight w:val="none"/>
              </w:rPr>
              <w:t>式。</w:t>
            </w:r>
            <w:r>
              <w:rPr>
                <w:rFonts w:hint="eastAsia" w:ascii="仿宋" w:hAnsi="仿宋" w:eastAsia="仿宋" w:cs="仿宋"/>
                <w:color w:val="auto"/>
                <w:kern w:val="0"/>
                <w:sz w:val="24"/>
                <w:highlight w:val="none"/>
              </w:rPr>
              <w:t>投标人应于</w:t>
            </w:r>
            <w:r>
              <w:rPr>
                <w:rFonts w:hint="eastAsia" w:ascii="仿宋" w:hAnsi="仿宋" w:eastAsia="仿宋" w:cs="仿宋"/>
                <w:color w:val="auto"/>
                <w:kern w:val="0"/>
                <w:sz w:val="24"/>
                <w:highlight w:val="none"/>
                <w:u w:val="single"/>
              </w:rPr>
              <w:t>2024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日上午12：00时整之前将投标文件密封以邮寄(建议采用EMS</w:t>
            </w:r>
            <w:r>
              <w:rPr>
                <w:rFonts w:hint="eastAsia" w:ascii="仿宋" w:hAnsi="仿宋" w:eastAsia="仿宋" w:cs="仿宋"/>
                <w:color w:val="auto"/>
                <w:kern w:val="0"/>
                <w:sz w:val="24"/>
                <w:highlight w:val="none"/>
                <w:shd w:val="clear" w:color="auto" w:fill="FFFFFF"/>
              </w:rPr>
              <w:t>或顺丰)</w:t>
            </w:r>
            <w:r>
              <w:rPr>
                <w:rFonts w:hint="eastAsia" w:ascii="仿宋" w:hAnsi="仿宋" w:eastAsia="仿宋" w:cs="仿宋"/>
                <w:color w:val="auto"/>
                <w:kern w:val="0"/>
                <w:sz w:val="24"/>
                <w:highlight w:val="none"/>
              </w:rPr>
              <w:t>的方式送达至</w:t>
            </w:r>
            <w:r>
              <w:rPr>
                <w:rFonts w:hint="eastAsia" w:ascii="仿宋" w:hAnsi="仿宋" w:eastAsia="仿宋" w:cs="仿宋"/>
                <w:color w:val="auto"/>
                <w:sz w:val="24"/>
                <w:highlight w:val="none"/>
                <w:lang w:eastAsia="zh-CN"/>
              </w:rPr>
              <w:t>浙江华耀</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lang w:eastAsia="zh-CN"/>
              </w:rPr>
              <w:t>咨询有限公司</w:t>
            </w:r>
            <w:r>
              <w:rPr>
                <w:rFonts w:hint="eastAsia" w:ascii="仿宋" w:hAnsi="仿宋" w:eastAsia="仿宋" w:cs="仿宋"/>
                <w:color w:val="auto"/>
                <w:sz w:val="24"/>
                <w:highlight w:val="none"/>
              </w:rPr>
              <w:t>（绍兴市越城区五泄路90号京华科技文创园B幢二楼，联系人：</w:t>
            </w:r>
            <w:r>
              <w:rPr>
                <w:rFonts w:hint="eastAsia" w:ascii="仿宋" w:hAnsi="仿宋" w:eastAsia="仿宋" w:cs="仿宋"/>
                <w:color w:val="auto"/>
                <w:sz w:val="24"/>
                <w:highlight w:val="none"/>
                <w:lang w:val="en-US" w:eastAsia="zh-CN"/>
              </w:rPr>
              <w:t>何其峰</w:t>
            </w: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15757586</w:t>
            </w:r>
            <w:bookmarkStart w:id="44" w:name="_GoBack"/>
            <w:bookmarkEnd w:id="44"/>
            <w:r>
              <w:rPr>
                <w:rFonts w:hint="eastAsia" w:ascii="仿宋" w:hAnsi="仿宋" w:eastAsia="仿宋" w:cs="仿宋"/>
                <w:color w:val="auto"/>
                <w:sz w:val="24"/>
                <w:highlight w:val="none"/>
                <w:lang w:val="en-US" w:eastAsia="zh-CN"/>
              </w:rPr>
              <w:t>601</w:t>
            </w:r>
            <w:r>
              <w:rPr>
                <w:rFonts w:hint="eastAsia" w:ascii="仿宋" w:hAnsi="仿宋" w:eastAsia="仿宋" w:cs="仿宋"/>
                <w:color w:val="auto"/>
                <w:sz w:val="24"/>
                <w:highlight w:val="none"/>
              </w:rPr>
              <w:t>，邮政编码:312000</w:t>
            </w:r>
            <w:r>
              <w:rPr>
                <w:rFonts w:hint="eastAsia" w:ascii="仿宋" w:hAnsi="仿宋" w:eastAsia="仿宋" w:cs="仿宋"/>
                <w:color w:val="auto"/>
                <w:kern w:val="0"/>
                <w:sz w:val="24"/>
                <w:highlight w:val="none"/>
              </w:rPr>
              <w:t>，请寄件人在邮件外包装注明投标项目名称，投标人名称，授权代表姓名及联系电话,</w:t>
            </w:r>
            <w:r>
              <w:rPr>
                <w:rFonts w:hint="eastAsia" w:ascii="仿宋" w:hAnsi="仿宋" w:eastAsia="仿宋" w:cs="仿宋"/>
                <w:color w:val="auto"/>
                <w:kern w:val="0"/>
                <w:sz w:val="24"/>
                <w:highlight w:val="none"/>
                <w:shd w:val="clear" w:color="auto" w:fill="FFFFFF"/>
              </w:rPr>
              <w:t>邮寄以签收时间为准，</w:t>
            </w:r>
            <w:r>
              <w:rPr>
                <w:rFonts w:hint="eastAsia" w:ascii="仿宋" w:hAnsi="仿宋" w:eastAsia="仿宋" w:cs="仿宋"/>
                <w:color w:val="auto"/>
                <w:kern w:val="0"/>
                <w:sz w:val="24"/>
                <w:highlight w:val="none"/>
              </w:rPr>
              <w:t>逾期送达或未按照招标文件要求密封将予以拒收（或作无效标处理）。</w:t>
            </w:r>
          </w:p>
          <w:p w14:paraId="13A38E3C">
            <w:pPr>
              <w:widowControl/>
              <w:spacing w:line="400" w:lineRule="exact"/>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2、也可现场递交标书，投标人应于</w:t>
            </w:r>
            <w:r>
              <w:rPr>
                <w:rFonts w:hint="eastAsia" w:ascii="仿宋" w:hAnsi="仿宋" w:eastAsia="仿宋" w:cs="仿宋"/>
                <w:color w:val="auto"/>
                <w:kern w:val="0"/>
                <w:sz w:val="24"/>
                <w:highlight w:val="none"/>
                <w:u w:val="single"/>
              </w:rPr>
              <w:t>2024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 xml:space="preserve">日 </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时</w:t>
            </w:r>
            <w:r>
              <w:rPr>
                <w:rFonts w:hint="eastAsia" w:ascii="仿宋" w:hAnsi="仿宋" w:eastAsia="仿宋" w:cs="仿宋"/>
                <w:color w:val="auto"/>
                <w:kern w:val="0"/>
                <w:sz w:val="24"/>
                <w:highlight w:val="none"/>
                <w:lang w:val="en-US" w:eastAsia="zh-CN"/>
              </w:rPr>
              <w:t>00</w:t>
            </w:r>
            <w:r>
              <w:rPr>
                <w:rFonts w:hint="eastAsia" w:ascii="仿宋" w:hAnsi="仿宋" w:eastAsia="仿宋" w:cs="仿宋"/>
                <w:color w:val="auto"/>
                <w:kern w:val="0"/>
                <w:sz w:val="24"/>
                <w:highlight w:val="none"/>
              </w:rPr>
              <w:t>分整之前将投标文件送达至</w:t>
            </w:r>
            <w:r>
              <w:rPr>
                <w:rFonts w:hint="eastAsia" w:ascii="仿宋" w:hAnsi="仿宋" w:eastAsia="仿宋" w:cs="仿宋"/>
                <w:color w:val="auto"/>
                <w:sz w:val="24"/>
                <w:highlight w:val="none"/>
              </w:rPr>
              <w:t>绍兴市公用事业集团有限公司（解放大道308号二楼招投标中心 3号开标室）</w:t>
            </w:r>
            <w:r>
              <w:rPr>
                <w:rFonts w:hint="eastAsia" w:ascii="仿宋" w:hAnsi="仿宋" w:eastAsia="仿宋" w:cs="仿宋"/>
                <w:color w:val="auto"/>
                <w:kern w:val="0"/>
                <w:sz w:val="24"/>
                <w:highlight w:val="none"/>
              </w:rPr>
              <w:t>，现场递交，应即交即走。</w:t>
            </w:r>
          </w:p>
          <w:p w14:paraId="5321F07B">
            <w:pPr>
              <w:snapToGrid w:val="0"/>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3、招标人对邮寄过程中发生的遗失或损坏不负责任。</w:t>
            </w:r>
          </w:p>
        </w:tc>
      </w:tr>
      <w:tr w14:paraId="51ED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005F9E1">
            <w:pPr>
              <w:spacing w:line="440" w:lineRule="exact"/>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8370" w:type="dxa"/>
            <w:gridSpan w:val="2"/>
            <w:vAlign w:val="center"/>
          </w:tcPr>
          <w:p w14:paraId="425D23F9">
            <w:pPr>
              <w:adjustRightInd w:val="0"/>
              <w:spacing w:line="440" w:lineRule="exact"/>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中标人须向招标代理机构交纳招标代理服务费等，并在投标报价中自行考虑：</w:t>
            </w:r>
          </w:p>
          <w:p w14:paraId="10F794EC">
            <w:pPr>
              <w:adjustRightInd w:val="0"/>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（1）招标代理服务费按4000元收取。潜在投标人应充分考虑此部分费用，参与投标活动时综合考虑在报价中。</w:t>
            </w:r>
          </w:p>
          <w:p w14:paraId="2B635B55">
            <w:pPr>
              <w:adjustRightInd w:val="0"/>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（2）招标代理服务费的交纳方式：</w:t>
            </w:r>
          </w:p>
          <w:p w14:paraId="4AB8EF4F">
            <w:pPr>
              <w:adjustRightInd w:val="0"/>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用银行支票、汇票、电汇、现金等付款方式直接交纳招标代理服务费。</w:t>
            </w:r>
          </w:p>
          <w:p w14:paraId="551EB136">
            <w:pPr>
              <w:adjustRightInd w:val="0"/>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公司名称：浙江华耀建设咨询有限公司绍兴分公司</w:t>
            </w:r>
          </w:p>
          <w:p w14:paraId="060C2471">
            <w:pPr>
              <w:adjustRightInd w:val="0"/>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开户行：1211018109200083706</w:t>
            </w:r>
          </w:p>
          <w:p w14:paraId="6F9ED725">
            <w:pPr>
              <w:adjustRightInd w:val="0"/>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  号：</w:t>
            </w:r>
            <w:r>
              <w:rPr>
                <w:rFonts w:hint="eastAsia" w:ascii="仿宋" w:hAnsi="仿宋" w:eastAsia="仿宋" w:cs="仿宋"/>
                <w:snapToGrid w:val="0"/>
                <w:color w:val="auto"/>
                <w:kern w:val="28"/>
                <w:sz w:val="24"/>
                <w:highlight w:val="none"/>
                <w:lang w:val="en-US" w:eastAsia="zh-CN"/>
              </w:rPr>
              <w:t>工行</w:t>
            </w:r>
            <w:r>
              <w:rPr>
                <w:rFonts w:hint="eastAsia" w:ascii="仿宋" w:hAnsi="仿宋" w:eastAsia="仿宋" w:cs="仿宋"/>
                <w:snapToGrid w:val="0"/>
                <w:color w:val="auto"/>
                <w:kern w:val="28"/>
                <w:sz w:val="24"/>
                <w:highlight w:val="none"/>
              </w:rPr>
              <w:t>绍兴城东新区支行</w:t>
            </w:r>
          </w:p>
          <w:p w14:paraId="1BC29A0B">
            <w:pPr>
              <w:spacing w:line="440" w:lineRule="exact"/>
              <w:textAlignment w:val="center"/>
              <w:rPr>
                <w:rFonts w:ascii="仿宋" w:hAnsi="仿宋" w:eastAsia="仿宋" w:cs="仿宋"/>
                <w:color w:val="000000" w:themeColor="text1"/>
                <w:kern w:val="0"/>
                <w:sz w:val="24"/>
                <w:szCs w:val="21"/>
                <w:highlight w:val="none"/>
                <w14:textFill>
                  <w14:solidFill>
                    <w14:schemeClr w14:val="tx1"/>
                  </w14:solidFill>
                </w14:textFill>
              </w:rPr>
            </w:pPr>
            <w:r>
              <w:rPr>
                <w:rFonts w:hint="eastAsia" w:ascii="仿宋" w:hAnsi="仿宋" w:eastAsia="仿宋" w:cs="仿宋"/>
                <w:snapToGrid w:val="0"/>
                <w:color w:val="auto"/>
                <w:kern w:val="28"/>
                <w:sz w:val="24"/>
                <w:highlight w:val="none"/>
              </w:rPr>
              <w:t>（3）交纳时间：领取中标通知书前交纳。</w:t>
            </w:r>
          </w:p>
        </w:tc>
      </w:tr>
      <w:tr w14:paraId="5C6F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B9A638E">
            <w:pPr>
              <w:spacing w:line="440" w:lineRule="exact"/>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解释：凡涉及本招标文件的解释权属于采购人。</w:t>
            </w:r>
          </w:p>
        </w:tc>
      </w:tr>
      <w:tr w14:paraId="726A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00ABD707">
            <w:pPr>
              <w:spacing w:line="440" w:lineRule="exact"/>
              <w:textAlignment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注：中标人放弃中标资格或因质疑、投诉被取消中标资格或不能履行合同的，本项目重新组织采购。</w:t>
            </w:r>
          </w:p>
        </w:tc>
      </w:tr>
      <w:bookmarkEnd w:id="9"/>
    </w:tbl>
    <w:p w14:paraId="3174E441">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22" w:name="_Toc164416483"/>
      <w:bookmarkStart w:id="23" w:name="第三部分"/>
    </w:p>
    <w:p w14:paraId="702E9E7A">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152EBE41">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3D1013E4">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672E5CF8">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4607B37E">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3605FE64">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0037A4DE">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2DC70BB3">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54C10DC6">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3D61C37B">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7B15B2F0">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5BA3978D">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3AB10521">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p>
    <w:p w14:paraId="711F7F7A">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一、总则</w:t>
      </w:r>
    </w:p>
    <w:p w14:paraId="06660D6C">
      <w:pPr>
        <w:snapToGrid w:val="0"/>
        <w:spacing w:line="440" w:lineRule="exact"/>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1.适用范围</w:t>
      </w:r>
    </w:p>
    <w:p w14:paraId="6A3CFA8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仿宋" w:hAnsi="仿宋" w:eastAsia="仿宋" w:cs="仿宋"/>
          <w:color w:val="000000" w:themeColor="text1"/>
          <w:sz w:val="24"/>
          <w:highlight w:val="none"/>
          <w:lang w:eastAsia="zh-CN"/>
          <w14:textFill>
            <w14:solidFill>
              <w14:schemeClr w14:val="tx1"/>
            </w14:solidFill>
          </w14:textFill>
        </w:rPr>
        <w:t>法律法规</w:t>
      </w:r>
      <w:r>
        <w:rPr>
          <w:rFonts w:hint="eastAsia" w:ascii="仿宋" w:hAnsi="仿宋" w:eastAsia="仿宋" w:cs="仿宋"/>
          <w:color w:val="000000" w:themeColor="text1"/>
          <w:sz w:val="24"/>
          <w:highlight w:val="none"/>
          <w14:textFill>
            <w14:solidFill>
              <w14:schemeClr w14:val="tx1"/>
            </w14:solidFill>
          </w14:textFill>
        </w:rPr>
        <w:t>另有规定的，从其规定）。</w:t>
      </w:r>
    </w:p>
    <w:p w14:paraId="686F0744">
      <w:pPr>
        <w:adjustRightInd/>
        <w:spacing w:line="440" w:lineRule="exact"/>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717881B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“招标人”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系指招标公告中载明的本项目的招标人。</w:t>
      </w:r>
    </w:p>
    <w:p w14:paraId="1B783D1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“招标代理机构”系指招标公告中载明的本项目的招标代理机构。</w:t>
      </w:r>
    </w:p>
    <w:p w14:paraId="74F1CC1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“投标人”“供应商”系指是指响应招标、参加投标竞争的法人、其他组织或者自然人。</w:t>
      </w:r>
    </w:p>
    <w:p w14:paraId="55B4AF28">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2.4“监督单位”系指招标公告中载明的本项目的监督管理部门。</w:t>
      </w:r>
    </w:p>
    <w:p w14:paraId="2D52004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“负责人”系指法人企业的法定负责人，或其他组织为法律、行政法规规定代表单位行使职权的主要负责人，或自然人本人。</w:t>
      </w:r>
    </w:p>
    <w:p w14:paraId="0E1453A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2.6“★”系指实质性指标要求条款，“▲” 系指主要性能指标要求条款。如任意一条打“★”的指标出现负偏离视为实质性不响应招标文件要求，作无效投标处理；如任意一条打“▲”的指标出现负偏离按评分标准作扣分处理。“☑” 系指适用本项目的要求，“☐” 系指不适用本项目的要求。</w:t>
      </w:r>
    </w:p>
    <w:p w14:paraId="3CB6067C">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3.采购项目需要落实的采购政策</w:t>
      </w:r>
    </w:p>
    <w:p w14:paraId="6C425C5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7862D4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6AAA485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6F2D93">
      <w:pPr>
        <w:spacing w:line="44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采购人拟采购的产品属于政府强制采购的节能产品品目清单范围的，投标人未按招标文件要求提供国家确定的认证机构出具的、处于有效期之内的节能产品认证证书，投标无效。</w:t>
      </w:r>
    </w:p>
    <w:p w14:paraId="27352CB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3.2.3纳入政府采购管理的修缮、装修类项目采购建材的，采购单位应将绿色建材性能、指标等作为实质性条件纳入采购文件和合同，具体性能指标要求按照相关绿色建材政府采购需求标准执行。</w:t>
      </w:r>
    </w:p>
    <w:p w14:paraId="73475F9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27F97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11C39EF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3.3平等对待内外资企业和符合条件的破产重整企业</w:t>
      </w:r>
    </w:p>
    <w:p w14:paraId="6418C5B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77975C0E">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★4.特别说明：</w:t>
      </w:r>
    </w:p>
    <w:p w14:paraId="403DEDE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4.1供应商投标所使用的资格、信誉、荣誉、业绩与企业认证必须为投标单位所拥有。供应商投标所使用的采购项目实施人员必须为投标单位正式员工。</w:t>
      </w:r>
    </w:p>
    <w:p w14:paraId="6259E1B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4.2供应商应仔细阅读招标文件的所有内容，按照招标文件的要求提交投标文件，并对所提供的全部资料的真实性承担法律责任。</w:t>
      </w:r>
    </w:p>
    <w:p w14:paraId="6BBC22E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p>
    <w:p w14:paraId="0C4801B9">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二、招标文件</w:t>
      </w:r>
    </w:p>
    <w:p w14:paraId="0CB260A1">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1．招标方式</w:t>
      </w:r>
    </w:p>
    <w:p w14:paraId="5CF22F4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本次招标采用公开招标方式进行。</w:t>
      </w:r>
    </w:p>
    <w:p w14:paraId="355E3FF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如某一标项投标人或实质性响应招标文件的投标人不足三家时，由采购人重新组织招标或按有关规定实施。</w:t>
      </w:r>
    </w:p>
    <w:p w14:paraId="780E05B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本次招标设定限价，</w:t>
      </w:r>
      <w:r>
        <w:rPr>
          <w:rFonts w:hint="eastAsia" w:ascii="仿宋" w:hAnsi="仿宋" w:eastAsia="仿宋" w:cs="仿宋"/>
          <w:bCs/>
          <w:color w:val="auto"/>
          <w:sz w:val="24"/>
          <w:highlight w:val="none"/>
          <w:lang w:val="en-US" w:eastAsia="zh-CN"/>
        </w:rPr>
        <w:t>本项目“液化天然气上限单价”为招标人《供货通知单》发出当日的卓创资讯(https://www.sci99.com/）→LNG接收站价→华东（浙江宁波、舟山新奥、江苏如东）接收站单日价格。</w:t>
      </w:r>
    </w:p>
    <w:p w14:paraId="0725C743">
      <w:pPr>
        <w:pStyle w:val="26"/>
        <w:snapToGrid w:val="0"/>
        <w:spacing w:line="440" w:lineRule="exact"/>
        <w:ind w:firstLine="0" w:firstLineChars="0"/>
        <w:jc w:val="lef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2.授权委托</w:t>
      </w:r>
    </w:p>
    <w:p w14:paraId="763DF22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本项目为不见面开标项目，投标人的法定代表人或其授权代表或个体工商户不需要参加现场投标和开标。</w:t>
      </w:r>
    </w:p>
    <w:p w14:paraId="4AD10EC4">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投标费用</w:t>
      </w:r>
    </w:p>
    <w:p w14:paraId="51200BD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投标人应自行承担编制投标文件及参加本次投标所涉及的一切费用。不管投标结果如何，招标人对上述费用不负任何责任。</w:t>
      </w:r>
    </w:p>
    <w:p w14:paraId="5755EF50">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招标文件的修改</w:t>
      </w:r>
    </w:p>
    <w:p w14:paraId="6B4A8C9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4.1招标文件包括本招标文件及所有的招标答疑记录（澄清、修改）和发出的补充通知。</w:t>
      </w:r>
    </w:p>
    <w:p w14:paraId="74FE8D8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4.2招标文件的澄清 </w:t>
      </w:r>
    </w:p>
    <w:p w14:paraId="7F93DDD2">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117F58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4.3招标文件的修改</w:t>
      </w:r>
    </w:p>
    <w:p w14:paraId="59ACA6F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989556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192BCF8">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5.参考品牌</w:t>
      </w:r>
    </w:p>
    <w:p w14:paraId="40B40F8F">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本招标文件如涉及各类品牌、型号，则所述品牌、型号是结合实际现有情况的推荐性参考方案，投标方也可根据招标文件</w:t>
      </w:r>
      <w:r>
        <w:rPr>
          <w:rFonts w:hint="eastAsia" w:ascii="仿宋" w:hAnsi="仿宋" w:eastAsia="仿宋" w:cs="仿宋"/>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5B83DFF8">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三、投标文件</w:t>
      </w:r>
    </w:p>
    <w:p w14:paraId="70CA3A0D">
      <w:pPr>
        <w:snapToGrid w:val="0"/>
        <w:spacing w:line="44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1.投标文件的语言、计量单位、形式及效力</w:t>
      </w:r>
    </w:p>
    <w:p w14:paraId="27D1D21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1.1投标人应仔细阅读招标文件中的所有内容，按照招标文件要求，详细编制投标文件，并保证投标文件的正确性和真实性。</w:t>
      </w:r>
    </w:p>
    <w:p w14:paraId="6DBE75D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投标文件以及投标方与招标方就有关投标事宜的所有来往函电，均应以中文书写（技术术语除外）。</w:t>
      </w:r>
    </w:p>
    <w:p w14:paraId="4D394633">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投标计量单位，除招标文件中有特殊要求外，应采用中华人民共和国法定计量单位，货币单位：人民币元。</w:t>
      </w:r>
    </w:p>
    <w:p w14:paraId="272071B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1.4不按招标文件的要求提供的投标文件可能导致被拒绝。</w:t>
      </w:r>
    </w:p>
    <w:p w14:paraId="0B2CC7A3">
      <w:pPr>
        <w:pStyle w:val="34"/>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投标文件的组成</w:t>
      </w:r>
    </w:p>
    <w:p w14:paraId="745EC1B3">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bookmarkStart w:id="24" w:name="_Toc91899903"/>
      <w:r>
        <w:rPr>
          <w:rFonts w:hint="eastAsia" w:ascii="仿宋" w:hAnsi="仿宋" w:eastAsia="仿宋" w:cs="仿宋"/>
          <w:color w:val="auto"/>
          <w:sz w:val="24"/>
          <w:highlight w:val="none"/>
        </w:rPr>
        <w:t>投标文件由“资格文件”、“</w:t>
      </w:r>
      <w:r>
        <w:rPr>
          <w:rFonts w:hint="eastAsia" w:ascii="仿宋" w:hAnsi="仿宋" w:eastAsia="仿宋" w:cs="仿宋"/>
          <w:color w:val="auto"/>
          <w:sz w:val="24"/>
          <w:highlight w:val="none"/>
          <w:lang w:eastAsia="zh-CN"/>
        </w:rPr>
        <w:t>商务技术（资信）文件</w:t>
      </w:r>
      <w:r>
        <w:rPr>
          <w:rFonts w:hint="eastAsia" w:ascii="仿宋" w:hAnsi="仿宋" w:eastAsia="仿宋" w:cs="仿宋"/>
          <w:color w:val="auto"/>
          <w:sz w:val="24"/>
          <w:highlight w:val="none"/>
        </w:rPr>
        <w:t>”、“报价文件”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电子文档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部分组成</w:t>
      </w:r>
      <w:r>
        <w:rPr>
          <w:rFonts w:hint="eastAsia" w:ascii="仿宋" w:hAnsi="仿宋" w:eastAsia="仿宋" w:cs="仿宋"/>
          <w:color w:val="auto"/>
          <w:sz w:val="24"/>
          <w:highlight w:val="none"/>
          <w:lang w:eastAsia="zh-CN"/>
        </w:rPr>
        <w:t>，</w:t>
      </w:r>
      <w:r>
        <w:rPr>
          <w:rFonts w:hint="eastAsia" w:ascii="仿宋" w:hAnsi="仿宋" w:eastAsia="仿宋" w:cs="仿宋"/>
          <w:color w:val="000000" w:themeColor="text1"/>
          <w:sz w:val="24"/>
          <w:highlight w:val="none"/>
          <w14:textFill>
            <w14:solidFill>
              <w14:schemeClr w14:val="tx1"/>
            </w14:solidFill>
          </w14:textFill>
        </w:rPr>
        <w:t>其中</w:t>
      </w:r>
      <w:r>
        <w:rPr>
          <w:rFonts w:hint="eastAsia" w:ascii="仿宋" w:hAnsi="仿宋" w:eastAsia="仿宋" w:cs="仿宋"/>
          <w:b/>
          <w:color w:val="000000" w:themeColor="text1"/>
          <w:sz w:val="24"/>
          <w:highlight w:val="none"/>
          <w14:textFill>
            <w14:solidFill>
              <w14:schemeClr w14:val="tx1"/>
            </w14:solidFill>
          </w14:textFill>
        </w:rPr>
        <w:t>投标文件中所</w:t>
      </w:r>
      <w:r>
        <w:rPr>
          <w:rFonts w:hint="eastAsia" w:ascii="仿宋" w:hAnsi="仿宋" w:eastAsia="仿宋" w:cs="仿宋"/>
          <w:b/>
          <w:color w:val="000000" w:themeColor="text1"/>
          <w:sz w:val="24"/>
          <w:highlight w:val="none"/>
          <w:lang w:eastAsia="zh-CN"/>
          <w14:textFill>
            <w14:solidFill>
              <w14:schemeClr w14:val="tx1"/>
            </w14:solidFill>
          </w14:textFill>
        </w:rPr>
        <w:t>需</w:t>
      </w:r>
      <w:r>
        <w:rPr>
          <w:rFonts w:hint="eastAsia" w:ascii="仿宋" w:hAnsi="仿宋" w:eastAsia="仿宋" w:cs="仿宋"/>
          <w:b/>
          <w:color w:val="000000" w:themeColor="text1"/>
          <w:sz w:val="24"/>
          <w:highlight w:val="none"/>
          <w14:textFill>
            <w14:solidFill>
              <w14:schemeClr w14:val="tx1"/>
            </w14:solidFill>
          </w14:textFill>
        </w:rPr>
        <w:t>加盖公章部分均应加盖公章。</w:t>
      </w:r>
    </w:p>
    <w:p w14:paraId="064D7F76">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zh-CN"/>
          <w14:textFill>
            <w14:solidFill>
              <w14:schemeClr w14:val="tx1"/>
            </w14:solidFill>
          </w14:textFill>
        </w:rPr>
        <w:t>.1资格文件：</w:t>
      </w:r>
    </w:p>
    <w:p w14:paraId="72162F37">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2.1.1符合参加采购活动应当具备的一般条件的承诺函；</w:t>
      </w:r>
    </w:p>
    <w:p w14:paraId="65DD3BF4">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2.1.2营业执照复印件；</w:t>
      </w:r>
    </w:p>
    <w:p w14:paraId="39E494E3">
      <w:pPr>
        <w:snapToGrid w:val="0"/>
        <w:spacing w:line="440" w:lineRule="exact"/>
        <w:ind w:firstLine="720" w:firstLineChars="3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本项目的特定资格要求</w:t>
      </w:r>
      <w:r>
        <w:rPr>
          <w:rFonts w:hint="eastAsia" w:ascii="仿宋" w:hAnsi="仿宋" w:eastAsia="仿宋" w:cs="仿宋"/>
          <w:color w:val="000000" w:themeColor="text1"/>
          <w:sz w:val="24"/>
          <w:highlight w:val="none"/>
          <w:lang w:eastAsia="zh-CN"/>
          <w14:textFill>
            <w14:solidFill>
              <w14:schemeClr w14:val="tx1"/>
            </w14:solidFill>
          </w14:textFill>
        </w:rPr>
        <w:t>。</w:t>
      </w:r>
    </w:p>
    <w:p w14:paraId="02CA4A2A">
      <w:pPr>
        <w:snapToGrid w:val="0"/>
        <w:spacing w:line="440" w:lineRule="exact"/>
        <w:ind w:firstLine="482" w:firstLineChars="200"/>
        <w:rPr>
          <w:rFonts w:ascii="仿宋" w:hAnsi="仿宋" w:eastAsia="仿宋" w:cs="仿宋"/>
          <w:b/>
          <w:color w:val="auto"/>
          <w:sz w:val="24"/>
          <w:highlight w:val="none"/>
          <w:lang w:val="zh-CN"/>
        </w:rPr>
      </w:pPr>
      <w:r>
        <w:rPr>
          <w:rFonts w:hint="eastAsia" w:ascii="仿宋" w:hAnsi="仿宋" w:eastAsia="仿宋" w:cs="仿宋"/>
          <w:b/>
          <w:color w:val="000000" w:themeColor="text1"/>
          <w:sz w:val="24"/>
          <w:highlight w:val="none"/>
          <w:lang w:val="zh-CN"/>
          <w14:textFill>
            <w14:solidFill>
              <w14:schemeClr w14:val="tx1"/>
            </w14:solidFill>
          </w14:textFill>
        </w:rPr>
        <w:t>2</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2商务技术（资信）文件资料</w:t>
      </w:r>
      <w:r>
        <w:rPr>
          <w:rFonts w:hint="eastAsia" w:ascii="仿宋" w:hAnsi="仿宋" w:eastAsia="仿宋" w:cs="仿宋"/>
          <w:b/>
          <w:color w:val="auto"/>
          <w:sz w:val="24"/>
          <w:highlight w:val="none"/>
          <w:lang w:val="zh-CN"/>
        </w:rPr>
        <w:t>：</w:t>
      </w:r>
    </w:p>
    <w:p w14:paraId="4FCD1881">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2.2.1评分标准索引表；</w:t>
      </w:r>
    </w:p>
    <w:p w14:paraId="72BF9B33">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投标函；</w:t>
      </w:r>
    </w:p>
    <w:p w14:paraId="100302A2">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法定代表人授权委托书；</w:t>
      </w:r>
    </w:p>
    <w:p w14:paraId="07EF7919">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月至</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月社保证明；</w:t>
      </w:r>
    </w:p>
    <w:p w14:paraId="3C0ADA55">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法定代表人及其授权代表身份证复印件</w:t>
      </w:r>
    </w:p>
    <w:p w14:paraId="686A0267">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法定代表人身份证明书；</w:t>
      </w:r>
    </w:p>
    <w:p w14:paraId="3B57340D">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7商务技术偏离表；（</w:t>
      </w:r>
      <w:r>
        <w:rPr>
          <w:rFonts w:hint="eastAsia" w:ascii="仿宋" w:hAnsi="仿宋" w:eastAsia="仿宋" w:cs="仿宋"/>
          <w:color w:val="auto"/>
          <w:sz w:val="24"/>
          <w:highlight w:val="none"/>
        </w:rPr>
        <w:t>供应商在投标文件</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技术偏离说明表中，应对项目</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技术规范和服务要求中所提出各项要求进行答复、说明和解释。如果</w:t>
      </w:r>
      <w:r>
        <w:rPr>
          <w:rFonts w:hint="eastAsia" w:ascii="仿宋" w:hAnsi="仿宋" w:eastAsia="仿宋" w:cs="仿宋"/>
          <w:color w:val="000000" w:themeColor="text1"/>
          <w:sz w:val="24"/>
          <w:highlight w:val="none"/>
          <w14:textFill>
            <w14:solidFill>
              <w14:schemeClr w14:val="tx1"/>
            </w14:solidFill>
          </w14:textFill>
        </w:rPr>
        <w:t>供应商在</w:t>
      </w:r>
      <w:r>
        <w:rPr>
          <w:rFonts w:hint="eastAsia" w:ascii="仿宋" w:hAnsi="仿宋" w:eastAsia="仿宋" w:cs="仿宋"/>
          <w:color w:val="auto"/>
          <w:sz w:val="24"/>
          <w:highlight w:val="none"/>
          <w:lang w:val="en-US" w:eastAsia="zh-CN"/>
        </w:rPr>
        <w:t>商务</w:t>
      </w:r>
      <w:r>
        <w:rPr>
          <w:rFonts w:hint="eastAsia" w:ascii="仿宋" w:hAnsi="仿宋" w:eastAsia="仿宋" w:cs="仿宋"/>
          <w:color w:val="000000" w:themeColor="text1"/>
          <w:sz w:val="24"/>
          <w:highlight w:val="none"/>
          <w14:textFill>
            <w14:solidFill>
              <w14:schemeClr w14:val="tx1"/>
            </w14:solidFill>
          </w14:textFill>
        </w:rPr>
        <w:t>技术偏离表中注明无偏离，评标结束后、签订采购合同前又认为其实际产品与投标</w:t>
      </w:r>
      <w:r>
        <w:rPr>
          <w:rFonts w:hint="eastAsia" w:ascii="仿宋" w:hAnsi="仿宋" w:eastAsia="仿宋" w:cs="仿宋"/>
          <w:color w:val="auto"/>
          <w:sz w:val="24"/>
          <w:highlight w:val="none"/>
          <w:lang w:val="en-US" w:eastAsia="zh-CN"/>
        </w:rPr>
        <w:t>商务</w:t>
      </w:r>
      <w:r>
        <w:rPr>
          <w:rFonts w:hint="eastAsia" w:ascii="仿宋" w:hAnsi="仿宋" w:eastAsia="仿宋" w:cs="仿宋"/>
          <w:color w:val="000000" w:themeColor="text1"/>
          <w:sz w:val="24"/>
          <w:highlight w:val="none"/>
          <w14:textFill>
            <w14:solidFill>
              <w14:schemeClr w14:val="tx1"/>
            </w14:solidFill>
          </w14:textFill>
        </w:rPr>
        <w:t>技术需求不一致的，视为供应商在投标有效期内对其投标文件进行了实质性修改，采购机构将把这一情况报送采购监管部门</w:t>
      </w:r>
      <w:r>
        <w:rPr>
          <w:rFonts w:hint="eastAsia" w:ascii="仿宋" w:hAnsi="仿宋" w:eastAsia="仿宋" w:cs="仿宋"/>
          <w:color w:val="auto"/>
          <w:sz w:val="24"/>
          <w:highlight w:val="none"/>
          <w:lang w:val="en-US" w:eastAsia="zh-CN"/>
        </w:rPr>
        <w:t>）</w:t>
      </w:r>
      <w:r>
        <w:rPr>
          <w:rFonts w:hint="eastAsia" w:ascii="仿宋" w:hAnsi="仿宋" w:eastAsia="仿宋" w:cs="仿宋"/>
          <w:color w:val="000000" w:themeColor="text1"/>
          <w:sz w:val="24"/>
          <w:highlight w:val="none"/>
          <w14:textFill>
            <w14:solidFill>
              <w14:schemeClr w14:val="tx1"/>
            </w14:solidFill>
          </w14:textFill>
        </w:rPr>
        <w:t>。</w:t>
      </w:r>
    </w:p>
    <w:p w14:paraId="15F96190">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8采购供应商廉洁自律承诺书</w:t>
      </w:r>
      <w:r>
        <w:rPr>
          <w:rFonts w:hint="eastAsia" w:ascii="仿宋" w:hAnsi="仿宋" w:eastAsia="仿宋" w:cs="仿宋"/>
          <w:color w:val="000000" w:themeColor="text1"/>
          <w:sz w:val="24"/>
          <w:highlight w:val="none"/>
          <w14:textFill>
            <w14:solidFill>
              <w14:schemeClr w14:val="tx1"/>
            </w14:solidFill>
          </w14:textFill>
        </w:rPr>
        <w:t>（格式见第六部分附件）；</w:t>
      </w:r>
    </w:p>
    <w:p w14:paraId="7D86EDA0">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9主要业绩证明</w:t>
      </w:r>
      <w:r>
        <w:rPr>
          <w:rFonts w:hint="eastAsia" w:ascii="仿宋" w:hAnsi="仿宋" w:eastAsia="仿宋" w:cs="仿宋"/>
          <w:color w:val="000000" w:themeColor="text1"/>
          <w:sz w:val="24"/>
          <w:highlight w:val="none"/>
          <w14:textFill>
            <w14:solidFill>
              <w14:schemeClr w14:val="tx1"/>
            </w14:solidFill>
          </w14:textFill>
        </w:rPr>
        <w:t>。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3BD9ACAD">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10投标人认为需要的其他商务技术（资信）文件或说明（格式自拟</w:t>
      </w:r>
      <w:r>
        <w:rPr>
          <w:rFonts w:hint="eastAsia" w:ascii="仿宋" w:hAnsi="仿宋" w:eastAsia="仿宋" w:cs="仿宋"/>
          <w:color w:val="auto"/>
          <w:sz w:val="24"/>
          <w:highlight w:val="none"/>
          <w:lang w:val="en-US" w:eastAsia="zh-CN"/>
        </w:rPr>
        <w:t>）；</w:t>
      </w:r>
    </w:p>
    <w:p w14:paraId="4E8E90AB">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2.2.11商务技术标评分索引表（格式自拟）。</w:t>
      </w:r>
    </w:p>
    <w:p w14:paraId="1D1A6111">
      <w:pPr>
        <w:snapToGrid w:val="0"/>
        <w:spacing w:line="440" w:lineRule="exact"/>
        <w:ind w:firstLine="720" w:firstLineChars="300"/>
        <w:rPr>
          <w:rFonts w:hint="eastAsia" w:ascii="仿宋" w:hAnsi="仿宋" w:eastAsia="仿宋" w:cs="仿宋"/>
          <w:color w:val="auto"/>
          <w:highlight w:val="none"/>
          <w:lang w:val="zh-CN" w:eastAsia="zh-CN"/>
        </w:rPr>
      </w:pPr>
      <w:r>
        <w:rPr>
          <w:rFonts w:hint="eastAsia" w:ascii="仿宋" w:hAnsi="仿宋" w:eastAsia="仿宋" w:cs="仿宋"/>
          <w:color w:val="auto"/>
          <w:sz w:val="24"/>
          <w:highlight w:val="none"/>
          <w:u w:val="wave"/>
        </w:rPr>
        <w:t>未尽事宜请各投标单位按评分标准和相对应标项相关要求制作</w:t>
      </w:r>
      <w:r>
        <w:rPr>
          <w:rFonts w:hint="eastAsia" w:ascii="仿宋" w:hAnsi="仿宋" w:eastAsia="仿宋" w:cs="仿宋"/>
          <w:color w:val="auto"/>
          <w:sz w:val="24"/>
          <w:highlight w:val="none"/>
          <w:u w:val="wave"/>
          <w:lang w:eastAsia="zh-CN"/>
        </w:rPr>
        <w:t>。</w:t>
      </w:r>
    </w:p>
    <w:p w14:paraId="0F3E7C13">
      <w:pPr>
        <w:snapToGrid w:val="0"/>
        <w:spacing w:line="440" w:lineRule="exact"/>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285DB737">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2.3.1开标一览表（报价表）</w:t>
      </w:r>
      <w:r>
        <w:rPr>
          <w:rFonts w:hint="eastAsia" w:ascii="仿宋" w:hAnsi="仿宋" w:eastAsia="仿宋" w:cs="仿宋"/>
          <w:color w:val="auto"/>
          <w:sz w:val="24"/>
          <w:highlight w:val="none"/>
          <w:lang w:eastAsia="zh-CN"/>
        </w:rPr>
        <w:t>。</w:t>
      </w:r>
    </w:p>
    <w:p w14:paraId="1CB33313">
      <w:pPr>
        <w:snapToGrid w:val="0"/>
        <w:spacing w:line="440" w:lineRule="exact"/>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lang w:val="en-US" w:eastAsia="zh-CN"/>
        </w:rPr>
        <w:t>4电子文档</w:t>
      </w:r>
      <w:r>
        <w:rPr>
          <w:rFonts w:hint="eastAsia" w:ascii="仿宋" w:hAnsi="仿宋" w:eastAsia="仿宋" w:cs="仿宋"/>
          <w:b/>
          <w:color w:val="auto"/>
          <w:sz w:val="24"/>
          <w:highlight w:val="none"/>
          <w:lang w:val="zh-CN"/>
        </w:rPr>
        <w:t xml:space="preserve">： </w:t>
      </w:r>
    </w:p>
    <w:p w14:paraId="367F7A59">
      <w:pPr>
        <w:snapToGrid w:val="0"/>
        <w:spacing w:line="440" w:lineRule="exact"/>
        <w:ind w:firstLine="723" w:firstLineChars="300"/>
        <w:rPr>
          <w:rFonts w:hint="eastAsia" w:ascii="仿宋" w:hAnsi="仿宋" w:eastAsia="仿宋" w:cs="仿宋"/>
          <w:color w:val="auto"/>
          <w:sz w:val="24"/>
          <w:highlight w:val="none"/>
          <w:lang w:val="zh-CN" w:eastAsia="zh-CN"/>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.1投标文件电子文档(“资格文件”、“</w:t>
      </w:r>
      <w:r>
        <w:rPr>
          <w:rFonts w:hint="eastAsia" w:ascii="仿宋" w:hAnsi="仿宋" w:eastAsia="仿宋" w:cs="仿宋"/>
          <w:b/>
          <w:bCs/>
          <w:color w:val="auto"/>
          <w:sz w:val="24"/>
          <w:highlight w:val="none"/>
          <w:lang w:eastAsia="zh-CN"/>
        </w:rPr>
        <w:t>商务技术（资信）文件</w:t>
      </w:r>
      <w:r>
        <w:rPr>
          <w:rFonts w:hint="eastAsia" w:ascii="仿宋" w:hAnsi="仿宋" w:eastAsia="仿宋" w:cs="仿宋"/>
          <w:b/>
          <w:bCs/>
          <w:color w:val="auto"/>
          <w:sz w:val="24"/>
          <w:highlight w:val="none"/>
        </w:rPr>
        <w:t>”、“报价文件”盖过章的 PDF彩色扫描件U盘(光盘)一份，单独密封。未递交符合要求的U盘(光盘)或PDF文件无法正常打开的，则作无效</w:t>
      </w:r>
      <w:r>
        <w:rPr>
          <w:rFonts w:hint="eastAsia"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rPr>
        <w:t>处理。)</w:t>
      </w:r>
      <w:r>
        <w:rPr>
          <w:rFonts w:hint="eastAsia" w:ascii="仿宋" w:hAnsi="仿宋" w:eastAsia="仿宋" w:cs="仿宋"/>
          <w:b/>
          <w:bCs/>
          <w:color w:val="auto"/>
          <w:sz w:val="24"/>
          <w:highlight w:val="none"/>
          <w:lang w:eastAsia="zh-CN"/>
        </w:rPr>
        <w:t>。</w:t>
      </w:r>
    </w:p>
    <w:p w14:paraId="39FFD678">
      <w:pPr>
        <w:snapToGrid w:val="0"/>
        <w:spacing w:line="440" w:lineRule="exact"/>
        <w:rPr>
          <w:rFonts w:ascii="仿宋" w:hAnsi="仿宋" w:eastAsia="仿宋" w:cs="仿宋"/>
          <w:b/>
          <w:bCs/>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3.投标报价</w:t>
      </w:r>
    </w:p>
    <w:p w14:paraId="7E1DAFC0">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3.1报价为采购人可以合格使用产品的价格，包括包装、运输、保险、产品相关知识产权、税费、利润等一切费用。</w:t>
      </w:r>
    </w:p>
    <w:p w14:paraId="68857005">
      <w:pPr>
        <w:snapToGrid w:val="0"/>
        <w:spacing w:line="440" w:lineRule="exact"/>
        <w:ind w:firstLine="480" w:firstLineChars="20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3.2招标文件未列明，而投标人认为必需的费用也需列入报价。</w:t>
      </w:r>
    </w:p>
    <w:p w14:paraId="1C7D10B5">
      <w:pPr>
        <w:snapToGrid w:val="0"/>
        <w:spacing w:line="440" w:lineRule="exact"/>
        <w:ind w:firstLine="480" w:firstLineChars="20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3.3投标报价只允许有一个报价，有选择的报价将不予接受（除指定外）。</w:t>
      </w:r>
    </w:p>
    <w:p w14:paraId="3DFE0B52">
      <w:pPr>
        <w:snapToGrid w:val="0"/>
        <w:spacing w:line="440" w:lineRule="exact"/>
        <w:ind w:firstLine="480" w:firstLineChars="20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3.4投标人提供虚假材料投标的，投标无效。</w:t>
      </w:r>
    </w:p>
    <w:p w14:paraId="667C56BE">
      <w:pPr>
        <w:pStyle w:val="131"/>
        <w:snapToGrid w:val="0"/>
        <w:spacing w:before="0" w:line="440" w:lineRule="exact"/>
        <w:ind w:firstLine="0" w:firstLineChars="0"/>
        <w:outlineLvl w:val="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w:t>
      </w:r>
      <w:r>
        <w:rPr>
          <w:rFonts w:hint="eastAsia" w:ascii="仿宋" w:hAnsi="仿宋" w:eastAsia="仿宋" w:cs="仿宋"/>
          <w:b/>
          <w:color w:val="000000" w:themeColor="text1"/>
          <w:szCs w:val="24"/>
          <w:highlight w:val="none"/>
          <w14:textFill>
            <w14:solidFill>
              <w14:schemeClr w14:val="tx1"/>
            </w14:solidFill>
          </w14:textFill>
        </w:rPr>
        <w:t>投标文件的编制和</w:t>
      </w:r>
      <w:r>
        <w:rPr>
          <w:rFonts w:hint="eastAsia" w:ascii="仿宋" w:hAnsi="仿宋" w:eastAsia="仿宋" w:cs="仿宋"/>
          <w:b/>
          <w:color w:val="000000" w:themeColor="text1"/>
          <w:highlight w:val="none"/>
          <w14:textFill>
            <w14:solidFill>
              <w14:schemeClr w14:val="tx1"/>
            </w14:solidFill>
          </w14:textFill>
        </w:rPr>
        <w:t>签署</w:t>
      </w:r>
    </w:p>
    <w:p w14:paraId="13C9A7F7">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.1投标文件分为资格文件、商务技术（资</w:t>
      </w:r>
      <w:r>
        <w:rPr>
          <w:rFonts w:hint="eastAsia" w:ascii="仿宋" w:hAnsi="仿宋" w:eastAsia="仿宋" w:cs="仿宋"/>
          <w:color w:val="000000" w:themeColor="text1"/>
          <w:sz w:val="24"/>
          <w:highlight w:val="none"/>
          <w:lang w:val="zh-CN" w:eastAsia="zh-CN"/>
          <w14:textFill>
            <w14:solidFill>
              <w14:schemeClr w14:val="tx1"/>
            </w14:solidFill>
          </w14:textFill>
        </w:rPr>
        <w:t>信）</w:t>
      </w:r>
      <w:r>
        <w:rPr>
          <w:rFonts w:hint="eastAsia" w:ascii="仿宋" w:hAnsi="仿宋" w:eastAsia="仿宋" w:cs="仿宋"/>
          <w:color w:val="000000" w:themeColor="text1"/>
          <w:sz w:val="24"/>
          <w:highlight w:val="none"/>
          <w:lang w:val="zh-CN"/>
          <w14:textFill>
            <w14:solidFill>
              <w14:schemeClr w14:val="tx1"/>
            </w14:solidFill>
          </w14:textFill>
        </w:rPr>
        <w:t>文件、报价文件</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电子文档四</w:t>
      </w:r>
      <w:r>
        <w:rPr>
          <w:rFonts w:hint="eastAsia" w:ascii="仿宋" w:hAnsi="仿宋" w:eastAsia="仿宋" w:cs="仿宋"/>
          <w:color w:val="auto"/>
          <w:sz w:val="24"/>
          <w:highlight w:val="none"/>
          <w:lang w:val="zh-CN"/>
        </w:rPr>
        <w:t>部分</w:t>
      </w:r>
      <w:r>
        <w:rPr>
          <w:rFonts w:hint="eastAsia" w:ascii="仿宋" w:hAnsi="仿宋" w:eastAsia="仿宋" w:cs="仿宋"/>
          <w:color w:val="000000" w:themeColor="text1"/>
          <w:sz w:val="24"/>
          <w:highlight w:val="none"/>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14:paraId="5DF7916D">
      <w:pPr>
        <w:pStyle w:val="131"/>
        <w:spacing w:before="0" w:line="440" w:lineRule="exact"/>
        <w:ind w:firstLine="480"/>
        <w:rPr>
          <w:rFonts w:ascii="仿宋" w:hAnsi="仿宋" w:eastAsia="仿宋" w:cs="仿宋"/>
          <w:color w:val="000000" w:themeColor="text1"/>
          <w:szCs w:val="24"/>
          <w:highlight w:val="none"/>
          <w:lang w:val="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“资格文件”、“商务技术（资信）文件资料”、“报价文件资料”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auto"/>
          <w:sz w:val="24"/>
          <w:highlight w:val="none"/>
          <w:lang w:val="en-US" w:eastAsia="zh-CN"/>
        </w:rPr>
        <w:t>电子文档</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zh-CN"/>
          <w14:textFill>
            <w14:solidFill>
              <w14:schemeClr w14:val="tx1"/>
            </w14:solidFill>
          </w14:textFill>
        </w:rPr>
        <w:t>应分</w:t>
      </w:r>
      <w:r>
        <w:rPr>
          <w:rFonts w:hint="eastAsia" w:ascii="仿宋" w:hAnsi="仿宋" w:eastAsia="仿宋" w:cs="仿宋"/>
          <w:color w:val="000000" w:themeColor="text1"/>
          <w:szCs w:val="24"/>
          <w:highlight w:val="none"/>
          <w:lang w:val="en-US" w:eastAsia="zh-CN"/>
          <w14:textFill>
            <w14:solidFill>
              <w14:schemeClr w14:val="tx1"/>
            </w14:solidFill>
          </w14:textFill>
        </w:rPr>
        <w:t>四</w:t>
      </w:r>
      <w:r>
        <w:rPr>
          <w:rFonts w:hint="eastAsia" w:ascii="仿宋" w:hAnsi="仿宋" w:eastAsia="仿宋" w:cs="仿宋"/>
          <w:color w:val="000000" w:themeColor="text1"/>
          <w:szCs w:val="24"/>
          <w:highlight w:val="none"/>
          <w:lang w:val="zh-CN"/>
          <w14:textFill>
            <w14:solidFill>
              <w14:schemeClr w14:val="tx1"/>
            </w14:solidFill>
          </w14:textFill>
        </w:rPr>
        <w:t>部分分别密封封装，并明确注明“资格文件或</w:t>
      </w:r>
      <w:r>
        <w:rPr>
          <w:rFonts w:hint="eastAsia" w:ascii="仿宋" w:hAnsi="仿宋" w:eastAsia="仿宋" w:cs="仿宋"/>
          <w:color w:val="000000" w:themeColor="text1"/>
          <w:highlight w:val="none"/>
          <w14:textFill>
            <w14:solidFill>
              <w14:schemeClr w14:val="tx1"/>
            </w14:solidFill>
          </w14:textFill>
        </w:rPr>
        <w:t>商务技术（资信）文件资料或</w:t>
      </w:r>
      <w:r>
        <w:rPr>
          <w:rFonts w:hint="eastAsia" w:ascii="仿宋" w:hAnsi="仿宋" w:eastAsia="仿宋" w:cs="仿宋"/>
          <w:color w:val="000000" w:themeColor="text1"/>
          <w:szCs w:val="24"/>
          <w:highlight w:val="none"/>
          <w:lang w:val="zh-CN"/>
          <w14:textFill>
            <w14:solidFill>
              <w14:schemeClr w14:val="tx1"/>
            </w14:solidFill>
          </w14:textFill>
        </w:rPr>
        <w:t>报价文件资料</w:t>
      </w:r>
      <w:r>
        <w:rPr>
          <w:rFonts w:hint="eastAsia" w:ascii="仿宋" w:hAnsi="仿宋" w:eastAsia="仿宋" w:cs="仿宋"/>
          <w:color w:val="000000" w:themeColor="text1"/>
          <w:szCs w:val="24"/>
          <w:highlight w:val="none"/>
          <w:lang w:val="en-US" w:eastAsia="zh-CN"/>
          <w14:textFill>
            <w14:solidFill>
              <w14:schemeClr w14:val="tx1"/>
            </w14:solidFill>
          </w14:textFill>
        </w:rPr>
        <w:t>或电子文档</w:t>
      </w:r>
      <w:r>
        <w:rPr>
          <w:rFonts w:hint="eastAsia" w:ascii="仿宋" w:hAnsi="仿宋" w:eastAsia="仿宋" w:cs="仿宋"/>
          <w:color w:val="000000" w:themeColor="text1"/>
          <w:szCs w:val="24"/>
          <w:highlight w:val="none"/>
          <w:lang w:val="zh-CN"/>
          <w14:textFill>
            <w14:solidFill>
              <w14:schemeClr w14:val="tx1"/>
            </w14:solidFill>
          </w14:textFill>
        </w:rPr>
        <w:t>、项目名称、投标人名称”字样，同时封口处加盖骑缝单位公章。投标人须提供所投项目的所有投标文件（正本）完整的PDF彩色扫描件U盘或光盘一份，须</w:t>
      </w:r>
      <w:r>
        <w:rPr>
          <w:rFonts w:hint="eastAsia" w:ascii="仿宋" w:hAnsi="仿宋" w:eastAsia="仿宋" w:cs="仿宋"/>
          <w:color w:val="000000" w:themeColor="text1"/>
          <w:szCs w:val="24"/>
          <w:highlight w:val="none"/>
          <w:lang w:val="en-US" w:eastAsia="zh-CN"/>
          <w14:textFill>
            <w14:solidFill>
              <w14:schemeClr w14:val="tx1"/>
            </w14:solidFill>
          </w14:textFill>
        </w:rPr>
        <w:t>单独</w:t>
      </w:r>
      <w:r>
        <w:rPr>
          <w:rFonts w:hint="eastAsia" w:ascii="仿宋" w:hAnsi="仿宋" w:eastAsia="仿宋" w:cs="仿宋"/>
          <w:color w:val="000000" w:themeColor="text1"/>
          <w:szCs w:val="24"/>
          <w:highlight w:val="none"/>
          <w:lang w:val="zh-CN"/>
          <w14:textFill>
            <w14:solidFill>
              <w14:schemeClr w14:val="tx1"/>
            </w14:solidFill>
          </w14:textFill>
        </w:rPr>
        <w:t>密封递交。若未递交符合要求的U盘</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zh-CN"/>
          <w14:textFill>
            <w14:solidFill>
              <w14:schemeClr w14:val="tx1"/>
            </w14:solidFill>
          </w14:textFill>
        </w:rPr>
        <w:t>光盘或PDF文件无法正常打开的，则投标文件作无效处理。</w:t>
      </w:r>
    </w:p>
    <w:p w14:paraId="781E8593">
      <w:pPr>
        <w:pStyle w:val="131"/>
        <w:spacing w:before="0" w:line="440" w:lineRule="exact"/>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 投标文件的提交、补充、修改、撤回</w:t>
      </w:r>
    </w:p>
    <w:p w14:paraId="76ABAA6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 供应商应当在投标截止时间前完成投标文件的递交，并可以补充、修改或者撤回投标文件。补充或者修改投标文件的，应当先行撤回原文件，补充、修改后重新递交。投标截止时间前未完成递交的，视为撤回投标文件。投标截止时间后递交的投标文件，投标文件将被拒收。</w:t>
      </w:r>
    </w:p>
    <w:p w14:paraId="4797B9E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5.2采购人、采购代理机构可以视情况延长投标文件提交的截止时间。在上述情况下，采购代理机构与投标人以前在投标截止期方面的全部权利、责任和义务，将适用于延长至新的投标截止期。</w:t>
      </w:r>
    </w:p>
    <w:p w14:paraId="686E0C99">
      <w:pPr>
        <w:spacing w:line="440" w:lineRule="exac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6.投标有效期</w:t>
      </w:r>
    </w:p>
    <w:p w14:paraId="66E884A9">
      <w:pPr>
        <w:snapToGrid w:val="0"/>
        <w:spacing w:line="440" w:lineRule="exact"/>
        <w:ind w:firstLine="480" w:firstLineChars="200"/>
        <w:jc w:val="lef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6.1投标有效期为从提交投标文件的截止之日起90天。投标人的投标文件中承诺的投标有效期少于招标文件中载明的投标有效期的，投标无效。</w:t>
      </w:r>
    </w:p>
    <w:p w14:paraId="7426E33B">
      <w:pPr>
        <w:snapToGrid w:val="0"/>
        <w:spacing w:line="440" w:lineRule="exact"/>
        <w:ind w:firstLine="480" w:firstLineChars="200"/>
        <w:jc w:val="lef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6.2投标文件合格投递后，自投标截止日期起，在投标有效期内有效。</w:t>
      </w:r>
    </w:p>
    <w:p w14:paraId="20C26C1C">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6.3在原定投标有效期满之前，如果出现特殊情况，采购代理机构可以以书面形式通知投标人延长投标有效期。投标人同意延长的，不得要求或被允许修改其投标文件，投标人拒绝延长的，其投标无效。</w:t>
      </w:r>
    </w:p>
    <w:p w14:paraId="5BD9136C">
      <w:pPr>
        <w:spacing w:line="440" w:lineRule="exac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7.投标文件的份数和规定</w:t>
      </w:r>
    </w:p>
    <w:p w14:paraId="7F687E97">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7.1投标文件的正本需打印或用不褪色的墨水填写，不允许行间插字，并注明“正本”字样，投标文件正本除本招标须知中规定的可提供复印件外均须提供原件。副本为正本的复印件。</w:t>
      </w:r>
    </w:p>
    <w:p w14:paraId="12734D67">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7.2投标文件由“资格文件”、</w:t>
      </w:r>
      <w:r>
        <w:rPr>
          <w:rFonts w:hint="eastAsia" w:ascii="仿宋" w:hAnsi="仿宋" w:eastAsia="仿宋" w:cs="仿宋"/>
          <w:color w:val="000000" w:themeColor="text1"/>
          <w:highlight w:val="none"/>
          <w14:textFill>
            <w14:solidFill>
              <w14:schemeClr w14:val="tx1"/>
            </w14:solidFill>
          </w14:textFill>
        </w:rPr>
        <w:t>“商务技术（资信）文件资料”、</w:t>
      </w:r>
      <w:r>
        <w:rPr>
          <w:rFonts w:hint="eastAsia" w:ascii="仿宋" w:hAnsi="仿宋" w:eastAsia="仿宋" w:cs="仿宋"/>
          <w:color w:val="000000" w:themeColor="text1"/>
          <w:szCs w:val="24"/>
          <w:highlight w:val="none"/>
          <w14:textFill>
            <w14:solidFill>
              <w14:schemeClr w14:val="tx1"/>
            </w14:solidFill>
          </w14:textFill>
        </w:rPr>
        <w:t>“报价文件资料”</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电子文档</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四</w:t>
      </w:r>
      <w:r>
        <w:rPr>
          <w:rFonts w:hint="eastAsia" w:ascii="仿宋" w:hAnsi="仿宋" w:eastAsia="仿宋" w:cs="仿宋"/>
          <w:color w:val="000000" w:themeColor="text1"/>
          <w:szCs w:val="24"/>
          <w:highlight w:val="none"/>
          <w14:textFill>
            <w14:solidFill>
              <w14:schemeClr w14:val="tx1"/>
            </w14:solidFill>
          </w14:textFill>
        </w:rPr>
        <w:t>部分组成，“资格文件”、</w:t>
      </w:r>
      <w:r>
        <w:rPr>
          <w:rFonts w:hint="eastAsia" w:ascii="仿宋" w:hAnsi="仿宋" w:eastAsia="仿宋" w:cs="仿宋"/>
          <w:color w:val="000000" w:themeColor="text1"/>
          <w:highlight w:val="none"/>
          <w14:textFill>
            <w14:solidFill>
              <w14:schemeClr w14:val="tx1"/>
            </w14:solidFill>
          </w14:textFill>
        </w:rPr>
        <w:t>“商务技术（资信）文件资料”、</w:t>
      </w:r>
      <w:r>
        <w:rPr>
          <w:rFonts w:hint="eastAsia" w:ascii="仿宋" w:hAnsi="仿宋" w:eastAsia="仿宋" w:cs="仿宋"/>
          <w:color w:val="000000" w:themeColor="text1"/>
          <w:szCs w:val="24"/>
          <w:highlight w:val="none"/>
          <w14:textFill>
            <w14:solidFill>
              <w14:schemeClr w14:val="tx1"/>
            </w14:solidFill>
          </w14:textFill>
        </w:rPr>
        <w:t>“报价文件资料”</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电子文档</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应按统一格式填写，装订成册。并在封面处明确注明“资格文件”或</w:t>
      </w:r>
      <w:r>
        <w:rPr>
          <w:rFonts w:hint="eastAsia" w:ascii="仿宋" w:hAnsi="仿宋" w:eastAsia="仿宋" w:cs="仿宋"/>
          <w:color w:val="000000" w:themeColor="text1"/>
          <w:highlight w:val="none"/>
          <w14:textFill>
            <w14:solidFill>
              <w14:schemeClr w14:val="tx1"/>
            </w14:solidFill>
          </w14:textFill>
        </w:rPr>
        <w:t>“商务技术（资信）文件资料”或</w:t>
      </w:r>
      <w:r>
        <w:rPr>
          <w:rFonts w:hint="eastAsia" w:ascii="仿宋" w:hAnsi="仿宋" w:eastAsia="仿宋" w:cs="仿宋"/>
          <w:color w:val="000000" w:themeColor="text1"/>
          <w:szCs w:val="24"/>
          <w:highlight w:val="none"/>
          <w14:textFill>
            <w14:solidFill>
              <w14:schemeClr w14:val="tx1"/>
            </w14:solidFill>
          </w14:textFill>
        </w:rPr>
        <w:t>“报价文件资料”</w:t>
      </w:r>
      <w:r>
        <w:rPr>
          <w:rFonts w:hint="eastAsia" w:ascii="仿宋" w:hAnsi="仿宋" w:eastAsia="仿宋" w:cs="仿宋"/>
          <w:color w:val="000000" w:themeColor="text1"/>
          <w:szCs w:val="24"/>
          <w:highlight w:val="none"/>
          <w:lang w:eastAsia="zh-CN"/>
          <w14:textFill>
            <w14:solidFill>
              <w14:schemeClr w14:val="tx1"/>
            </w14:solidFill>
          </w14:textFill>
        </w:rPr>
        <w:t>或“电子文档”</w:t>
      </w:r>
      <w:r>
        <w:rPr>
          <w:rFonts w:hint="eastAsia" w:ascii="仿宋" w:hAnsi="仿宋" w:eastAsia="仿宋" w:cs="仿宋"/>
          <w:color w:val="000000" w:themeColor="text1"/>
          <w:szCs w:val="24"/>
          <w:highlight w:val="none"/>
          <w14:textFill>
            <w14:solidFill>
              <w14:schemeClr w14:val="tx1"/>
            </w14:solidFill>
          </w14:textFill>
        </w:rPr>
        <w:t>。</w:t>
      </w:r>
    </w:p>
    <w:p w14:paraId="45F562C8">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投标人须提供所投项目的所有投标文件（正本）完整的PDF彩色扫描件U盘或光盘一份，须</w:t>
      </w:r>
      <w:r>
        <w:rPr>
          <w:rFonts w:hint="eastAsia" w:ascii="仿宋" w:hAnsi="仿宋" w:eastAsia="仿宋" w:cs="仿宋"/>
          <w:color w:val="000000" w:themeColor="text1"/>
          <w:szCs w:val="24"/>
          <w:highlight w:val="none"/>
          <w:lang w:val="en-US" w:eastAsia="zh-CN"/>
          <w14:textFill>
            <w14:solidFill>
              <w14:schemeClr w14:val="tx1"/>
            </w14:solidFill>
          </w14:textFill>
        </w:rPr>
        <w:t>单独</w:t>
      </w:r>
      <w:r>
        <w:rPr>
          <w:rFonts w:hint="eastAsia" w:ascii="仿宋" w:hAnsi="仿宋" w:eastAsia="仿宋" w:cs="仿宋"/>
          <w:color w:val="000000" w:themeColor="text1"/>
          <w:szCs w:val="24"/>
          <w:highlight w:val="none"/>
          <w14:textFill>
            <w14:solidFill>
              <w14:schemeClr w14:val="tx1"/>
            </w14:solidFill>
          </w14:textFill>
        </w:rPr>
        <w:t>密封递交。若未递交符合要求的U盘/光盘或PDF文件无法正常打开的，则投标文件作无效处理。</w:t>
      </w:r>
    </w:p>
    <w:p w14:paraId="7FFB41A3">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7.3投标文件一式五份，其中正本一份，副本四份。</w:t>
      </w:r>
    </w:p>
    <w:p w14:paraId="5362EC48">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7.4投标文件须由投标人在规定位置盖章并由法定代表人或其授权代表签署，投标人应写全称。</w:t>
      </w:r>
    </w:p>
    <w:p w14:paraId="4BDA2183">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7.5投标文件不得涂改，若有修改错漏处，须加盖单位公章或者法定代表人或其授权代表签字或盖章。</w:t>
      </w:r>
    </w:p>
    <w:p w14:paraId="2F0D0F01">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7.6投标文件因字迹潦草或表达不清所引起的后果由投标人负责。</w:t>
      </w:r>
    </w:p>
    <w:p w14:paraId="54900E21">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7.7投标人应认真阅读招标文件中所有的内容。如果投标人编制的投标文件实质上不响应招标文件的要求，其投标文件将被招标人拒绝。</w:t>
      </w:r>
    </w:p>
    <w:p w14:paraId="27FA25DD">
      <w:pPr>
        <w:pStyle w:val="131"/>
        <w:spacing w:before="0" w:line="440" w:lineRule="exact"/>
        <w:ind w:firstLine="480"/>
        <w:rPr>
          <w:rFonts w:ascii="仿宋" w:hAnsi="仿宋" w:eastAsia="仿宋" w:cs="仿宋"/>
          <w:color w:val="000000" w:themeColor="text1"/>
          <w:szCs w:val="24"/>
          <w:highlight w:val="none"/>
          <w14:textFill>
            <w14:solidFill>
              <w14:schemeClr w14:val="tx1"/>
            </w14:solidFill>
          </w14:textFill>
        </w:rPr>
      </w:pPr>
    </w:p>
    <w:p w14:paraId="35575940">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四、开标和评标</w:t>
      </w:r>
    </w:p>
    <w:p w14:paraId="1F92CB07">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1．开标</w:t>
      </w:r>
    </w:p>
    <w:p w14:paraId="24872A69">
      <w:pPr>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1.1投标人的法定代表人或其授权代表无需参加开标会议。</w:t>
      </w:r>
    </w:p>
    <w:p w14:paraId="78E7C19E">
      <w:pPr>
        <w:snapToGrid w:val="0"/>
        <w:spacing w:line="440" w:lineRule="exact"/>
        <w:ind w:firstLine="480"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1.2开标会由招标代理机构主持。</w:t>
      </w:r>
    </w:p>
    <w:p w14:paraId="02FDC84A">
      <w:pPr>
        <w:snapToGrid w:val="0"/>
        <w:spacing w:line="440" w:lineRule="exact"/>
        <w:jc w:val="left"/>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2．招投标开标及评审程序</w:t>
      </w:r>
    </w:p>
    <w:p w14:paraId="6181ADD2">
      <w:pPr>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2.1主持人宣布开标会开始。</w:t>
      </w:r>
    </w:p>
    <w:p w14:paraId="3A205AA3">
      <w:pPr>
        <w:snapToGrid w:val="0"/>
        <w:spacing w:line="44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2.2检查投标文件密封情况。</w:t>
      </w:r>
    </w:p>
    <w:p w14:paraId="716FC88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2.3启封投标文件资格文件</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131048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2.4评标委员会对资格文件进行评审</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0A5C8C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2.5启封投标文件</w:t>
      </w:r>
      <w:r>
        <w:rPr>
          <w:rFonts w:hint="eastAsia" w:ascii="仿宋" w:hAnsi="仿宋" w:eastAsia="仿宋" w:cs="仿宋"/>
          <w:color w:val="000000" w:themeColor="text1"/>
          <w:sz w:val="24"/>
          <w:highlight w:val="none"/>
          <w14:textFill>
            <w14:solidFill>
              <w14:schemeClr w14:val="tx1"/>
            </w14:solidFill>
          </w14:textFill>
        </w:rPr>
        <w:t>商务技术（资信）文件资料</w:t>
      </w:r>
      <w:r>
        <w:rPr>
          <w:rFonts w:hint="eastAsia" w:ascii="仿宋" w:hAnsi="仿宋" w:eastAsia="仿宋" w:cs="仿宋"/>
          <w:color w:val="000000" w:themeColor="text1"/>
          <w:sz w:val="24"/>
          <w:highlight w:val="none"/>
          <w:lang w:eastAsia="zh-CN"/>
          <w14:textFill>
            <w14:solidFill>
              <w14:schemeClr w14:val="tx1"/>
            </w14:solidFill>
          </w14:textFill>
        </w:rPr>
        <w:t>。</w:t>
      </w:r>
    </w:p>
    <w:p w14:paraId="0A84255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2.6评标委员会对商务技术（资信）文件进行评审。</w:t>
      </w:r>
    </w:p>
    <w:p w14:paraId="6618B0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2.7主持人</w:t>
      </w:r>
      <w:r>
        <w:rPr>
          <w:rFonts w:hint="eastAsia" w:ascii="仿宋" w:hAnsi="仿宋" w:eastAsia="仿宋" w:cs="仿宋"/>
          <w:bCs/>
          <w:color w:val="000000" w:themeColor="text1"/>
          <w:sz w:val="24"/>
          <w:highlight w:val="none"/>
          <w:lang w:val="en-US" w:eastAsia="zh-CN"/>
          <w14:textFill>
            <w14:solidFill>
              <w14:schemeClr w14:val="tx1"/>
            </w14:solidFill>
          </w14:textFill>
        </w:rPr>
        <w:t>宣布</w:t>
      </w:r>
      <w:r>
        <w:rPr>
          <w:rFonts w:hint="eastAsia" w:ascii="仿宋" w:hAnsi="仿宋" w:eastAsia="仿宋" w:cs="仿宋"/>
          <w:bCs/>
          <w:color w:val="000000" w:themeColor="text1"/>
          <w:sz w:val="24"/>
          <w:highlight w:val="none"/>
          <w14:textFill>
            <w14:solidFill>
              <w14:schemeClr w14:val="tx1"/>
            </w14:solidFill>
          </w14:textFill>
        </w:rPr>
        <w:t>商务技术</w:t>
      </w:r>
      <w:r>
        <w:rPr>
          <w:rFonts w:hint="eastAsia" w:ascii="仿宋" w:hAnsi="仿宋" w:eastAsia="仿宋" w:cs="仿宋"/>
          <w:bCs/>
          <w:color w:val="000000" w:themeColor="text1"/>
          <w:sz w:val="24"/>
          <w:highlight w:val="none"/>
          <w:lang w:val="en-US" w:eastAsia="zh-CN"/>
          <w14:textFill>
            <w14:solidFill>
              <w14:schemeClr w14:val="tx1"/>
            </w14:solidFill>
          </w14:textFill>
        </w:rPr>
        <w:t>得分及无效（废）投标情形（如有），公布商务技术（资信）</w:t>
      </w:r>
      <w:r>
        <w:rPr>
          <w:rFonts w:hint="eastAsia" w:ascii="仿宋" w:hAnsi="仿宋" w:eastAsia="仿宋" w:cs="仿宋"/>
          <w:bCs/>
          <w:color w:val="000000" w:themeColor="text1"/>
          <w:sz w:val="24"/>
          <w:highlight w:val="none"/>
          <w14:textFill>
            <w14:solidFill>
              <w14:schemeClr w14:val="tx1"/>
            </w14:solidFill>
          </w14:textFill>
        </w:rPr>
        <w:t>评审符合</w:t>
      </w:r>
      <w:r>
        <w:rPr>
          <w:rFonts w:hint="eastAsia" w:ascii="仿宋" w:hAnsi="仿宋" w:eastAsia="仿宋" w:cs="仿宋"/>
          <w:bCs/>
          <w:color w:val="000000" w:themeColor="text1"/>
          <w:sz w:val="24"/>
          <w:highlight w:val="none"/>
          <w:lang w:val="en-US" w:eastAsia="zh-CN"/>
          <w14:textFill>
            <w14:solidFill>
              <w14:schemeClr w14:val="tx1"/>
            </w14:solidFill>
          </w14:textFill>
        </w:rPr>
        <w:t>招标</w:t>
      </w:r>
      <w:r>
        <w:rPr>
          <w:rFonts w:hint="eastAsia" w:ascii="仿宋" w:hAnsi="仿宋" w:eastAsia="仿宋" w:cs="仿宋"/>
          <w:bCs/>
          <w:color w:val="000000" w:themeColor="text1"/>
          <w:sz w:val="24"/>
          <w:highlight w:val="none"/>
          <w14:textFill>
            <w14:solidFill>
              <w14:schemeClr w14:val="tx1"/>
            </w14:solidFill>
          </w14:textFill>
        </w:rPr>
        <w:t>文件要求的投标人名单</w:t>
      </w:r>
      <w:r>
        <w:rPr>
          <w:rFonts w:hint="eastAsia" w:ascii="仿宋" w:hAnsi="仿宋" w:eastAsia="仿宋" w:cs="仿宋"/>
          <w:bCs/>
          <w:color w:val="000000" w:themeColor="text1"/>
          <w:sz w:val="24"/>
          <w:highlight w:val="none"/>
          <w:lang w:val="en-US" w:eastAsia="zh-CN"/>
          <w14:textFill>
            <w14:solidFill>
              <w14:schemeClr w14:val="tx1"/>
            </w14:solidFill>
          </w14:textFill>
        </w:rPr>
        <w:t>及其商务技术得分</w:t>
      </w:r>
      <w:r>
        <w:rPr>
          <w:rFonts w:hint="eastAsia" w:ascii="仿宋" w:hAnsi="仿宋" w:eastAsia="仿宋" w:cs="仿宋"/>
          <w:bCs/>
          <w:color w:val="000000" w:themeColor="text1"/>
          <w:sz w:val="24"/>
          <w:highlight w:val="none"/>
          <w14:textFill>
            <w14:solidFill>
              <w14:schemeClr w14:val="tx1"/>
            </w14:solidFill>
          </w14:textFill>
        </w:rPr>
        <w:t>。</w:t>
      </w:r>
    </w:p>
    <w:p w14:paraId="19A3A0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en-US" w:eastAsia="zh-CN"/>
          <w14:textFill>
            <w14:solidFill>
              <w14:schemeClr w14:val="tx1"/>
            </w14:solidFill>
          </w14:textFill>
        </w:rPr>
        <w:t>8</w:t>
      </w:r>
      <w:r>
        <w:rPr>
          <w:rFonts w:hint="eastAsia" w:ascii="仿宋" w:hAnsi="仿宋" w:eastAsia="仿宋" w:cs="仿宋"/>
          <w:bCs/>
          <w:color w:val="000000" w:themeColor="text1"/>
          <w:sz w:val="24"/>
          <w:highlight w:val="none"/>
          <w14:textFill>
            <w14:solidFill>
              <w14:schemeClr w14:val="tx1"/>
            </w14:solidFill>
          </w14:textFill>
        </w:rPr>
        <w:t>启封报价文件资料，由</w:t>
      </w:r>
      <w:r>
        <w:rPr>
          <w:rFonts w:hint="eastAsia" w:ascii="仿宋" w:hAnsi="仿宋" w:eastAsia="仿宋" w:cs="仿宋"/>
          <w:bCs/>
          <w:color w:val="000000" w:themeColor="text1"/>
          <w:sz w:val="24"/>
          <w:highlight w:val="none"/>
          <w:lang w:val="en-US" w:eastAsia="zh-CN"/>
          <w14:textFill>
            <w14:solidFill>
              <w14:schemeClr w14:val="tx1"/>
            </w14:solidFill>
          </w14:textFill>
        </w:rPr>
        <w:t>主持</w:t>
      </w:r>
      <w:r>
        <w:rPr>
          <w:rFonts w:hint="eastAsia" w:ascii="仿宋" w:hAnsi="仿宋" w:eastAsia="仿宋" w:cs="仿宋"/>
          <w:bCs/>
          <w:color w:val="000000" w:themeColor="text1"/>
          <w:sz w:val="24"/>
          <w:highlight w:val="none"/>
          <w14:textFill>
            <w14:solidFill>
              <w14:schemeClr w14:val="tx1"/>
            </w14:solidFill>
          </w14:textFill>
        </w:rPr>
        <w:t>人宣读投标人名称、投标价格和投标文件的其他内容。未宣读的投标报价和采购文件未允许提供的备选投标方案等实质性内容，评标时不予承认。</w:t>
      </w:r>
    </w:p>
    <w:p w14:paraId="0B2C88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en-US" w:eastAsia="zh-CN"/>
          <w14:textFill>
            <w14:solidFill>
              <w14:schemeClr w14:val="tx1"/>
            </w14:solidFill>
          </w14:textFill>
        </w:rPr>
        <w:t>9</w:t>
      </w:r>
      <w:r>
        <w:rPr>
          <w:rFonts w:hint="eastAsia" w:ascii="仿宋" w:hAnsi="仿宋" w:eastAsia="仿宋" w:cs="仿宋"/>
          <w:bCs/>
          <w:color w:val="000000" w:themeColor="text1"/>
          <w:sz w:val="24"/>
          <w:highlight w:val="none"/>
          <w14:textFill>
            <w14:solidFill>
              <w14:schemeClr w14:val="tx1"/>
            </w14:solidFill>
          </w14:textFill>
        </w:rPr>
        <w:t>评标委员会对投标文件报价文件资料进行评审，核准投标报价及计算价格分，汇总</w:t>
      </w:r>
      <w:r>
        <w:rPr>
          <w:rFonts w:hint="eastAsia" w:ascii="仿宋" w:hAnsi="仿宋" w:eastAsia="仿宋" w:cs="仿宋"/>
          <w:bCs/>
          <w:color w:val="000000" w:themeColor="text1"/>
          <w:sz w:val="24"/>
          <w:highlight w:val="none"/>
          <w:lang w:val="en-US" w:eastAsia="zh-CN"/>
          <w14:textFill>
            <w14:solidFill>
              <w14:schemeClr w14:val="tx1"/>
            </w14:solidFill>
          </w14:textFill>
        </w:rPr>
        <w:t>商务技术</w:t>
      </w:r>
      <w:r>
        <w:rPr>
          <w:rFonts w:hint="eastAsia" w:ascii="仿宋" w:hAnsi="仿宋" w:eastAsia="仿宋" w:cs="仿宋"/>
          <w:bCs/>
          <w:color w:val="000000" w:themeColor="text1"/>
          <w:sz w:val="24"/>
          <w:highlight w:val="none"/>
          <w14:textFill>
            <w14:solidFill>
              <w14:schemeClr w14:val="tx1"/>
            </w14:solidFill>
          </w14:textFill>
        </w:rPr>
        <w:t>分、价格分</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根据</w:t>
      </w:r>
      <w:r>
        <w:rPr>
          <w:rFonts w:hint="eastAsia" w:ascii="仿宋" w:hAnsi="仿宋" w:eastAsia="仿宋" w:cs="仿宋"/>
          <w:bCs/>
          <w:color w:val="000000" w:themeColor="text1"/>
          <w:sz w:val="24"/>
          <w:highlight w:val="none"/>
          <w:lang w:val="en-US" w:eastAsia="zh-CN"/>
          <w14:textFill>
            <w14:solidFill>
              <w14:schemeClr w14:val="tx1"/>
            </w14:solidFill>
          </w14:textFill>
        </w:rPr>
        <w:t>总</w:t>
      </w:r>
      <w:r>
        <w:rPr>
          <w:rFonts w:hint="eastAsia" w:ascii="仿宋" w:hAnsi="仿宋" w:eastAsia="仿宋" w:cs="仿宋"/>
          <w:bCs/>
          <w:color w:val="000000" w:themeColor="text1"/>
          <w:sz w:val="24"/>
          <w:highlight w:val="none"/>
          <w14:textFill>
            <w14:solidFill>
              <w14:schemeClr w14:val="tx1"/>
            </w14:solidFill>
          </w14:textFill>
        </w:rPr>
        <w:t>得分排序确定中标候选人。</w:t>
      </w:r>
    </w:p>
    <w:p w14:paraId="64EE8E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w:t>
      </w:r>
      <w:r>
        <w:rPr>
          <w:rFonts w:hint="eastAsia" w:ascii="仿宋" w:hAnsi="仿宋" w:eastAsia="仿宋" w:cs="仿宋"/>
          <w:bCs/>
          <w:color w:val="000000" w:themeColor="text1"/>
          <w:sz w:val="24"/>
          <w:highlight w:val="none"/>
          <w:lang w:val="en-US" w:eastAsia="zh-CN"/>
          <w14:textFill>
            <w14:solidFill>
              <w14:schemeClr w14:val="tx1"/>
            </w14:solidFill>
          </w14:textFill>
        </w:rPr>
        <w:t>0</w:t>
      </w:r>
      <w:r>
        <w:rPr>
          <w:rFonts w:hint="eastAsia" w:ascii="仿宋" w:hAnsi="仿宋" w:eastAsia="仿宋" w:cs="仿宋"/>
          <w:bCs/>
          <w:color w:val="000000" w:themeColor="text1"/>
          <w:sz w:val="24"/>
          <w:highlight w:val="none"/>
          <w14:textFill>
            <w14:solidFill>
              <w14:schemeClr w14:val="tx1"/>
            </w14:solidFill>
          </w14:textFill>
        </w:rPr>
        <w:t>主持人公布评审结果。</w:t>
      </w:r>
    </w:p>
    <w:p w14:paraId="2D9AED38">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3．评标</w:t>
      </w:r>
    </w:p>
    <w:p w14:paraId="095E0B63">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3.1评标委员会由招标采购单位依法组建，负责评标活动。评标委员会遵循公开、公平、公正、科学合理、竞争择优的原则。</w:t>
      </w:r>
    </w:p>
    <w:p w14:paraId="486552D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3.2评标委员会由采购人代表和有关方面的专家组成，成员人数为</w:t>
      </w:r>
      <w:r>
        <w:rPr>
          <w:rFonts w:hint="eastAsia" w:ascii="仿宋" w:hAnsi="仿宋" w:eastAsia="仿宋" w:cs="仿宋"/>
          <w:color w:val="000000" w:themeColor="text1"/>
          <w:sz w:val="24"/>
          <w:highlight w:val="none"/>
          <w:u w:val="single"/>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人以上单数。</w:t>
      </w:r>
    </w:p>
    <w:p w14:paraId="00BDEEF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3.3评标委员会负责对投标人资格的最终审定。</w:t>
      </w:r>
    </w:p>
    <w:p w14:paraId="174A3E3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3.4评标委员会可以要求投标人对其投标文件中含义不明确的内容作必要的澄清或者说明，但澄清或者说明不得超过投标文件的范围或者改变投标文件的实质性内容。</w:t>
      </w:r>
    </w:p>
    <w:p w14:paraId="3267018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评审中需要供应商对投标、响应文件作出澄清、说明或者补正的，评标委员会和供应商应当交换数据电文。给予供应商提交澄清说明或补正的时间不少于半小时，供应商已经明确表示澄清说明或补正完毕的除外。</w:t>
      </w:r>
    </w:p>
    <w:p w14:paraId="1380B86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08482BD">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3.6评标委员会对投标文件的判定，只依据投标文件和招标文件内容本身，不依据任何外来证明。</w:t>
      </w:r>
    </w:p>
    <w:p w14:paraId="7E0777B0">
      <w:pPr>
        <w:snapToGrid w:val="0"/>
        <w:spacing w:line="440" w:lineRule="exact"/>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3.7评标委员会不向落标方解释落标的原因。</w:t>
      </w:r>
    </w:p>
    <w:p w14:paraId="762DC57A">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4．投标文件的初审鉴定</w:t>
      </w:r>
    </w:p>
    <w:p w14:paraId="4F146A0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4.1资格性审查</w:t>
      </w:r>
    </w:p>
    <w:p w14:paraId="2EBFAB9E">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4.1.1依据</w:t>
      </w:r>
      <w:r>
        <w:rPr>
          <w:rFonts w:hint="eastAsia" w:ascii="仿宋" w:hAnsi="仿宋" w:eastAsia="仿宋" w:cs="仿宋"/>
          <w:color w:val="000000" w:themeColor="text1"/>
          <w:sz w:val="24"/>
          <w:highlight w:val="none"/>
          <w:lang w:eastAsia="zh-CN"/>
          <w14:textFill>
            <w14:solidFill>
              <w14:schemeClr w14:val="tx1"/>
            </w14:solidFill>
          </w14:textFill>
        </w:rPr>
        <w:t>法律法规</w:t>
      </w:r>
      <w:r>
        <w:rPr>
          <w:rFonts w:hint="eastAsia" w:ascii="仿宋" w:hAnsi="仿宋" w:eastAsia="仿宋" w:cs="仿宋"/>
          <w:color w:val="000000" w:themeColor="text1"/>
          <w:sz w:val="24"/>
          <w:highlight w:val="none"/>
          <w14:textFill>
            <w14:solidFill>
              <w14:schemeClr w14:val="tx1"/>
            </w14:solidFill>
          </w14:textFill>
        </w:rPr>
        <w:t>和招标文件规定，采购人或采购人代表对投标人进行资格审查，以确定投标人是否具备投标资格。</w:t>
      </w:r>
    </w:p>
    <w:p w14:paraId="3DFEF88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4.2符合性审查</w:t>
      </w:r>
    </w:p>
    <w:p w14:paraId="0A4F613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3FB933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14:paraId="41D47C67">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 xml:space="preserve">5. </w:t>
      </w:r>
      <w:r>
        <w:rPr>
          <w:rFonts w:hint="eastAsia" w:ascii="仿宋" w:hAnsi="仿宋" w:eastAsia="仿宋" w:cs="仿宋"/>
          <w:b/>
          <w:color w:val="000000" w:themeColor="text1"/>
          <w:sz w:val="24"/>
          <w:highlight w:val="none"/>
          <w14:textFill>
            <w14:solidFill>
              <w14:schemeClr w14:val="tx1"/>
            </w14:solidFill>
          </w14:textFill>
        </w:rPr>
        <w:t>投标文件报价出现前后不一致的，按照下列规定修正：</w:t>
      </w:r>
    </w:p>
    <w:p w14:paraId="5AC0870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5.1投标文件中开标一览表（报价表）内容与投标文件中相应内容不一致的，以开标一览表（报价表）为准；</w:t>
      </w:r>
    </w:p>
    <w:p w14:paraId="44B43741">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5.2大写金额和小写金额不一致的，以大写金额为准；</w:t>
      </w:r>
    </w:p>
    <w:p w14:paraId="2FE19CD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5.3单价金额小数点或者百分比有明显错位的，以开标一览表的总价为准，并修改单价；</w:t>
      </w:r>
    </w:p>
    <w:p w14:paraId="16CBA82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5.4总价金额与按单价汇总金额不一致的，以单价金额计算结果为准。</w:t>
      </w:r>
    </w:p>
    <w:p w14:paraId="583C4B4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21E6A627">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6.投标文件的评审、比较和否决</w:t>
      </w:r>
    </w:p>
    <w:p w14:paraId="3D0F4C8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6.1评标委员会将对在实质上响应招标文件要求的投标文件进行评估和比较。</w:t>
      </w:r>
    </w:p>
    <w:p w14:paraId="20855837">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6.2在评审过程中，评标委员会可以书面形式要求投标人就投标文件含义不明确的内容</w:t>
      </w:r>
      <w:r>
        <w:rPr>
          <w:rFonts w:hint="eastAsia" w:ascii="仿宋" w:hAnsi="仿宋" w:eastAsia="仿宋" w:cs="仿宋"/>
          <w:color w:val="000000" w:themeColor="text1"/>
          <w:sz w:val="24"/>
          <w:highlight w:val="none"/>
          <w:lang w:eastAsia="zh-CN"/>
          <w14:textFill>
            <w14:solidFill>
              <w14:schemeClr w14:val="tx1"/>
            </w14:solidFill>
          </w14:textFill>
        </w:rPr>
        <w:t>可</w:t>
      </w:r>
      <w:r>
        <w:rPr>
          <w:rFonts w:hint="eastAsia" w:ascii="仿宋" w:hAnsi="仿宋" w:eastAsia="仿宋" w:cs="仿宋"/>
          <w:color w:val="000000" w:themeColor="text1"/>
          <w:sz w:val="24"/>
          <w:highlight w:val="none"/>
          <w14:textFill>
            <w14:solidFill>
              <w14:schemeClr w14:val="tx1"/>
            </w14:solidFill>
          </w14:textFill>
        </w:rPr>
        <w:t>进行书面说明并提供相关材料，但不得超过投标文件的范围或者改变投标文件的实质性内容。</w:t>
      </w:r>
    </w:p>
    <w:p w14:paraId="14637EFD">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6.3在评标过程中，如发现与招标文件要求相偏离的，评标委员会可对其偏离情形进行必要的核实。</w:t>
      </w:r>
    </w:p>
    <w:p w14:paraId="56988427">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6.4在评审过程中，如属于实质性偏离或符合无效响应条件的，应当询问相关投标人，并可对其进行线上确认，但不允许对偏离条款进行补充、修正或撤回。</w:t>
      </w:r>
    </w:p>
    <w:p w14:paraId="33ADDA6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6.5比较与评价。评标委员会应当按照评标标准，对符合性审查合格的投标文件进行商务和技术评估，综合比较与评价。</w:t>
      </w:r>
    </w:p>
    <w:p w14:paraId="0EFF302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6.6汇总（商务技术得分情况）。评标委员会各成员应当独立对每个投标人的商务技术（资信）文件进行评价，并汇总商务技术得分情况。</w:t>
      </w:r>
    </w:p>
    <w:p w14:paraId="2669BFD1">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6.7 报价审核。对符合采购需求且通过商务技术（资信）评审的投标人的报价的合理性、准确性等进行审查核实。</w:t>
      </w:r>
    </w:p>
    <w:p w14:paraId="34BAF57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6.7.1评标委员会认为投标人的报价明显低于其他通过符合性审查投标人的报价，有可能影响产品质量或者不能诚信履约的，应当要求其在评标现场合理的时间内说明，必要时提交相关证明材料。</w:t>
      </w:r>
    </w:p>
    <w:p w14:paraId="124A340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如需投标价格修正，按财政部87号令第五十九条的规定对投标价格进行修正。</w:t>
      </w:r>
    </w:p>
    <w:p w14:paraId="1B6CFB0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评标委员会依据招标文件规定的评标标准和方法，对投标文件进行评审和比较后，向采购人或其委托的采购代理机构提供书面评标报告，并按得分高低排序推荐中标候选供应商。</w:t>
      </w:r>
    </w:p>
    <w:p w14:paraId="218EB134">
      <w:pPr>
        <w:pStyle w:val="18"/>
        <w:widowControl w:val="0"/>
        <w:tabs>
          <w:tab w:val="clear" w:pos="390"/>
          <w:tab w:val="clear" w:pos="454"/>
        </w:tabs>
        <w:spacing w:after="120" w:line="440" w:lineRule="exact"/>
        <w:ind w:left="0" w:firstLine="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7.投标文件的澄清</w:t>
      </w:r>
    </w:p>
    <w:p w14:paraId="49B5D925">
      <w:pPr>
        <w:pStyle w:val="18"/>
        <w:widowControl w:val="0"/>
        <w:tabs>
          <w:tab w:val="clear" w:pos="390"/>
          <w:tab w:val="clear" w:pos="454"/>
        </w:tabs>
        <w:spacing w:after="120" w:line="440" w:lineRule="exact"/>
        <w:ind w:left="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14:paraId="057D914E">
      <w:pPr>
        <w:pStyle w:val="34"/>
        <w:snapToGrid w:val="0"/>
        <w:spacing w:line="440" w:lineRule="exact"/>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8.无效投标的情形</w:t>
      </w:r>
    </w:p>
    <w:p w14:paraId="297E119C">
      <w:pPr>
        <w:tabs>
          <w:tab w:val="left" w:pos="4085"/>
        </w:tabs>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投标文件有下列情形之一的作无效投标处理：</w:t>
      </w:r>
    </w:p>
    <w:p w14:paraId="695E2908">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8.1未按照招标文件规定要求签字或盖章的；</w:t>
      </w:r>
    </w:p>
    <w:p w14:paraId="5EA22AF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8.2单位负责人为同一人或者存在直接控股、管理关系的不同供应商参加同一合同项下的采购活动的（均无效）；</w:t>
      </w:r>
    </w:p>
    <w:p w14:paraId="3B702D46">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8.3为采购项目提供整体设计、规范编制或者项目管理、监理、检测等服务的供应商参加该采购项目的其他采购活动的； </w:t>
      </w:r>
    </w:p>
    <w:p w14:paraId="36FF87D7">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8.4投标人未提供招标文件中规定的基本资格条件书面承诺函的，或投标人未提供有效的特定资格证明文件的，视为投标人不具备招标文件中规定的资格要求；</w:t>
      </w:r>
    </w:p>
    <w:p w14:paraId="30F8006F">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8.5《法定代表人身份证明书》与提供的身份证复印件信息不符的；《法定代表人授权委托书》与提供的身份证复印件信息不符的；</w:t>
      </w:r>
    </w:p>
    <w:p w14:paraId="2206F092">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8.6《法定代表人授权委托书》或《法定代表人身份证明书》填写不全、错误(《法定代表人授权委托书》要求“签字或盖章”缺一不可）的；</w:t>
      </w:r>
    </w:p>
    <w:p w14:paraId="7B1FB736">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8.7授权代表非投标单位正式职工的（以社保证明为准，如授权代表为离退休返聘人员的，需提供退休证明及单位聘用证明），法定代表人及个体工商户除外；</w:t>
      </w:r>
    </w:p>
    <w:p w14:paraId="02D8A3F3">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8.8投标文件中的投标函投标人填写不全的；</w:t>
      </w:r>
    </w:p>
    <w:p w14:paraId="32F7E06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8.9报价一经涂改，未在涂改处加盖投标单位公章或者未经法定代表人或其授权代表签字或盖章的；</w:t>
      </w:r>
    </w:p>
    <w:p w14:paraId="10AB75FC">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8.10未按招标文件规定的格式填写，或对招标服务或技术或产品等要求未详细应答或应答内容不全、有缺失的,经评标委员会认定为无法评审的；</w:t>
      </w:r>
    </w:p>
    <w:p w14:paraId="65A2C90E">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000000" w:themeColor="text1"/>
          <w:sz w:val="24"/>
          <w:highlight w:val="none"/>
          <w14:textFill>
            <w14:solidFill>
              <w14:schemeClr w14:val="tx1"/>
            </w14:solidFill>
          </w14:textFill>
        </w:rPr>
        <w:t>8.11出现同一标的物或本次招标产品(服务)内的主要产品(重要组成部分)出现商务技术（资信）文件资料、报价文件资料描述不一致或前后描述不一致，经评标委员会认定后为</w:t>
      </w:r>
      <w:r>
        <w:rPr>
          <w:rFonts w:hint="eastAsia" w:ascii="仿宋" w:hAnsi="仿宋" w:eastAsia="仿宋" w:cs="仿宋"/>
          <w:b/>
          <w:color w:val="auto"/>
          <w:sz w:val="24"/>
          <w:highlight w:val="none"/>
        </w:rPr>
        <w:t>无法评审的；</w:t>
      </w:r>
    </w:p>
    <w:p w14:paraId="104BCF39">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8.12《</w:t>
      </w:r>
      <w:r>
        <w:rPr>
          <w:rFonts w:hint="eastAsia" w:ascii="仿宋" w:hAnsi="仿宋" w:eastAsia="仿宋" w:cs="仿宋"/>
          <w:b/>
          <w:color w:val="auto"/>
          <w:sz w:val="24"/>
          <w:highlight w:val="none"/>
          <w:lang w:eastAsia="zh-CN"/>
        </w:rPr>
        <w:t>商务</w:t>
      </w:r>
      <w:r>
        <w:rPr>
          <w:rFonts w:hint="eastAsia" w:ascii="仿宋" w:hAnsi="仿宋" w:eastAsia="仿宋" w:cs="仿宋"/>
          <w:b/>
          <w:color w:val="auto"/>
          <w:sz w:val="24"/>
          <w:highlight w:val="none"/>
        </w:rPr>
        <w:t>技术偏离表》不真实填写或弄虚作假的；</w:t>
      </w:r>
    </w:p>
    <w:p w14:paraId="1BEEC79B">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auto"/>
          <w:sz w:val="24"/>
          <w:highlight w:val="none"/>
        </w:rPr>
        <w:t>8.13投标文件含有采购</w:t>
      </w:r>
      <w:r>
        <w:rPr>
          <w:rFonts w:hint="eastAsia" w:ascii="仿宋" w:hAnsi="仿宋" w:eastAsia="仿宋" w:cs="仿宋"/>
          <w:b/>
          <w:color w:val="000000" w:themeColor="text1"/>
          <w:sz w:val="24"/>
          <w:highlight w:val="none"/>
          <w14:textFill>
            <w14:solidFill>
              <w14:schemeClr w14:val="tx1"/>
            </w14:solidFill>
          </w14:textFill>
        </w:rPr>
        <w:t>人不能接受的附加条件；</w:t>
      </w:r>
    </w:p>
    <w:p w14:paraId="2CD4835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8.14评标委员会认为投标人的报价明显低于其他通过符合性审查投标人的报价，有可能影响产品质量或者不能诚信履约的，未能按要求提供书面说明或者提交相关证明材料证明其报价合理性的;</w:t>
      </w:r>
    </w:p>
    <w:p w14:paraId="580713F0">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8.15报价超过招标文件中规定的预算金额或最高限价的；</w:t>
      </w:r>
    </w:p>
    <w:p w14:paraId="12D6B499">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8.16投标文件“商务技术（资信）文件资料”部分中出现《开标一览表》相关内容的；</w:t>
      </w:r>
    </w:p>
    <w:p w14:paraId="24B93B0C">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8.17采购人拟采购的产品属于政府强制采购的节能产品品目清单范围的，投标人未按招标文件要求提供国家确定的认证机构出具的、处于有效期之内的节能产品认证证书的；</w:t>
      </w:r>
    </w:p>
    <w:p w14:paraId="35B89B9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8.18《开标一览表》填写不完整或字迹不能辨认或有漏项的，经评标委员会认定属于重大偏差的；</w:t>
      </w:r>
    </w:p>
    <w:p w14:paraId="31782F6D">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8.19投标人对根据修正原则修正后的报价不确认的；</w:t>
      </w:r>
    </w:p>
    <w:p w14:paraId="0F99B106">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8.20投标人提供虚假材料投标的（包括但不限于以下情节）；</w:t>
      </w:r>
    </w:p>
    <w:p w14:paraId="53D088AB">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8.20.1使用伪造、变造的许可证件；</w:t>
      </w:r>
    </w:p>
    <w:p w14:paraId="42FB3F79">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8.20.2提供虚假的财务状况或者业绩；</w:t>
      </w:r>
    </w:p>
    <w:p w14:paraId="3925AACB">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8.20.3提供虚假的项目负责人或者主要技术人员简历、劳动关系证明；</w:t>
      </w:r>
    </w:p>
    <w:p w14:paraId="027A62AC">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8.20.4提供虚假的信用状况；</w:t>
      </w:r>
    </w:p>
    <w:p w14:paraId="1E5D1B12">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8.20.5其他弄虚作假的行为。</w:t>
      </w:r>
    </w:p>
    <w:p w14:paraId="0A9F1B2B">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8.21下列情形之一的，视为投标人串通投标，其投标无效：</w:t>
      </w:r>
    </w:p>
    <w:p w14:paraId="3BDB1CBA">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8.21.1不同投标人的投标文件由同一单位或者个人编制；</w:t>
      </w:r>
    </w:p>
    <w:p w14:paraId="310816D3">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8.21.2不同投标人委托同一单位或者个人办理投标事宜；</w:t>
      </w:r>
    </w:p>
    <w:p w14:paraId="35BB3C8B">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8.21.3不同投标人的投标文件载明的项目管理成员或者联系人员为同一人；</w:t>
      </w:r>
    </w:p>
    <w:p w14:paraId="060A08E9">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8.21.4不同投标人的投标文件异常一致或者投标报价呈规律性差异；</w:t>
      </w:r>
    </w:p>
    <w:p w14:paraId="043A8910">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8.21.5不同投标人的投标文件相互混装；</w:t>
      </w:r>
    </w:p>
    <w:p w14:paraId="614B6499">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8.21.6有二份及二份以上投标文件的相互之间有特别相同或相似之处，且经询标澄清投标人无令人信服的理由和可靠证据证明其合理性的，经评标委员会半数以上成员确认有串通投标嫌疑的；</w:t>
      </w:r>
    </w:p>
    <w:p w14:paraId="6DF155C9">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8.22有下列情形之一的，属于恶意串通，其投标无效：</w:t>
      </w:r>
    </w:p>
    <w:p w14:paraId="0791EDC6">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8.22.1供应商直接或者间接从采购人或者采购机构处获得其他供应商的相关情况并修改其投标文件或者响应文件；</w:t>
      </w:r>
    </w:p>
    <w:p w14:paraId="1DBBD106">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8.22.2供应商按照采购人或者采购机构的授意撤换、修改投标文件或者响应文件；</w:t>
      </w:r>
    </w:p>
    <w:p w14:paraId="35CAEBD8">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8.22.3供应商之间协商报价、技术方案等投标文件或者响应文件的实质性内容；</w:t>
      </w:r>
    </w:p>
    <w:p w14:paraId="30E4F1B0">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8.22.4属于同一集团、协会、商会等组织成员的供应商按照该组织要求协同参加采购活动；</w:t>
      </w:r>
    </w:p>
    <w:p w14:paraId="44184521">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8.22.5供应商之间事先约定由某一特定供应商中标、成交；</w:t>
      </w:r>
    </w:p>
    <w:p w14:paraId="477FD85C">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8.22.6供应商之间商定部分供应商放弃参加采购活动或者放弃中标、成交；</w:t>
      </w:r>
    </w:p>
    <w:p w14:paraId="74F130DD">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8.22.7供应商与采购人或者采购机构之间、供应商相互之间，为谋求特定供应商中标、成交或者排斥其他供应商的其他串通行为。</w:t>
      </w:r>
    </w:p>
    <w:p w14:paraId="5E2BDE6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8.23评标委员会认定有重大偏差或实质性不响应招标文件要求的；</w:t>
      </w:r>
    </w:p>
    <w:p w14:paraId="7F84B4E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8.24投标文件出现不是唯一的、有选择性投标报价的；</w:t>
      </w:r>
    </w:p>
    <w:p w14:paraId="5C502B28">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bookmarkStart w:id="25" w:name="_Hlk149217220"/>
      <w:r>
        <w:rPr>
          <w:rFonts w:hint="eastAsia" w:ascii="仿宋" w:hAnsi="仿宋" w:eastAsia="仿宋" w:cs="仿宋"/>
          <w:b/>
          <w:color w:val="000000" w:themeColor="text1"/>
          <w:sz w:val="24"/>
          <w:highlight w:val="none"/>
          <w14:textFill>
            <w14:solidFill>
              <w14:schemeClr w14:val="tx1"/>
            </w14:solidFill>
          </w14:textFill>
        </w:rPr>
        <w:t>8.25列入绍兴市公用事业集团、</w:t>
      </w:r>
      <w:r>
        <w:rPr>
          <w:rFonts w:hint="eastAsia" w:ascii="仿宋" w:hAnsi="仿宋" w:eastAsia="仿宋" w:cs="仿宋"/>
          <w:b/>
          <w:color w:val="000000" w:themeColor="text1"/>
          <w:sz w:val="24"/>
          <w:highlight w:val="none"/>
          <w:lang w:val="en-US" w:eastAsia="zh-CN"/>
          <w14:textFill>
            <w14:solidFill>
              <w14:schemeClr w14:val="tx1"/>
            </w14:solidFill>
          </w14:textFill>
        </w:rPr>
        <w:t>绍兴天然气投资有限公司</w:t>
      </w:r>
      <w:r>
        <w:rPr>
          <w:rFonts w:hint="eastAsia" w:ascii="仿宋" w:hAnsi="仿宋" w:eastAsia="仿宋" w:cs="仿宋"/>
          <w:b/>
          <w:color w:val="000000" w:themeColor="text1"/>
          <w:sz w:val="24"/>
          <w:highlight w:val="none"/>
          <w14:textFill>
            <w14:solidFill>
              <w14:schemeClr w14:val="tx1"/>
            </w14:solidFill>
          </w14:textFill>
        </w:rPr>
        <w:t>禁止交易企业名单的单位，在禁止交易范围内，其投标文件将</w:t>
      </w:r>
      <w:r>
        <w:rPr>
          <w:rFonts w:hint="eastAsia" w:ascii="仿宋" w:hAnsi="仿宋" w:eastAsia="仿宋" w:cs="仿宋"/>
          <w:b/>
          <w:color w:val="000000" w:themeColor="text1"/>
          <w:sz w:val="24"/>
          <w:highlight w:val="none"/>
          <w:lang w:eastAsia="zh-CN"/>
          <w14:textFill>
            <w14:solidFill>
              <w14:schemeClr w14:val="tx1"/>
            </w14:solidFill>
          </w14:textFill>
        </w:rPr>
        <w:t>作</w:t>
      </w:r>
      <w:r>
        <w:rPr>
          <w:rFonts w:hint="eastAsia" w:ascii="仿宋" w:hAnsi="仿宋" w:eastAsia="仿宋" w:cs="仿宋"/>
          <w:b/>
          <w:color w:val="000000" w:themeColor="text1"/>
          <w:sz w:val="24"/>
          <w:highlight w:val="none"/>
          <w14:textFill>
            <w14:solidFill>
              <w14:schemeClr w14:val="tx1"/>
            </w14:solidFill>
          </w14:textFill>
        </w:rPr>
        <w:t>无效标处理</w:t>
      </w:r>
      <w:bookmarkEnd w:id="25"/>
      <w:r>
        <w:rPr>
          <w:rFonts w:hint="eastAsia" w:ascii="仿宋" w:hAnsi="仿宋" w:eastAsia="仿宋" w:cs="仿宋"/>
          <w:b/>
          <w:color w:val="000000" w:themeColor="text1"/>
          <w:sz w:val="24"/>
          <w:highlight w:val="none"/>
          <w14:textFill>
            <w14:solidFill>
              <w14:schemeClr w14:val="tx1"/>
            </w14:solidFill>
          </w14:textFill>
        </w:rPr>
        <w:t>；</w:t>
      </w:r>
    </w:p>
    <w:p w14:paraId="1BF29F07">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8.26未按要求提供电子文档U盘或光盘的，或者U盘或光盘无法打开的；</w:t>
      </w:r>
    </w:p>
    <w:p w14:paraId="0F2F21E0">
      <w:pPr>
        <w:snapToGrid w:val="0"/>
        <w:spacing w:line="440" w:lineRule="exact"/>
        <w:ind w:firstLine="482"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8.27其他违反</w:t>
      </w:r>
      <w:r>
        <w:rPr>
          <w:rFonts w:hint="eastAsia" w:ascii="仿宋" w:hAnsi="仿宋" w:eastAsia="仿宋" w:cs="仿宋"/>
          <w:b/>
          <w:color w:val="000000" w:themeColor="text1"/>
          <w:sz w:val="24"/>
          <w:highlight w:val="none"/>
          <w:lang w:eastAsia="zh-CN"/>
          <w14:textFill>
            <w14:solidFill>
              <w14:schemeClr w14:val="tx1"/>
            </w14:solidFill>
          </w14:textFill>
        </w:rPr>
        <w:t>法律法规</w:t>
      </w:r>
      <w:r>
        <w:rPr>
          <w:rFonts w:hint="eastAsia" w:ascii="仿宋" w:hAnsi="仿宋" w:eastAsia="仿宋" w:cs="仿宋"/>
          <w:b/>
          <w:color w:val="000000" w:themeColor="text1"/>
          <w:sz w:val="24"/>
          <w:highlight w:val="none"/>
          <w14:textFill>
            <w14:solidFill>
              <w14:schemeClr w14:val="tx1"/>
            </w14:solidFill>
          </w14:textFill>
        </w:rPr>
        <w:t>的情形。</w:t>
      </w:r>
    </w:p>
    <w:p w14:paraId="610FE35D">
      <w:pPr>
        <w:snapToGrid w:val="0"/>
        <w:spacing w:line="440" w:lineRule="exac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 评标过程保密</w:t>
      </w:r>
    </w:p>
    <w:p w14:paraId="745DF4E9">
      <w:pPr>
        <w:snapToGrid w:val="0"/>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D83538F">
      <w:pPr>
        <w:snapToGrid w:val="0"/>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 在评标期间，投标人企图影响招标人或</w:t>
      </w:r>
      <w:r>
        <w:rPr>
          <w:rFonts w:hint="eastAsia" w:ascii="仿宋" w:hAnsi="仿宋" w:eastAsia="仿宋" w:cs="仿宋"/>
          <w:color w:val="000000" w:themeColor="text1"/>
          <w:sz w:val="24"/>
          <w:highlight w:val="none"/>
          <w14:textFill>
            <w14:solidFill>
              <w14:schemeClr w14:val="tx1"/>
            </w14:solidFill>
          </w14:textFill>
        </w:rPr>
        <w:t>评标委员会</w:t>
      </w:r>
      <w:r>
        <w:rPr>
          <w:rFonts w:hint="eastAsia" w:ascii="仿宋" w:hAnsi="仿宋" w:eastAsia="仿宋" w:cs="仿宋"/>
          <w:color w:val="000000" w:themeColor="text1"/>
          <w:kern w:val="0"/>
          <w:sz w:val="24"/>
          <w:highlight w:val="none"/>
          <w14:textFill>
            <w14:solidFill>
              <w14:schemeClr w14:val="tx1"/>
            </w14:solidFill>
          </w14:textFill>
        </w:rPr>
        <w:t>的任何活动，都将导致投标被拒绝，并由其承担相应的法律责任。</w:t>
      </w:r>
    </w:p>
    <w:p w14:paraId="25EE725A">
      <w:pPr>
        <w:snapToGrid w:val="0"/>
        <w:spacing w:line="360" w:lineRule="auto"/>
        <w:ind w:firstLine="482" w:firstLineChars="150"/>
        <w:jc w:val="center"/>
        <w:rPr>
          <w:rFonts w:ascii="仿宋" w:hAnsi="仿宋" w:eastAsia="仿宋" w:cs="仿宋"/>
          <w:b/>
          <w:color w:val="000000" w:themeColor="text1"/>
          <w:sz w:val="32"/>
          <w:highlight w:val="none"/>
          <w14:textFill>
            <w14:solidFill>
              <w14:schemeClr w14:val="tx1"/>
            </w14:solidFill>
          </w14:textFill>
        </w:rPr>
      </w:pPr>
    </w:p>
    <w:bookmarkEnd w:id="24"/>
    <w:p w14:paraId="04ECF823">
      <w:pPr>
        <w:pStyle w:val="34"/>
        <w:spacing w:line="360" w:lineRule="auto"/>
        <w:ind w:firstLine="726"/>
        <w:jc w:val="center"/>
        <w:rPr>
          <w:rFonts w:ascii="仿宋" w:hAnsi="仿宋" w:eastAsia="仿宋" w:cs="仿宋"/>
          <w:b/>
          <w:color w:val="000000" w:themeColor="text1"/>
          <w:sz w:val="32"/>
          <w:szCs w:val="32"/>
          <w:highlight w:val="none"/>
          <w14:textFill>
            <w14:solidFill>
              <w14:schemeClr w14:val="tx1"/>
            </w14:solidFill>
          </w14:textFill>
        </w:rPr>
      </w:pPr>
      <w:bookmarkStart w:id="26" w:name="_Toc84325929"/>
      <w:bookmarkStart w:id="27" w:name="_Toc81372776"/>
      <w:bookmarkStart w:id="28" w:name="_Toc81372953"/>
      <w:r>
        <w:rPr>
          <w:rFonts w:hint="eastAsia" w:ascii="仿宋" w:hAnsi="仿宋" w:eastAsia="仿宋" w:cs="仿宋"/>
          <w:b/>
          <w:color w:val="000000" w:themeColor="text1"/>
          <w:sz w:val="32"/>
          <w:szCs w:val="32"/>
          <w:highlight w:val="none"/>
          <w14:textFill>
            <w14:solidFill>
              <w14:schemeClr w14:val="tx1"/>
            </w14:solidFill>
          </w14:textFill>
        </w:rPr>
        <w:t>五、授予合同</w:t>
      </w:r>
    </w:p>
    <w:bookmarkEnd w:id="26"/>
    <w:bookmarkEnd w:id="27"/>
    <w:bookmarkEnd w:id="28"/>
    <w:p w14:paraId="5CFA042B">
      <w:pPr>
        <w:pStyle w:val="18"/>
        <w:tabs>
          <w:tab w:val="clear" w:pos="390"/>
          <w:tab w:val="clear" w:pos="454"/>
        </w:tabs>
        <w:spacing w:after="120" w:line="440" w:lineRule="exact"/>
        <w:ind w:left="0" w:firstLine="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1.中标条件</w:t>
      </w:r>
    </w:p>
    <w:p w14:paraId="2EB8B781">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1.1投标文件基本符合招标文件要求；</w:t>
      </w:r>
    </w:p>
    <w:p w14:paraId="12F569DE">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1.2投标人有很好</w:t>
      </w:r>
      <w:r>
        <w:rPr>
          <w:rFonts w:hint="eastAsia" w:ascii="仿宋" w:hAnsi="仿宋" w:eastAsia="仿宋" w:cs="仿宋"/>
          <w:color w:val="000000" w:themeColor="text1"/>
          <w:sz w:val="24"/>
          <w:highlight w:val="none"/>
          <w:lang w:eastAsia="zh-CN"/>
          <w14:textFill>
            <w14:solidFill>
              <w14:schemeClr w14:val="tx1"/>
            </w14:solidFill>
          </w14:textFill>
        </w:rPr>
        <w:t>地</w:t>
      </w:r>
      <w:r>
        <w:rPr>
          <w:rFonts w:hint="eastAsia" w:ascii="仿宋" w:hAnsi="仿宋" w:eastAsia="仿宋" w:cs="仿宋"/>
          <w:color w:val="000000" w:themeColor="text1"/>
          <w:sz w:val="24"/>
          <w:highlight w:val="none"/>
          <w14:textFill>
            <w14:solidFill>
              <w14:schemeClr w14:val="tx1"/>
            </w14:solidFill>
          </w14:textFill>
        </w:rPr>
        <w:t>执行合同的能力；</w:t>
      </w:r>
    </w:p>
    <w:p w14:paraId="4BA1A4B6">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1.3实施方案最合理并对招标人最为有利，最大限度满足招标文件的要求；</w:t>
      </w:r>
    </w:p>
    <w:p w14:paraId="4029E961">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1.4投标人能够提供质量技术、商务经济占综合优势的系统及服务。</w:t>
      </w:r>
    </w:p>
    <w:p w14:paraId="21D71A8C">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1.5招标人将把中标通知书授予最佳投标者，但最低价不是中标的绝对保证。</w:t>
      </w:r>
    </w:p>
    <w:p w14:paraId="2861643C">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2.中标确认</w:t>
      </w:r>
    </w:p>
    <w:p w14:paraId="418B9F94">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2.1采购人应当自收到评标报告之日起５个工作日内，在评标报告确定的中标候选人名单中按顺序确定中标人。</w:t>
      </w:r>
    </w:p>
    <w:p w14:paraId="1F71C299">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2.2采购人在收到评标报告5个工作日内未按评标报告推荐的中标候选人顺序确定中标人，视同按评标报告推荐的顺序确定的中标候选人为中标人。</w:t>
      </w:r>
    </w:p>
    <w:p w14:paraId="618270A7">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2.3采购人应在确认中标人前再次对资格条件和相关证件材料进一步查验核实。</w:t>
      </w:r>
    </w:p>
    <w:p w14:paraId="36E59197">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3．中标通知</w:t>
      </w:r>
    </w:p>
    <w:p w14:paraId="0F28CEFB">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3.1采购代理机构对中标结果在指定媒体（浙江政府采购网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"http://www.zjzfcg.gov.cn"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http://zfcg.czt.zj.gov.cn/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、绍兴公共资源交易网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"http://ggb.sx.gov.cn"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http://ggb.sx.gov.cn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、绍兴市公用事业集团有限公司</w:t>
      </w:r>
      <w:r>
        <w:rPr>
          <w:rFonts w:hint="eastAsia" w:ascii="仿宋" w:hAnsi="仿宋" w:eastAsia="仿宋" w:cs="仿宋"/>
          <w:color w:val="000000" w:themeColor="text1"/>
          <w:sz w:val="24"/>
          <w:highlight w:val="none"/>
          <w:lang w:eastAsia="zh-CN"/>
          <w14:textFill>
            <w14:solidFill>
              <w14:schemeClr w14:val="tx1"/>
            </w14:solidFill>
          </w14:textFill>
        </w:rPr>
        <w:t>网站</w:t>
      </w:r>
      <w:r>
        <w:rPr>
          <w:rFonts w:hint="eastAsia" w:ascii="仿宋" w:hAnsi="仿宋" w:eastAsia="仿宋" w:cs="仿宋"/>
          <w:color w:val="000000" w:themeColor="text1"/>
          <w:sz w:val="24"/>
          <w:highlight w:val="none"/>
          <w14:textFill>
            <w14:solidFill>
              <w14:schemeClr w14:val="tx1"/>
            </w14:solidFill>
          </w14:textFill>
        </w:rPr>
        <w:t>https://www.zjsxpug.com/）发布中标公告，中标公告期限为1个工作日。</w:t>
      </w:r>
    </w:p>
    <w:p w14:paraId="203B7CBD">
      <w:pPr>
        <w:snapToGrid w:val="0"/>
        <w:spacing w:line="440" w:lineRule="exact"/>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000000" w:themeColor="text1"/>
          <w:sz w:val="24"/>
          <w:highlight w:val="none"/>
          <w:lang w:val="zh-CN"/>
          <w14:textFill>
            <w14:solidFill>
              <w14:schemeClr w14:val="tx1"/>
            </w14:solidFill>
          </w14:textFill>
        </w:rPr>
        <w:t>。</w:t>
      </w:r>
    </w:p>
    <w:p w14:paraId="40359FF7">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3.3采购代理机构对中标结果不作任何说明和解释，也不回答任何提问。</w:t>
      </w:r>
    </w:p>
    <w:p w14:paraId="3427F668">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4．履约保证金</w:t>
      </w:r>
    </w:p>
    <w:p w14:paraId="2EEE3CCC">
      <w:pPr>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人民币壹拾万元整，中标人在合同签订后7个工作日内交纳，未在规定时间内缴纳履约保证金的，招标人有权终止合同，并要求中标人赔偿解除合同的相应损失，履约保证金可以采用现金、支票、汇票或保函（保险公司保险、银行保函、专业担保公司担保）的形式提交。待履行供货合同完毕、验收合格且不存在违约行为后7个工作日内予以退还（不计息）</w:t>
      </w:r>
      <w:r>
        <w:rPr>
          <w:rFonts w:hint="eastAsia" w:ascii="仿宋" w:hAnsi="仿宋" w:eastAsia="仿宋" w:cs="仿宋"/>
          <w:color w:val="000000" w:themeColor="text1"/>
          <w:sz w:val="24"/>
          <w:highlight w:val="none"/>
          <w:lang w:eastAsia="zh-CN"/>
          <w14:textFill>
            <w14:solidFill>
              <w14:schemeClr w14:val="tx1"/>
            </w14:solidFill>
          </w14:textFill>
        </w:rPr>
        <w:t>。</w:t>
      </w:r>
    </w:p>
    <w:p w14:paraId="51302306">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5．合同签订及备案</w:t>
      </w:r>
    </w:p>
    <w:p w14:paraId="7A18AD63">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5.1中标人应当在中标通知书发出之日起30天内与采购人签订合同，自采购合同签订之日起</w:t>
      </w:r>
      <w:r>
        <w:rPr>
          <w:rFonts w:hint="eastAsia" w:ascii="仿宋" w:hAnsi="仿宋" w:eastAsia="仿宋" w:cs="仿宋"/>
          <w:b/>
          <w:bCs/>
          <w:color w:val="000000" w:themeColor="text1"/>
          <w:sz w:val="24"/>
          <w:highlight w:val="none"/>
          <w14:textFill>
            <w14:solidFill>
              <w14:schemeClr w14:val="tx1"/>
            </w14:solidFill>
          </w14:textFill>
        </w:rPr>
        <w:t>3个工作日内</w:t>
      </w:r>
      <w:r>
        <w:rPr>
          <w:rFonts w:hint="eastAsia" w:ascii="仿宋" w:hAnsi="仿宋" w:eastAsia="仿宋" w:cs="仿宋"/>
          <w:color w:val="000000" w:themeColor="text1"/>
          <w:sz w:val="24"/>
          <w:highlight w:val="none"/>
          <w14:textFill>
            <w14:solidFill>
              <w14:schemeClr w14:val="tx1"/>
            </w14:solidFill>
          </w14:textFill>
        </w:rPr>
        <w:t>，报招标代理机构和监管部门备案。</w:t>
      </w:r>
    </w:p>
    <w:p w14:paraId="30F5506D">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5.2如中标人为联合体的，由联合体成员各方法定代表人或其授权代表与采购人代表签订合同。</w:t>
      </w:r>
    </w:p>
    <w:p w14:paraId="03E5FF0F">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6.验收</w:t>
      </w:r>
    </w:p>
    <w:p w14:paraId="3B17418C">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1420CA15">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6.2采购人可以邀请参加本项目的其他投标人或者第三方机构参与验收。参与验收的投标人或者第三方机构的意见作为验收书的参考资料一并存档。</w:t>
      </w:r>
    </w:p>
    <w:p w14:paraId="45D80830">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14:paraId="674B479B">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7.售后服务考核</w:t>
      </w:r>
    </w:p>
    <w:p w14:paraId="1DD2F94B">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1B12A89C">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p>
    <w:p w14:paraId="65315411">
      <w:pPr>
        <w:adjustRightInd/>
        <w:spacing w:line="336"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w:t>
      </w:r>
      <w:r>
        <w:rPr>
          <w:rFonts w:hint="eastAsia" w:ascii="仿宋" w:hAnsi="仿宋" w:eastAsia="仿宋" w:cs="仿宋"/>
          <w:b/>
          <w:bCs/>
          <w:color w:val="000000" w:themeColor="text1"/>
          <w:sz w:val="32"/>
          <w:szCs w:val="20"/>
          <w:highlight w:val="none"/>
          <w14:textFill>
            <w14:solidFill>
              <w14:schemeClr w14:val="tx1"/>
            </w14:solidFill>
          </w14:textFill>
        </w:rPr>
        <w:t>询问、质疑与投诉</w:t>
      </w:r>
    </w:p>
    <w:p w14:paraId="1D9CA76E">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 供应商询问</w:t>
      </w:r>
    </w:p>
    <w:p w14:paraId="7802C051">
      <w:pPr>
        <w:autoSpaceDE w:val="0"/>
        <w:autoSpaceDN w:val="0"/>
        <w:spacing w:line="440" w:lineRule="exact"/>
        <w:ind w:firstLine="480"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2C850A">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 供应商质疑</w:t>
      </w:r>
    </w:p>
    <w:p w14:paraId="2D391D61">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24"/>
          <w:szCs w:val="20"/>
          <w:highlight w:val="none"/>
          <w14:textFill>
            <w14:solidFill>
              <w14:schemeClr w14:val="tx1"/>
            </w14:solidFill>
          </w14:textFill>
        </w:rPr>
        <w:t>2</w:t>
      </w:r>
      <w:r>
        <w:rPr>
          <w:rFonts w:hint="eastAsia" w:ascii="仿宋" w:hAnsi="仿宋" w:eastAsia="仿宋" w:cs="仿宋"/>
          <w:b/>
          <w:bCs/>
          <w:color w:val="000000" w:themeColor="text1"/>
          <w:sz w:val="24"/>
          <w:szCs w:val="20"/>
          <w:highlight w:val="none"/>
          <w14:textFill>
            <w14:solidFill>
              <w14:schemeClr w14:val="tx1"/>
            </w14:solidFill>
          </w14:textFill>
        </w:rPr>
        <w:t>.1质疑提出时效</w:t>
      </w:r>
    </w:p>
    <w:p w14:paraId="047034B0">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2.1.1提出质疑的供应商应当是参与所质疑项目采购活动的供应商。潜在供应商已依法获取其可质疑的采购文件的，可以对该文件提出质疑。</w:t>
      </w:r>
    </w:p>
    <w:p w14:paraId="34B5E2B4">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2</w:t>
      </w:r>
      <w:r>
        <w:rPr>
          <w:rFonts w:hint="eastAsia" w:ascii="仿宋" w:hAnsi="仿宋" w:eastAsia="仿宋" w:cs="仿宋"/>
          <w:color w:val="000000" w:themeColor="text1"/>
          <w:sz w:val="24"/>
          <w:szCs w:val="20"/>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B3598B">
      <w:pPr>
        <w:widowControl/>
        <w:snapToGrid w:val="0"/>
        <w:spacing w:line="440" w:lineRule="exact"/>
        <w:ind w:firstLine="434" w:firstLineChars="181"/>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2.1.2.1对采购文件提出质疑的，质疑期限为供应商获得采购文件之日或者采购文件公告期限届满之日起计算，采购文件在获取截止之日后获得的，应当自采购文件公告期限届满之日起计算。</w:t>
      </w:r>
    </w:p>
    <w:p w14:paraId="741F1E77">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2.1.2.2对采购过程提出质疑的，质疑期限为各采购程序环节结束之日起计算。</w:t>
      </w:r>
    </w:p>
    <w:p w14:paraId="5934E363">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2.1.2.3对采购结果提出质疑的，质疑期限自采购结果公告期限届满之日起计算。</w:t>
      </w:r>
    </w:p>
    <w:p w14:paraId="169E0468">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2.1.2.4对同一采购程序环节的质疑，供应商须一次性提出。</w:t>
      </w:r>
    </w:p>
    <w:p w14:paraId="49972F1E">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24"/>
          <w:szCs w:val="20"/>
          <w:highlight w:val="none"/>
          <w14:textFill>
            <w14:solidFill>
              <w14:schemeClr w14:val="tx1"/>
            </w14:solidFill>
          </w14:textFill>
        </w:rPr>
        <w:t>2</w:t>
      </w:r>
      <w:r>
        <w:rPr>
          <w:rFonts w:hint="eastAsia" w:ascii="仿宋" w:hAnsi="仿宋" w:eastAsia="仿宋" w:cs="仿宋"/>
          <w:b/>
          <w:bCs/>
          <w:color w:val="000000" w:themeColor="text1"/>
          <w:kern w:val="0"/>
          <w:sz w:val="24"/>
          <w:szCs w:val="20"/>
          <w:highlight w:val="none"/>
          <w:lang w:val="zh-CN"/>
          <w14:textFill>
            <w14:solidFill>
              <w14:schemeClr w14:val="tx1"/>
            </w14:solidFill>
          </w14:textFill>
        </w:rPr>
        <w:t>.</w:t>
      </w:r>
      <w:r>
        <w:rPr>
          <w:rFonts w:hint="eastAsia" w:ascii="仿宋" w:hAnsi="仿宋" w:eastAsia="仿宋" w:cs="仿宋"/>
          <w:b/>
          <w:bCs/>
          <w:color w:val="000000" w:themeColor="text1"/>
          <w:kern w:val="0"/>
          <w:sz w:val="24"/>
          <w:szCs w:val="20"/>
          <w:highlight w:val="none"/>
          <w14:textFill>
            <w14:solidFill>
              <w14:schemeClr w14:val="tx1"/>
            </w14:solidFill>
          </w14:textFill>
        </w:rPr>
        <w:t>2</w:t>
      </w:r>
      <w:r>
        <w:rPr>
          <w:rFonts w:hint="eastAsia" w:ascii="仿宋" w:hAnsi="仿宋" w:eastAsia="仿宋" w:cs="仿宋"/>
          <w:b/>
          <w:bCs/>
          <w:color w:val="000000" w:themeColor="text1"/>
          <w:kern w:val="0"/>
          <w:sz w:val="24"/>
          <w:szCs w:val="20"/>
          <w:highlight w:val="none"/>
          <w:lang w:val="zh-CN"/>
          <w14:textFill>
            <w14:solidFill>
              <w14:schemeClr w14:val="tx1"/>
            </w14:solidFill>
          </w14:textFill>
        </w:rPr>
        <w:t>质疑函</w:t>
      </w:r>
    </w:p>
    <w:p w14:paraId="6D54C844">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2.2.1供应商提出质疑应当提交质疑函和必要的证明材料。质疑函应当包括下列内容：</w:t>
      </w:r>
    </w:p>
    <w:p w14:paraId="60482C9E">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供应商的姓名或者名称、地址、邮编、联系人及联系电话；</w:t>
      </w:r>
    </w:p>
    <w:p w14:paraId="0972D8B7">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质疑项目的名称、编号；</w:t>
      </w:r>
    </w:p>
    <w:p w14:paraId="4730AFE7">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具体、明确的质疑事项和与质疑事项相关的请求；</w:t>
      </w:r>
    </w:p>
    <w:p w14:paraId="1A0F66E4">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4292B331">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必要的法律依据；</w:t>
      </w:r>
    </w:p>
    <w:p w14:paraId="23B9836E">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提出质疑的日期。</w:t>
      </w:r>
    </w:p>
    <w:p w14:paraId="3A2239B0">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1CE4E52">
      <w:pPr>
        <w:spacing w:line="440" w:lineRule="exact"/>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质疑函范本及制作说明详见附件1。</w:t>
      </w:r>
    </w:p>
    <w:p w14:paraId="6BE735BF">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3.供应商投诉</w:t>
      </w:r>
    </w:p>
    <w:p w14:paraId="6D82D359">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3.1质疑供应商对采购人或采购代理机构的答复不满意或者采购人、采购代理机构未在规定的时间内作出答复的，可以在答复期满后十五个工作日内向采购监督管理部门提出投诉。</w:t>
      </w:r>
    </w:p>
    <w:p w14:paraId="51D2B395">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3.2供应商投诉的事项不得超出已质疑事项的范围，基于质疑答复内容提出的投诉事项除外。</w:t>
      </w:r>
    </w:p>
    <w:p w14:paraId="75F6EC84">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3.3供应商投诉应当有明确的请求和必要的证明材料。</w:t>
      </w:r>
    </w:p>
    <w:p w14:paraId="49805D84">
      <w:pPr>
        <w:spacing w:line="440" w:lineRule="exact"/>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3.4以联合体形式参加采购活动的，其投诉应当由组成联合体的所有供应商共同提出。</w:t>
      </w:r>
    </w:p>
    <w:p w14:paraId="47316070">
      <w:pPr>
        <w:snapToGrid w:val="0"/>
        <w:spacing w:line="440" w:lineRule="exact"/>
        <w:ind w:firstLine="482" w:firstLineChars="200"/>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投诉书范本及制作说明详见附件2。</w:t>
      </w:r>
    </w:p>
    <w:p w14:paraId="3D485452">
      <w:pPr>
        <w:pStyle w:val="3"/>
        <w:spacing w:line="440" w:lineRule="exact"/>
        <w:ind w:firstLine="480" w:firstLineChars="200"/>
        <w:rPr>
          <w:rFonts w:ascii="仿宋" w:hAnsi="仿宋" w:eastAsia="仿宋" w:cs="仿宋"/>
          <w:color w:val="000000" w:themeColor="text1"/>
          <w:kern w:val="0"/>
          <w:highlight w:val="none"/>
          <w14:textFill>
            <w14:solidFill>
              <w14:schemeClr w14:val="tx1"/>
            </w14:solidFill>
          </w14:textFill>
        </w:rPr>
        <w:sectPr>
          <w:footerReference r:id="rId13" w:type="first"/>
          <w:footerReference r:id="rId12" w:type="default"/>
          <w:pgSz w:w="11906" w:h="16838"/>
          <w:pgMar w:top="1814" w:right="1474" w:bottom="1814" w:left="1474" w:header="1247" w:footer="992" w:gutter="0"/>
          <w:pgNumType w:start="3"/>
          <w:cols w:space="720" w:num="1"/>
          <w:docGrid w:linePitch="312" w:charSpace="0"/>
        </w:sectPr>
      </w:pPr>
    </w:p>
    <w:bookmarkEnd w:id="22"/>
    <w:bookmarkEnd w:id="23"/>
    <w:p w14:paraId="6AC0348E">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bookmarkStart w:id="29" w:name="_Toc86217003"/>
      <w:bookmarkStart w:id="30" w:name="第五部分"/>
      <w:r>
        <w:rPr>
          <w:rFonts w:hint="eastAsia" w:ascii="仿宋" w:hAnsi="仿宋" w:eastAsia="仿宋" w:cs="仿宋"/>
          <w:b/>
          <w:color w:val="000000" w:themeColor="text1"/>
          <w:sz w:val="36"/>
          <w:szCs w:val="36"/>
          <w:highlight w:val="none"/>
          <w14:textFill>
            <w14:solidFill>
              <w14:schemeClr w14:val="tx1"/>
            </w14:solidFill>
          </w14:textFill>
        </w:rPr>
        <w:t>第三部分   招标项目范围及要求</w:t>
      </w:r>
    </w:p>
    <w:p w14:paraId="2B643E63">
      <w:pPr>
        <w:pStyle w:val="6"/>
        <w:numPr>
          <w:ilvl w:val="0"/>
          <w:numId w:val="0"/>
        </w:numPr>
        <w:tabs>
          <w:tab w:val="left" w:pos="1145"/>
          <w:tab w:val="clear" w:pos="432"/>
        </w:tabs>
        <w:jc w:val="center"/>
        <w:rPr>
          <w:rFonts w:hint="eastAsia" w:ascii="仿宋" w:hAnsi="仿宋" w:eastAsia="仿宋" w:cs="仿宋"/>
        </w:rPr>
      </w:pPr>
      <w:bookmarkStart w:id="31" w:name="_Toc73602023"/>
      <w:r>
        <w:rPr>
          <w:rFonts w:hint="eastAsia" w:ascii="仿宋" w:hAnsi="仿宋" w:eastAsia="仿宋" w:cs="仿宋"/>
        </w:rPr>
        <w:t>一、</w:t>
      </w:r>
      <w:bookmarkEnd w:id="31"/>
      <w:r>
        <w:rPr>
          <w:rFonts w:hint="eastAsia" w:ascii="仿宋" w:hAnsi="仿宋" w:eastAsia="仿宋" w:cs="仿宋"/>
        </w:rPr>
        <w:t>招标项目范围</w:t>
      </w:r>
    </w:p>
    <w:p w14:paraId="287FAA67">
      <w:pPr>
        <w:pStyle w:val="396"/>
        <w:pageBreakBefore w:val="0"/>
        <w:widowControl w:val="0"/>
        <w:kinsoku/>
        <w:wordWrap/>
        <w:overflowPunct/>
        <w:topLinePunct w:val="0"/>
        <w:autoSpaceDE/>
        <w:autoSpaceDN/>
        <w:bidi w:val="0"/>
        <w:adjustRightInd/>
        <w:spacing w:afterLines="0" w:line="560" w:lineRule="exact"/>
        <w:ind w:firstLine="0" w:firstLineChars="0"/>
        <w:jc w:val="left"/>
        <w:textAlignment w:val="auto"/>
        <w:rPr>
          <w:rFonts w:hint="eastAsia" w:ascii="仿宋" w:hAnsi="仿宋" w:eastAsia="仿宋" w:cs="仿宋"/>
          <w:bCs/>
          <w:color w:val="auto"/>
          <w:sz w:val="24"/>
          <w:szCs w:val="24"/>
        </w:rPr>
      </w:pPr>
      <w:bookmarkStart w:id="32" w:name="_Toc64705877"/>
      <w:bookmarkStart w:id="33" w:name="_Toc18813692"/>
      <w:bookmarkStart w:id="34" w:name="_Toc60567004"/>
      <w:bookmarkStart w:id="35" w:name="_Toc96238084"/>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1本项目基本情况：</w:t>
      </w:r>
      <w:r>
        <w:rPr>
          <w:rFonts w:hint="eastAsia" w:ascii="仿宋" w:hAnsi="仿宋" w:eastAsia="仿宋" w:cs="仿宋"/>
          <w:bCs/>
          <w:color w:val="auto"/>
          <w:sz w:val="24"/>
          <w:szCs w:val="24"/>
          <w:highlight w:val="none"/>
          <w:lang w:eastAsia="zh-CN"/>
        </w:rPr>
        <w:t>合同期一年（具体以合同条款约定为准）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合同期内LNG采购量约</w:t>
      </w:r>
      <w:r>
        <w:rPr>
          <w:rFonts w:hint="eastAsia" w:ascii="仿宋" w:hAnsi="仿宋" w:eastAsia="仿宋" w:cs="仿宋"/>
          <w:b/>
          <w:color w:val="auto"/>
          <w:sz w:val="24"/>
          <w:szCs w:val="24"/>
        </w:rPr>
        <w:t>400吨</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按实际需求量为准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具体</w:t>
      </w:r>
      <w:r>
        <w:rPr>
          <w:rFonts w:hint="eastAsia" w:ascii="仿宋" w:hAnsi="仿宋" w:eastAsia="仿宋" w:cs="仿宋"/>
          <w:bCs/>
          <w:color w:val="auto"/>
          <w:sz w:val="24"/>
          <w:szCs w:val="24"/>
          <w:lang w:eastAsia="zh-CN"/>
        </w:rPr>
        <w:t>供货</w:t>
      </w:r>
      <w:r>
        <w:rPr>
          <w:rFonts w:hint="eastAsia" w:ascii="仿宋" w:hAnsi="仿宋" w:eastAsia="仿宋" w:cs="仿宋"/>
          <w:bCs/>
          <w:color w:val="auto"/>
          <w:sz w:val="24"/>
          <w:szCs w:val="24"/>
        </w:rPr>
        <w:t>数量</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highlight w:val="none"/>
          <w:lang w:eastAsia="zh-CN"/>
        </w:rPr>
        <w:t>时间和指定接收站</w:t>
      </w:r>
      <w:r>
        <w:rPr>
          <w:rFonts w:hint="eastAsia" w:ascii="仿宋" w:hAnsi="仿宋" w:eastAsia="仿宋" w:cs="仿宋"/>
          <w:bCs/>
          <w:color w:val="auto"/>
          <w:sz w:val="24"/>
          <w:szCs w:val="24"/>
        </w:rPr>
        <w:t>根据</w:t>
      </w:r>
      <w:r>
        <w:rPr>
          <w:rFonts w:hint="eastAsia" w:ascii="仿宋" w:hAnsi="仿宋" w:eastAsia="仿宋" w:cs="仿宋"/>
          <w:bCs/>
          <w:color w:val="auto"/>
          <w:sz w:val="24"/>
          <w:szCs w:val="24"/>
          <w:lang w:eastAsia="zh-CN"/>
        </w:rPr>
        <w:t>招标人《供货通知单》</w:t>
      </w:r>
      <w:r>
        <w:rPr>
          <w:rFonts w:hint="eastAsia" w:ascii="仿宋" w:hAnsi="仿宋" w:eastAsia="仿宋" w:cs="仿宋"/>
          <w:bCs/>
          <w:color w:val="auto"/>
          <w:sz w:val="24"/>
          <w:szCs w:val="24"/>
        </w:rPr>
        <w:t>情况确定。</w:t>
      </w:r>
      <w:r>
        <w:rPr>
          <w:rFonts w:hint="eastAsia" w:ascii="仿宋" w:hAnsi="仿宋" w:eastAsia="仿宋" w:cs="仿宋"/>
          <w:bCs/>
          <w:color w:val="auto"/>
          <w:sz w:val="24"/>
          <w:szCs w:val="24"/>
          <w:highlight w:val="none"/>
        </w:rPr>
        <w:t>合同</w:t>
      </w:r>
      <w:r>
        <w:rPr>
          <w:rFonts w:hint="eastAsia" w:ascii="仿宋" w:hAnsi="仿宋" w:eastAsia="仿宋" w:cs="仿宋"/>
          <w:bCs/>
          <w:color w:val="auto"/>
          <w:sz w:val="24"/>
          <w:szCs w:val="24"/>
          <w:highlight w:val="none"/>
          <w:lang w:val="en-US" w:eastAsia="zh-CN"/>
        </w:rPr>
        <w:t>期满</w:t>
      </w:r>
      <w:r>
        <w:rPr>
          <w:rFonts w:hint="eastAsia" w:ascii="仿宋" w:hAnsi="仿宋" w:eastAsia="仿宋" w:cs="仿宋"/>
          <w:bCs/>
          <w:color w:val="auto"/>
          <w:sz w:val="24"/>
          <w:szCs w:val="24"/>
        </w:rPr>
        <w:t>，未出具《供货通知单》的液化天然气（LNG)不用继续供应</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招标人</w:t>
      </w:r>
      <w:r>
        <w:rPr>
          <w:rFonts w:hint="eastAsia" w:ascii="仿宋" w:hAnsi="仿宋" w:eastAsia="仿宋" w:cs="仿宋"/>
          <w:bCs/>
          <w:color w:val="auto"/>
          <w:sz w:val="24"/>
          <w:szCs w:val="24"/>
        </w:rPr>
        <w:t>不承担任何责任。</w:t>
      </w:r>
    </w:p>
    <w:p w14:paraId="7CA8EF1F">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FF0000"/>
          <w:sz w:val="24"/>
          <w:szCs w:val="24"/>
        </w:rPr>
      </w:pPr>
      <w:r>
        <w:rPr>
          <w:rFonts w:hint="eastAsia" w:ascii="仿宋" w:hAnsi="仿宋" w:eastAsia="仿宋" w:cs="仿宋"/>
          <w:b/>
          <w:color w:val="auto"/>
          <w:kern w:val="0"/>
          <w:sz w:val="24"/>
          <w:szCs w:val="24"/>
          <w:lang w:val="en-US" w:eastAsia="zh-CN" w:bidi="ar-SA"/>
        </w:rPr>
        <w:t>1.2</w:t>
      </w:r>
      <w:r>
        <w:rPr>
          <w:rFonts w:hint="eastAsia" w:ascii="仿宋" w:hAnsi="仿宋" w:eastAsia="仿宋" w:cs="仿宋"/>
          <w:b/>
          <w:color w:val="auto"/>
          <w:sz w:val="24"/>
          <w:szCs w:val="24"/>
        </w:rPr>
        <w:t>技术参数等：</w:t>
      </w:r>
      <w:r>
        <w:rPr>
          <w:rFonts w:hint="eastAsia" w:ascii="仿宋" w:hAnsi="仿宋" w:eastAsia="仿宋" w:cs="仿宋"/>
          <w:color w:val="auto"/>
          <w:sz w:val="24"/>
          <w:szCs w:val="24"/>
        </w:rPr>
        <w:t>LNG质量符合中华人民共和国国家标准《天然气》（GB 17820）最新标准中所规定的二类天然气气质标准执行。</w:t>
      </w:r>
      <w:r>
        <w:rPr>
          <w:rFonts w:hint="eastAsia" w:ascii="仿宋" w:hAnsi="仿宋" w:eastAsia="仿宋" w:cs="仿宋"/>
          <w:b/>
          <w:bCs/>
          <w:color w:val="auto"/>
          <w:sz w:val="24"/>
          <w:szCs w:val="24"/>
        </w:rPr>
        <w:t>气源为浙江省区域内（</w:t>
      </w:r>
      <w:r>
        <w:rPr>
          <w:rFonts w:hint="eastAsia" w:ascii="仿宋" w:hAnsi="仿宋" w:eastAsia="仿宋" w:cs="仿宋"/>
          <w:b/>
          <w:bCs/>
          <w:color w:val="auto"/>
          <w:sz w:val="24"/>
          <w:szCs w:val="24"/>
          <w:lang w:eastAsia="zh-CN"/>
        </w:rPr>
        <w:t>浙江宁波</w:t>
      </w:r>
      <w:r>
        <w:rPr>
          <w:rFonts w:hint="eastAsia" w:ascii="仿宋" w:hAnsi="仿宋" w:eastAsia="仿宋" w:cs="仿宋"/>
          <w:b/>
          <w:bCs/>
          <w:color w:val="auto"/>
          <w:sz w:val="24"/>
          <w:szCs w:val="24"/>
        </w:rPr>
        <w:t>或舟山</w:t>
      </w:r>
      <w:r>
        <w:rPr>
          <w:rFonts w:hint="eastAsia" w:ascii="仿宋" w:hAnsi="仿宋" w:eastAsia="仿宋" w:cs="仿宋"/>
          <w:b/>
          <w:bCs/>
          <w:color w:val="auto"/>
          <w:sz w:val="24"/>
          <w:szCs w:val="24"/>
          <w:lang w:eastAsia="zh-CN"/>
        </w:rPr>
        <w:t>新奥</w:t>
      </w:r>
      <w:r>
        <w:rPr>
          <w:rFonts w:hint="eastAsia" w:ascii="仿宋" w:hAnsi="仿宋" w:eastAsia="仿宋" w:cs="仿宋"/>
          <w:b/>
          <w:bCs/>
          <w:color w:val="auto"/>
          <w:sz w:val="24"/>
          <w:szCs w:val="24"/>
        </w:rPr>
        <w:t>）接收站</w:t>
      </w:r>
      <w:r>
        <w:rPr>
          <w:rFonts w:hint="eastAsia" w:ascii="仿宋" w:hAnsi="仿宋" w:eastAsia="仿宋" w:cs="仿宋"/>
          <w:b/>
          <w:bCs/>
          <w:color w:val="auto"/>
          <w:sz w:val="24"/>
          <w:szCs w:val="24"/>
          <w:lang w:eastAsia="zh-CN"/>
        </w:rPr>
        <w:t>和江苏</w:t>
      </w:r>
      <w:r>
        <w:rPr>
          <w:rFonts w:hint="eastAsia" w:ascii="仿宋" w:hAnsi="仿宋" w:eastAsia="仿宋" w:cs="仿宋"/>
          <w:b/>
          <w:bCs/>
          <w:color w:val="auto"/>
          <w:sz w:val="24"/>
          <w:szCs w:val="24"/>
        </w:rPr>
        <w:t>省区域</w:t>
      </w:r>
      <w:r>
        <w:rPr>
          <w:rFonts w:hint="eastAsia" w:ascii="仿宋" w:hAnsi="仿宋" w:eastAsia="仿宋" w:cs="仿宋"/>
          <w:b/>
          <w:bCs/>
          <w:color w:val="auto"/>
          <w:sz w:val="24"/>
          <w:szCs w:val="24"/>
          <w:lang w:eastAsia="zh-CN"/>
        </w:rPr>
        <w:t>内</w:t>
      </w:r>
      <w:r>
        <w:rPr>
          <w:rFonts w:hint="eastAsia" w:ascii="仿宋" w:hAnsi="仿宋" w:eastAsia="仿宋" w:cs="仿宋"/>
          <w:b/>
          <w:bCs/>
          <w:color w:val="auto"/>
          <w:sz w:val="24"/>
          <w:szCs w:val="24"/>
          <w:highlight w:val="none"/>
          <w:lang w:eastAsia="zh-CN"/>
        </w:rPr>
        <w:t>江苏如东接收站</w:t>
      </w:r>
      <w:r>
        <w:rPr>
          <w:rFonts w:hint="eastAsia" w:ascii="仿宋" w:hAnsi="仿宋" w:eastAsia="仿宋" w:cs="仿宋"/>
          <w:color w:val="auto"/>
          <w:sz w:val="24"/>
          <w:szCs w:val="24"/>
        </w:rPr>
        <w:t>。</w:t>
      </w:r>
    </w:p>
    <w:p w14:paraId="064B7BA0">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lang w:val="en-US" w:eastAsia="zh-CN" w:bidi="ar-SA"/>
        </w:rPr>
        <w:t>1.3</w:t>
      </w:r>
      <w:r>
        <w:rPr>
          <w:rFonts w:hint="eastAsia" w:ascii="仿宋" w:hAnsi="仿宋" w:eastAsia="仿宋" w:cs="仿宋"/>
          <w:b/>
          <w:bCs/>
          <w:color w:val="auto"/>
          <w:sz w:val="24"/>
          <w:szCs w:val="24"/>
        </w:rPr>
        <w:t>服务</w:t>
      </w:r>
      <w:r>
        <w:rPr>
          <w:rFonts w:hint="eastAsia" w:ascii="仿宋" w:hAnsi="仿宋" w:eastAsia="仿宋" w:cs="仿宋"/>
          <w:b/>
          <w:bCs/>
          <w:sz w:val="24"/>
          <w:szCs w:val="24"/>
        </w:rPr>
        <w:t>要求：</w:t>
      </w:r>
      <w:r>
        <w:rPr>
          <w:rFonts w:hint="eastAsia" w:ascii="仿宋" w:hAnsi="仿宋" w:eastAsia="仿宋" w:cs="仿宋"/>
          <w:sz w:val="24"/>
          <w:szCs w:val="24"/>
        </w:rPr>
        <w:t>中标人的服务要求按第四部分合同的主要条款执行</w:t>
      </w:r>
      <w:r>
        <w:rPr>
          <w:rFonts w:hint="eastAsia" w:ascii="仿宋" w:hAnsi="仿宋" w:eastAsia="仿宋" w:cs="仿宋"/>
          <w:sz w:val="24"/>
          <w:szCs w:val="24"/>
          <w:lang w:eastAsia="zh-CN"/>
        </w:rPr>
        <w:t>，</w:t>
      </w:r>
      <w:r>
        <w:rPr>
          <w:rFonts w:hint="eastAsia" w:ascii="仿宋" w:hAnsi="仿宋" w:eastAsia="仿宋" w:cs="仿宋"/>
          <w:sz w:val="24"/>
          <w:szCs w:val="24"/>
        </w:rPr>
        <w:t>并在每次供货期间</w:t>
      </w:r>
      <w:r>
        <w:rPr>
          <w:rFonts w:hint="eastAsia" w:ascii="仿宋" w:hAnsi="仿宋" w:eastAsia="仿宋" w:cs="仿宋"/>
          <w:color w:val="000000"/>
          <w:sz w:val="24"/>
          <w:szCs w:val="24"/>
        </w:rPr>
        <w:t>提供</w:t>
      </w:r>
      <w:r>
        <w:rPr>
          <w:rFonts w:hint="eastAsia" w:ascii="仿宋" w:hAnsi="仿宋" w:eastAsia="仿宋" w:cs="仿宋"/>
          <w:sz w:val="24"/>
          <w:szCs w:val="24"/>
        </w:rPr>
        <w:t>《道路运输从业人员从业资格证》（道路危险货物运输员、道路危险货物押运员）</w:t>
      </w:r>
      <w:r>
        <w:rPr>
          <w:rFonts w:hint="eastAsia" w:ascii="仿宋" w:hAnsi="仿宋" w:eastAsia="仿宋" w:cs="仿宋"/>
          <w:color w:val="000000"/>
          <w:sz w:val="24"/>
          <w:szCs w:val="24"/>
        </w:rPr>
        <w:t>，</w:t>
      </w:r>
      <w:r>
        <w:rPr>
          <w:rFonts w:hint="eastAsia" w:ascii="仿宋" w:hAnsi="仿宋" w:eastAsia="仿宋" w:cs="仿宋"/>
          <w:sz w:val="24"/>
          <w:szCs w:val="24"/>
        </w:rPr>
        <w:t>《道路运输证》</w:t>
      </w:r>
      <w:r>
        <w:rPr>
          <w:rFonts w:hint="eastAsia" w:ascii="仿宋" w:hAnsi="仿宋" w:eastAsia="仿宋" w:cs="仿宋"/>
          <w:color w:val="000000"/>
          <w:sz w:val="24"/>
          <w:szCs w:val="24"/>
        </w:rPr>
        <w:t>，</w:t>
      </w:r>
      <w:r>
        <w:rPr>
          <w:rFonts w:hint="eastAsia" w:ascii="仿宋" w:hAnsi="仿宋" w:eastAsia="仿宋" w:cs="仿宋"/>
          <w:sz w:val="24"/>
          <w:szCs w:val="24"/>
        </w:rPr>
        <w:t>《移动式压力容器使用登记证》或《特种设备使用登记证》，以上证件均需提供原</w:t>
      </w:r>
      <w:r>
        <w:rPr>
          <w:rFonts w:hint="eastAsia" w:ascii="仿宋" w:hAnsi="仿宋" w:eastAsia="仿宋" w:cs="仿宋"/>
          <w:color w:val="auto"/>
          <w:sz w:val="24"/>
          <w:szCs w:val="24"/>
        </w:rPr>
        <w:t>件。</w:t>
      </w:r>
    </w:p>
    <w:p w14:paraId="3747833E">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1.4其他要求：</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人登记报备绿色编码，未申领绿色编码的柴油动力移动源不得进入作业现场。</w:t>
      </w:r>
    </w:p>
    <w:bookmarkEnd w:id="32"/>
    <w:bookmarkEnd w:id="33"/>
    <w:bookmarkEnd w:id="34"/>
    <w:bookmarkEnd w:id="35"/>
    <w:p w14:paraId="42348825">
      <w:pPr>
        <w:pStyle w:val="6"/>
        <w:pageBreakBefore w:val="0"/>
        <w:widowControl w:val="0"/>
        <w:numPr>
          <w:ilvl w:val="0"/>
          <w:numId w:val="0"/>
        </w:numPr>
        <w:tabs>
          <w:tab w:val="left" w:pos="1145"/>
          <w:tab w:val="clear" w:pos="432"/>
        </w:tabs>
        <w:kinsoku/>
        <w:wordWrap/>
        <w:overflowPunct/>
        <w:topLinePunct w:val="0"/>
        <w:autoSpaceDE/>
        <w:autoSpaceDN/>
        <w:bidi w:val="0"/>
        <w:adjustRightInd/>
        <w:spacing w:line="560" w:lineRule="exact"/>
        <w:jc w:val="center"/>
        <w:textAlignment w:val="auto"/>
        <w:rPr>
          <w:rFonts w:hint="eastAsia" w:ascii="仿宋" w:hAnsi="仿宋" w:eastAsia="仿宋" w:cs="仿宋"/>
          <w:highlight w:val="none"/>
          <w:lang w:eastAsia="zh-CN"/>
        </w:rPr>
      </w:pPr>
      <w:bookmarkStart w:id="36" w:name="_Toc505746939"/>
      <w:bookmarkEnd w:id="36"/>
      <w:bookmarkStart w:id="37" w:name="_Toc399318773"/>
      <w:bookmarkEnd w:id="37"/>
      <w:bookmarkStart w:id="38" w:name="_Hlt515349389"/>
      <w:bookmarkEnd w:id="38"/>
      <w:bookmarkStart w:id="39" w:name="_Toc478439473"/>
      <w:bookmarkEnd w:id="39"/>
      <w:bookmarkStart w:id="40" w:name="_Toc399326517"/>
      <w:bookmarkEnd w:id="40"/>
      <w:r>
        <w:rPr>
          <w:rFonts w:hint="eastAsia" w:ascii="仿宋" w:hAnsi="仿宋" w:eastAsia="仿宋" w:cs="仿宋"/>
          <w:highlight w:val="none"/>
        </w:rPr>
        <w:t>二、商务要求</w:t>
      </w:r>
    </w:p>
    <w:p w14:paraId="357EAE16">
      <w:pPr>
        <w:pageBreakBefore w:val="0"/>
        <w:widowControl w:val="0"/>
        <w:kinsoku/>
        <w:wordWrap/>
        <w:overflowPunct/>
        <w:topLinePunct w:val="0"/>
        <w:autoSpaceDE/>
        <w:autoSpaceDN/>
        <w:bidi w:val="0"/>
        <w:adjustRightInd/>
        <w:spacing w:line="560" w:lineRule="exact"/>
        <w:ind w:right="26"/>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2.1</w:t>
      </w:r>
      <w:r>
        <w:rPr>
          <w:rFonts w:hint="eastAsia" w:ascii="仿宋" w:hAnsi="仿宋" w:eastAsia="仿宋" w:cs="仿宋"/>
          <w:b/>
          <w:sz w:val="24"/>
          <w:szCs w:val="24"/>
        </w:rPr>
        <w:t>合同期限及用气数量和</w:t>
      </w:r>
      <w:r>
        <w:rPr>
          <w:rFonts w:hint="eastAsia" w:ascii="仿宋" w:hAnsi="仿宋" w:eastAsia="仿宋" w:cs="仿宋"/>
          <w:b/>
          <w:sz w:val="24"/>
          <w:szCs w:val="24"/>
          <w:lang w:eastAsia="zh-CN"/>
        </w:rPr>
        <w:t>交付点</w:t>
      </w:r>
    </w:p>
    <w:p w14:paraId="0D65A32F">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.1 合同期限：</w:t>
      </w:r>
      <w:r>
        <w:rPr>
          <w:rFonts w:hint="eastAsia" w:ascii="仿宋" w:hAnsi="仿宋" w:eastAsia="仿宋" w:cs="仿宋"/>
          <w:color w:val="000000"/>
          <w:sz w:val="24"/>
          <w:szCs w:val="24"/>
          <w:highlight w:val="none"/>
          <w:lang w:eastAsia="zh-CN"/>
        </w:rPr>
        <w:t>合同期一年（具体以合同条款约定为准）</w:t>
      </w:r>
      <w:r>
        <w:rPr>
          <w:rFonts w:hint="eastAsia" w:ascii="仿宋" w:hAnsi="仿宋" w:eastAsia="仿宋" w:cs="仿宋"/>
          <w:sz w:val="24"/>
          <w:szCs w:val="24"/>
          <w:highlight w:val="none"/>
        </w:rPr>
        <w:t>。</w:t>
      </w:r>
    </w:p>
    <w:p w14:paraId="2DC6E3F2">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.2 合同期内的供货数量：</w:t>
      </w:r>
      <w:r>
        <w:rPr>
          <w:rFonts w:hint="eastAsia" w:ascii="仿宋" w:hAnsi="仿宋" w:eastAsia="仿宋" w:cs="仿宋"/>
          <w:color w:val="000000"/>
          <w:sz w:val="24"/>
          <w:szCs w:val="24"/>
        </w:rPr>
        <w:t>中标人根据招标人《供货通知单》要求的计划量按约向招标人提供液化天然气(LNG)，供货数量以招标人书面通知为准。</w:t>
      </w:r>
    </w:p>
    <w:p w14:paraId="1ED864B9">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.3 合同项下</w:t>
      </w:r>
      <w:r>
        <w:rPr>
          <w:rFonts w:hint="eastAsia" w:ascii="仿宋" w:hAnsi="仿宋" w:eastAsia="仿宋" w:cs="仿宋"/>
          <w:color w:val="000000"/>
          <w:sz w:val="24"/>
          <w:szCs w:val="24"/>
        </w:rPr>
        <w:t>液化</w:t>
      </w:r>
      <w:r>
        <w:rPr>
          <w:rFonts w:hint="eastAsia" w:ascii="仿宋" w:hAnsi="仿宋" w:eastAsia="仿宋" w:cs="仿宋"/>
          <w:sz w:val="24"/>
          <w:szCs w:val="24"/>
        </w:rPr>
        <w:t>天然气(LN</w:t>
      </w:r>
      <w:r>
        <w:rPr>
          <w:rFonts w:hint="eastAsia" w:ascii="仿宋" w:hAnsi="仿宋" w:eastAsia="仿宋" w:cs="仿宋"/>
          <w:color w:val="auto"/>
          <w:sz w:val="24"/>
          <w:szCs w:val="24"/>
        </w:rPr>
        <w:t>G)的</w:t>
      </w:r>
      <w:r>
        <w:rPr>
          <w:rFonts w:hint="eastAsia" w:ascii="仿宋" w:hAnsi="仿宋" w:eastAsia="仿宋" w:cs="仿宋"/>
          <w:color w:val="auto"/>
          <w:sz w:val="24"/>
          <w:szCs w:val="24"/>
          <w:lang w:eastAsia="zh-CN"/>
        </w:rPr>
        <w:t>交付点</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绍兴袍江工业区汤公路319号</w:t>
      </w:r>
      <w:r>
        <w:rPr>
          <w:rFonts w:hint="eastAsia" w:ascii="仿宋" w:hAnsi="仿宋" w:eastAsia="仿宋" w:cs="仿宋"/>
          <w:color w:val="auto"/>
          <w:sz w:val="24"/>
          <w:szCs w:val="24"/>
        </w:rPr>
        <w:t>“绍兴天然气门站”LNG应急气源站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包含但不限于</w:t>
      </w:r>
      <w:r>
        <w:rPr>
          <w:rFonts w:hint="eastAsia" w:ascii="仿宋" w:hAnsi="仿宋" w:eastAsia="仿宋" w:cs="仿宋"/>
          <w:color w:val="auto"/>
          <w:sz w:val="24"/>
          <w:szCs w:val="24"/>
          <w:lang w:eastAsia="zh-CN"/>
        </w:rPr>
        <w:t>）。</w:t>
      </w:r>
    </w:p>
    <w:p w14:paraId="29877AD9">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.4 所有气量的指定均按每车约20吨。</w:t>
      </w:r>
    </w:p>
    <w:p w14:paraId="4BDC7D2C">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2.1.5</w:t>
      </w:r>
      <w:r>
        <w:rPr>
          <w:rFonts w:hint="eastAsia" w:ascii="仿宋" w:hAnsi="仿宋" w:eastAsia="仿宋" w:cs="仿宋"/>
          <w:color w:val="000000"/>
          <w:sz w:val="24"/>
          <w:szCs w:val="24"/>
          <w:highlight w:val="none"/>
        </w:rPr>
        <w:t>液化天然气(LNG)</w:t>
      </w:r>
      <w:r>
        <w:rPr>
          <w:rFonts w:hint="eastAsia" w:ascii="仿宋" w:hAnsi="仿宋" w:eastAsia="仿宋" w:cs="仿宋"/>
          <w:color w:val="000000"/>
          <w:sz w:val="24"/>
          <w:szCs w:val="24"/>
          <w:highlight w:val="none"/>
          <w:lang w:eastAsia="zh-CN"/>
        </w:rPr>
        <w:t>起运</w:t>
      </w:r>
      <w:r>
        <w:rPr>
          <w:rFonts w:hint="eastAsia" w:ascii="仿宋" w:hAnsi="仿宋" w:eastAsia="仿宋" w:cs="仿宋"/>
          <w:sz w:val="24"/>
          <w:szCs w:val="24"/>
          <w:highlight w:val="none"/>
          <w:lang w:eastAsia="zh-CN"/>
        </w:rPr>
        <w:t>接收站</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招标人</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rPr>
        <w:t>《供货通知单》</w:t>
      </w:r>
      <w:r>
        <w:rPr>
          <w:rFonts w:hint="eastAsia" w:ascii="仿宋" w:hAnsi="仿宋" w:eastAsia="仿宋" w:cs="仿宋"/>
          <w:color w:val="000000"/>
          <w:sz w:val="24"/>
          <w:szCs w:val="24"/>
          <w:highlight w:val="none"/>
          <w:lang w:eastAsia="zh-CN"/>
        </w:rPr>
        <w:t>中指定的接收站作为中标人</w:t>
      </w:r>
      <w:r>
        <w:rPr>
          <w:rFonts w:hint="eastAsia" w:ascii="仿宋" w:hAnsi="仿宋" w:eastAsia="仿宋" w:cs="仿宋"/>
          <w:color w:val="000000"/>
          <w:sz w:val="24"/>
          <w:szCs w:val="24"/>
          <w:highlight w:val="none"/>
        </w:rPr>
        <w:t>液化天然气(LNG)</w:t>
      </w:r>
      <w:r>
        <w:rPr>
          <w:rFonts w:hint="eastAsia" w:ascii="仿宋" w:hAnsi="仿宋" w:eastAsia="仿宋" w:cs="仿宋"/>
          <w:sz w:val="24"/>
          <w:szCs w:val="24"/>
          <w:highlight w:val="none"/>
          <w:lang w:eastAsia="zh-CN"/>
        </w:rPr>
        <w:t>起运接收站。</w:t>
      </w:r>
    </w:p>
    <w:p w14:paraId="55336042">
      <w:pPr>
        <w:pageBreakBefore w:val="0"/>
        <w:widowControl w:val="0"/>
        <w:kinsoku/>
        <w:wordWrap/>
        <w:overflowPunct/>
        <w:topLinePunct w:val="0"/>
        <w:autoSpaceDE/>
        <w:autoSpaceDN/>
        <w:bidi w:val="0"/>
        <w:adjustRightInd/>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标的物及质量</w:t>
      </w:r>
    </w:p>
    <w:p w14:paraId="64470AD5">
      <w:pPr>
        <w:pStyle w:val="26"/>
        <w:pageBreakBefore w:val="0"/>
        <w:widowControl w:val="0"/>
        <w:kinsoku/>
        <w:wordWrap/>
        <w:overflowPunct/>
        <w:topLinePunct w:val="0"/>
        <w:autoSpaceDE/>
        <w:autoSpaceDN/>
        <w:bidi w:val="0"/>
        <w:adjustRightInd/>
        <w:spacing w:after="0" w:line="5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.1 合同标的物为液化天然气（以下简称“LNG”）</w:t>
      </w:r>
      <w:r>
        <w:rPr>
          <w:rFonts w:hint="eastAsia" w:ascii="仿宋" w:hAnsi="仿宋" w:eastAsia="仿宋" w:cs="仿宋"/>
          <w:bCs/>
          <w:sz w:val="24"/>
          <w:szCs w:val="24"/>
        </w:rPr>
        <w:t>。</w:t>
      </w:r>
    </w:p>
    <w:p w14:paraId="04D5B84C">
      <w:pPr>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.2 中标人销售给招标人的LNG质量符合中华人民共和国国家标准《天然气》（GB 17820）最新标准中所规定的二类天然气气质标准。</w:t>
      </w:r>
      <w:r>
        <w:rPr>
          <w:rFonts w:hint="eastAsia" w:ascii="仿宋" w:hAnsi="仿宋" w:eastAsia="仿宋" w:cs="仿宋"/>
          <w:b/>
          <w:bCs/>
          <w:color w:val="auto"/>
          <w:sz w:val="24"/>
          <w:szCs w:val="24"/>
          <w:highlight w:val="none"/>
        </w:rPr>
        <w:t>气源为浙江省区域内（</w:t>
      </w:r>
      <w:r>
        <w:rPr>
          <w:rFonts w:hint="eastAsia" w:ascii="仿宋" w:hAnsi="仿宋" w:eastAsia="仿宋" w:cs="仿宋"/>
          <w:b/>
          <w:bCs/>
          <w:color w:val="auto"/>
          <w:sz w:val="24"/>
          <w:szCs w:val="24"/>
          <w:highlight w:val="none"/>
          <w:lang w:eastAsia="zh-CN"/>
        </w:rPr>
        <w:t>浙江宁波</w:t>
      </w:r>
      <w:r>
        <w:rPr>
          <w:rFonts w:hint="eastAsia" w:ascii="仿宋" w:hAnsi="仿宋" w:eastAsia="仿宋" w:cs="仿宋"/>
          <w:b/>
          <w:bCs/>
          <w:color w:val="auto"/>
          <w:sz w:val="24"/>
          <w:szCs w:val="24"/>
          <w:highlight w:val="none"/>
        </w:rPr>
        <w:t>或舟山</w:t>
      </w:r>
      <w:r>
        <w:rPr>
          <w:rFonts w:hint="eastAsia" w:ascii="仿宋" w:hAnsi="仿宋" w:eastAsia="仿宋" w:cs="仿宋"/>
          <w:b/>
          <w:bCs/>
          <w:color w:val="auto"/>
          <w:sz w:val="24"/>
          <w:szCs w:val="24"/>
          <w:highlight w:val="none"/>
          <w:lang w:eastAsia="zh-CN"/>
        </w:rPr>
        <w:t>新奥</w:t>
      </w:r>
      <w:r>
        <w:rPr>
          <w:rFonts w:hint="eastAsia" w:ascii="仿宋" w:hAnsi="仿宋" w:eastAsia="仿宋" w:cs="仿宋"/>
          <w:b/>
          <w:bCs/>
          <w:color w:val="auto"/>
          <w:sz w:val="24"/>
          <w:szCs w:val="24"/>
          <w:highlight w:val="none"/>
        </w:rPr>
        <w:t>）接收站</w:t>
      </w:r>
      <w:r>
        <w:rPr>
          <w:rFonts w:hint="eastAsia" w:ascii="仿宋" w:hAnsi="仿宋" w:eastAsia="仿宋" w:cs="仿宋"/>
          <w:b/>
          <w:bCs/>
          <w:color w:val="auto"/>
          <w:sz w:val="24"/>
          <w:szCs w:val="24"/>
          <w:highlight w:val="none"/>
          <w:lang w:eastAsia="zh-CN"/>
        </w:rPr>
        <w:t>或者江苏如东接收站。</w:t>
      </w:r>
      <w:r>
        <w:rPr>
          <w:rFonts w:hint="eastAsia" w:ascii="仿宋" w:hAnsi="仿宋" w:eastAsia="仿宋" w:cs="仿宋"/>
          <w:color w:val="auto"/>
          <w:sz w:val="24"/>
          <w:szCs w:val="24"/>
          <w:highlight w:val="none"/>
        </w:rPr>
        <w:t>当浙江省区域内（</w:t>
      </w:r>
      <w:r>
        <w:rPr>
          <w:rFonts w:hint="eastAsia" w:ascii="仿宋" w:hAnsi="仿宋" w:eastAsia="仿宋" w:cs="仿宋"/>
          <w:color w:val="auto"/>
          <w:sz w:val="24"/>
          <w:szCs w:val="24"/>
          <w:highlight w:val="none"/>
          <w:lang w:eastAsia="zh-CN"/>
        </w:rPr>
        <w:t>浙江宁波</w:t>
      </w:r>
      <w:r>
        <w:rPr>
          <w:rFonts w:hint="eastAsia" w:ascii="仿宋" w:hAnsi="仿宋" w:eastAsia="仿宋" w:cs="仿宋"/>
          <w:color w:val="auto"/>
          <w:sz w:val="24"/>
          <w:szCs w:val="24"/>
          <w:highlight w:val="none"/>
        </w:rPr>
        <w:t>或舟山</w:t>
      </w:r>
      <w:r>
        <w:rPr>
          <w:rFonts w:hint="eastAsia" w:ascii="仿宋" w:hAnsi="仿宋" w:eastAsia="仿宋" w:cs="仿宋"/>
          <w:color w:val="auto"/>
          <w:sz w:val="24"/>
          <w:szCs w:val="24"/>
          <w:highlight w:val="none"/>
          <w:lang w:eastAsia="zh-CN"/>
        </w:rPr>
        <w:t>新奥</w:t>
      </w:r>
      <w:r>
        <w:rPr>
          <w:rFonts w:hint="eastAsia" w:ascii="仿宋" w:hAnsi="仿宋" w:eastAsia="仿宋" w:cs="仿宋"/>
          <w:color w:val="auto"/>
          <w:sz w:val="24"/>
          <w:szCs w:val="24"/>
          <w:highlight w:val="none"/>
        </w:rPr>
        <w:t>）接收站</w:t>
      </w:r>
      <w:r>
        <w:rPr>
          <w:rFonts w:hint="eastAsia" w:ascii="仿宋" w:hAnsi="仿宋" w:eastAsia="仿宋" w:cs="仿宋"/>
          <w:color w:val="auto"/>
          <w:sz w:val="24"/>
          <w:szCs w:val="24"/>
          <w:highlight w:val="none"/>
          <w:lang w:eastAsia="zh-CN"/>
        </w:rPr>
        <w:t>、江苏区域内</w:t>
      </w:r>
      <w:r>
        <w:rPr>
          <w:rFonts w:hint="eastAsia" w:ascii="仿宋" w:hAnsi="仿宋" w:eastAsia="仿宋" w:cs="仿宋"/>
          <w:b w:val="0"/>
          <w:bCs w:val="0"/>
          <w:color w:val="auto"/>
          <w:sz w:val="24"/>
          <w:szCs w:val="24"/>
          <w:highlight w:val="none"/>
          <w:lang w:eastAsia="zh-CN"/>
        </w:rPr>
        <w:t>江苏如东接收站</w:t>
      </w:r>
      <w:r>
        <w:rPr>
          <w:rFonts w:hint="eastAsia" w:ascii="仿宋" w:hAnsi="仿宋" w:eastAsia="仿宋" w:cs="仿宋"/>
          <w:color w:val="auto"/>
          <w:sz w:val="24"/>
          <w:szCs w:val="24"/>
          <w:highlight w:val="none"/>
        </w:rPr>
        <w:t>供货确有困难时，经中标人</w:t>
      </w:r>
      <w:r>
        <w:rPr>
          <w:rFonts w:hint="eastAsia" w:ascii="仿宋" w:hAnsi="仿宋" w:eastAsia="仿宋" w:cs="仿宋"/>
          <w:b/>
          <w:bCs/>
          <w:color w:val="auto"/>
          <w:sz w:val="24"/>
          <w:szCs w:val="24"/>
          <w:highlight w:val="none"/>
        </w:rPr>
        <w:t>书面申请</w:t>
      </w:r>
      <w:r>
        <w:rPr>
          <w:rFonts w:hint="eastAsia" w:ascii="仿宋" w:hAnsi="仿宋" w:eastAsia="仿宋" w:cs="仿宋"/>
          <w:color w:val="auto"/>
          <w:sz w:val="24"/>
          <w:szCs w:val="24"/>
          <w:highlight w:val="none"/>
        </w:rPr>
        <w:t>，招标人同意后可提供其他符合要求的气源，</w:t>
      </w:r>
      <w:r>
        <w:rPr>
          <w:rFonts w:hint="eastAsia" w:ascii="仿宋" w:hAnsi="仿宋" w:eastAsia="仿宋" w:cs="仿宋"/>
          <w:b/>
          <w:bCs/>
          <w:color w:val="auto"/>
          <w:sz w:val="24"/>
          <w:szCs w:val="24"/>
          <w:highlight w:val="none"/>
        </w:rPr>
        <w:t>但结算价格按《供货通知单》发出当日的</w:t>
      </w:r>
      <w:r>
        <w:rPr>
          <w:rFonts w:hint="eastAsia" w:ascii="仿宋" w:hAnsi="仿宋" w:eastAsia="仿宋" w:cs="仿宋"/>
          <w:b/>
          <w:bCs/>
          <w:color w:val="auto"/>
          <w:sz w:val="24"/>
          <w:szCs w:val="24"/>
          <w:highlight w:val="none"/>
          <w:lang w:eastAsia="zh-CN"/>
        </w:rPr>
        <w:t>浙江宁波</w:t>
      </w:r>
      <w:r>
        <w:rPr>
          <w:rFonts w:hint="eastAsia" w:ascii="仿宋" w:hAnsi="仿宋" w:eastAsia="仿宋" w:cs="仿宋"/>
          <w:b/>
          <w:bCs/>
          <w:color w:val="auto"/>
          <w:sz w:val="24"/>
          <w:szCs w:val="24"/>
          <w:highlight w:val="none"/>
        </w:rPr>
        <w:t>接收站</w:t>
      </w:r>
      <w:r>
        <w:rPr>
          <w:rFonts w:hint="eastAsia" w:ascii="仿宋" w:hAnsi="仿宋" w:eastAsia="仿宋" w:cs="仿宋"/>
          <w:b/>
          <w:bCs/>
          <w:color w:val="auto"/>
          <w:sz w:val="24"/>
          <w:szCs w:val="24"/>
          <w:highlight w:val="none"/>
          <w:lang w:eastAsia="zh-CN"/>
        </w:rPr>
        <w:t>下浮后的价格、</w:t>
      </w:r>
      <w:r>
        <w:rPr>
          <w:rFonts w:hint="eastAsia" w:ascii="仿宋" w:hAnsi="仿宋" w:eastAsia="仿宋" w:cs="仿宋"/>
          <w:b/>
          <w:bCs/>
          <w:color w:val="auto"/>
          <w:sz w:val="24"/>
          <w:szCs w:val="24"/>
          <w:highlight w:val="none"/>
        </w:rPr>
        <w:t>舟山</w:t>
      </w:r>
      <w:r>
        <w:rPr>
          <w:rFonts w:hint="eastAsia" w:ascii="仿宋" w:hAnsi="仿宋" w:eastAsia="仿宋" w:cs="仿宋"/>
          <w:b/>
          <w:bCs/>
          <w:color w:val="auto"/>
          <w:sz w:val="24"/>
          <w:szCs w:val="24"/>
          <w:highlight w:val="none"/>
          <w:lang w:eastAsia="zh-CN"/>
        </w:rPr>
        <w:t>新奥</w:t>
      </w:r>
      <w:r>
        <w:rPr>
          <w:rFonts w:hint="eastAsia" w:ascii="仿宋" w:hAnsi="仿宋" w:eastAsia="仿宋" w:cs="仿宋"/>
          <w:b/>
          <w:bCs/>
          <w:color w:val="auto"/>
          <w:sz w:val="24"/>
          <w:szCs w:val="24"/>
          <w:highlight w:val="none"/>
        </w:rPr>
        <w:t>接收站</w:t>
      </w:r>
      <w:r>
        <w:rPr>
          <w:rFonts w:hint="eastAsia" w:ascii="仿宋" w:hAnsi="仿宋" w:eastAsia="仿宋" w:cs="仿宋"/>
          <w:b/>
          <w:bCs/>
          <w:color w:val="auto"/>
          <w:sz w:val="24"/>
          <w:szCs w:val="24"/>
          <w:highlight w:val="none"/>
          <w:lang w:eastAsia="zh-CN"/>
        </w:rPr>
        <w:t>下浮后的价格、江苏如东接收站下浮后的价格和中</w:t>
      </w:r>
      <w:r>
        <w:rPr>
          <w:rFonts w:hint="eastAsia" w:ascii="仿宋" w:hAnsi="仿宋" w:eastAsia="仿宋" w:cs="仿宋"/>
          <w:b/>
          <w:bCs/>
          <w:color w:val="auto"/>
          <w:sz w:val="24"/>
          <w:szCs w:val="24"/>
          <w:highlight w:val="none"/>
        </w:rPr>
        <w:t>标人提供其他符合要求的</w:t>
      </w:r>
      <w:r>
        <w:rPr>
          <w:rFonts w:hint="eastAsia" w:ascii="仿宋" w:hAnsi="仿宋" w:eastAsia="仿宋" w:cs="仿宋"/>
          <w:b/>
          <w:bCs/>
          <w:color w:val="auto"/>
          <w:sz w:val="24"/>
          <w:szCs w:val="24"/>
          <w:highlight w:val="none"/>
          <w:lang w:eastAsia="zh-CN"/>
        </w:rPr>
        <w:t>气源接收站的</w:t>
      </w:r>
      <w:r>
        <w:rPr>
          <w:rFonts w:hint="eastAsia" w:ascii="仿宋" w:hAnsi="仿宋" w:eastAsia="仿宋" w:cs="仿宋"/>
          <w:b/>
          <w:bCs/>
          <w:color w:val="auto"/>
          <w:sz w:val="24"/>
          <w:szCs w:val="24"/>
          <w:highlight w:val="none"/>
        </w:rPr>
        <w:t>气源</w:t>
      </w:r>
      <w:r>
        <w:rPr>
          <w:rFonts w:hint="eastAsia" w:ascii="仿宋" w:hAnsi="仿宋" w:eastAsia="仿宋" w:cs="仿宋"/>
          <w:b/>
          <w:bCs/>
          <w:color w:val="auto"/>
          <w:sz w:val="24"/>
          <w:szCs w:val="24"/>
          <w:highlight w:val="none"/>
          <w:lang w:eastAsia="zh-CN"/>
        </w:rPr>
        <w:t>价格中</w:t>
      </w:r>
      <w:r>
        <w:rPr>
          <w:rFonts w:hint="eastAsia" w:ascii="仿宋" w:hAnsi="仿宋" w:eastAsia="仿宋" w:cs="仿宋"/>
          <w:b/>
          <w:bCs/>
          <w:color w:val="auto"/>
          <w:sz w:val="24"/>
          <w:szCs w:val="24"/>
          <w:highlight w:val="none"/>
          <w:lang w:val="en-US" w:eastAsia="zh-CN"/>
        </w:rPr>
        <w:t>最</w:t>
      </w:r>
      <w:r>
        <w:rPr>
          <w:rFonts w:hint="eastAsia" w:ascii="仿宋" w:hAnsi="仿宋" w:eastAsia="仿宋" w:cs="仿宋"/>
          <w:b/>
          <w:bCs/>
          <w:color w:val="auto"/>
          <w:sz w:val="24"/>
          <w:szCs w:val="24"/>
          <w:highlight w:val="none"/>
        </w:rPr>
        <w:t>低的价格执行。</w:t>
      </w:r>
    </w:p>
    <w:p w14:paraId="472846CB">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.3 除</w:t>
      </w:r>
      <w:r>
        <w:rPr>
          <w:rFonts w:hint="eastAsia" w:ascii="仿宋" w:hAnsi="仿宋" w:eastAsia="仿宋" w:cs="仿宋"/>
          <w:color w:val="000000"/>
          <w:sz w:val="24"/>
          <w:szCs w:val="24"/>
        </w:rPr>
        <w:t>GB17820中规定的二类气标准的证明文件外，</w:t>
      </w:r>
      <w:r>
        <w:rPr>
          <w:rFonts w:hint="eastAsia" w:ascii="仿宋" w:hAnsi="仿宋" w:eastAsia="仿宋" w:cs="仿宋"/>
          <w:color w:val="000000"/>
          <w:sz w:val="24"/>
          <w:szCs w:val="24"/>
          <w:lang w:eastAsia="zh-CN"/>
        </w:rPr>
        <w:t>招标人有权要求</w:t>
      </w:r>
      <w:r>
        <w:rPr>
          <w:rFonts w:hint="eastAsia" w:ascii="仿宋" w:hAnsi="仿宋" w:eastAsia="仿宋" w:cs="仿宋"/>
          <w:color w:val="000000"/>
          <w:sz w:val="24"/>
          <w:szCs w:val="24"/>
        </w:rPr>
        <w:t>中标人在供货时负责向招标人提供LNG中其它气质指标证明文件。</w:t>
      </w:r>
    </w:p>
    <w:p w14:paraId="691DE42A">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FF"/>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.4 中标人</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在每次供货时</w:t>
      </w:r>
      <w:r>
        <w:rPr>
          <w:rFonts w:hint="eastAsia" w:ascii="仿宋" w:hAnsi="仿宋" w:eastAsia="仿宋" w:cs="仿宋"/>
          <w:color w:val="auto"/>
          <w:sz w:val="24"/>
          <w:szCs w:val="24"/>
          <w:lang w:eastAsia="zh-CN"/>
        </w:rPr>
        <w:t>须向招标人</w:t>
      </w:r>
      <w:r>
        <w:rPr>
          <w:rFonts w:hint="eastAsia" w:ascii="仿宋" w:hAnsi="仿宋" w:eastAsia="仿宋" w:cs="仿宋"/>
          <w:color w:val="auto"/>
          <w:sz w:val="24"/>
          <w:szCs w:val="24"/>
        </w:rPr>
        <w:t>提供所供气体的</w:t>
      </w:r>
      <w:r>
        <w:rPr>
          <w:rFonts w:hint="eastAsia" w:ascii="仿宋" w:hAnsi="仿宋" w:eastAsia="仿宋" w:cs="仿宋"/>
          <w:color w:val="auto"/>
          <w:sz w:val="24"/>
          <w:szCs w:val="24"/>
          <w:lang w:eastAsia="zh-CN"/>
        </w:rPr>
        <w:t>最新</w:t>
      </w:r>
      <w:r>
        <w:rPr>
          <w:rFonts w:hint="eastAsia" w:ascii="仿宋" w:hAnsi="仿宋" w:eastAsia="仿宋" w:cs="仿宋"/>
          <w:bCs/>
          <w:color w:val="auto"/>
          <w:sz w:val="24"/>
          <w:szCs w:val="24"/>
        </w:rPr>
        <w:t>上游气源单位出具的天然气</w:t>
      </w:r>
      <w:r>
        <w:rPr>
          <w:rFonts w:hint="eastAsia" w:ascii="仿宋" w:hAnsi="仿宋" w:eastAsia="仿宋" w:cs="仿宋"/>
          <w:color w:val="auto"/>
          <w:sz w:val="24"/>
          <w:szCs w:val="24"/>
        </w:rPr>
        <w:t>气质参数报告或质量证明书（加盖公章）的复印件（含成分分析表和热值报告）。</w:t>
      </w:r>
    </w:p>
    <w:p w14:paraId="59C165AF">
      <w:pPr>
        <w:pageBreakBefore w:val="0"/>
        <w:widowControl w:val="0"/>
        <w:kinsoku/>
        <w:wordWrap/>
        <w:overflowPunct/>
        <w:topLinePunct w:val="0"/>
        <w:autoSpaceDE/>
        <w:autoSpaceDN/>
        <w:bidi w:val="0"/>
        <w:adjustRightInd/>
        <w:spacing w:line="560" w:lineRule="exact"/>
        <w:ind w:right="26"/>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2.3</w:t>
      </w:r>
      <w:r>
        <w:rPr>
          <w:rFonts w:hint="eastAsia" w:ascii="仿宋" w:hAnsi="仿宋" w:eastAsia="仿宋" w:cs="仿宋"/>
          <w:b/>
          <w:color w:val="000000"/>
          <w:sz w:val="24"/>
          <w:szCs w:val="24"/>
        </w:rPr>
        <w:t>供气量与确认</w:t>
      </w:r>
    </w:p>
    <w:p w14:paraId="358FA40D">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.1 招标人进货时须</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rPr>
        <w:t>供气日提前</w:t>
      </w:r>
      <w:r>
        <w:rPr>
          <w:rFonts w:hint="eastAsia" w:ascii="仿宋" w:hAnsi="仿宋" w:eastAsia="仿宋" w:cs="仿宋"/>
          <w:sz w:val="24"/>
          <w:szCs w:val="24"/>
        </w:rPr>
        <w:t>36小时</w:t>
      </w:r>
      <w:r>
        <w:rPr>
          <w:rFonts w:hint="eastAsia" w:ascii="仿宋" w:hAnsi="仿宋" w:eastAsia="仿宋" w:cs="仿宋"/>
          <w:color w:val="000000"/>
          <w:sz w:val="24"/>
          <w:szCs w:val="24"/>
        </w:rPr>
        <w:t>向中标人报供货计划量《供货通知单》（盖公章），以快递、传真、电子扫描件或电子邮件等方式发送至中标人。供货计划量应包含以下内容：</w:t>
      </w:r>
      <w:r>
        <w:rPr>
          <w:rFonts w:hint="eastAsia" w:ascii="仿宋" w:hAnsi="仿宋" w:eastAsia="仿宋" w:cs="仿宋"/>
          <w:color w:val="000000"/>
          <w:sz w:val="24"/>
          <w:szCs w:val="24"/>
          <w:highlight w:val="none"/>
        </w:rPr>
        <w:t>①供应气量；②到货时间；③供</w:t>
      </w:r>
      <w:r>
        <w:rPr>
          <w:rFonts w:hint="eastAsia" w:ascii="仿宋" w:hAnsi="仿宋" w:eastAsia="仿宋" w:cs="仿宋"/>
          <w:color w:val="000000"/>
          <w:sz w:val="24"/>
          <w:szCs w:val="24"/>
        </w:rPr>
        <w:t>应地点。</w:t>
      </w:r>
    </w:p>
    <w:p w14:paraId="54989DE1">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.2 中标人收到招标人《供货通知单》6小时内</w:t>
      </w:r>
      <w:r>
        <w:rPr>
          <w:rFonts w:hint="eastAsia" w:ascii="仿宋" w:hAnsi="仿宋" w:eastAsia="仿宋" w:cs="仿宋"/>
          <w:color w:val="000000"/>
          <w:sz w:val="24"/>
          <w:szCs w:val="24"/>
          <w:highlight w:val="none"/>
          <w:lang w:val="en-US" w:eastAsia="zh-CN"/>
        </w:rPr>
        <w:t>书面确认</w:t>
      </w:r>
      <w:r>
        <w:rPr>
          <w:rFonts w:hint="eastAsia" w:ascii="仿宋" w:hAnsi="仿宋" w:eastAsia="仿宋" w:cs="仿宋"/>
          <w:color w:val="000000"/>
          <w:sz w:val="24"/>
          <w:szCs w:val="24"/>
        </w:rPr>
        <w:t>可供应气量、结算单价、到车时间等，并按招标人的《供货通知单》规定时间送货到位。</w:t>
      </w:r>
    </w:p>
    <w:p w14:paraId="25D341A1">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.3 供应气量按招标人和投标人双方书面确认的气量对账单进行结算。</w:t>
      </w:r>
    </w:p>
    <w:p w14:paraId="14B2B6FF">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2.3</w:t>
      </w:r>
      <w:r>
        <w:rPr>
          <w:rFonts w:hint="eastAsia" w:ascii="仿宋" w:hAnsi="仿宋" w:eastAsia="仿宋" w:cs="仿宋"/>
          <w:sz w:val="24"/>
          <w:szCs w:val="24"/>
        </w:rPr>
        <w:t xml:space="preserve">.4 </w:t>
      </w:r>
      <w:r>
        <w:rPr>
          <w:rFonts w:hint="eastAsia" w:ascii="仿宋" w:hAnsi="仿宋" w:eastAsia="仿宋" w:cs="仿宋"/>
          <w:color w:val="000000"/>
          <w:sz w:val="24"/>
          <w:szCs w:val="24"/>
        </w:rPr>
        <w:t>招标人可在《供货通知单》发出后，距供货时间12小时之前，有权根据实际情况书面通知取消供货通知、减少供货量或延后到货时间。距供货时间不足12小时的，双方协商解决。</w:t>
      </w:r>
    </w:p>
    <w:p w14:paraId="3D0B6089">
      <w:pPr>
        <w:pageBreakBefore w:val="0"/>
        <w:widowControl w:val="0"/>
        <w:kinsoku/>
        <w:wordWrap/>
        <w:overflowPunct/>
        <w:topLinePunct w:val="0"/>
        <w:autoSpaceDE/>
        <w:autoSpaceDN/>
        <w:bidi w:val="0"/>
        <w:adjustRightInd/>
        <w:spacing w:line="560" w:lineRule="exact"/>
        <w:ind w:right="26"/>
        <w:jc w:val="left"/>
        <w:textAlignment w:val="auto"/>
        <w:rPr>
          <w:rFonts w:hint="eastAsia" w:ascii="仿宋" w:hAnsi="仿宋" w:eastAsia="仿宋" w:cs="仿宋"/>
          <w:b/>
          <w:bCs/>
          <w:color w:val="0000FF"/>
          <w:sz w:val="24"/>
          <w:szCs w:val="24"/>
          <w:lang w:eastAsia="zh-CN"/>
        </w:rPr>
      </w:pPr>
      <w:r>
        <w:rPr>
          <w:rFonts w:hint="eastAsia" w:ascii="仿宋" w:hAnsi="仿宋" w:eastAsia="仿宋" w:cs="仿宋"/>
          <w:b/>
          <w:sz w:val="24"/>
          <w:szCs w:val="24"/>
          <w:lang w:val="en-US" w:eastAsia="zh-CN"/>
        </w:rPr>
        <w:t>2.4</w:t>
      </w:r>
      <w:r>
        <w:rPr>
          <w:rFonts w:hint="eastAsia" w:ascii="仿宋" w:hAnsi="仿宋" w:eastAsia="仿宋" w:cs="仿宋"/>
          <w:b/>
          <w:sz w:val="24"/>
          <w:szCs w:val="24"/>
        </w:rPr>
        <w:t>结算价格的确</w:t>
      </w:r>
      <w:r>
        <w:rPr>
          <w:rFonts w:hint="eastAsia" w:ascii="仿宋" w:hAnsi="仿宋" w:eastAsia="仿宋" w:cs="仿宋"/>
          <w:b/>
          <w:sz w:val="24"/>
          <w:szCs w:val="24"/>
          <w:lang w:eastAsia="zh-CN"/>
        </w:rPr>
        <w:t>定</w:t>
      </w:r>
    </w:p>
    <w:p w14:paraId="5EB9D362">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2.4.1组价说明：</w:t>
      </w:r>
    </w:p>
    <w:p w14:paraId="3C1EB498">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2.4.1.1</w:t>
      </w:r>
      <w:r>
        <w:rPr>
          <w:rFonts w:hint="eastAsia" w:ascii="仿宋" w:hAnsi="仿宋" w:eastAsia="仿宋" w:cs="仿宋"/>
          <w:color w:val="auto"/>
          <w:kern w:val="0"/>
          <w:sz w:val="24"/>
          <w:szCs w:val="24"/>
          <w:lang w:val="en-US" w:eastAsia="zh-CN"/>
        </w:rPr>
        <w:t>结算金额=液化天然气中标单价×供货数量（供货数量按实）</w:t>
      </w:r>
    </w:p>
    <w:p w14:paraId="2604C87F">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2.4.1.2液化天然气中标单价（元/吨）=招标人《供货通知单》发出当日的卓创资讯(https://www.sci99.com/）→LNG接收站价→华东（浙江宁波、舟山新奥、江苏如东）接收站单日价格×（1-中标下浮率）。</w:t>
      </w:r>
    </w:p>
    <w:p w14:paraId="5D5F8E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FF"/>
          <w:kern w:val="0"/>
          <w:lang w:val="en-US" w:eastAsia="zh-CN"/>
        </w:rPr>
      </w:pPr>
      <w:r>
        <w:rPr>
          <w:rFonts w:hint="eastAsia" w:ascii="仿宋" w:hAnsi="仿宋" w:eastAsia="仿宋" w:cs="仿宋"/>
        </w:rPr>
        <w:drawing>
          <wp:inline distT="0" distB="0" distL="114300" distR="114300">
            <wp:extent cx="5756275" cy="4210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5756275" cy="4210050"/>
                    </a:xfrm>
                    <a:prstGeom prst="rect">
                      <a:avLst/>
                    </a:prstGeom>
                    <a:noFill/>
                    <a:ln>
                      <a:noFill/>
                    </a:ln>
                  </pic:spPr>
                </pic:pic>
              </a:graphicData>
            </a:graphic>
          </wp:inline>
        </w:drawing>
      </w:r>
    </w:p>
    <w:p w14:paraId="256D3DCC">
      <w:pPr>
        <w:keepNext w:val="0"/>
        <w:keepLines w:val="0"/>
        <w:pageBreakBefore w:val="0"/>
        <w:widowControl w:val="0"/>
        <w:kinsoku/>
        <w:wordWrap/>
        <w:overflowPunct/>
        <w:topLinePunct w:val="0"/>
        <w:bidi w:val="0"/>
        <w:spacing w:line="560" w:lineRule="exact"/>
        <w:ind w:right="26"/>
        <w:jc w:val="left"/>
        <w:textAlignment w:val="auto"/>
        <w:rPr>
          <w:rFonts w:hint="eastAsia" w:ascii="仿宋" w:hAnsi="仿宋" w:eastAsia="仿宋" w:cs="仿宋"/>
          <w:b/>
          <w:color w:val="000000"/>
          <w:sz w:val="24"/>
          <w:szCs w:val="24"/>
        </w:rPr>
      </w:pPr>
      <w:r>
        <w:rPr>
          <w:rFonts w:hint="eastAsia" w:ascii="仿宋" w:hAnsi="仿宋" w:eastAsia="仿宋" w:cs="仿宋"/>
          <w:b/>
          <w:sz w:val="24"/>
          <w:szCs w:val="24"/>
          <w:lang w:val="en-US" w:eastAsia="zh-CN"/>
        </w:rPr>
        <w:t>2.5</w:t>
      </w:r>
      <w:r>
        <w:rPr>
          <w:rFonts w:hint="eastAsia" w:ascii="仿宋" w:hAnsi="仿宋" w:eastAsia="仿宋" w:cs="仿宋"/>
          <w:b/>
          <w:sz w:val="24"/>
          <w:szCs w:val="24"/>
        </w:rPr>
        <w:t>付款和结算</w:t>
      </w:r>
    </w:p>
    <w:p w14:paraId="49C376CA">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.1 本合同采用先到货后付款的结算方式，每次供货结束后进行结算。</w:t>
      </w:r>
    </w:p>
    <w:p w14:paraId="7D6C8A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.2 中标人在每次供货结束后，根据</w:t>
      </w:r>
      <w:r>
        <w:rPr>
          <w:rFonts w:hint="eastAsia" w:ascii="仿宋" w:hAnsi="仿宋" w:eastAsia="仿宋" w:cs="仿宋"/>
          <w:bCs/>
          <w:sz w:val="24"/>
          <w:szCs w:val="24"/>
        </w:rPr>
        <w:t>双方核对确认无误的LNG交付量向招标人开具对账单（LNG供货</w:t>
      </w:r>
      <w:r>
        <w:rPr>
          <w:rFonts w:hint="eastAsia" w:ascii="仿宋" w:hAnsi="仿宋" w:eastAsia="仿宋" w:cs="仿宋"/>
          <w:bCs/>
          <w:sz w:val="24"/>
          <w:szCs w:val="24"/>
          <w:lang w:eastAsia="zh-CN"/>
        </w:rPr>
        <w:t>数</w:t>
      </w:r>
      <w:r>
        <w:rPr>
          <w:rFonts w:hint="eastAsia" w:ascii="仿宋" w:hAnsi="仿宋" w:eastAsia="仿宋" w:cs="仿宋"/>
          <w:bCs/>
          <w:sz w:val="24"/>
          <w:szCs w:val="24"/>
        </w:rPr>
        <w:t>量、LNG</w:t>
      </w:r>
      <w:r>
        <w:rPr>
          <w:rFonts w:hint="eastAsia" w:ascii="仿宋" w:hAnsi="仿宋" w:eastAsia="仿宋" w:cs="仿宋"/>
          <w:bCs/>
          <w:color w:val="000000"/>
          <w:sz w:val="24"/>
          <w:szCs w:val="24"/>
        </w:rPr>
        <w:t>结算单价</w:t>
      </w:r>
      <w:r>
        <w:rPr>
          <w:rFonts w:hint="eastAsia" w:ascii="仿宋" w:hAnsi="仿宋" w:eastAsia="仿宋" w:cs="仿宋"/>
          <w:bCs/>
          <w:sz w:val="24"/>
          <w:szCs w:val="24"/>
        </w:rPr>
        <w:t>和招标人</w:t>
      </w:r>
      <w:r>
        <w:rPr>
          <w:rFonts w:hint="eastAsia" w:ascii="仿宋" w:hAnsi="仿宋" w:eastAsia="仿宋" w:cs="仿宋"/>
          <w:b/>
          <w:bCs/>
          <w:sz w:val="24"/>
          <w:szCs w:val="24"/>
        </w:rPr>
        <w:t>实际应支付结算总金额</w:t>
      </w:r>
      <w:r>
        <w:rPr>
          <w:rFonts w:hint="eastAsia" w:ascii="仿宋" w:hAnsi="仿宋" w:eastAsia="仿宋" w:cs="仿宋"/>
          <w:bCs/>
          <w:sz w:val="24"/>
          <w:szCs w:val="24"/>
        </w:rPr>
        <w:t>等相关内容）。</w:t>
      </w:r>
    </w:p>
    <w:p w14:paraId="4DDA1B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.3 中标人开具的对账单中存在有关供货量结算、计算或其他误差的，招标人应及时通知中标人，并经招标人核对确认无误后开具增值税专用发票。</w:t>
      </w:r>
    </w:p>
    <w:p w14:paraId="0E7854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.4 招标人应在收</w:t>
      </w:r>
      <w:r>
        <w:rPr>
          <w:rFonts w:hint="eastAsia" w:ascii="仿宋" w:hAnsi="仿宋" w:eastAsia="仿宋" w:cs="仿宋"/>
          <w:sz w:val="24"/>
          <w:szCs w:val="24"/>
        </w:rPr>
        <w:t>到中标人开具的</w:t>
      </w:r>
      <w:r>
        <w:rPr>
          <w:rFonts w:hint="eastAsia" w:ascii="仿宋" w:hAnsi="仿宋" w:eastAsia="仿宋" w:cs="仿宋"/>
          <w:color w:val="000000"/>
          <w:sz w:val="24"/>
          <w:szCs w:val="24"/>
        </w:rPr>
        <w:t>增值税专用发票后</w:t>
      </w:r>
      <w:r>
        <w:rPr>
          <w:rFonts w:hint="eastAsia" w:ascii="仿宋" w:hAnsi="仿宋" w:eastAsia="仿宋" w:cs="仿宋"/>
          <w:b w:val="0"/>
          <w:bCs w:val="0"/>
          <w:sz w:val="24"/>
          <w:szCs w:val="24"/>
          <w:lang w:eastAsia="zh-CN"/>
        </w:rPr>
        <w:t>十五个</w:t>
      </w:r>
      <w:r>
        <w:rPr>
          <w:rFonts w:hint="eastAsia" w:ascii="仿宋" w:hAnsi="仿宋" w:eastAsia="仿宋" w:cs="仿宋"/>
          <w:color w:val="000000"/>
          <w:sz w:val="24"/>
          <w:szCs w:val="24"/>
        </w:rPr>
        <w:t>工作日</w:t>
      </w:r>
      <w:r>
        <w:rPr>
          <w:rFonts w:hint="eastAsia" w:ascii="仿宋" w:hAnsi="仿宋" w:eastAsia="仿宋" w:cs="仿宋"/>
          <w:sz w:val="24"/>
          <w:szCs w:val="24"/>
        </w:rPr>
        <w:t>内向中标人支付该应付款额，以银行</w:t>
      </w:r>
      <w:r>
        <w:rPr>
          <w:rFonts w:hint="eastAsia" w:ascii="仿宋" w:hAnsi="仿宋" w:eastAsia="仿宋" w:cs="仿宋"/>
          <w:sz w:val="24"/>
          <w:szCs w:val="24"/>
          <w:lang w:val="en-US" w:eastAsia="zh-CN"/>
        </w:rPr>
        <w:t>转账</w:t>
      </w:r>
      <w:r>
        <w:rPr>
          <w:rFonts w:hint="eastAsia" w:ascii="仿宋" w:hAnsi="仿宋" w:eastAsia="仿宋" w:cs="仿宋"/>
          <w:sz w:val="24"/>
          <w:szCs w:val="24"/>
        </w:rPr>
        <w:t>等方式向中标人支付气费，</w:t>
      </w:r>
      <w:r>
        <w:rPr>
          <w:rFonts w:hint="eastAsia" w:ascii="仿宋" w:hAnsi="仿宋" w:eastAsia="仿宋" w:cs="仿宋"/>
          <w:color w:val="000000"/>
          <w:sz w:val="24"/>
          <w:szCs w:val="24"/>
        </w:rPr>
        <w:t>汇款后将及时通知中标人收悉</w:t>
      </w:r>
      <w:r>
        <w:rPr>
          <w:rFonts w:hint="eastAsia" w:ascii="仿宋" w:hAnsi="仿宋" w:eastAsia="仿宋" w:cs="仿宋"/>
          <w:sz w:val="24"/>
          <w:szCs w:val="24"/>
        </w:rPr>
        <w:t>。</w:t>
      </w:r>
    </w:p>
    <w:p w14:paraId="12EB18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.5</w:t>
      </w:r>
      <w:r>
        <w:rPr>
          <w:rFonts w:hint="eastAsia" w:ascii="仿宋" w:hAnsi="仿宋" w:eastAsia="仿宋" w:cs="仿宋"/>
          <w:b/>
          <w:bCs/>
          <w:sz w:val="24"/>
          <w:szCs w:val="24"/>
          <w:highlight w:val="none"/>
        </w:rPr>
        <w:t>履约保证金：</w:t>
      </w:r>
      <w:r>
        <w:rPr>
          <w:rFonts w:hint="eastAsia" w:ascii="仿宋" w:hAnsi="仿宋" w:eastAsia="仿宋" w:cs="仿宋"/>
          <w:kern w:val="0"/>
          <w:sz w:val="24"/>
          <w:szCs w:val="24"/>
          <w:highlight w:val="none"/>
          <w:lang w:val="zh-CN"/>
        </w:rPr>
        <w:t>人民币</w:t>
      </w:r>
      <w:r>
        <w:rPr>
          <w:rFonts w:hint="eastAsia" w:ascii="仿宋" w:hAnsi="仿宋" w:eastAsia="仿宋" w:cs="仿宋"/>
          <w:color w:val="auto"/>
          <w:kern w:val="0"/>
          <w:sz w:val="24"/>
          <w:szCs w:val="24"/>
          <w:highlight w:val="none"/>
          <w:lang w:val="zh-CN"/>
        </w:rPr>
        <w:t>壹拾</w:t>
      </w:r>
      <w:r>
        <w:rPr>
          <w:rFonts w:hint="eastAsia" w:ascii="仿宋" w:hAnsi="仿宋" w:eastAsia="仿宋" w:cs="仿宋"/>
          <w:color w:val="auto"/>
          <w:kern w:val="0"/>
          <w:sz w:val="24"/>
          <w:szCs w:val="24"/>
          <w:lang w:val="zh-CN" w:eastAsia="zh-CN" w:bidi="ar-SA"/>
        </w:rPr>
        <w:t>万元整</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lang w:val="zh-CN"/>
        </w:rPr>
        <w:t>中标人在合同签订后7个工作日内交纳，未在规定时间内缴纳履约保证金的，招标人有权终止合同，并要求中标人赔偿</w:t>
      </w:r>
      <w:r>
        <w:rPr>
          <w:rFonts w:hint="eastAsia" w:ascii="仿宋" w:hAnsi="仿宋" w:eastAsia="仿宋" w:cs="仿宋"/>
          <w:color w:val="auto"/>
          <w:kern w:val="0"/>
          <w:sz w:val="24"/>
          <w:szCs w:val="24"/>
          <w:lang w:val="zh-CN" w:eastAsia="zh-CN"/>
        </w:rPr>
        <w:t>解除合同的相</w:t>
      </w:r>
      <w:r>
        <w:rPr>
          <w:rFonts w:hint="eastAsia" w:ascii="仿宋" w:hAnsi="仿宋" w:eastAsia="仿宋" w:cs="仿宋"/>
          <w:kern w:val="0"/>
          <w:sz w:val="24"/>
          <w:szCs w:val="24"/>
          <w:lang w:val="zh-CN" w:eastAsia="zh-CN"/>
        </w:rPr>
        <w:t>应损失</w:t>
      </w:r>
      <w:r>
        <w:rPr>
          <w:rFonts w:hint="eastAsia" w:ascii="仿宋" w:hAnsi="仿宋" w:eastAsia="仿宋" w:cs="仿宋"/>
          <w:kern w:val="0"/>
          <w:sz w:val="24"/>
          <w:szCs w:val="24"/>
          <w:lang w:val="zh-CN"/>
        </w:rPr>
        <w:t>，</w:t>
      </w:r>
      <w:r>
        <w:rPr>
          <w:rFonts w:hint="eastAsia" w:ascii="仿宋" w:hAnsi="仿宋" w:eastAsia="仿宋" w:cs="仿宋"/>
          <w:kern w:val="0"/>
          <w:sz w:val="24"/>
          <w:szCs w:val="24"/>
          <w:highlight w:val="none"/>
          <w:lang w:val="zh-CN"/>
        </w:rPr>
        <w:t>可以采用现金、支票、汇票或保函（保险公司保险、银行保函、专业担保公司担保）的形式提交。</w:t>
      </w:r>
      <w:r>
        <w:rPr>
          <w:rFonts w:hint="eastAsia" w:ascii="仿宋" w:hAnsi="仿宋" w:eastAsia="仿宋" w:cs="仿宋"/>
          <w:sz w:val="24"/>
          <w:szCs w:val="24"/>
          <w:highlight w:val="none"/>
        </w:rPr>
        <w:t>待履行供货合同完毕、验收合格且不存在违约行为后7个工作日内予以退还（不计息）。</w:t>
      </w:r>
    </w:p>
    <w:p w14:paraId="7C69CB3F">
      <w:pPr>
        <w:keepNext w:val="0"/>
        <w:keepLines w:val="0"/>
        <w:pageBreakBefore w:val="0"/>
        <w:widowControl w:val="0"/>
        <w:kinsoku/>
        <w:wordWrap/>
        <w:overflowPunct/>
        <w:topLinePunct w:val="0"/>
        <w:autoSpaceDE/>
        <w:autoSpaceDN/>
        <w:bidi w:val="0"/>
        <w:adjustRightInd/>
        <w:snapToGrid/>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 xml:space="preserve">交付  </w:t>
      </w:r>
    </w:p>
    <w:p w14:paraId="4D8259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.1 交付地点及联系人</w:t>
      </w:r>
    </w:p>
    <w:p w14:paraId="31A08C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u w:val="single"/>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.1.1 招标人指定的LNG交付地点为</w:t>
      </w:r>
      <w:r>
        <w:rPr>
          <w:rFonts w:hint="eastAsia" w:ascii="仿宋" w:hAnsi="仿宋" w:eastAsia="仿宋" w:cs="仿宋"/>
          <w:color w:val="auto"/>
          <w:kern w:val="0"/>
          <w:sz w:val="24"/>
          <w:szCs w:val="24"/>
        </w:rPr>
        <w:t>绍兴袍江工业区汤公路319号</w:t>
      </w:r>
      <w:r>
        <w:rPr>
          <w:rFonts w:hint="eastAsia" w:ascii="仿宋" w:hAnsi="仿宋" w:eastAsia="仿宋" w:cs="仿宋"/>
          <w:color w:val="auto"/>
          <w:sz w:val="24"/>
          <w:szCs w:val="24"/>
        </w:rPr>
        <w:t>“绍兴天然气门站”LNG应急气源站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包含但不限于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。若发生政府行政性交通管制、交通事故引起的必经之路堵塞等导致供气延误的，中标人需及时向招标人反映情况，并在一天(24小时)内解决供气问题，否则视为中标人逾期交付。</w:t>
      </w:r>
      <w:r>
        <w:rPr>
          <w:rFonts w:hint="eastAsia" w:ascii="仿宋" w:hAnsi="仿宋" w:eastAsia="仿宋" w:cs="仿宋"/>
          <w:color w:val="0000FF"/>
          <w:sz w:val="24"/>
          <w:szCs w:val="24"/>
        </w:rPr>
        <w:t xml:space="preserve"> </w:t>
      </w:r>
      <w:r>
        <w:rPr>
          <w:rFonts w:hint="eastAsia" w:ascii="仿宋" w:hAnsi="仿宋" w:eastAsia="仿宋" w:cs="仿宋"/>
          <w:sz w:val="24"/>
          <w:szCs w:val="24"/>
        </w:rPr>
        <w:t xml:space="preserve">                  </w:t>
      </w:r>
    </w:p>
    <w:p w14:paraId="25199D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.1</w:t>
      </w:r>
      <w:r>
        <w:rPr>
          <w:rFonts w:hint="eastAsia" w:ascii="仿宋" w:hAnsi="仿宋" w:eastAsia="仿宋" w:cs="仿宋"/>
          <w:color w:val="000000"/>
          <w:sz w:val="24"/>
          <w:szCs w:val="24"/>
          <w:highlight w:val="none"/>
          <w:lang w:val="en-US" w:eastAsia="zh-CN"/>
        </w:rPr>
        <w:t xml:space="preserve">.2 </w:t>
      </w:r>
      <w:r>
        <w:rPr>
          <w:rFonts w:hint="eastAsia" w:ascii="仿宋" w:hAnsi="仿宋" w:eastAsia="仿宋" w:cs="仿宋"/>
          <w:sz w:val="24"/>
          <w:szCs w:val="24"/>
          <w:highlight w:val="none"/>
          <w:lang w:val="en-US" w:eastAsia="zh-CN"/>
        </w:rPr>
        <w:t>中标人驾驶员提前到达交付地点时，需把车辆停放至安全合理的位置，招标人不提供槽车停放地点，期间槽车发生任何安全事故由中标人自行承担。</w:t>
      </w:r>
    </w:p>
    <w:p w14:paraId="26D57C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2.6</w:t>
      </w: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交付地点负责人：</w:t>
      </w:r>
      <w:r>
        <w:rPr>
          <w:rFonts w:hint="eastAsia" w:ascii="仿宋" w:hAnsi="仿宋" w:eastAsia="仿宋" w:cs="仿宋"/>
          <w:sz w:val="24"/>
          <w:szCs w:val="24"/>
          <w:lang w:val="en-US" w:eastAsia="zh-CN"/>
        </w:rPr>
        <w:t>顾元峰</w:t>
      </w:r>
      <w:r>
        <w:rPr>
          <w:rFonts w:hint="eastAsia" w:ascii="仿宋" w:hAnsi="仿宋" w:eastAsia="仿宋" w:cs="仿宋"/>
          <w:sz w:val="24"/>
          <w:szCs w:val="24"/>
          <w:lang w:eastAsia="zh-CN"/>
        </w:rPr>
        <w:t>、</w:t>
      </w:r>
      <w:r>
        <w:rPr>
          <w:rFonts w:hint="eastAsia" w:ascii="仿宋" w:hAnsi="仿宋" w:eastAsia="仿宋" w:cs="仿宋"/>
          <w:sz w:val="24"/>
          <w:szCs w:val="24"/>
        </w:rPr>
        <w:t>王勇</w:t>
      </w:r>
      <w:r>
        <w:rPr>
          <w:rFonts w:hint="eastAsia" w:ascii="仿宋" w:hAnsi="仿宋" w:eastAsia="仿宋" w:cs="仿宋"/>
          <w:sz w:val="24"/>
          <w:szCs w:val="24"/>
          <w:lang w:eastAsia="zh-CN"/>
        </w:rPr>
        <w:t>，</w:t>
      </w:r>
      <w:r>
        <w:rPr>
          <w:rFonts w:hint="eastAsia" w:ascii="仿宋" w:hAnsi="仿宋" w:eastAsia="仿宋" w:cs="仿宋"/>
          <w:sz w:val="24"/>
          <w:szCs w:val="24"/>
        </w:rPr>
        <w:t>联系方式：</w:t>
      </w:r>
      <w:r>
        <w:rPr>
          <w:rFonts w:hint="eastAsia" w:ascii="仿宋" w:hAnsi="仿宋" w:eastAsia="仿宋" w:cs="仿宋"/>
          <w:sz w:val="24"/>
          <w:szCs w:val="24"/>
          <w:lang w:val="en-US" w:eastAsia="zh-CN"/>
        </w:rPr>
        <w:t>13819507870</w:t>
      </w:r>
      <w:r>
        <w:rPr>
          <w:rFonts w:hint="eastAsia" w:ascii="仿宋" w:hAnsi="仿宋" w:eastAsia="仿宋" w:cs="仿宋"/>
          <w:sz w:val="24"/>
          <w:szCs w:val="24"/>
        </w:rPr>
        <w:t>、18606751998</w:t>
      </w:r>
      <w:r>
        <w:rPr>
          <w:rFonts w:hint="eastAsia" w:ascii="仿宋" w:hAnsi="仿宋" w:eastAsia="仿宋" w:cs="仿宋"/>
          <w:sz w:val="24"/>
          <w:szCs w:val="24"/>
          <w:lang w:eastAsia="zh-CN"/>
        </w:rPr>
        <w:t>。</w:t>
      </w:r>
    </w:p>
    <w:p w14:paraId="16157F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.2 交付分工：LNG</w:t>
      </w:r>
      <w:r>
        <w:rPr>
          <w:rFonts w:hint="eastAsia" w:ascii="仿宋" w:hAnsi="仿宋" w:eastAsia="仿宋" w:cs="仿宋"/>
          <w:color w:val="000000"/>
          <w:sz w:val="24"/>
          <w:szCs w:val="24"/>
        </w:rPr>
        <w:t>卸</w:t>
      </w:r>
      <w:r>
        <w:rPr>
          <w:rFonts w:hint="eastAsia" w:ascii="仿宋" w:hAnsi="仿宋" w:eastAsia="仿宋" w:cs="仿宋"/>
          <w:sz w:val="24"/>
          <w:szCs w:val="24"/>
        </w:rPr>
        <w:t>载时，招标人操作人员负责储</w:t>
      </w:r>
      <w:r>
        <w:rPr>
          <w:rFonts w:hint="eastAsia" w:ascii="仿宋" w:hAnsi="仿宋" w:eastAsia="仿宋" w:cs="仿宋"/>
          <w:sz w:val="24"/>
          <w:szCs w:val="24"/>
          <w:lang w:eastAsia="zh-CN"/>
        </w:rPr>
        <w:t>气</w:t>
      </w:r>
      <w:r>
        <w:rPr>
          <w:rFonts w:hint="eastAsia" w:ascii="仿宋" w:hAnsi="仿宋" w:eastAsia="仿宋" w:cs="仿宋"/>
          <w:sz w:val="24"/>
          <w:szCs w:val="24"/>
        </w:rPr>
        <w:t>站内所属设备、工具或部件的操作；中标人驾驶员负责运输车辆所属设备、工具或部件的操作，</w:t>
      </w:r>
      <w:r>
        <w:rPr>
          <w:rFonts w:hint="eastAsia" w:ascii="仿宋" w:hAnsi="仿宋" w:eastAsia="仿宋" w:cs="仿宋"/>
          <w:color w:val="000000"/>
          <w:sz w:val="24"/>
          <w:szCs w:val="24"/>
        </w:rPr>
        <w:t>并尽量将车内液化</w:t>
      </w:r>
      <w:r>
        <w:rPr>
          <w:rFonts w:hint="eastAsia" w:ascii="仿宋" w:hAnsi="仿宋" w:eastAsia="仿宋" w:cs="仿宋"/>
          <w:color w:val="000000"/>
          <w:sz w:val="24"/>
          <w:szCs w:val="24"/>
          <w:lang w:val="en-US" w:eastAsia="zh-CN"/>
        </w:rPr>
        <w:t>天然气</w:t>
      </w:r>
      <w:r>
        <w:rPr>
          <w:rFonts w:hint="eastAsia" w:ascii="仿宋" w:hAnsi="仿宋" w:eastAsia="仿宋" w:cs="仿宋"/>
          <w:color w:val="000000"/>
          <w:sz w:val="24"/>
          <w:szCs w:val="24"/>
        </w:rPr>
        <w:t>LNG卸载干净。如因中标人操作不当引起的风险，由中标人承担全部责任及其带来的一切经济损失。</w:t>
      </w:r>
    </w:p>
    <w:p w14:paraId="24FC76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.3 所有权和交付风险转移：LNG</w:t>
      </w:r>
      <w:r>
        <w:rPr>
          <w:rFonts w:hint="eastAsia" w:ascii="仿宋" w:hAnsi="仿宋" w:eastAsia="仿宋" w:cs="仿宋"/>
          <w:color w:val="000000"/>
          <w:sz w:val="24"/>
          <w:szCs w:val="24"/>
        </w:rPr>
        <w:t>卸</w:t>
      </w:r>
      <w:r>
        <w:rPr>
          <w:rFonts w:hint="eastAsia" w:ascii="仿宋" w:hAnsi="仿宋" w:eastAsia="仿宋" w:cs="仿宋"/>
          <w:sz w:val="24"/>
          <w:szCs w:val="24"/>
        </w:rPr>
        <w:t>载时，须</w:t>
      </w:r>
      <w:r>
        <w:rPr>
          <w:rFonts w:hint="eastAsia" w:ascii="仿宋" w:hAnsi="仿宋" w:eastAsia="仿宋" w:cs="仿宋"/>
          <w:color w:val="000000"/>
          <w:sz w:val="24"/>
          <w:szCs w:val="24"/>
        </w:rPr>
        <w:t>双方共同</w:t>
      </w:r>
      <w:r>
        <w:rPr>
          <w:rFonts w:hint="eastAsia" w:ascii="仿宋" w:hAnsi="仿宋" w:eastAsia="仿宋" w:cs="仿宋"/>
          <w:sz w:val="24"/>
          <w:szCs w:val="24"/>
        </w:rPr>
        <w:t>配合，以招标人</w:t>
      </w:r>
      <w:r>
        <w:rPr>
          <w:rFonts w:hint="eastAsia" w:ascii="仿宋" w:hAnsi="仿宋" w:eastAsia="仿宋" w:cs="仿宋"/>
          <w:color w:val="000000"/>
          <w:sz w:val="24"/>
          <w:szCs w:val="24"/>
        </w:rPr>
        <w:t>卸液口</w:t>
      </w:r>
      <w:r>
        <w:rPr>
          <w:rFonts w:hint="eastAsia" w:ascii="仿宋" w:hAnsi="仿宋" w:eastAsia="仿宋" w:cs="仿宋"/>
          <w:sz w:val="24"/>
          <w:szCs w:val="24"/>
        </w:rPr>
        <w:t>法兰为交接点，交接点前LNG的所有权和风险由中标人承担，交接点后LNG的所有权和风险由招标人承担。</w:t>
      </w:r>
    </w:p>
    <w:p w14:paraId="46392C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.4 交付气量</w:t>
      </w:r>
    </w:p>
    <w:p w14:paraId="21AF31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2.6</w:t>
      </w:r>
      <w:r>
        <w:rPr>
          <w:rFonts w:hint="eastAsia" w:ascii="仿宋" w:hAnsi="仿宋" w:eastAsia="仿宋" w:cs="仿宋"/>
          <w:sz w:val="24"/>
          <w:szCs w:val="24"/>
          <w:lang w:val="zh-CN"/>
        </w:rPr>
        <w:t>.4.1 中标人驾驶员应在运货单上签字以确认承运数量。</w:t>
      </w:r>
    </w:p>
    <w:p w14:paraId="28C5BC2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lang w:val="zh-CN"/>
        </w:rPr>
        <w:t xml:space="preserve">.4.2 </w:t>
      </w:r>
      <w:r>
        <w:rPr>
          <w:rFonts w:hint="eastAsia" w:ascii="仿宋" w:hAnsi="仿宋" w:eastAsia="仿宋" w:cs="仿宋"/>
          <w:color w:val="000000"/>
          <w:sz w:val="24"/>
          <w:szCs w:val="24"/>
          <w:lang w:val="zh-CN"/>
        </w:rPr>
        <w:t>招标人应在运货单上签字以确认接收数量</w:t>
      </w:r>
      <w:r>
        <w:rPr>
          <w:rFonts w:hint="eastAsia" w:ascii="仿宋" w:hAnsi="仿宋" w:eastAsia="仿宋" w:cs="仿宋"/>
          <w:color w:val="000000"/>
          <w:sz w:val="24"/>
          <w:szCs w:val="24"/>
        </w:rPr>
        <w:t>。</w:t>
      </w:r>
    </w:p>
    <w:p w14:paraId="48EA0CB9">
      <w:pPr>
        <w:keepNext w:val="0"/>
        <w:keepLines w:val="0"/>
        <w:pageBreakBefore w:val="0"/>
        <w:widowControl w:val="0"/>
        <w:kinsoku/>
        <w:wordWrap/>
        <w:overflowPunct/>
        <w:topLinePunct w:val="0"/>
        <w:autoSpaceDE/>
        <w:autoSpaceDN/>
        <w:bidi w:val="0"/>
        <w:adjustRightInd/>
        <w:snapToGrid/>
        <w:spacing w:line="560" w:lineRule="exact"/>
        <w:ind w:right="26"/>
        <w:jc w:val="left"/>
        <w:textAlignment w:val="auto"/>
        <w:rPr>
          <w:rFonts w:hint="eastAsia" w:ascii="仿宋" w:hAnsi="仿宋" w:eastAsia="仿宋" w:cs="仿宋"/>
          <w:b/>
          <w:color w:val="0000FF"/>
          <w:sz w:val="24"/>
          <w:szCs w:val="24"/>
        </w:rPr>
      </w:pPr>
      <w:r>
        <w:rPr>
          <w:rFonts w:hint="eastAsia" w:ascii="仿宋" w:hAnsi="仿宋" w:eastAsia="仿宋" w:cs="仿宋"/>
          <w:b/>
          <w:sz w:val="24"/>
          <w:szCs w:val="24"/>
          <w:lang w:val="en-US" w:eastAsia="zh-CN"/>
        </w:rPr>
        <w:t>2.7</w:t>
      </w:r>
      <w:r>
        <w:rPr>
          <w:rFonts w:hint="eastAsia" w:ascii="仿宋" w:hAnsi="仿宋" w:eastAsia="仿宋" w:cs="仿宋"/>
          <w:b/>
          <w:sz w:val="24"/>
          <w:szCs w:val="24"/>
        </w:rPr>
        <w:t>计 量</w:t>
      </w:r>
    </w:p>
    <w:p w14:paraId="30FF131B">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0000FF"/>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.1 本合同项下交付的LNG，以重量计量，单位为吨，计量工具为汽车地衡。</w:t>
      </w:r>
      <w:r>
        <w:rPr>
          <w:rFonts w:hint="eastAsia" w:ascii="仿宋" w:hAnsi="仿宋" w:eastAsia="仿宋" w:cs="仿宋"/>
          <w:color w:val="0000FF"/>
          <w:sz w:val="24"/>
          <w:szCs w:val="24"/>
        </w:rPr>
        <w:t xml:space="preserve"> </w:t>
      </w:r>
    </w:p>
    <w:p w14:paraId="3525E36D">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i/>
          <w:color w:val="0000FF"/>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.2 LNG交付量分别</w:t>
      </w:r>
      <w:r>
        <w:rPr>
          <w:rFonts w:hint="eastAsia" w:ascii="仿宋" w:hAnsi="仿宋" w:eastAsia="仿宋" w:cs="仿宋"/>
          <w:color w:val="000000"/>
          <w:sz w:val="24"/>
          <w:szCs w:val="24"/>
        </w:rPr>
        <w:t>以</w:t>
      </w:r>
      <w:r>
        <w:rPr>
          <w:rFonts w:hint="eastAsia" w:ascii="仿宋" w:hAnsi="仿宋" w:eastAsia="仿宋" w:cs="仿宋"/>
          <w:sz w:val="24"/>
          <w:szCs w:val="24"/>
        </w:rPr>
        <w:t>中标人LNG装车设施汽车地衡和招标人LNG接收设施的汽车地衡计量。原则上每车LNG交付量计量值以中标人LNG装车设施汽车地衡的计量值为准，但前提是该车LNG在中标人LNG装车设施汽车地衡计量值与招标人LNG接收设施的汽车地衡计量值的偏差值为正负百分之一（±1%）以内（含±1%），</w:t>
      </w:r>
      <w:r>
        <w:rPr>
          <w:rFonts w:hint="eastAsia" w:ascii="仿宋" w:hAnsi="仿宋" w:eastAsia="仿宋" w:cs="仿宋"/>
          <w:color w:val="000000"/>
          <w:sz w:val="24"/>
          <w:szCs w:val="24"/>
        </w:rPr>
        <w:t>甲、乙双方互不追究。</w:t>
      </w:r>
    </w:p>
    <w:p w14:paraId="69F32AC1">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.3 如果某车LNG在</w:t>
      </w:r>
      <w:r>
        <w:rPr>
          <w:rFonts w:hint="eastAsia" w:ascii="仿宋" w:hAnsi="仿宋" w:eastAsia="仿宋" w:cs="仿宋"/>
          <w:color w:val="auto"/>
          <w:sz w:val="24"/>
          <w:szCs w:val="24"/>
          <w:lang w:eastAsia="zh-CN"/>
        </w:rPr>
        <w:t>招</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设施汽车地衡计量值与</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装车</w:t>
      </w:r>
      <w:r>
        <w:rPr>
          <w:rFonts w:hint="eastAsia" w:ascii="仿宋" w:hAnsi="仿宋" w:eastAsia="仿宋" w:cs="仿宋"/>
          <w:color w:val="auto"/>
          <w:sz w:val="24"/>
          <w:szCs w:val="24"/>
        </w:rPr>
        <w:t>设施的汽车地衡计量值的偏差值超出负百分之一（－1%），则偏差值在负百分之一（－1%）以内部分视为正常的计量误差和运输损耗，该车LNG的计量值为：中标人LNG装车设施汽车地衡计量值减去偏差值大于负百分之一（－1%）部分的LNG量。</w:t>
      </w:r>
    </w:p>
    <w:p w14:paraId="1E052A61">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.4 如果某车LNG在</w:t>
      </w:r>
      <w:r>
        <w:rPr>
          <w:rFonts w:hint="eastAsia" w:ascii="仿宋" w:hAnsi="仿宋" w:eastAsia="仿宋" w:cs="仿宋"/>
          <w:color w:val="auto"/>
          <w:sz w:val="24"/>
          <w:szCs w:val="24"/>
          <w:lang w:eastAsia="zh-CN"/>
        </w:rPr>
        <w:t>招</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设施汽车地衡计量值与</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装车</w:t>
      </w:r>
      <w:r>
        <w:rPr>
          <w:rFonts w:hint="eastAsia" w:ascii="仿宋" w:hAnsi="仿宋" w:eastAsia="仿宋" w:cs="仿宋"/>
          <w:color w:val="auto"/>
          <w:sz w:val="24"/>
          <w:szCs w:val="24"/>
        </w:rPr>
        <w:t>设施的汽车地衡计量值的偏差值超出正百分之一（+1%），该车LNG的计量值为：中标人LNG装车设施汽车地衡计量值加上偏差值大于正百分之一（+1%）部分的LNG量。</w:t>
      </w:r>
    </w:p>
    <w:p w14:paraId="1021AA1B">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dstrike/>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.5 如任一方对另一方的计量有争议，可在交接计量文件</w:t>
      </w:r>
      <w:r>
        <w:rPr>
          <w:rFonts w:hint="eastAsia" w:ascii="仿宋" w:hAnsi="仿宋" w:eastAsia="仿宋" w:cs="仿宋"/>
          <w:color w:val="000000"/>
          <w:sz w:val="24"/>
          <w:szCs w:val="24"/>
        </w:rPr>
        <w:t>（招标人的</w:t>
      </w:r>
      <w:r>
        <w:rPr>
          <w:rFonts w:hint="eastAsia" w:ascii="仿宋" w:hAnsi="仿宋" w:eastAsia="仿宋" w:cs="仿宋"/>
          <w:color w:val="000000"/>
          <w:sz w:val="24"/>
          <w:szCs w:val="24"/>
          <w:lang w:eastAsia="zh-CN"/>
        </w:rPr>
        <w:t>地磅秤</w:t>
      </w:r>
      <w:r>
        <w:rPr>
          <w:rFonts w:hint="eastAsia" w:ascii="仿宋" w:hAnsi="仿宋" w:eastAsia="仿宋" w:cs="仿宋"/>
          <w:color w:val="000000"/>
          <w:sz w:val="24"/>
          <w:szCs w:val="24"/>
        </w:rPr>
        <w:t>计量单）上</w:t>
      </w:r>
      <w:r>
        <w:rPr>
          <w:rFonts w:hint="eastAsia" w:ascii="仿宋" w:hAnsi="仿宋" w:eastAsia="仿宋" w:cs="仿宋"/>
          <w:sz w:val="24"/>
          <w:szCs w:val="24"/>
        </w:rPr>
        <w:t>注明争议内容，</w:t>
      </w:r>
      <w:r>
        <w:rPr>
          <w:rFonts w:hint="eastAsia" w:ascii="仿宋" w:hAnsi="仿宋" w:eastAsia="仿宋" w:cs="仿宋"/>
          <w:color w:val="000000"/>
          <w:sz w:val="24"/>
          <w:szCs w:val="24"/>
        </w:rPr>
        <w:t>并在第一时间沟通，查找原因。</w:t>
      </w:r>
      <w:r>
        <w:rPr>
          <w:rFonts w:hint="eastAsia" w:ascii="仿宋" w:hAnsi="仿宋" w:eastAsia="仿宋" w:cs="仿宋"/>
          <w:sz w:val="24"/>
          <w:szCs w:val="24"/>
        </w:rPr>
        <w:t>在争议解决前，</w:t>
      </w:r>
      <w:r>
        <w:rPr>
          <w:rFonts w:hint="eastAsia" w:ascii="仿宋" w:hAnsi="仿宋" w:eastAsia="仿宋" w:cs="仿宋"/>
          <w:b/>
          <w:bCs/>
          <w:sz w:val="24"/>
          <w:szCs w:val="24"/>
        </w:rPr>
        <w:t>LNG结算总金额</w:t>
      </w:r>
      <w:r>
        <w:rPr>
          <w:rFonts w:hint="eastAsia" w:ascii="仿宋" w:hAnsi="仿宋" w:eastAsia="仿宋" w:cs="仿宋"/>
          <w:sz w:val="24"/>
          <w:szCs w:val="24"/>
        </w:rPr>
        <w:t xml:space="preserve">暂按其中最低气量的数据先行付费，待原因明晰后根据实际情况相应核算。  </w:t>
      </w:r>
    </w:p>
    <w:p w14:paraId="361D3676">
      <w:pPr>
        <w:keepNext w:val="0"/>
        <w:keepLines w:val="0"/>
        <w:pageBreakBefore w:val="0"/>
        <w:widowControl w:val="0"/>
        <w:kinsoku/>
        <w:wordWrap/>
        <w:overflowPunct/>
        <w:topLinePunct w:val="0"/>
        <w:bidi w:val="0"/>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2.8</w:t>
      </w:r>
      <w:r>
        <w:rPr>
          <w:rFonts w:hint="eastAsia" w:ascii="仿宋" w:hAnsi="仿宋" w:eastAsia="仿宋" w:cs="仿宋"/>
          <w:b/>
          <w:sz w:val="24"/>
          <w:szCs w:val="24"/>
        </w:rPr>
        <w:t>权利和义务</w:t>
      </w:r>
    </w:p>
    <w:p w14:paraId="328A092B">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.1 招标人的权利和义务。</w:t>
      </w:r>
      <w:r>
        <w:rPr>
          <w:rFonts w:hint="eastAsia" w:ascii="仿宋" w:hAnsi="仿宋" w:eastAsia="仿宋" w:cs="仿宋"/>
          <w:sz w:val="24"/>
          <w:szCs w:val="24"/>
        </w:rPr>
        <w:tab/>
      </w:r>
    </w:p>
    <w:p w14:paraId="193146B8">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 xml:space="preserve">.1.1 </w:t>
      </w:r>
      <w:r>
        <w:rPr>
          <w:rFonts w:hint="eastAsia" w:ascii="仿宋" w:hAnsi="仿宋" w:eastAsia="仿宋" w:cs="仿宋"/>
          <w:color w:val="000000"/>
          <w:sz w:val="24"/>
          <w:szCs w:val="24"/>
        </w:rPr>
        <w:t>招标人在急需用气时，在中标人无法满足供应的前提下，招标人有权通过其他渠道进行采购，招标人不承担违约责任，中标人不得以此向招标人主张任何权利。</w:t>
      </w:r>
    </w:p>
    <w:p w14:paraId="7B9D3AB4">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.1.2招标人应按中标人确认反馈的供应数量稳定、连续</w:t>
      </w:r>
      <w:r>
        <w:rPr>
          <w:rFonts w:hint="eastAsia" w:ascii="仿宋" w:hAnsi="仿宋" w:eastAsia="仿宋" w:cs="仿宋"/>
          <w:color w:val="000000"/>
          <w:sz w:val="24"/>
          <w:szCs w:val="24"/>
        </w:rPr>
        <w:t>接</w:t>
      </w:r>
      <w:r>
        <w:rPr>
          <w:rFonts w:hint="eastAsia" w:ascii="仿宋" w:hAnsi="仿宋" w:eastAsia="仿宋" w:cs="仿宋"/>
          <w:sz w:val="24"/>
          <w:szCs w:val="24"/>
        </w:rPr>
        <w:t>气，</w:t>
      </w:r>
      <w:r>
        <w:rPr>
          <w:rFonts w:hint="eastAsia" w:ascii="仿宋" w:hAnsi="仿宋" w:eastAsia="仿宋" w:cs="仿宋"/>
          <w:color w:val="000000"/>
          <w:sz w:val="24"/>
          <w:szCs w:val="24"/>
        </w:rPr>
        <w:t>如中标人未按招标人采购计划交货，造成招标人供应中断，中标人应赔偿招标人由此造成的全部损失。</w:t>
      </w:r>
    </w:p>
    <w:p w14:paraId="14A184F9">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 xml:space="preserve">.1.3 </w:t>
      </w:r>
      <w:r>
        <w:rPr>
          <w:rFonts w:hint="eastAsia" w:ascii="仿宋" w:hAnsi="仿宋" w:eastAsia="仿宋" w:cs="仿宋"/>
          <w:color w:val="000000"/>
          <w:sz w:val="24"/>
          <w:szCs w:val="24"/>
        </w:rPr>
        <w:t>招标人为中标人提供的卸气场地必须符合国家消防、安全等有关规定及LNG产品的特殊物性带来的安全需求</w:t>
      </w:r>
      <w:r>
        <w:rPr>
          <w:rFonts w:hint="eastAsia" w:ascii="仿宋" w:hAnsi="仿宋" w:eastAsia="仿宋" w:cs="仿宋"/>
          <w:sz w:val="24"/>
          <w:szCs w:val="24"/>
        </w:rPr>
        <w:t>。</w:t>
      </w:r>
    </w:p>
    <w:p w14:paraId="0E94AD48">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2.8</w:t>
      </w:r>
      <w:r>
        <w:rPr>
          <w:rFonts w:hint="eastAsia" w:ascii="仿宋" w:hAnsi="仿宋" w:eastAsia="仿宋" w:cs="仿宋"/>
          <w:sz w:val="24"/>
          <w:szCs w:val="24"/>
        </w:rPr>
        <w:t>.1.4 如中标人LNG运输车辆按时到达招标人指定卸气点后，招标人</w:t>
      </w:r>
      <w:r>
        <w:rPr>
          <w:rFonts w:hint="eastAsia" w:ascii="仿宋" w:hAnsi="仿宋" w:eastAsia="仿宋" w:cs="仿宋"/>
          <w:color w:val="000000"/>
          <w:sz w:val="24"/>
          <w:szCs w:val="24"/>
        </w:rPr>
        <w:t>应配合中标人</w:t>
      </w:r>
      <w:r>
        <w:rPr>
          <w:rFonts w:hint="eastAsia" w:ascii="仿宋" w:hAnsi="仿宋" w:eastAsia="仿宋" w:cs="仿宋"/>
          <w:sz w:val="24"/>
          <w:szCs w:val="24"/>
        </w:rPr>
        <w:t>在</w:t>
      </w:r>
      <w:r>
        <w:rPr>
          <w:rFonts w:hint="eastAsia" w:ascii="仿宋" w:hAnsi="仿宋" w:eastAsia="仿宋" w:cs="仿宋"/>
          <w:color w:val="000000"/>
          <w:sz w:val="24"/>
          <w:szCs w:val="24"/>
        </w:rPr>
        <w:t>要求到货时间后24</w:t>
      </w:r>
      <w:r>
        <w:rPr>
          <w:rFonts w:hint="eastAsia" w:ascii="仿宋" w:hAnsi="仿宋" w:eastAsia="仿宋" w:cs="仿宋"/>
          <w:sz w:val="24"/>
          <w:szCs w:val="24"/>
        </w:rPr>
        <w:t>小时内</w:t>
      </w:r>
      <w:r>
        <w:rPr>
          <w:rFonts w:hint="eastAsia" w:ascii="仿宋" w:hAnsi="仿宋" w:eastAsia="仿宋" w:cs="仿宋"/>
          <w:b/>
          <w:sz w:val="24"/>
          <w:szCs w:val="24"/>
        </w:rPr>
        <w:t>完成</w:t>
      </w:r>
      <w:r>
        <w:rPr>
          <w:rFonts w:hint="eastAsia" w:ascii="仿宋" w:hAnsi="仿宋" w:eastAsia="仿宋" w:cs="仿宋"/>
          <w:b/>
          <w:color w:val="000000"/>
          <w:sz w:val="24"/>
          <w:szCs w:val="24"/>
        </w:rPr>
        <w:t>单车</w:t>
      </w:r>
      <w:r>
        <w:rPr>
          <w:rFonts w:hint="eastAsia" w:ascii="仿宋" w:hAnsi="仿宋" w:eastAsia="仿宋" w:cs="仿宋"/>
          <w:b/>
          <w:sz w:val="24"/>
          <w:szCs w:val="24"/>
        </w:rPr>
        <w:t>卸气</w:t>
      </w:r>
      <w:r>
        <w:rPr>
          <w:rFonts w:hint="eastAsia" w:ascii="仿宋" w:hAnsi="仿宋" w:eastAsia="仿宋" w:cs="仿宋"/>
          <w:sz w:val="24"/>
          <w:szCs w:val="24"/>
        </w:rPr>
        <w:t>（首次充装除外）。因招标人原因导致</w:t>
      </w:r>
      <w:r>
        <w:rPr>
          <w:rFonts w:hint="eastAsia" w:ascii="仿宋" w:hAnsi="仿宋" w:eastAsia="仿宋" w:cs="仿宋"/>
          <w:color w:val="000000"/>
          <w:sz w:val="24"/>
          <w:szCs w:val="24"/>
        </w:rPr>
        <w:t>到货时间后24</w:t>
      </w:r>
      <w:r>
        <w:rPr>
          <w:rFonts w:hint="eastAsia" w:ascii="仿宋" w:hAnsi="仿宋" w:eastAsia="仿宋" w:cs="仿宋"/>
          <w:sz w:val="24"/>
          <w:szCs w:val="24"/>
        </w:rPr>
        <w:t>小时内未能完成卸气的，</w:t>
      </w:r>
      <w:r>
        <w:rPr>
          <w:rFonts w:hint="eastAsia" w:ascii="仿宋" w:hAnsi="仿宋" w:eastAsia="仿宋" w:cs="仿宋"/>
          <w:color w:val="000000"/>
          <w:sz w:val="24"/>
          <w:szCs w:val="24"/>
        </w:rPr>
        <w:t>每增加一小时，招标人须向中标人支付</w:t>
      </w:r>
      <w:r>
        <w:rPr>
          <w:rFonts w:hint="eastAsia" w:ascii="仿宋" w:hAnsi="仿宋" w:eastAsia="仿宋" w:cs="仿宋"/>
          <w:b/>
          <w:bCs/>
          <w:color w:val="000000"/>
          <w:sz w:val="24"/>
          <w:szCs w:val="24"/>
        </w:rPr>
        <w:t>100元/小时</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押车</w:t>
      </w:r>
      <w:r>
        <w:rPr>
          <w:rFonts w:hint="eastAsia" w:ascii="仿宋" w:hAnsi="仿宋" w:eastAsia="仿宋" w:cs="仿宋"/>
          <w:color w:val="000000"/>
          <w:sz w:val="24"/>
          <w:szCs w:val="24"/>
        </w:rPr>
        <w:t>费（中标人LNG运输车辆未按招标人要求的时间而自行</w:t>
      </w:r>
      <w:r>
        <w:rPr>
          <w:rFonts w:hint="eastAsia" w:ascii="仿宋" w:hAnsi="仿宋" w:eastAsia="仿宋" w:cs="仿宋"/>
          <w:b/>
          <w:bCs/>
          <w:color w:val="000000"/>
          <w:sz w:val="24"/>
          <w:szCs w:val="24"/>
        </w:rPr>
        <w:t>提前</w:t>
      </w:r>
      <w:r>
        <w:rPr>
          <w:rFonts w:hint="eastAsia" w:ascii="仿宋" w:hAnsi="仿宋" w:eastAsia="仿宋" w:cs="仿宋"/>
          <w:color w:val="000000"/>
          <w:sz w:val="24"/>
          <w:szCs w:val="24"/>
        </w:rPr>
        <w:t>到达卸气</w:t>
      </w:r>
      <w:r>
        <w:rPr>
          <w:rFonts w:hint="eastAsia" w:ascii="仿宋" w:hAnsi="仿宋" w:eastAsia="仿宋" w:cs="仿宋"/>
          <w:sz w:val="24"/>
          <w:szCs w:val="24"/>
        </w:rPr>
        <w:t>站情况除外），不足一小时的不予计算。</w:t>
      </w:r>
      <w:r>
        <w:rPr>
          <w:rFonts w:hint="eastAsia" w:ascii="仿宋" w:hAnsi="仿宋" w:eastAsia="仿宋" w:cs="仿宋"/>
          <w:color w:val="auto"/>
          <w:sz w:val="24"/>
          <w:szCs w:val="24"/>
          <w:lang w:eastAsia="zh-CN"/>
        </w:rPr>
        <w:t>因中标人LNG运输车辆到达卸气站时间超过招标人要求的时间，导致招标人</w:t>
      </w:r>
      <w:r>
        <w:rPr>
          <w:rFonts w:hint="eastAsia" w:ascii="仿宋" w:hAnsi="仿宋" w:eastAsia="仿宋" w:cs="仿宋"/>
          <w:color w:val="auto"/>
          <w:sz w:val="24"/>
          <w:szCs w:val="24"/>
        </w:rPr>
        <w:t>卸气</w:t>
      </w:r>
      <w:r>
        <w:rPr>
          <w:rFonts w:hint="eastAsia" w:ascii="仿宋" w:hAnsi="仿宋" w:eastAsia="仿宋" w:cs="仿宋"/>
          <w:color w:val="auto"/>
          <w:sz w:val="24"/>
          <w:szCs w:val="24"/>
          <w:lang w:eastAsia="zh-CN"/>
        </w:rPr>
        <w:t>滞后的，中标人不得向招标人收取任何押车费用。</w:t>
      </w:r>
      <w:r>
        <w:rPr>
          <w:rFonts w:hint="eastAsia" w:ascii="仿宋" w:hAnsi="仿宋" w:eastAsia="仿宋" w:cs="仿宋"/>
          <w:b/>
          <w:bCs/>
          <w:sz w:val="24"/>
          <w:szCs w:val="24"/>
        </w:rPr>
        <w:t>【注：如投标人有承诺的以投标承诺为准】</w:t>
      </w:r>
    </w:p>
    <w:p w14:paraId="29711167">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.1.5 本合同中约定的需招标人履行</w:t>
      </w:r>
      <w:r>
        <w:rPr>
          <w:rFonts w:hint="eastAsia" w:ascii="仿宋" w:hAnsi="仿宋" w:eastAsia="仿宋" w:cs="仿宋"/>
          <w:sz w:val="24"/>
          <w:szCs w:val="24"/>
          <w:lang w:eastAsia="zh-CN"/>
        </w:rPr>
        <w:t>的其他</w:t>
      </w:r>
      <w:r>
        <w:rPr>
          <w:rFonts w:hint="eastAsia" w:ascii="仿宋" w:hAnsi="仿宋" w:eastAsia="仿宋" w:cs="仿宋"/>
          <w:sz w:val="24"/>
          <w:szCs w:val="24"/>
        </w:rPr>
        <w:t>权利和义务。</w:t>
      </w:r>
    </w:p>
    <w:p w14:paraId="2394C9F0">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2.8</w:t>
      </w:r>
      <w:r>
        <w:rPr>
          <w:rFonts w:hint="eastAsia" w:ascii="仿宋" w:hAnsi="仿宋" w:eastAsia="仿宋" w:cs="仿宋"/>
          <w:bCs/>
          <w:sz w:val="24"/>
          <w:szCs w:val="24"/>
        </w:rPr>
        <w:t>.2 中标人的权利和义务。</w:t>
      </w:r>
    </w:p>
    <w:p w14:paraId="38D38262">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bCs/>
          <w:color w:val="0000FF"/>
          <w:sz w:val="24"/>
          <w:szCs w:val="24"/>
          <w:lang w:eastAsia="zh-CN"/>
        </w:rPr>
      </w:pPr>
      <w:r>
        <w:rPr>
          <w:rFonts w:hint="eastAsia" w:ascii="仿宋" w:hAnsi="仿宋" w:eastAsia="仿宋" w:cs="仿宋"/>
          <w:sz w:val="24"/>
          <w:szCs w:val="24"/>
          <w:lang w:val="en-US" w:eastAsia="zh-CN"/>
        </w:rPr>
        <w:t>2.8</w:t>
      </w:r>
      <w:r>
        <w:rPr>
          <w:rFonts w:hint="eastAsia" w:ascii="仿宋" w:hAnsi="仿宋" w:eastAsia="仿宋" w:cs="仿宋"/>
          <w:bCs/>
          <w:sz w:val="24"/>
          <w:szCs w:val="24"/>
        </w:rPr>
        <w:t xml:space="preserve">.2.1 </w:t>
      </w:r>
      <w:r>
        <w:rPr>
          <w:rFonts w:hint="eastAsia" w:ascii="仿宋" w:hAnsi="仿宋" w:eastAsia="仿宋" w:cs="仿宋"/>
          <w:sz w:val="24"/>
          <w:szCs w:val="24"/>
        </w:rPr>
        <w:t>中标人每次供货时</w:t>
      </w:r>
      <w:r>
        <w:rPr>
          <w:rFonts w:hint="eastAsia" w:ascii="仿宋" w:hAnsi="仿宋" w:eastAsia="仿宋" w:cs="仿宋"/>
          <w:bCs/>
          <w:sz w:val="24"/>
          <w:szCs w:val="24"/>
        </w:rPr>
        <w:t>向招标人提供</w:t>
      </w:r>
      <w:r>
        <w:rPr>
          <w:rFonts w:hint="eastAsia" w:ascii="仿宋" w:hAnsi="仿宋" w:eastAsia="仿宋" w:cs="仿宋"/>
          <w:bCs/>
          <w:color w:val="000000"/>
          <w:sz w:val="24"/>
          <w:szCs w:val="24"/>
        </w:rPr>
        <w:t>最新</w:t>
      </w:r>
      <w:r>
        <w:rPr>
          <w:rFonts w:hint="eastAsia" w:ascii="仿宋" w:hAnsi="仿宋" w:eastAsia="仿宋" w:cs="仿宋"/>
          <w:bCs/>
          <w:color w:val="auto"/>
          <w:sz w:val="24"/>
          <w:szCs w:val="24"/>
        </w:rPr>
        <w:t>的上游气源单位出具的天然气</w:t>
      </w:r>
      <w:r>
        <w:rPr>
          <w:rFonts w:hint="eastAsia" w:ascii="仿宋" w:hAnsi="仿宋" w:eastAsia="仿宋" w:cs="仿宋"/>
          <w:color w:val="auto"/>
          <w:sz w:val="24"/>
          <w:szCs w:val="24"/>
        </w:rPr>
        <w:t>《</w:t>
      </w:r>
      <w:r>
        <w:rPr>
          <w:rFonts w:hint="eastAsia" w:ascii="仿宋" w:hAnsi="仿宋" w:eastAsia="仿宋" w:cs="仿宋"/>
          <w:bCs/>
          <w:sz w:val="24"/>
          <w:szCs w:val="24"/>
        </w:rPr>
        <w:t>气质参数报告</w:t>
      </w:r>
      <w:r>
        <w:rPr>
          <w:rFonts w:hint="eastAsia" w:ascii="仿宋" w:hAnsi="仿宋" w:eastAsia="仿宋" w:cs="仿宋"/>
          <w:sz w:val="24"/>
          <w:szCs w:val="24"/>
        </w:rPr>
        <w:t>》</w:t>
      </w:r>
      <w:r>
        <w:rPr>
          <w:rFonts w:hint="eastAsia" w:ascii="仿宋" w:hAnsi="仿宋" w:eastAsia="仿宋" w:cs="仿宋"/>
          <w:bCs/>
          <w:sz w:val="24"/>
          <w:szCs w:val="24"/>
        </w:rPr>
        <w:t>，以证明LNG产品的组分和质量</w:t>
      </w:r>
      <w:r>
        <w:rPr>
          <w:rFonts w:hint="eastAsia" w:ascii="仿宋" w:hAnsi="仿宋" w:eastAsia="仿宋" w:cs="仿宋"/>
          <w:bCs/>
          <w:color w:val="000000"/>
          <w:sz w:val="24"/>
          <w:szCs w:val="24"/>
        </w:rPr>
        <w:t>（加盖公章），否则招标人有权拒绝接收，且视为中标人逾期交货</w:t>
      </w:r>
      <w:r>
        <w:rPr>
          <w:rFonts w:hint="eastAsia" w:ascii="仿宋" w:hAnsi="仿宋" w:eastAsia="仿宋" w:cs="仿宋"/>
          <w:bCs/>
          <w:color w:val="000000"/>
          <w:sz w:val="24"/>
          <w:szCs w:val="24"/>
          <w:lang w:eastAsia="zh-CN"/>
        </w:rPr>
        <w:t>。</w:t>
      </w:r>
    </w:p>
    <w:p w14:paraId="521AD924">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.2.2 中标人应按合同约定及《供货通知单》上的</w:t>
      </w:r>
      <w:r>
        <w:rPr>
          <w:rFonts w:hint="eastAsia" w:ascii="仿宋" w:hAnsi="仿宋" w:eastAsia="仿宋" w:cs="仿宋"/>
          <w:b/>
          <w:sz w:val="24"/>
          <w:szCs w:val="24"/>
        </w:rPr>
        <w:t>数量</w:t>
      </w:r>
      <w:r>
        <w:rPr>
          <w:rFonts w:hint="eastAsia" w:ascii="仿宋" w:hAnsi="仿宋" w:eastAsia="仿宋" w:cs="仿宋"/>
          <w:b/>
          <w:sz w:val="24"/>
          <w:szCs w:val="24"/>
          <w:lang w:eastAsia="zh-CN"/>
        </w:rPr>
        <w:t>、</w:t>
      </w:r>
      <w:r>
        <w:rPr>
          <w:rFonts w:hint="eastAsia" w:ascii="仿宋" w:hAnsi="仿宋" w:eastAsia="仿宋" w:cs="仿宋"/>
          <w:b/>
          <w:sz w:val="24"/>
          <w:szCs w:val="24"/>
        </w:rPr>
        <w:t>时</w:t>
      </w:r>
      <w:r>
        <w:rPr>
          <w:rFonts w:hint="eastAsia" w:ascii="仿宋" w:hAnsi="仿宋" w:eastAsia="仿宋" w:cs="仿宋"/>
          <w:b/>
          <w:sz w:val="24"/>
          <w:szCs w:val="24"/>
          <w:highlight w:val="none"/>
        </w:rPr>
        <w:t>间</w:t>
      </w:r>
      <w:r>
        <w:rPr>
          <w:rFonts w:hint="eastAsia" w:ascii="仿宋" w:hAnsi="仿宋" w:eastAsia="仿宋" w:cs="仿宋"/>
          <w:b/>
          <w:sz w:val="24"/>
          <w:szCs w:val="24"/>
          <w:highlight w:val="none"/>
          <w:lang w:eastAsia="zh-CN"/>
        </w:rPr>
        <w:t>和指定接收站</w:t>
      </w:r>
      <w:r>
        <w:rPr>
          <w:rFonts w:hint="eastAsia" w:ascii="仿宋" w:hAnsi="仿宋" w:eastAsia="仿宋" w:cs="仿宋"/>
          <w:sz w:val="24"/>
          <w:szCs w:val="24"/>
          <w:highlight w:val="none"/>
        </w:rPr>
        <w:t>向</w:t>
      </w:r>
      <w:r>
        <w:rPr>
          <w:rFonts w:hint="eastAsia" w:ascii="仿宋" w:hAnsi="仿宋" w:eastAsia="仿宋" w:cs="仿宋"/>
          <w:sz w:val="24"/>
          <w:szCs w:val="24"/>
        </w:rPr>
        <w:t>招标人供气。如因中标人未能按时供气给招标人造成损失，中标人需支付</w:t>
      </w:r>
      <w:r>
        <w:rPr>
          <w:rFonts w:hint="eastAsia" w:ascii="仿宋" w:hAnsi="仿宋" w:eastAsia="仿宋" w:cs="仿宋"/>
          <w:b/>
          <w:sz w:val="24"/>
          <w:szCs w:val="24"/>
        </w:rPr>
        <w:t>招标</w:t>
      </w:r>
      <w:r>
        <w:rPr>
          <w:rFonts w:hint="eastAsia" w:ascii="仿宋" w:hAnsi="仿宋" w:eastAsia="仿宋" w:cs="仿宋"/>
          <w:b/>
          <w:color w:val="auto"/>
          <w:sz w:val="24"/>
          <w:szCs w:val="24"/>
        </w:rPr>
        <w:t>人</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eastAsia="zh-CN"/>
        </w:rPr>
        <w:t>万元</w:t>
      </w:r>
      <w:r>
        <w:rPr>
          <w:rFonts w:hint="eastAsia" w:ascii="仿宋" w:hAnsi="仿宋" w:eastAsia="仿宋" w:cs="仿宋"/>
          <w:b/>
          <w:bCs/>
          <w:color w:val="auto"/>
          <w:sz w:val="24"/>
          <w:szCs w:val="24"/>
        </w:rPr>
        <w:t>/次</w:t>
      </w:r>
      <w:r>
        <w:rPr>
          <w:rFonts w:hint="eastAsia" w:ascii="仿宋" w:hAnsi="仿宋" w:eastAsia="仿宋" w:cs="仿宋"/>
          <w:b/>
          <w:color w:val="auto"/>
          <w:sz w:val="24"/>
          <w:szCs w:val="24"/>
        </w:rPr>
        <w:t>的违约金</w:t>
      </w:r>
      <w:r>
        <w:rPr>
          <w:rFonts w:hint="eastAsia" w:ascii="仿宋" w:hAnsi="仿宋" w:eastAsia="仿宋" w:cs="仿宋"/>
          <w:sz w:val="24"/>
          <w:szCs w:val="24"/>
        </w:rPr>
        <w:t>外</w:t>
      </w:r>
      <w:r>
        <w:rPr>
          <w:rFonts w:hint="eastAsia" w:ascii="仿宋" w:hAnsi="仿宋" w:eastAsia="仿宋" w:cs="仿宋"/>
          <w:sz w:val="24"/>
          <w:szCs w:val="24"/>
          <w:lang w:eastAsia="zh-CN"/>
        </w:rPr>
        <w:t>（招标人可直接在结算款项中扣除）</w:t>
      </w:r>
      <w:r>
        <w:rPr>
          <w:rFonts w:hint="eastAsia" w:ascii="仿宋" w:hAnsi="仿宋" w:eastAsia="仿宋" w:cs="仿宋"/>
          <w:sz w:val="24"/>
          <w:szCs w:val="24"/>
        </w:rPr>
        <w:t>，中标人还应赔偿招标人</w:t>
      </w:r>
      <w:r>
        <w:rPr>
          <w:rFonts w:hint="eastAsia" w:ascii="仿宋" w:hAnsi="仿宋" w:eastAsia="仿宋" w:cs="仿宋"/>
          <w:color w:val="000000"/>
          <w:sz w:val="24"/>
          <w:szCs w:val="24"/>
        </w:rPr>
        <w:t>由此造成的全部损失。</w:t>
      </w:r>
    </w:p>
    <w:p w14:paraId="3B8341B5">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.2.3 中标人在招标人不按合同约定支付气款或违反其他合同约定时，应先书面告知招标人履行义务，但不得减少或停止气源供应，书面告知后招标人仍未履行的，中标人可</w:t>
      </w:r>
      <w:r>
        <w:rPr>
          <w:rFonts w:hint="eastAsia" w:ascii="仿宋" w:hAnsi="仿宋" w:eastAsia="仿宋" w:cs="仿宋"/>
          <w:color w:val="000000"/>
          <w:sz w:val="24"/>
          <w:szCs w:val="24"/>
        </w:rPr>
        <w:t>书面告知招标人一个月后减少或停止对招标人的气源供应，并不承担由此给招标人造成的损失。</w:t>
      </w:r>
    </w:p>
    <w:p w14:paraId="65BC411B">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color w:val="000000"/>
          <w:sz w:val="24"/>
          <w:szCs w:val="24"/>
        </w:rPr>
        <w:t xml:space="preserve">.2.4 </w:t>
      </w:r>
      <w:r>
        <w:rPr>
          <w:rFonts w:hint="eastAsia" w:ascii="仿宋" w:hAnsi="仿宋" w:eastAsia="仿宋" w:cs="仿宋"/>
          <w:sz w:val="24"/>
          <w:szCs w:val="24"/>
        </w:rPr>
        <w:t>本合同中约定的需中标人履行</w:t>
      </w:r>
      <w:r>
        <w:rPr>
          <w:rFonts w:hint="eastAsia" w:ascii="仿宋" w:hAnsi="仿宋" w:eastAsia="仿宋" w:cs="仿宋"/>
          <w:sz w:val="24"/>
          <w:szCs w:val="24"/>
          <w:lang w:eastAsia="zh-CN"/>
        </w:rPr>
        <w:t>的其他</w:t>
      </w:r>
      <w:r>
        <w:rPr>
          <w:rFonts w:hint="eastAsia" w:ascii="仿宋" w:hAnsi="仿宋" w:eastAsia="仿宋" w:cs="仿宋"/>
          <w:sz w:val="24"/>
          <w:szCs w:val="24"/>
        </w:rPr>
        <w:t>权利和义务。</w:t>
      </w:r>
    </w:p>
    <w:p w14:paraId="68FB03AF">
      <w:pPr>
        <w:keepNext w:val="0"/>
        <w:keepLines w:val="0"/>
        <w:pageBreakBefore w:val="0"/>
        <w:widowControl w:val="0"/>
        <w:kinsoku/>
        <w:wordWrap/>
        <w:overflowPunct/>
        <w:topLinePunct w:val="0"/>
        <w:bidi w:val="0"/>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2.9</w:t>
      </w:r>
      <w:r>
        <w:rPr>
          <w:rFonts w:hint="eastAsia" w:ascii="仿宋" w:hAnsi="仿宋" w:eastAsia="仿宋" w:cs="仿宋"/>
          <w:b/>
          <w:sz w:val="24"/>
          <w:szCs w:val="24"/>
        </w:rPr>
        <w:t>违约责任</w:t>
      </w:r>
    </w:p>
    <w:p w14:paraId="7A29EEC7">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2.9</w:t>
      </w:r>
      <w:r>
        <w:rPr>
          <w:rFonts w:hint="eastAsia" w:ascii="仿宋" w:hAnsi="仿宋" w:eastAsia="仿宋" w:cs="仿宋"/>
          <w:bCs/>
          <w:sz w:val="24"/>
          <w:szCs w:val="24"/>
        </w:rPr>
        <w:t>.1 招标人的违约责任</w:t>
      </w:r>
    </w:p>
    <w:p w14:paraId="1D9E88F2">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2.9</w:t>
      </w:r>
      <w:r>
        <w:rPr>
          <w:rFonts w:hint="eastAsia" w:ascii="仿宋" w:hAnsi="仿宋" w:eastAsia="仿宋" w:cs="仿宋"/>
          <w:sz w:val="24"/>
          <w:szCs w:val="24"/>
        </w:rPr>
        <w:t>.1.1 由于招标人</w:t>
      </w:r>
      <w:r>
        <w:rPr>
          <w:rFonts w:hint="eastAsia" w:ascii="仿宋" w:hAnsi="仿宋" w:eastAsia="仿宋" w:cs="仿宋"/>
          <w:color w:val="000000"/>
          <w:sz w:val="24"/>
          <w:szCs w:val="24"/>
        </w:rPr>
        <w:t>未按约支付气款</w:t>
      </w:r>
      <w:r>
        <w:rPr>
          <w:rFonts w:hint="eastAsia" w:ascii="仿宋" w:hAnsi="仿宋" w:eastAsia="仿宋" w:cs="仿宋"/>
          <w:sz w:val="24"/>
          <w:szCs w:val="24"/>
        </w:rPr>
        <w:t>造成的限气、断气事故，责任由招标人自负。</w:t>
      </w:r>
    </w:p>
    <w:p w14:paraId="7B05D999">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bCs/>
          <w:sz w:val="24"/>
          <w:szCs w:val="24"/>
          <w:lang w:val="en-US" w:eastAsia="zh-CN"/>
        </w:rPr>
        <w:t>2.9</w:t>
      </w:r>
      <w:r>
        <w:rPr>
          <w:rFonts w:hint="eastAsia" w:ascii="仿宋" w:hAnsi="仿宋" w:eastAsia="仿宋" w:cs="仿宋"/>
          <w:sz w:val="24"/>
          <w:szCs w:val="24"/>
        </w:rPr>
        <w:t xml:space="preserve">.1.2 </w:t>
      </w:r>
      <w:r>
        <w:rPr>
          <w:rFonts w:hint="eastAsia" w:ascii="仿宋" w:hAnsi="仿宋" w:eastAsia="仿宋" w:cs="仿宋"/>
          <w:sz w:val="24"/>
          <w:szCs w:val="24"/>
          <w:lang w:eastAsia="zh-Hans"/>
        </w:rPr>
        <w:t>如果招标人未能按约定支付款项，中标人有权对未付部分款项，</w:t>
      </w:r>
      <w:r>
        <w:rPr>
          <w:rFonts w:hint="eastAsia" w:ascii="仿宋" w:hAnsi="仿宋" w:eastAsia="仿宋" w:cs="仿宋"/>
          <w:sz w:val="24"/>
          <w:szCs w:val="24"/>
          <w:lang w:val="en-US" w:eastAsia="zh-CN"/>
        </w:rPr>
        <w:t>自逾期之日起</w:t>
      </w:r>
      <w:r>
        <w:rPr>
          <w:rFonts w:hint="eastAsia" w:ascii="仿宋" w:hAnsi="仿宋" w:eastAsia="仿宋" w:cs="仿宋"/>
          <w:sz w:val="24"/>
          <w:szCs w:val="24"/>
          <w:lang w:eastAsia="zh-Hans"/>
        </w:rPr>
        <w:t>按照同期全国银行间同业拆借中心公布的1年期贷款市场报价利率</w:t>
      </w:r>
      <w:r>
        <w:rPr>
          <w:rFonts w:hint="eastAsia" w:ascii="仿宋" w:hAnsi="仿宋" w:eastAsia="仿宋" w:cs="仿宋"/>
          <w:color w:val="auto"/>
          <w:sz w:val="24"/>
          <w:szCs w:val="24"/>
        </w:rPr>
        <w:t>（LPR）</w:t>
      </w:r>
      <w:r>
        <w:rPr>
          <w:rFonts w:hint="eastAsia" w:ascii="仿宋" w:hAnsi="仿宋" w:eastAsia="仿宋" w:cs="仿宋"/>
          <w:color w:val="auto"/>
          <w:sz w:val="24"/>
          <w:szCs w:val="24"/>
          <w:lang w:eastAsia="zh-Hans"/>
        </w:rPr>
        <w:t>收取</w:t>
      </w:r>
      <w:r>
        <w:rPr>
          <w:rFonts w:hint="eastAsia" w:ascii="仿宋" w:hAnsi="仿宋" w:eastAsia="仿宋" w:cs="仿宋"/>
          <w:sz w:val="24"/>
          <w:szCs w:val="24"/>
          <w:lang w:eastAsia="zh-Hans"/>
        </w:rPr>
        <w:t>违约金</w:t>
      </w:r>
      <w:r>
        <w:rPr>
          <w:rFonts w:hint="eastAsia" w:ascii="仿宋" w:hAnsi="仿宋" w:eastAsia="仿宋" w:cs="仿宋"/>
          <w:color w:val="000000"/>
          <w:sz w:val="24"/>
          <w:szCs w:val="24"/>
        </w:rPr>
        <w:t>。</w:t>
      </w:r>
    </w:p>
    <w:p w14:paraId="48477E33">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2.9</w:t>
      </w:r>
      <w:r>
        <w:rPr>
          <w:rFonts w:hint="eastAsia" w:ascii="仿宋" w:hAnsi="仿宋" w:eastAsia="仿宋" w:cs="仿宋"/>
          <w:sz w:val="24"/>
          <w:szCs w:val="24"/>
        </w:rPr>
        <w:t>.2 中标人</w:t>
      </w:r>
      <w:r>
        <w:rPr>
          <w:rFonts w:hint="eastAsia" w:ascii="仿宋" w:hAnsi="仿宋" w:eastAsia="仿宋" w:cs="仿宋"/>
          <w:bCs/>
          <w:sz w:val="24"/>
          <w:szCs w:val="24"/>
        </w:rPr>
        <w:t>的违约责任</w:t>
      </w:r>
    </w:p>
    <w:p w14:paraId="2E79432E">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000000"/>
          <w:sz w:val="24"/>
          <w:szCs w:val="24"/>
        </w:rPr>
      </w:pPr>
      <w:r>
        <w:rPr>
          <w:rFonts w:hint="eastAsia" w:ascii="仿宋" w:hAnsi="仿宋" w:eastAsia="仿宋" w:cs="仿宋"/>
          <w:bCs/>
          <w:sz w:val="24"/>
          <w:szCs w:val="24"/>
          <w:lang w:val="en-US" w:eastAsia="zh-CN"/>
        </w:rPr>
        <w:t>2.9</w:t>
      </w:r>
      <w:r>
        <w:rPr>
          <w:rFonts w:hint="eastAsia" w:ascii="仿宋" w:hAnsi="仿宋" w:eastAsia="仿宋" w:cs="仿宋"/>
          <w:sz w:val="24"/>
          <w:szCs w:val="24"/>
        </w:rPr>
        <w:t>.2.1 由于</w:t>
      </w:r>
      <w:r>
        <w:rPr>
          <w:rFonts w:hint="eastAsia" w:ascii="仿宋" w:hAnsi="仿宋" w:eastAsia="仿宋" w:cs="仿宋"/>
          <w:color w:val="000000"/>
          <w:sz w:val="24"/>
          <w:szCs w:val="24"/>
        </w:rPr>
        <w:t>中标人</w:t>
      </w:r>
      <w:r>
        <w:rPr>
          <w:rFonts w:hint="eastAsia" w:ascii="仿宋" w:hAnsi="仿宋" w:eastAsia="仿宋" w:cs="仿宋"/>
          <w:sz w:val="24"/>
          <w:szCs w:val="24"/>
        </w:rPr>
        <w:t>不符合合同约定的行为，造成招标人限气</w:t>
      </w:r>
      <w:r>
        <w:rPr>
          <w:rFonts w:hint="eastAsia" w:ascii="仿宋" w:hAnsi="仿宋" w:eastAsia="仿宋" w:cs="仿宋"/>
          <w:color w:val="000000"/>
          <w:sz w:val="24"/>
          <w:szCs w:val="24"/>
        </w:rPr>
        <w:t>、断气事故，在扣除中标</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全额</w:t>
      </w:r>
      <w:r>
        <w:rPr>
          <w:rFonts w:hint="eastAsia" w:ascii="仿宋" w:hAnsi="仿宋" w:eastAsia="仿宋" w:cs="仿宋"/>
          <w:color w:val="auto"/>
          <w:sz w:val="24"/>
          <w:szCs w:val="24"/>
        </w:rPr>
        <w:t>履约</w:t>
      </w:r>
      <w:r>
        <w:rPr>
          <w:rFonts w:hint="eastAsia" w:ascii="仿宋" w:hAnsi="仿宋" w:eastAsia="仿宋" w:cs="仿宋"/>
          <w:color w:val="000000"/>
          <w:sz w:val="24"/>
          <w:szCs w:val="24"/>
        </w:rPr>
        <w:t>保证金外，还须赔偿招标人的全部损失，同时招标人有权单方面解除合同。</w:t>
      </w:r>
    </w:p>
    <w:p w14:paraId="23F0B0D0">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bCs/>
          <w:sz w:val="24"/>
          <w:szCs w:val="24"/>
          <w:lang w:val="en-US" w:eastAsia="zh-CN"/>
        </w:rPr>
        <w:t>2.9</w:t>
      </w:r>
      <w:r>
        <w:rPr>
          <w:rFonts w:hint="eastAsia" w:ascii="仿宋" w:hAnsi="仿宋" w:eastAsia="仿宋" w:cs="仿宋"/>
          <w:color w:val="000000"/>
          <w:sz w:val="24"/>
          <w:szCs w:val="24"/>
        </w:rPr>
        <w:t>.2.2 中标人提供的液化</w:t>
      </w:r>
      <w:r>
        <w:rPr>
          <w:rFonts w:hint="eastAsia" w:ascii="仿宋" w:hAnsi="仿宋" w:eastAsia="仿宋" w:cs="仿宋"/>
          <w:color w:val="000000"/>
          <w:sz w:val="24"/>
          <w:szCs w:val="24"/>
          <w:lang w:val="en-US" w:eastAsia="zh-CN"/>
        </w:rPr>
        <w:t>天然</w:t>
      </w:r>
      <w:r>
        <w:rPr>
          <w:rFonts w:hint="eastAsia" w:ascii="仿宋" w:hAnsi="仿宋" w:eastAsia="仿宋" w:cs="仿宋"/>
          <w:color w:val="000000"/>
          <w:sz w:val="24"/>
          <w:szCs w:val="24"/>
        </w:rPr>
        <w:t>气（LNG）不符合质量规定、逾期到货达6小时及以上的或不按照招标人要求的供货数量送货的（除供货商确需逾期到货时，提前书面通知招标人，经招标人同意后调整到货时间外），在扣除中标人</w:t>
      </w:r>
      <w:r>
        <w:rPr>
          <w:rFonts w:hint="eastAsia" w:ascii="仿宋" w:hAnsi="仿宋" w:eastAsia="仿宋" w:cs="仿宋"/>
          <w:color w:val="000000"/>
          <w:sz w:val="24"/>
          <w:szCs w:val="24"/>
          <w:lang w:val="en-US" w:eastAsia="zh-CN"/>
        </w:rPr>
        <w:t>全额</w:t>
      </w:r>
      <w:r>
        <w:rPr>
          <w:rFonts w:hint="eastAsia" w:ascii="仿宋" w:hAnsi="仿宋" w:eastAsia="仿宋" w:cs="仿宋"/>
          <w:color w:val="000000"/>
          <w:sz w:val="24"/>
          <w:szCs w:val="24"/>
        </w:rPr>
        <w:t>履约保证金外，还须赔偿招标人由此造成的全部损失，同时招标人有权单方面解除合同，并将中标人列入黑名单，三年内不得</w:t>
      </w:r>
      <w:r>
        <w:rPr>
          <w:rFonts w:hint="eastAsia" w:ascii="仿宋" w:hAnsi="仿宋" w:eastAsia="仿宋" w:cs="仿宋"/>
          <w:color w:val="000000"/>
          <w:sz w:val="24"/>
          <w:szCs w:val="24"/>
          <w:lang w:eastAsia="zh-CN"/>
        </w:rPr>
        <w:t>参与本单位项目投标</w:t>
      </w:r>
      <w:r>
        <w:rPr>
          <w:rFonts w:hint="eastAsia" w:ascii="仿宋" w:hAnsi="仿宋" w:eastAsia="仿宋" w:cs="仿宋"/>
          <w:color w:val="000000"/>
          <w:sz w:val="24"/>
          <w:szCs w:val="24"/>
        </w:rPr>
        <w:t>。</w:t>
      </w:r>
    </w:p>
    <w:p w14:paraId="77E293A1">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color w:val="000000"/>
          <w:sz w:val="24"/>
          <w:szCs w:val="24"/>
          <w:u w:val="single"/>
        </w:rPr>
      </w:pPr>
      <w:r>
        <w:rPr>
          <w:rFonts w:hint="eastAsia" w:ascii="仿宋" w:hAnsi="仿宋" w:eastAsia="仿宋" w:cs="仿宋"/>
          <w:bCs/>
          <w:sz w:val="24"/>
          <w:szCs w:val="24"/>
          <w:lang w:val="en-US" w:eastAsia="zh-CN"/>
        </w:rPr>
        <w:t>2.9</w:t>
      </w:r>
      <w:r>
        <w:rPr>
          <w:rFonts w:hint="eastAsia" w:ascii="仿宋" w:hAnsi="仿宋" w:eastAsia="仿宋" w:cs="仿宋"/>
          <w:color w:val="000000"/>
          <w:sz w:val="24"/>
          <w:szCs w:val="24"/>
        </w:rPr>
        <w:t>.2.3 中标人在合同期内必须确保招标人需求量供货，</w:t>
      </w:r>
      <w:r>
        <w:rPr>
          <w:rFonts w:hint="eastAsia" w:ascii="仿宋" w:hAnsi="仿宋" w:eastAsia="仿宋" w:cs="仿宋"/>
          <w:color w:val="000000"/>
          <w:sz w:val="24"/>
          <w:szCs w:val="24"/>
          <w:u w:val="none"/>
        </w:rPr>
        <w:t>否则</w:t>
      </w:r>
      <w:r>
        <w:rPr>
          <w:rFonts w:hint="eastAsia" w:ascii="仿宋" w:hAnsi="仿宋" w:eastAsia="仿宋" w:cs="仿宋"/>
          <w:color w:val="000000"/>
          <w:sz w:val="24"/>
          <w:szCs w:val="24"/>
        </w:rPr>
        <w:t>在扣除中标人</w:t>
      </w:r>
      <w:r>
        <w:rPr>
          <w:rFonts w:hint="eastAsia" w:ascii="仿宋" w:hAnsi="仿宋" w:eastAsia="仿宋" w:cs="仿宋"/>
          <w:color w:val="000000"/>
          <w:sz w:val="24"/>
          <w:szCs w:val="24"/>
          <w:lang w:eastAsia="zh-CN"/>
        </w:rPr>
        <w:t>全额</w:t>
      </w:r>
      <w:r>
        <w:rPr>
          <w:rFonts w:hint="eastAsia" w:ascii="仿宋" w:hAnsi="仿宋" w:eastAsia="仿宋" w:cs="仿宋"/>
          <w:color w:val="000000"/>
          <w:sz w:val="24"/>
          <w:szCs w:val="24"/>
        </w:rPr>
        <w:t>履约保证金外，还须赔偿招标人由此造成的全部损失，同时招标人有权单方面解除合同。</w:t>
      </w:r>
    </w:p>
    <w:p w14:paraId="49875FB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trike/>
          <w:color w:val="FF0000"/>
          <w:sz w:val="24"/>
          <w:szCs w:val="24"/>
          <w:lang w:eastAsia="zh-CN"/>
        </w:rPr>
      </w:pPr>
      <w:r>
        <w:rPr>
          <w:rFonts w:hint="eastAsia" w:ascii="仿宋" w:hAnsi="仿宋" w:eastAsia="仿宋" w:cs="仿宋"/>
          <w:bCs/>
          <w:sz w:val="24"/>
          <w:szCs w:val="24"/>
          <w:lang w:val="en-US" w:eastAsia="zh-CN"/>
        </w:rPr>
        <w:t>2.9</w:t>
      </w:r>
      <w:r>
        <w:rPr>
          <w:rFonts w:hint="eastAsia" w:ascii="仿宋" w:hAnsi="仿宋" w:eastAsia="仿宋" w:cs="仿宋"/>
          <w:color w:val="000000"/>
          <w:sz w:val="24"/>
          <w:szCs w:val="24"/>
        </w:rPr>
        <w:t>.2.4 无正当法定理由，中标人不得解除合同。因中标人原因解除合同的，中标人应向招标人支付违约金</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eastAsia="zh-CN"/>
        </w:rPr>
        <w:t>万元整</w:t>
      </w:r>
      <w:r>
        <w:rPr>
          <w:rFonts w:hint="eastAsia" w:ascii="仿宋" w:hAnsi="仿宋" w:eastAsia="仿宋" w:cs="仿宋"/>
          <w:sz w:val="24"/>
          <w:szCs w:val="24"/>
          <w:lang w:eastAsia="zh-CN"/>
        </w:rPr>
        <w:t>（招标人可直接在结算款项中扣除）</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若解除合同造成招标人实际损失超过违约金的，中标人还需赔偿招标人实际损失</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且履约保证金不予返还。</w:t>
      </w:r>
    </w:p>
    <w:p w14:paraId="0EF8D345">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2.9.2.5 中</w:t>
      </w:r>
      <w:r>
        <w:rPr>
          <w:rFonts w:hint="eastAsia" w:ascii="仿宋" w:hAnsi="仿宋" w:eastAsia="仿宋" w:cs="仿宋"/>
          <w:b/>
          <w:bCs/>
          <w:color w:val="auto"/>
          <w:sz w:val="24"/>
          <w:szCs w:val="24"/>
          <w:lang w:val="zh-CN"/>
        </w:rPr>
        <w:t>标人应自主服务，不得再将项目委托或转包给其他公司。一经发现，招标人有权</w:t>
      </w:r>
      <w:r>
        <w:rPr>
          <w:rFonts w:hint="eastAsia" w:ascii="仿宋" w:hAnsi="仿宋" w:eastAsia="仿宋" w:cs="仿宋"/>
          <w:b/>
          <w:bCs/>
          <w:color w:val="auto"/>
          <w:sz w:val="24"/>
          <w:szCs w:val="24"/>
        </w:rPr>
        <w:t>扣除中标人</w:t>
      </w:r>
      <w:r>
        <w:rPr>
          <w:rFonts w:hint="eastAsia" w:ascii="仿宋" w:hAnsi="仿宋" w:eastAsia="仿宋" w:cs="仿宋"/>
          <w:b/>
          <w:bCs/>
          <w:color w:val="auto"/>
          <w:sz w:val="24"/>
          <w:szCs w:val="24"/>
          <w:lang w:val="en-US" w:eastAsia="zh-CN"/>
        </w:rPr>
        <w:t>全额</w:t>
      </w:r>
      <w:r>
        <w:rPr>
          <w:rFonts w:hint="eastAsia" w:ascii="仿宋" w:hAnsi="仿宋" w:eastAsia="仿宋" w:cs="仿宋"/>
          <w:b/>
          <w:bCs/>
          <w:color w:val="auto"/>
          <w:sz w:val="24"/>
          <w:szCs w:val="24"/>
        </w:rPr>
        <w:t>履约保证金，还须赔偿招标人由此造成的全部损失，同时招标人有权单方面解除合同</w:t>
      </w:r>
      <w:r>
        <w:rPr>
          <w:rFonts w:hint="eastAsia" w:ascii="仿宋" w:hAnsi="仿宋" w:eastAsia="仿宋" w:cs="仿宋"/>
          <w:b/>
          <w:bCs/>
          <w:color w:val="auto"/>
          <w:sz w:val="24"/>
          <w:szCs w:val="24"/>
          <w:lang w:eastAsia="zh-CN"/>
        </w:rPr>
        <w:t>。</w:t>
      </w:r>
    </w:p>
    <w:p w14:paraId="2D06392F">
      <w:pPr>
        <w:pStyle w:val="34"/>
        <w:pageBreakBefore/>
        <w:spacing w:line="800" w:lineRule="exact"/>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合同的主要条款</w:t>
      </w:r>
    </w:p>
    <w:p w14:paraId="3026B419">
      <w:pPr>
        <w:keepNext w:val="0"/>
        <w:keepLines w:val="0"/>
        <w:pageBreakBefore w:val="0"/>
        <w:widowControl/>
        <w:kinsoku/>
        <w:wordWrap/>
        <w:overflowPunct/>
        <w:topLinePunct w:val="0"/>
        <w:bidi w:val="0"/>
        <w:snapToGrid w:val="0"/>
        <w:spacing w:line="560" w:lineRule="exact"/>
        <w:textAlignment w:val="auto"/>
        <w:rPr>
          <w:rFonts w:hint="eastAsia" w:ascii="仿宋" w:hAnsi="仿宋" w:eastAsia="仿宋" w:cs="仿宋"/>
          <w:b/>
          <w:bCs/>
          <w:kern w:val="0"/>
          <w:sz w:val="24"/>
          <w:szCs w:val="24"/>
          <w:u w:val="single"/>
        </w:rPr>
      </w:pPr>
      <w:r>
        <w:rPr>
          <w:rFonts w:hint="eastAsia" w:ascii="仿宋" w:hAnsi="仿宋" w:eastAsia="仿宋" w:cs="仿宋"/>
          <w:b/>
          <w:bCs/>
          <w:kern w:val="0"/>
          <w:sz w:val="24"/>
          <w:szCs w:val="24"/>
          <w:u w:val="single"/>
        </w:rPr>
        <w:t>（合同按招标文件及中标</w:t>
      </w:r>
      <w:r>
        <w:rPr>
          <w:rFonts w:hint="eastAsia" w:ascii="仿宋" w:hAnsi="仿宋" w:eastAsia="仿宋" w:cs="仿宋"/>
          <w:b/>
          <w:bCs/>
          <w:kern w:val="0"/>
          <w:sz w:val="24"/>
          <w:szCs w:val="24"/>
          <w:u w:val="single"/>
          <w:lang w:val="en-US" w:eastAsia="zh-CN"/>
        </w:rPr>
        <w:t>人</w:t>
      </w:r>
      <w:r>
        <w:rPr>
          <w:rFonts w:hint="eastAsia" w:ascii="仿宋" w:hAnsi="仿宋" w:eastAsia="仿宋" w:cs="仿宋"/>
          <w:b/>
          <w:bCs/>
          <w:kern w:val="0"/>
          <w:sz w:val="24"/>
          <w:szCs w:val="24"/>
          <w:u w:val="single"/>
        </w:rPr>
        <w:t>投标文件的内容制定，以下仅为部分参考条款）</w:t>
      </w:r>
    </w:p>
    <w:p w14:paraId="5EE0777E">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1.合同范围</w:t>
      </w:r>
    </w:p>
    <w:p w14:paraId="5F05C5BD">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本合同条款适用</w:t>
      </w:r>
      <w:r>
        <w:rPr>
          <w:rFonts w:hint="eastAsia" w:ascii="仿宋" w:hAnsi="仿宋" w:eastAsia="仿宋" w:cs="仿宋"/>
          <w:sz w:val="24"/>
          <w:szCs w:val="24"/>
          <w:lang w:eastAsia="zh-CN"/>
        </w:rPr>
        <w:t>于</w:t>
      </w:r>
      <w:r>
        <w:rPr>
          <w:rFonts w:hint="eastAsia" w:ascii="仿宋" w:hAnsi="仿宋" w:eastAsia="仿宋" w:cs="仿宋"/>
          <w:sz w:val="24"/>
          <w:szCs w:val="24"/>
        </w:rPr>
        <w:t>本次采购活动。</w:t>
      </w:r>
      <w:r>
        <w:rPr>
          <w:rFonts w:hint="eastAsia" w:ascii="仿宋" w:hAnsi="仿宋" w:eastAsia="仿宋" w:cs="仿宋"/>
          <w:color w:val="auto"/>
          <w:sz w:val="24"/>
          <w:szCs w:val="24"/>
        </w:rPr>
        <w:t>合同范围应与中标通知书、招标文件相一致。合同范围和双方的职责在“招标文件”明确。</w:t>
      </w:r>
    </w:p>
    <w:p w14:paraId="6D2AFEED">
      <w:pPr>
        <w:pStyle w:val="865"/>
        <w:keepNext w:val="0"/>
        <w:keepLines w:val="0"/>
        <w:pageBreakBefore w:val="0"/>
        <w:numPr>
          <w:ilvl w:val="0"/>
          <w:numId w:val="0"/>
        </w:numPr>
        <w:kinsoku/>
        <w:wordWrap/>
        <w:overflowPunct/>
        <w:topLinePunct w:val="0"/>
        <w:bidi w:val="0"/>
        <w:spacing w:line="560" w:lineRule="exact"/>
        <w:jc w:val="lef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2.合同的签订</w:t>
      </w:r>
    </w:p>
    <w:p w14:paraId="37891A1A">
      <w:pPr>
        <w:keepNext w:val="0"/>
        <w:keepLines w:val="0"/>
        <w:pageBreakBefore w:val="0"/>
        <w:kinsoku/>
        <w:wordWrap/>
        <w:overflowPunct/>
        <w:topLinePunct w:val="0"/>
        <w:bidi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中标人须在中标通知书发</w:t>
      </w:r>
      <w:r>
        <w:rPr>
          <w:rFonts w:hint="eastAsia" w:ascii="仿宋" w:hAnsi="仿宋" w:eastAsia="仿宋" w:cs="仿宋"/>
          <w:color w:val="000000"/>
          <w:sz w:val="24"/>
          <w:szCs w:val="24"/>
        </w:rPr>
        <w:t>出30日内按招</w:t>
      </w:r>
      <w:r>
        <w:rPr>
          <w:rFonts w:hint="eastAsia" w:ascii="仿宋" w:hAnsi="仿宋" w:eastAsia="仿宋" w:cs="仿宋"/>
          <w:sz w:val="24"/>
          <w:szCs w:val="24"/>
        </w:rPr>
        <w:t>标文件和中标</w:t>
      </w:r>
      <w:r>
        <w:rPr>
          <w:rFonts w:hint="eastAsia" w:ascii="仿宋" w:hAnsi="仿宋" w:eastAsia="仿宋" w:cs="仿宋"/>
          <w:sz w:val="24"/>
          <w:szCs w:val="24"/>
          <w:lang w:eastAsia="zh-CN"/>
        </w:rPr>
        <w:t>人</w:t>
      </w:r>
      <w:r>
        <w:rPr>
          <w:rFonts w:hint="eastAsia" w:ascii="仿宋" w:hAnsi="仿宋" w:eastAsia="仿宋" w:cs="仿宋"/>
          <w:sz w:val="24"/>
          <w:szCs w:val="24"/>
        </w:rPr>
        <w:t>投标文件的约定，凭中标通知书和招标人在约定的时间、地点，由法定代表人或其授权代表与招标人签订书面合同。</w:t>
      </w:r>
    </w:p>
    <w:p w14:paraId="47F81993">
      <w:pPr>
        <w:keepNext w:val="0"/>
        <w:keepLines w:val="0"/>
        <w:pageBreakBefore w:val="0"/>
        <w:kinsoku/>
        <w:wordWrap/>
        <w:overflowPunct/>
        <w:topLinePunct w:val="0"/>
        <w:bidi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除非上下文另有规定，本合同中的下列措辞具有以下所述含义：</w:t>
      </w:r>
    </w:p>
    <w:p w14:paraId="037B4E8A">
      <w:pPr>
        <w:keepNext w:val="0"/>
        <w:keepLines w:val="0"/>
        <w:pageBreakBefore w:val="0"/>
        <w:kinsoku/>
        <w:wordWrap/>
        <w:overflowPunct/>
        <w:topLinePunct w:val="0"/>
        <w:bidi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（1）“液化天然气”：指由液化天然气接收站装运的液化天然气（LNG）。</w:t>
      </w:r>
    </w:p>
    <w:p w14:paraId="01DA7D03">
      <w:pPr>
        <w:keepNext w:val="0"/>
        <w:keepLines w:val="0"/>
        <w:pageBreakBefore w:val="0"/>
        <w:kinsoku/>
        <w:wordWrap/>
        <w:overflowPunct/>
        <w:topLinePunct w:val="0"/>
        <w:bidi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（2）“日”：指从任何一个公历日,自该日00:00时起至该日24:00时止的期间。</w:t>
      </w:r>
    </w:p>
    <w:p w14:paraId="5BBD5B3D">
      <w:pPr>
        <w:keepNext w:val="0"/>
        <w:keepLines w:val="0"/>
        <w:pageBreakBefore w:val="0"/>
        <w:kinsoku/>
        <w:wordWrap/>
        <w:overflowPunct/>
        <w:topLinePunct w:val="0"/>
        <w:bidi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（3）“时间”：除非另有规定，本合同所提及的任何时间均指北京时间。</w:t>
      </w:r>
    </w:p>
    <w:p w14:paraId="6D8F2E8D">
      <w:pPr>
        <w:keepNext w:val="0"/>
        <w:keepLines w:val="0"/>
        <w:pageBreakBefore w:val="0"/>
        <w:kinsoku/>
        <w:wordWrap/>
        <w:overflowPunct/>
        <w:topLinePunct w:val="0"/>
        <w:bidi w:val="0"/>
        <w:snapToGrid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（4）标准立方米：指一个标准大气压下，20℃时1立方米天然气的体积。</w:t>
      </w:r>
    </w:p>
    <w:p w14:paraId="014A6A56">
      <w:pPr>
        <w:keepNext w:val="0"/>
        <w:keepLines w:val="0"/>
        <w:pageBreakBefore w:val="0"/>
        <w:kinsoku/>
        <w:wordWrap/>
        <w:overflowPunct/>
        <w:topLinePunct w:val="0"/>
        <w:bidi w:val="0"/>
        <w:snapToGrid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（5）结算期：按招标人要求的每次《供货通知单》要求，视为一个结算期。</w:t>
      </w:r>
    </w:p>
    <w:p w14:paraId="7B5A07A9">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color w:val="auto"/>
          <w:sz w:val="24"/>
          <w:szCs w:val="24"/>
          <w:lang w:eastAsia="zh-CN"/>
        </w:rPr>
      </w:pPr>
      <w:r>
        <w:rPr>
          <w:rFonts w:hint="eastAsia" w:ascii="仿宋" w:hAnsi="仿宋" w:eastAsia="仿宋" w:cs="仿宋"/>
          <w:b/>
          <w:sz w:val="24"/>
          <w:szCs w:val="24"/>
        </w:rPr>
        <w:t>3.合同期限及用气</w:t>
      </w:r>
      <w:r>
        <w:rPr>
          <w:rFonts w:hint="eastAsia" w:ascii="仿宋" w:hAnsi="仿宋" w:eastAsia="仿宋" w:cs="仿宋"/>
          <w:b/>
          <w:color w:val="auto"/>
          <w:sz w:val="24"/>
          <w:szCs w:val="24"/>
        </w:rPr>
        <w:t>数量和</w:t>
      </w:r>
      <w:r>
        <w:rPr>
          <w:rFonts w:hint="eastAsia" w:ascii="仿宋" w:hAnsi="仿宋" w:eastAsia="仿宋" w:cs="仿宋"/>
          <w:b/>
          <w:color w:val="auto"/>
          <w:sz w:val="24"/>
          <w:szCs w:val="24"/>
          <w:lang w:eastAsia="zh-CN"/>
        </w:rPr>
        <w:t>交付点</w:t>
      </w:r>
    </w:p>
    <w:p w14:paraId="09E89EAB">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3.1 合同期限</w:t>
      </w:r>
      <w:r>
        <w:rPr>
          <w:rFonts w:hint="eastAsia" w:ascii="仿宋" w:hAnsi="仿宋" w:eastAsia="仿宋" w:cs="仿宋"/>
          <w:color w:val="auto"/>
          <w:sz w:val="24"/>
          <w:szCs w:val="24"/>
          <w:highlight w:val="none"/>
        </w:rPr>
        <w:t>：</w:t>
      </w:r>
      <w:r>
        <w:rPr>
          <w:rFonts w:hint="eastAsia" w:ascii="仿宋" w:hAnsi="仿宋" w:eastAsia="仿宋" w:cs="仿宋"/>
          <w:color w:val="000000"/>
          <w:sz w:val="24"/>
          <w:szCs w:val="24"/>
          <w:highlight w:val="none"/>
          <w:lang w:eastAsia="zh-CN"/>
        </w:rPr>
        <w:t>合同期一年（具体以合同条款约定为准）</w:t>
      </w:r>
      <w:r>
        <w:rPr>
          <w:rFonts w:hint="eastAsia" w:ascii="仿宋" w:hAnsi="仿宋" w:eastAsia="仿宋" w:cs="仿宋"/>
          <w:color w:val="auto"/>
          <w:sz w:val="24"/>
          <w:szCs w:val="24"/>
          <w:highlight w:val="none"/>
        </w:rPr>
        <w:t>。</w:t>
      </w:r>
    </w:p>
    <w:p w14:paraId="6D7306FA">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 合同期内的供货数量：中标人根据招标人《供货通知单》要求的计划量按约向招标人提供液化天然气(LNG)，供货数量以招标人书面通知为准。</w:t>
      </w:r>
    </w:p>
    <w:p w14:paraId="7EA9B8BC">
      <w:pPr>
        <w:keepNext w:val="0"/>
        <w:keepLines w:val="0"/>
        <w:pageBreakBefore w:val="0"/>
        <w:kinsoku/>
        <w:wordWrap/>
        <w:overflowPunct/>
        <w:topLinePunct w:val="0"/>
        <w:bidi w:val="0"/>
        <w:spacing w:line="560" w:lineRule="exact"/>
        <w:ind w:left="240" w:hanging="240" w:hangingChars="1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3.3 合同项下液化天然气(LNG)的</w:t>
      </w:r>
      <w:r>
        <w:rPr>
          <w:rFonts w:hint="eastAsia" w:ascii="仿宋" w:hAnsi="仿宋" w:eastAsia="仿宋" w:cs="仿宋"/>
          <w:color w:val="auto"/>
          <w:sz w:val="24"/>
          <w:szCs w:val="24"/>
          <w:lang w:eastAsia="zh-CN"/>
        </w:rPr>
        <w:t>交付点</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绍兴袍江工业区汤公路319号</w:t>
      </w:r>
      <w:r>
        <w:rPr>
          <w:rFonts w:hint="eastAsia" w:ascii="仿宋" w:hAnsi="仿宋" w:eastAsia="仿宋" w:cs="仿宋"/>
          <w:color w:val="auto"/>
          <w:sz w:val="24"/>
          <w:szCs w:val="24"/>
        </w:rPr>
        <w:t>“绍兴天然气门站LNG应急气源站”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包含但不限于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A1E6A76">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3.4 所有气量的指定均按每车约20吨。</w:t>
      </w:r>
    </w:p>
    <w:p w14:paraId="3B07EE45">
      <w:pPr>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液化天然气(LNG)</w:t>
      </w:r>
      <w:r>
        <w:rPr>
          <w:rFonts w:hint="eastAsia" w:ascii="仿宋" w:hAnsi="仿宋" w:eastAsia="仿宋" w:cs="仿宋"/>
          <w:color w:val="000000"/>
          <w:sz w:val="24"/>
          <w:szCs w:val="24"/>
          <w:highlight w:val="none"/>
          <w:lang w:eastAsia="zh-CN"/>
        </w:rPr>
        <w:t>起运</w:t>
      </w:r>
      <w:r>
        <w:rPr>
          <w:rFonts w:hint="eastAsia" w:ascii="仿宋" w:hAnsi="仿宋" w:eastAsia="仿宋" w:cs="仿宋"/>
          <w:sz w:val="24"/>
          <w:szCs w:val="24"/>
          <w:highlight w:val="none"/>
          <w:lang w:eastAsia="zh-CN"/>
        </w:rPr>
        <w:t>接收站</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招标人</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rPr>
        <w:t>《供货通知单》</w:t>
      </w:r>
      <w:r>
        <w:rPr>
          <w:rFonts w:hint="eastAsia" w:ascii="仿宋" w:hAnsi="仿宋" w:eastAsia="仿宋" w:cs="仿宋"/>
          <w:color w:val="000000"/>
          <w:sz w:val="24"/>
          <w:szCs w:val="24"/>
          <w:highlight w:val="none"/>
          <w:lang w:eastAsia="zh-CN"/>
        </w:rPr>
        <w:t>中指定的接收站作为中标人</w:t>
      </w:r>
      <w:r>
        <w:rPr>
          <w:rFonts w:hint="eastAsia" w:ascii="仿宋" w:hAnsi="仿宋" w:eastAsia="仿宋" w:cs="仿宋"/>
          <w:color w:val="000000"/>
          <w:sz w:val="24"/>
          <w:szCs w:val="24"/>
          <w:highlight w:val="none"/>
        </w:rPr>
        <w:t>液化天然气(LNG)</w:t>
      </w:r>
      <w:r>
        <w:rPr>
          <w:rFonts w:hint="eastAsia" w:ascii="仿宋" w:hAnsi="仿宋" w:eastAsia="仿宋" w:cs="仿宋"/>
          <w:sz w:val="24"/>
          <w:szCs w:val="24"/>
          <w:highlight w:val="none"/>
          <w:lang w:eastAsia="zh-CN"/>
        </w:rPr>
        <w:t>起运接收站。</w:t>
      </w:r>
    </w:p>
    <w:p w14:paraId="71EB457B">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rPr>
        <w:t>4.标的物及质量</w:t>
      </w:r>
    </w:p>
    <w:p w14:paraId="130F5DF9">
      <w:pPr>
        <w:pStyle w:val="26"/>
        <w:keepNext w:val="0"/>
        <w:keepLines w:val="0"/>
        <w:pageBreakBefore w:val="0"/>
        <w:kinsoku/>
        <w:wordWrap/>
        <w:overflowPunct/>
        <w:topLinePunct w:val="0"/>
        <w:bidi w:val="0"/>
        <w:spacing w:after="0" w:line="5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4.1 合同标的物为液化天然气（以下简称“LNG”）</w:t>
      </w:r>
      <w:r>
        <w:rPr>
          <w:rFonts w:hint="eastAsia" w:ascii="仿宋" w:hAnsi="仿宋" w:eastAsia="仿宋" w:cs="仿宋"/>
          <w:bCs/>
          <w:sz w:val="24"/>
          <w:szCs w:val="24"/>
        </w:rPr>
        <w:t>。</w:t>
      </w:r>
    </w:p>
    <w:p w14:paraId="445761D0">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4.2 中标人销售给招标人的LNG质量符合中华人民共和国国家标准《天然气》（GB 17820）最新标准中所规定的二类天然气气质标准。</w:t>
      </w:r>
      <w:r>
        <w:rPr>
          <w:rFonts w:hint="eastAsia" w:ascii="仿宋" w:hAnsi="仿宋" w:eastAsia="仿宋" w:cs="仿宋"/>
          <w:b/>
          <w:bCs/>
          <w:color w:val="auto"/>
          <w:sz w:val="24"/>
          <w:szCs w:val="24"/>
        </w:rPr>
        <w:t>气源为浙江省区域内（</w:t>
      </w:r>
      <w:r>
        <w:rPr>
          <w:rFonts w:hint="eastAsia" w:ascii="仿宋" w:hAnsi="仿宋" w:eastAsia="仿宋" w:cs="仿宋"/>
          <w:b/>
          <w:bCs/>
          <w:color w:val="auto"/>
          <w:sz w:val="24"/>
          <w:szCs w:val="24"/>
          <w:lang w:eastAsia="zh-CN"/>
        </w:rPr>
        <w:t>浙江宁波</w:t>
      </w:r>
      <w:r>
        <w:rPr>
          <w:rFonts w:hint="eastAsia" w:ascii="仿宋" w:hAnsi="仿宋" w:eastAsia="仿宋" w:cs="仿宋"/>
          <w:b/>
          <w:bCs/>
          <w:color w:val="auto"/>
          <w:sz w:val="24"/>
          <w:szCs w:val="24"/>
        </w:rPr>
        <w:t>或舟山</w:t>
      </w:r>
      <w:r>
        <w:rPr>
          <w:rFonts w:hint="eastAsia" w:ascii="仿宋" w:hAnsi="仿宋" w:eastAsia="仿宋" w:cs="仿宋"/>
          <w:b/>
          <w:bCs/>
          <w:color w:val="auto"/>
          <w:sz w:val="24"/>
          <w:szCs w:val="24"/>
          <w:lang w:eastAsia="zh-CN"/>
        </w:rPr>
        <w:t>新奥</w:t>
      </w:r>
      <w:r>
        <w:rPr>
          <w:rFonts w:hint="eastAsia" w:ascii="仿宋" w:hAnsi="仿宋" w:eastAsia="仿宋" w:cs="仿宋"/>
          <w:b/>
          <w:bCs/>
          <w:color w:val="auto"/>
          <w:sz w:val="24"/>
          <w:szCs w:val="24"/>
        </w:rPr>
        <w:t>）接收站</w:t>
      </w:r>
      <w:r>
        <w:rPr>
          <w:rFonts w:hint="eastAsia" w:ascii="仿宋" w:hAnsi="仿宋" w:eastAsia="仿宋" w:cs="仿宋"/>
          <w:b/>
          <w:bCs/>
          <w:color w:val="auto"/>
          <w:sz w:val="24"/>
          <w:szCs w:val="24"/>
          <w:lang w:eastAsia="zh-CN"/>
        </w:rPr>
        <w:t>或者江苏如东接收站。</w:t>
      </w:r>
      <w:r>
        <w:rPr>
          <w:rFonts w:hint="eastAsia" w:ascii="仿宋" w:hAnsi="仿宋" w:eastAsia="仿宋" w:cs="仿宋"/>
          <w:color w:val="auto"/>
          <w:sz w:val="24"/>
          <w:szCs w:val="24"/>
        </w:rPr>
        <w:t>当浙江省区域内</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浙江宁波</w:t>
      </w:r>
      <w:r>
        <w:rPr>
          <w:rFonts w:hint="eastAsia" w:ascii="仿宋" w:hAnsi="仿宋" w:eastAsia="仿宋" w:cs="仿宋"/>
          <w:b/>
          <w:bCs/>
          <w:color w:val="auto"/>
          <w:sz w:val="24"/>
          <w:szCs w:val="24"/>
        </w:rPr>
        <w:t>或舟山</w:t>
      </w:r>
      <w:r>
        <w:rPr>
          <w:rFonts w:hint="eastAsia" w:ascii="仿宋" w:hAnsi="仿宋" w:eastAsia="仿宋" w:cs="仿宋"/>
          <w:b/>
          <w:bCs/>
          <w:color w:val="auto"/>
          <w:sz w:val="24"/>
          <w:szCs w:val="24"/>
          <w:lang w:eastAsia="zh-CN"/>
        </w:rPr>
        <w:t>新奥</w:t>
      </w:r>
      <w:r>
        <w:rPr>
          <w:rFonts w:hint="eastAsia" w:ascii="仿宋" w:hAnsi="仿宋" w:eastAsia="仿宋" w:cs="仿宋"/>
          <w:b/>
          <w:bCs/>
          <w:color w:val="auto"/>
          <w:sz w:val="24"/>
          <w:szCs w:val="24"/>
        </w:rPr>
        <w:t>）</w:t>
      </w:r>
      <w:r>
        <w:rPr>
          <w:rFonts w:hint="eastAsia" w:ascii="仿宋" w:hAnsi="仿宋" w:eastAsia="仿宋" w:cs="仿宋"/>
          <w:color w:val="auto"/>
          <w:sz w:val="24"/>
          <w:szCs w:val="24"/>
        </w:rPr>
        <w:t>接收站</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eastAsia="zh-CN"/>
        </w:rPr>
        <w:t>江苏</w:t>
      </w:r>
      <w:r>
        <w:rPr>
          <w:rFonts w:hint="eastAsia" w:ascii="仿宋" w:hAnsi="仿宋" w:eastAsia="仿宋" w:cs="仿宋"/>
          <w:b w:val="0"/>
          <w:bCs w:val="0"/>
          <w:color w:val="auto"/>
          <w:sz w:val="24"/>
          <w:szCs w:val="24"/>
        </w:rPr>
        <w:t>省区域内</w:t>
      </w:r>
      <w:r>
        <w:rPr>
          <w:rFonts w:hint="eastAsia" w:ascii="仿宋" w:hAnsi="仿宋" w:eastAsia="仿宋" w:cs="仿宋"/>
          <w:b/>
          <w:bCs/>
          <w:color w:val="auto"/>
          <w:sz w:val="24"/>
          <w:szCs w:val="24"/>
          <w:lang w:eastAsia="zh-CN"/>
        </w:rPr>
        <w:t>江苏如东接收站</w:t>
      </w:r>
      <w:r>
        <w:rPr>
          <w:rFonts w:hint="eastAsia" w:ascii="仿宋" w:hAnsi="仿宋" w:eastAsia="仿宋" w:cs="仿宋"/>
          <w:color w:val="auto"/>
          <w:sz w:val="24"/>
          <w:szCs w:val="24"/>
        </w:rPr>
        <w:t>供货确有困难时，经中标人</w:t>
      </w:r>
      <w:r>
        <w:rPr>
          <w:rFonts w:hint="eastAsia" w:ascii="仿宋" w:hAnsi="仿宋" w:eastAsia="仿宋" w:cs="仿宋"/>
          <w:b/>
          <w:bCs/>
          <w:color w:val="auto"/>
          <w:sz w:val="24"/>
          <w:szCs w:val="24"/>
        </w:rPr>
        <w:t>书面申请</w:t>
      </w:r>
      <w:r>
        <w:rPr>
          <w:rFonts w:hint="eastAsia" w:ascii="仿宋" w:hAnsi="仿宋" w:eastAsia="仿宋" w:cs="仿宋"/>
          <w:color w:val="auto"/>
          <w:sz w:val="24"/>
          <w:szCs w:val="24"/>
        </w:rPr>
        <w:t>，招标人同意后可提供其他符合要求的气源，</w:t>
      </w:r>
      <w:r>
        <w:rPr>
          <w:rFonts w:hint="eastAsia" w:ascii="仿宋" w:hAnsi="仿宋" w:eastAsia="仿宋" w:cs="仿宋"/>
          <w:b/>
          <w:bCs/>
          <w:color w:val="auto"/>
          <w:sz w:val="24"/>
          <w:szCs w:val="24"/>
        </w:rPr>
        <w:t>但结算价格按《供货通知单》发出当日的</w:t>
      </w:r>
      <w:r>
        <w:rPr>
          <w:rFonts w:hint="eastAsia" w:ascii="仿宋" w:hAnsi="仿宋" w:eastAsia="仿宋" w:cs="仿宋"/>
          <w:b/>
          <w:bCs/>
          <w:color w:val="auto"/>
          <w:sz w:val="24"/>
          <w:szCs w:val="24"/>
          <w:lang w:eastAsia="zh-CN"/>
        </w:rPr>
        <w:t>浙江</w:t>
      </w:r>
      <w:r>
        <w:rPr>
          <w:rFonts w:hint="eastAsia" w:ascii="仿宋" w:hAnsi="仿宋" w:eastAsia="仿宋" w:cs="仿宋"/>
          <w:b/>
          <w:bCs/>
          <w:color w:val="auto"/>
          <w:sz w:val="24"/>
          <w:szCs w:val="24"/>
        </w:rPr>
        <w:t>宁波接收</w:t>
      </w:r>
      <w:r>
        <w:rPr>
          <w:rFonts w:hint="eastAsia" w:ascii="仿宋" w:hAnsi="仿宋" w:eastAsia="仿宋" w:cs="仿宋"/>
          <w:b/>
          <w:bCs/>
          <w:color w:val="auto"/>
          <w:sz w:val="24"/>
          <w:szCs w:val="24"/>
          <w:highlight w:val="none"/>
        </w:rPr>
        <w:t>站</w:t>
      </w:r>
      <w:r>
        <w:rPr>
          <w:rFonts w:hint="eastAsia" w:ascii="仿宋" w:hAnsi="仿宋" w:eastAsia="仿宋" w:cs="仿宋"/>
          <w:b/>
          <w:bCs/>
          <w:color w:val="auto"/>
          <w:sz w:val="24"/>
          <w:szCs w:val="24"/>
          <w:highlight w:val="none"/>
          <w:lang w:eastAsia="zh-CN"/>
        </w:rPr>
        <w:t>下浮后的</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eastAsia="zh-CN"/>
        </w:rPr>
        <w:t>格</w:t>
      </w:r>
      <w:r>
        <w:rPr>
          <w:rFonts w:hint="eastAsia" w:ascii="仿宋" w:hAnsi="仿宋" w:eastAsia="仿宋" w:cs="仿宋"/>
          <w:b/>
          <w:bCs/>
          <w:color w:val="auto"/>
          <w:sz w:val="24"/>
          <w:szCs w:val="24"/>
          <w:highlight w:val="none"/>
        </w:rPr>
        <w:t>、舟山新奥接收站</w:t>
      </w:r>
      <w:r>
        <w:rPr>
          <w:rFonts w:hint="eastAsia" w:ascii="仿宋" w:hAnsi="仿宋" w:eastAsia="仿宋" w:cs="仿宋"/>
          <w:b/>
          <w:bCs/>
          <w:color w:val="auto"/>
          <w:sz w:val="24"/>
          <w:szCs w:val="24"/>
          <w:highlight w:val="none"/>
          <w:lang w:eastAsia="zh-CN"/>
        </w:rPr>
        <w:t>下浮后的</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eastAsia="zh-CN"/>
        </w:rPr>
        <w:t>格</w:t>
      </w:r>
      <w:r>
        <w:rPr>
          <w:rFonts w:hint="eastAsia" w:ascii="仿宋" w:hAnsi="仿宋" w:eastAsia="仿宋" w:cs="仿宋"/>
          <w:b/>
          <w:bCs/>
          <w:color w:val="auto"/>
          <w:sz w:val="24"/>
          <w:szCs w:val="24"/>
          <w:highlight w:val="none"/>
        </w:rPr>
        <w:t>、江苏如东接收站</w:t>
      </w:r>
      <w:r>
        <w:rPr>
          <w:rFonts w:hint="eastAsia" w:ascii="仿宋" w:hAnsi="仿宋" w:eastAsia="仿宋" w:cs="仿宋"/>
          <w:b/>
          <w:bCs/>
          <w:color w:val="auto"/>
          <w:sz w:val="24"/>
          <w:szCs w:val="24"/>
          <w:highlight w:val="none"/>
          <w:lang w:eastAsia="zh-CN"/>
        </w:rPr>
        <w:t>下浮后的</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eastAsia="zh-CN"/>
        </w:rPr>
        <w:t>格</w:t>
      </w:r>
      <w:r>
        <w:rPr>
          <w:rFonts w:hint="eastAsia" w:ascii="仿宋" w:hAnsi="仿宋" w:eastAsia="仿宋" w:cs="仿宋"/>
          <w:b/>
          <w:bCs/>
          <w:color w:val="auto"/>
          <w:sz w:val="24"/>
          <w:szCs w:val="24"/>
          <w:highlight w:val="none"/>
        </w:rPr>
        <w:t>和</w:t>
      </w:r>
      <w:r>
        <w:rPr>
          <w:rFonts w:hint="eastAsia" w:ascii="仿宋" w:hAnsi="仿宋" w:eastAsia="仿宋" w:cs="仿宋"/>
          <w:b/>
          <w:bCs/>
          <w:color w:val="auto"/>
          <w:sz w:val="24"/>
          <w:szCs w:val="24"/>
          <w:highlight w:val="none"/>
          <w:lang w:eastAsia="zh-CN"/>
        </w:rPr>
        <w:t>中</w:t>
      </w:r>
      <w:r>
        <w:rPr>
          <w:rFonts w:hint="eastAsia" w:ascii="仿宋" w:hAnsi="仿宋" w:eastAsia="仿宋" w:cs="仿宋"/>
          <w:b/>
          <w:bCs/>
          <w:color w:val="auto"/>
          <w:sz w:val="24"/>
          <w:szCs w:val="24"/>
          <w:highlight w:val="none"/>
        </w:rPr>
        <w:t>标人提供其</w:t>
      </w:r>
      <w:r>
        <w:rPr>
          <w:rFonts w:hint="eastAsia" w:ascii="仿宋" w:hAnsi="仿宋" w:eastAsia="仿宋" w:cs="仿宋"/>
          <w:b/>
          <w:bCs/>
          <w:color w:val="auto"/>
          <w:sz w:val="24"/>
          <w:szCs w:val="24"/>
        </w:rPr>
        <w:t>他符合要求的气源</w:t>
      </w:r>
      <w:r>
        <w:rPr>
          <w:rFonts w:hint="eastAsia" w:ascii="仿宋" w:hAnsi="仿宋" w:eastAsia="仿宋" w:cs="仿宋"/>
          <w:b/>
          <w:bCs/>
          <w:color w:val="auto"/>
          <w:sz w:val="24"/>
          <w:szCs w:val="24"/>
          <w:lang w:eastAsia="zh-CN"/>
        </w:rPr>
        <w:t>接收站</w:t>
      </w:r>
      <w:r>
        <w:rPr>
          <w:rFonts w:hint="eastAsia" w:ascii="仿宋" w:hAnsi="仿宋" w:eastAsia="仿宋" w:cs="仿宋"/>
          <w:b/>
          <w:bCs/>
          <w:color w:val="auto"/>
          <w:sz w:val="24"/>
          <w:szCs w:val="24"/>
        </w:rPr>
        <w:t>的价</w:t>
      </w:r>
      <w:r>
        <w:rPr>
          <w:rFonts w:hint="eastAsia" w:ascii="仿宋" w:hAnsi="仿宋" w:eastAsia="仿宋" w:cs="仿宋"/>
          <w:b/>
          <w:bCs/>
          <w:color w:val="auto"/>
          <w:sz w:val="24"/>
          <w:szCs w:val="24"/>
          <w:lang w:eastAsia="zh-CN"/>
        </w:rPr>
        <w:t>格</w:t>
      </w:r>
      <w:r>
        <w:rPr>
          <w:rFonts w:hint="eastAsia" w:ascii="仿宋" w:hAnsi="仿宋" w:eastAsia="仿宋" w:cs="仿宋"/>
          <w:b/>
          <w:bCs/>
          <w:color w:val="auto"/>
          <w:sz w:val="24"/>
          <w:szCs w:val="24"/>
        </w:rPr>
        <w:t>中</w:t>
      </w:r>
      <w:r>
        <w:rPr>
          <w:rFonts w:hint="eastAsia" w:ascii="仿宋" w:hAnsi="仿宋" w:eastAsia="仿宋" w:cs="仿宋"/>
          <w:b/>
          <w:bCs/>
          <w:color w:val="auto"/>
          <w:sz w:val="24"/>
          <w:szCs w:val="24"/>
          <w:lang w:val="en-US" w:eastAsia="zh-CN"/>
        </w:rPr>
        <w:t>最</w:t>
      </w:r>
      <w:r>
        <w:rPr>
          <w:rFonts w:hint="eastAsia" w:ascii="仿宋" w:hAnsi="仿宋" w:eastAsia="仿宋" w:cs="仿宋"/>
          <w:b/>
          <w:bCs/>
          <w:color w:val="auto"/>
          <w:sz w:val="24"/>
          <w:szCs w:val="24"/>
        </w:rPr>
        <w:t>低的价格执行。</w:t>
      </w:r>
    </w:p>
    <w:p w14:paraId="41EB3FA9">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4.3 除</w:t>
      </w:r>
      <w:r>
        <w:rPr>
          <w:rFonts w:hint="eastAsia" w:ascii="仿宋" w:hAnsi="仿宋" w:eastAsia="仿宋" w:cs="仿宋"/>
          <w:color w:val="000000"/>
          <w:sz w:val="24"/>
          <w:szCs w:val="24"/>
        </w:rPr>
        <w:t>GB17820中规定的二类气标准的证明文件外，中标人</w:t>
      </w:r>
      <w:r>
        <w:rPr>
          <w:rFonts w:hint="eastAsia" w:ascii="仿宋" w:hAnsi="仿宋" w:eastAsia="仿宋" w:cs="仿宋"/>
          <w:color w:val="000000"/>
          <w:sz w:val="24"/>
          <w:szCs w:val="24"/>
          <w:lang w:val="en-US" w:eastAsia="zh-CN"/>
        </w:rPr>
        <w:t>还</w:t>
      </w:r>
      <w:r>
        <w:rPr>
          <w:rFonts w:hint="eastAsia" w:ascii="仿宋" w:hAnsi="仿宋" w:eastAsia="仿宋" w:cs="仿宋"/>
          <w:color w:val="000000"/>
          <w:sz w:val="24"/>
          <w:szCs w:val="24"/>
        </w:rPr>
        <w:t>应在供货时负责向招标人提供LNG中</w:t>
      </w:r>
      <w:r>
        <w:rPr>
          <w:rFonts w:hint="eastAsia" w:ascii="仿宋" w:hAnsi="仿宋" w:eastAsia="仿宋" w:cs="仿宋"/>
          <w:color w:val="000000"/>
          <w:sz w:val="24"/>
          <w:szCs w:val="24"/>
          <w:lang w:eastAsia="zh-CN"/>
        </w:rPr>
        <w:t>其他</w:t>
      </w:r>
      <w:r>
        <w:rPr>
          <w:rFonts w:hint="eastAsia" w:ascii="仿宋" w:hAnsi="仿宋" w:eastAsia="仿宋" w:cs="仿宋"/>
          <w:color w:val="000000"/>
          <w:sz w:val="24"/>
          <w:szCs w:val="24"/>
        </w:rPr>
        <w:t>气质指标证明文件。</w:t>
      </w:r>
    </w:p>
    <w:p w14:paraId="2226E9A8">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4.4 中标人应在每次供货时必须提供所供气体的气质参数报告或质量证明书（加盖公章）的复印件（含成分分析表和热值报告）。</w:t>
      </w:r>
    </w:p>
    <w:p w14:paraId="755377B9">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5.供气量与确认</w:t>
      </w:r>
    </w:p>
    <w:p w14:paraId="07F5788C">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5.1 招标人进货时须</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rPr>
        <w:t>供气日提前</w:t>
      </w:r>
      <w:r>
        <w:rPr>
          <w:rFonts w:hint="eastAsia" w:ascii="仿宋" w:hAnsi="仿宋" w:eastAsia="仿宋" w:cs="仿宋"/>
          <w:sz w:val="24"/>
          <w:szCs w:val="24"/>
        </w:rPr>
        <w:t>36小时</w:t>
      </w:r>
      <w:r>
        <w:rPr>
          <w:rFonts w:hint="eastAsia" w:ascii="仿宋" w:hAnsi="仿宋" w:eastAsia="仿宋" w:cs="仿宋"/>
          <w:color w:val="000000"/>
          <w:sz w:val="24"/>
          <w:szCs w:val="24"/>
        </w:rPr>
        <w:t>向中标人报供货计划量《供货通知单》（盖公章），以快递、传真、电子扫描件或电子邮件等方式发送至中标人。供货计划量应包含以下内容：</w:t>
      </w:r>
      <w:r>
        <w:rPr>
          <w:rFonts w:hint="eastAsia" w:ascii="仿宋" w:hAnsi="仿宋" w:eastAsia="仿宋" w:cs="仿宋"/>
          <w:color w:val="000000"/>
          <w:sz w:val="24"/>
          <w:szCs w:val="24"/>
          <w:highlight w:val="none"/>
        </w:rPr>
        <w:t>①供应气量；②到货时间；③供</w:t>
      </w:r>
      <w:r>
        <w:rPr>
          <w:rFonts w:hint="eastAsia" w:ascii="仿宋" w:hAnsi="仿宋" w:eastAsia="仿宋" w:cs="仿宋"/>
          <w:color w:val="000000"/>
          <w:sz w:val="24"/>
          <w:szCs w:val="24"/>
        </w:rPr>
        <w:t>应地点。</w:t>
      </w:r>
    </w:p>
    <w:p w14:paraId="495F2688">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5.2 中标人收到招标人《供货通知单》6小时内，</w:t>
      </w:r>
      <w:r>
        <w:rPr>
          <w:rFonts w:hint="eastAsia" w:ascii="仿宋" w:hAnsi="仿宋" w:eastAsia="仿宋" w:cs="仿宋"/>
          <w:color w:val="000000"/>
          <w:sz w:val="24"/>
          <w:szCs w:val="24"/>
          <w:highlight w:val="none"/>
          <w:lang w:val="en-US" w:eastAsia="zh-CN"/>
        </w:rPr>
        <w:t>书面确认</w:t>
      </w:r>
      <w:r>
        <w:rPr>
          <w:rFonts w:hint="eastAsia" w:ascii="仿宋" w:hAnsi="仿宋" w:eastAsia="仿宋" w:cs="仿宋"/>
          <w:color w:val="000000"/>
          <w:sz w:val="24"/>
          <w:szCs w:val="24"/>
        </w:rPr>
        <w:t>可供应气量、结算单价、到车时间等，并按招标人的《供货通知单》规定时间送货到位。</w:t>
      </w:r>
    </w:p>
    <w:p w14:paraId="42200346">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5.3 供应气量按招标人和投标人双方书面确认的气量对账单进行结算。</w:t>
      </w:r>
    </w:p>
    <w:p w14:paraId="25A60BC8">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 xml:space="preserve">5.4 </w:t>
      </w:r>
      <w:r>
        <w:rPr>
          <w:rFonts w:hint="eastAsia" w:ascii="仿宋" w:hAnsi="仿宋" w:eastAsia="仿宋" w:cs="仿宋"/>
          <w:color w:val="000000"/>
          <w:sz w:val="24"/>
          <w:szCs w:val="24"/>
        </w:rPr>
        <w:t>招标人可在《供货通知单》发出后，距供货时间12小时之前，有权根据实际情况书面通知取消供货通知、减少供货量或延后到货时间。距供货时间不足12小时的，双方协商解决。</w:t>
      </w:r>
    </w:p>
    <w:p w14:paraId="5DBE202F">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rPr>
        <w:t>6.结算价格的确认</w:t>
      </w:r>
    </w:p>
    <w:p w14:paraId="6AFEF72B">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color w:val="auto"/>
          <w:sz w:val="24"/>
          <w:szCs w:val="24"/>
        </w:rPr>
        <w:t>6.1</w:t>
      </w:r>
      <w:r>
        <w:rPr>
          <w:rFonts w:hint="eastAsia" w:ascii="仿宋" w:hAnsi="仿宋" w:eastAsia="仿宋" w:cs="仿宋"/>
          <w:b/>
          <w:bCs/>
          <w:color w:val="auto"/>
          <w:kern w:val="0"/>
          <w:sz w:val="24"/>
          <w:szCs w:val="24"/>
          <w:lang w:val="en-US" w:eastAsia="zh-CN"/>
        </w:rPr>
        <w:t>组价说明：</w:t>
      </w:r>
    </w:p>
    <w:p w14:paraId="0ABE2190">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6.1.1</w:t>
      </w:r>
      <w:r>
        <w:rPr>
          <w:rFonts w:hint="eastAsia" w:ascii="仿宋" w:hAnsi="仿宋" w:eastAsia="仿宋" w:cs="仿宋"/>
          <w:color w:val="auto"/>
          <w:kern w:val="0"/>
          <w:sz w:val="24"/>
          <w:szCs w:val="24"/>
          <w:lang w:val="en-US" w:eastAsia="zh-CN"/>
        </w:rPr>
        <w:t>结算金额=液化天然气中标单价×供货数量（供货数量按实）</w:t>
      </w:r>
    </w:p>
    <w:p w14:paraId="07FE1185">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6.1.2</w:t>
      </w:r>
      <w:r>
        <w:rPr>
          <w:rFonts w:hint="eastAsia" w:ascii="仿宋" w:hAnsi="仿宋" w:eastAsia="仿宋" w:cs="仿宋"/>
          <w:color w:val="auto"/>
          <w:kern w:val="0"/>
          <w:sz w:val="24"/>
          <w:szCs w:val="24"/>
          <w:lang w:val="en-US" w:eastAsia="zh-CN"/>
        </w:rPr>
        <w:t>液化天然气中标单价（元/吨）=招标人《供货通知单》发出当日的卓创资讯(https://www.sci99.com/）→LNG接收站价→华东（浙江宁波、舟山新奥、江苏如东）接收站单日价格×（1-中标下浮率）。</w:t>
      </w:r>
    </w:p>
    <w:p w14:paraId="6AE31F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FF"/>
          <w:kern w:val="0"/>
          <w:sz w:val="24"/>
          <w:szCs w:val="24"/>
          <w:lang w:val="en-US" w:eastAsia="zh-CN"/>
        </w:rPr>
      </w:pPr>
      <w:r>
        <w:rPr>
          <w:rFonts w:hint="eastAsia" w:ascii="仿宋" w:hAnsi="仿宋" w:eastAsia="仿宋" w:cs="仿宋"/>
          <w:sz w:val="24"/>
          <w:szCs w:val="24"/>
        </w:rPr>
        <w:drawing>
          <wp:inline distT="0" distB="0" distL="114300" distR="114300">
            <wp:extent cx="5756275" cy="4210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756275" cy="4210050"/>
                    </a:xfrm>
                    <a:prstGeom prst="rect">
                      <a:avLst/>
                    </a:prstGeom>
                    <a:noFill/>
                    <a:ln>
                      <a:noFill/>
                    </a:ln>
                  </pic:spPr>
                </pic:pic>
              </a:graphicData>
            </a:graphic>
          </wp:inline>
        </w:drawing>
      </w:r>
    </w:p>
    <w:p w14:paraId="7736FB50">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color w:val="000000"/>
          <w:sz w:val="24"/>
          <w:szCs w:val="24"/>
        </w:rPr>
      </w:pPr>
      <w:r>
        <w:rPr>
          <w:rFonts w:hint="eastAsia" w:ascii="仿宋" w:hAnsi="仿宋" w:eastAsia="仿宋" w:cs="仿宋"/>
          <w:b/>
          <w:sz w:val="24"/>
          <w:szCs w:val="24"/>
        </w:rPr>
        <w:t>7.付款和结算</w:t>
      </w:r>
    </w:p>
    <w:p w14:paraId="255D2D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 本合同采用先到货后付款的结算方式，每次供货结束后进行结算。</w:t>
      </w:r>
    </w:p>
    <w:p w14:paraId="555407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7.2 中标人在每次供货结束后，根据</w:t>
      </w:r>
      <w:r>
        <w:rPr>
          <w:rFonts w:hint="eastAsia" w:ascii="仿宋" w:hAnsi="仿宋" w:eastAsia="仿宋" w:cs="仿宋"/>
          <w:bCs/>
          <w:sz w:val="24"/>
          <w:szCs w:val="24"/>
        </w:rPr>
        <w:t>双方核对确认无误的LNG交付量向招标人开具对账单（LNG供货量、LNG</w:t>
      </w:r>
      <w:r>
        <w:rPr>
          <w:rFonts w:hint="eastAsia" w:ascii="仿宋" w:hAnsi="仿宋" w:eastAsia="仿宋" w:cs="仿宋"/>
          <w:bCs/>
          <w:color w:val="000000"/>
          <w:sz w:val="24"/>
          <w:szCs w:val="24"/>
        </w:rPr>
        <w:t>结算单价</w:t>
      </w:r>
      <w:r>
        <w:rPr>
          <w:rFonts w:hint="eastAsia" w:ascii="仿宋" w:hAnsi="仿宋" w:eastAsia="仿宋" w:cs="仿宋"/>
          <w:bCs/>
          <w:sz w:val="24"/>
          <w:szCs w:val="24"/>
        </w:rPr>
        <w:t>和招标人</w:t>
      </w:r>
      <w:r>
        <w:rPr>
          <w:rFonts w:hint="eastAsia" w:ascii="仿宋" w:hAnsi="仿宋" w:eastAsia="仿宋" w:cs="仿宋"/>
          <w:b/>
          <w:bCs/>
          <w:sz w:val="24"/>
          <w:szCs w:val="24"/>
        </w:rPr>
        <w:t>实际应支付结算总金额</w:t>
      </w:r>
      <w:r>
        <w:rPr>
          <w:rFonts w:hint="eastAsia" w:ascii="仿宋" w:hAnsi="仿宋" w:eastAsia="仿宋" w:cs="仿宋"/>
          <w:bCs/>
          <w:sz w:val="24"/>
          <w:szCs w:val="24"/>
        </w:rPr>
        <w:t>等相关内容）。</w:t>
      </w:r>
    </w:p>
    <w:p w14:paraId="38761E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7.3 中标人开具的对账单中存在有关供货量结算、计算或其他误差的，招标人应及时通知中标人，并经招标人核对确认无误后开具增值税专用发票。</w:t>
      </w:r>
    </w:p>
    <w:p w14:paraId="29C02B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 xml:space="preserve">7.4 </w:t>
      </w:r>
      <w:r>
        <w:rPr>
          <w:rFonts w:hint="eastAsia" w:ascii="仿宋" w:hAnsi="仿宋" w:eastAsia="仿宋" w:cs="仿宋"/>
          <w:color w:val="auto"/>
          <w:sz w:val="24"/>
          <w:szCs w:val="24"/>
          <w:highlight w:val="none"/>
        </w:rPr>
        <w:t>招标人应在收到中标人开具的增值税专用发票后</w:t>
      </w:r>
      <w:r>
        <w:rPr>
          <w:rFonts w:hint="eastAsia" w:ascii="仿宋" w:hAnsi="仿宋" w:eastAsia="仿宋" w:cs="仿宋"/>
          <w:color w:val="auto"/>
          <w:sz w:val="24"/>
          <w:szCs w:val="24"/>
          <w:highlight w:val="none"/>
          <w:lang w:val="en-US" w:eastAsia="zh-CN"/>
        </w:rPr>
        <w:t>十五</w:t>
      </w:r>
      <w:r>
        <w:rPr>
          <w:rFonts w:hint="eastAsia" w:ascii="仿宋" w:hAnsi="仿宋" w:eastAsia="仿宋" w:cs="仿宋"/>
          <w:color w:val="auto"/>
          <w:sz w:val="24"/>
          <w:szCs w:val="24"/>
          <w:highlight w:val="none"/>
        </w:rPr>
        <w:t>个工作日内向中标人支付</w:t>
      </w:r>
      <w:r>
        <w:rPr>
          <w:rFonts w:hint="eastAsia" w:ascii="仿宋" w:hAnsi="仿宋" w:eastAsia="仿宋" w:cs="仿宋"/>
          <w:color w:val="auto"/>
          <w:sz w:val="24"/>
          <w:szCs w:val="24"/>
          <w:highlight w:val="none"/>
          <w:lang w:eastAsia="zh-CN"/>
        </w:rPr>
        <w:t>该气费</w:t>
      </w:r>
      <w:r>
        <w:rPr>
          <w:rFonts w:hint="eastAsia" w:ascii="仿宋" w:hAnsi="仿宋" w:eastAsia="仿宋" w:cs="仿宋"/>
          <w:color w:val="auto"/>
          <w:sz w:val="24"/>
          <w:szCs w:val="24"/>
          <w:highlight w:val="none"/>
        </w:rPr>
        <w:t>，</w:t>
      </w:r>
      <w:r>
        <w:rPr>
          <w:rFonts w:hint="eastAsia" w:ascii="仿宋" w:hAnsi="仿宋" w:eastAsia="仿宋" w:cs="仿宋"/>
          <w:sz w:val="24"/>
          <w:szCs w:val="24"/>
        </w:rPr>
        <w:t>以银行</w:t>
      </w:r>
      <w:r>
        <w:rPr>
          <w:rFonts w:hint="eastAsia" w:ascii="仿宋" w:hAnsi="仿宋" w:eastAsia="仿宋" w:cs="仿宋"/>
          <w:sz w:val="24"/>
          <w:szCs w:val="24"/>
          <w:lang w:val="en-US" w:eastAsia="zh-CN"/>
        </w:rPr>
        <w:t>转账</w:t>
      </w:r>
      <w:r>
        <w:rPr>
          <w:rFonts w:hint="eastAsia" w:ascii="仿宋" w:hAnsi="仿宋" w:eastAsia="仿宋" w:cs="仿宋"/>
          <w:sz w:val="24"/>
          <w:szCs w:val="24"/>
        </w:rPr>
        <w:t>等方式向中标人支付</w:t>
      </w:r>
      <w:r>
        <w:rPr>
          <w:rFonts w:hint="eastAsia" w:ascii="仿宋" w:hAnsi="仿宋" w:eastAsia="仿宋" w:cs="仿宋"/>
          <w:color w:val="auto"/>
          <w:sz w:val="24"/>
          <w:szCs w:val="24"/>
          <w:lang w:eastAsia="zh-CN"/>
        </w:rPr>
        <w:t>该气费</w:t>
      </w:r>
      <w:r>
        <w:rPr>
          <w:rFonts w:hint="eastAsia" w:ascii="仿宋" w:hAnsi="仿宋" w:eastAsia="仿宋" w:cs="仿宋"/>
          <w:sz w:val="24"/>
          <w:szCs w:val="24"/>
        </w:rPr>
        <w:t>，</w:t>
      </w:r>
      <w:r>
        <w:rPr>
          <w:rFonts w:hint="eastAsia" w:ascii="仿宋" w:hAnsi="仿宋" w:eastAsia="仿宋" w:cs="仿宋"/>
          <w:color w:val="000000"/>
          <w:sz w:val="24"/>
          <w:szCs w:val="24"/>
        </w:rPr>
        <w:t>汇款后将及时通知中标人收悉</w:t>
      </w:r>
      <w:r>
        <w:rPr>
          <w:rFonts w:hint="eastAsia" w:ascii="仿宋" w:hAnsi="仿宋" w:eastAsia="仿宋" w:cs="仿宋"/>
          <w:sz w:val="24"/>
          <w:szCs w:val="24"/>
        </w:rPr>
        <w:t>。</w:t>
      </w:r>
    </w:p>
    <w:p w14:paraId="267003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24"/>
          <w:szCs w:val="24"/>
          <w:highlight w:val="none"/>
        </w:rPr>
      </w:pPr>
      <w:r>
        <w:rPr>
          <w:rFonts w:hint="eastAsia" w:ascii="仿宋" w:hAnsi="仿宋" w:eastAsia="仿宋" w:cs="仿宋"/>
          <w:sz w:val="24"/>
          <w:szCs w:val="24"/>
        </w:rPr>
        <w:t>7.5</w:t>
      </w:r>
      <w:r>
        <w:rPr>
          <w:rFonts w:hint="eastAsia" w:ascii="仿宋" w:hAnsi="仿宋" w:eastAsia="仿宋" w:cs="仿宋"/>
          <w:b/>
          <w:bCs/>
          <w:sz w:val="24"/>
          <w:szCs w:val="24"/>
          <w:highlight w:val="none"/>
        </w:rPr>
        <w:t>履约保证金：</w:t>
      </w:r>
      <w:r>
        <w:rPr>
          <w:rFonts w:hint="eastAsia" w:ascii="仿宋" w:hAnsi="仿宋" w:eastAsia="仿宋" w:cs="仿宋"/>
          <w:color w:val="auto"/>
          <w:kern w:val="0"/>
          <w:sz w:val="24"/>
          <w:szCs w:val="24"/>
          <w:highlight w:val="none"/>
          <w:lang w:val="zh-CN"/>
        </w:rPr>
        <w:t>人民币</w:t>
      </w:r>
      <w:r>
        <w:rPr>
          <w:rFonts w:hint="eastAsia" w:ascii="仿宋" w:hAnsi="仿宋" w:eastAsia="仿宋" w:cs="仿宋"/>
          <w:color w:val="auto"/>
          <w:kern w:val="0"/>
          <w:sz w:val="24"/>
          <w:szCs w:val="24"/>
          <w:highlight w:val="none"/>
          <w:lang w:val="en-US" w:eastAsia="zh-CN"/>
        </w:rPr>
        <w:t>壹拾</w:t>
      </w:r>
      <w:r>
        <w:rPr>
          <w:rFonts w:hint="eastAsia" w:ascii="仿宋" w:hAnsi="仿宋" w:eastAsia="仿宋" w:cs="仿宋"/>
          <w:color w:val="auto"/>
          <w:kern w:val="0"/>
          <w:sz w:val="24"/>
          <w:szCs w:val="24"/>
          <w:highlight w:val="none"/>
          <w:lang w:val="zh-CN"/>
        </w:rPr>
        <w:t>万元整，</w:t>
      </w:r>
      <w:r>
        <w:rPr>
          <w:rFonts w:hint="eastAsia" w:ascii="仿宋" w:hAnsi="仿宋" w:eastAsia="仿宋" w:cs="仿宋"/>
          <w:color w:val="auto"/>
          <w:kern w:val="0"/>
          <w:sz w:val="24"/>
          <w:szCs w:val="24"/>
          <w:lang w:val="zh-CN"/>
        </w:rPr>
        <w:t>中标人在合同签订后7个工作日内交纳，未</w:t>
      </w:r>
      <w:r>
        <w:rPr>
          <w:rFonts w:hint="eastAsia" w:ascii="仿宋" w:hAnsi="仿宋" w:eastAsia="仿宋" w:cs="仿宋"/>
          <w:kern w:val="0"/>
          <w:sz w:val="24"/>
          <w:szCs w:val="24"/>
          <w:lang w:val="zh-CN"/>
        </w:rPr>
        <w:t>在规定时间内缴纳履约保证金的，招标人有权终止合同，并要求中标人赔偿</w:t>
      </w:r>
      <w:r>
        <w:rPr>
          <w:rFonts w:hint="eastAsia" w:ascii="仿宋" w:hAnsi="仿宋" w:eastAsia="仿宋" w:cs="仿宋"/>
          <w:kern w:val="0"/>
          <w:sz w:val="24"/>
          <w:szCs w:val="24"/>
          <w:lang w:val="zh-CN" w:eastAsia="zh-CN"/>
        </w:rPr>
        <w:t>解除合同的相应损失</w:t>
      </w:r>
      <w:r>
        <w:rPr>
          <w:rFonts w:hint="eastAsia" w:ascii="仿宋" w:hAnsi="仿宋" w:eastAsia="仿宋" w:cs="仿宋"/>
          <w:kern w:val="0"/>
          <w:sz w:val="24"/>
          <w:szCs w:val="24"/>
          <w:highlight w:val="none"/>
          <w:lang w:val="zh-CN"/>
        </w:rPr>
        <w:t>。可以采用现金、支票、汇票或保函（保险公司保险、银行保函、专业担保公司担保）的形式提交。</w:t>
      </w:r>
      <w:r>
        <w:rPr>
          <w:rFonts w:hint="eastAsia" w:ascii="仿宋" w:hAnsi="仿宋" w:eastAsia="仿宋" w:cs="仿宋"/>
          <w:sz w:val="24"/>
          <w:szCs w:val="24"/>
          <w:highlight w:val="none"/>
        </w:rPr>
        <w:t>待履行供货合同完毕、验收合格且不存在违约行为后7个工作日内予以退还（不计息）。</w:t>
      </w:r>
    </w:p>
    <w:p w14:paraId="6F8CDFA9">
      <w:pPr>
        <w:keepNext w:val="0"/>
        <w:keepLines w:val="0"/>
        <w:pageBreakBefore w:val="0"/>
        <w:widowControl w:val="0"/>
        <w:kinsoku/>
        <w:wordWrap/>
        <w:overflowPunct/>
        <w:topLinePunct w:val="0"/>
        <w:autoSpaceDE/>
        <w:autoSpaceDN/>
        <w:bidi w:val="0"/>
        <w:adjustRightInd/>
        <w:snapToGrid/>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rPr>
        <w:t xml:space="preserve">8.交付  </w:t>
      </w:r>
    </w:p>
    <w:p w14:paraId="33981A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8.1交付地点及联系人</w:t>
      </w:r>
    </w:p>
    <w:p w14:paraId="5E6EEF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8.1.1 招标人指定的LNG交付地点为</w:t>
      </w:r>
      <w:r>
        <w:rPr>
          <w:rFonts w:hint="eastAsia" w:ascii="仿宋" w:hAnsi="仿宋" w:eastAsia="仿宋" w:cs="仿宋"/>
          <w:color w:val="333333"/>
          <w:kern w:val="0"/>
          <w:sz w:val="24"/>
          <w:szCs w:val="24"/>
        </w:rPr>
        <w:t>绍兴袍江工业区汤公路319号</w:t>
      </w:r>
      <w:r>
        <w:rPr>
          <w:rFonts w:hint="eastAsia" w:ascii="仿宋" w:hAnsi="仿宋" w:eastAsia="仿宋" w:cs="仿宋"/>
          <w:sz w:val="24"/>
          <w:szCs w:val="24"/>
        </w:rPr>
        <w:t>“绍兴天然气门站”LNG应急气源站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包含但不限于</w:t>
      </w:r>
      <w:r>
        <w:rPr>
          <w:rFonts w:hint="eastAsia" w:ascii="仿宋" w:hAnsi="仿宋" w:eastAsia="仿宋" w:cs="仿宋"/>
          <w:color w:val="auto"/>
          <w:sz w:val="24"/>
          <w:szCs w:val="24"/>
          <w:lang w:eastAsia="zh-CN"/>
        </w:rPr>
        <w:t>）</w:t>
      </w:r>
      <w:r>
        <w:rPr>
          <w:rFonts w:hint="eastAsia" w:ascii="仿宋" w:hAnsi="仿宋" w:eastAsia="仿宋" w:cs="仿宋"/>
          <w:sz w:val="24"/>
          <w:szCs w:val="24"/>
        </w:rPr>
        <w:t>。</w:t>
      </w:r>
      <w:r>
        <w:rPr>
          <w:rFonts w:hint="eastAsia" w:ascii="仿宋" w:hAnsi="仿宋" w:eastAsia="仿宋" w:cs="仿宋"/>
          <w:color w:val="000000"/>
          <w:sz w:val="24"/>
          <w:szCs w:val="24"/>
        </w:rPr>
        <w:t>若发生政府行政性交通管制、交通事故引起的必经之路堵塞等导致供气延误的，中标人需及时向招标人反映情况，并在一天(24小时)内解决供气问题，否则视为中标人逾期交付。</w:t>
      </w:r>
    </w:p>
    <w:p w14:paraId="3B0CAC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u w:val="single"/>
        </w:rPr>
      </w:pPr>
      <w:r>
        <w:rPr>
          <w:rFonts w:hint="eastAsia" w:ascii="仿宋" w:hAnsi="仿宋" w:eastAsia="仿宋" w:cs="仿宋"/>
          <w:color w:val="000000"/>
          <w:sz w:val="24"/>
          <w:szCs w:val="24"/>
          <w:highlight w:val="none"/>
          <w:lang w:val="en-US" w:eastAsia="zh-CN"/>
        </w:rPr>
        <w:t>8.1.2</w:t>
      </w:r>
      <w:r>
        <w:rPr>
          <w:rFonts w:hint="eastAsia" w:ascii="仿宋" w:hAnsi="仿宋" w:eastAsia="仿宋" w:cs="仿宋"/>
          <w:color w:val="0000FF"/>
          <w:sz w:val="24"/>
          <w:szCs w:val="24"/>
          <w:highlight w:val="none"/>
        </w:rPr>
        <w:t xml:space="preserve"> </w:t>
      </w:r>
      <w:r>
        <w:rPr>
          <w:rFonts w:hint="eastAsia" w:ascii="仿宋" w:hAnsi="仿宋" w:eastAsia="仿宋" w:cs="仿宋"/>
          <w:sz w:val="24"/>
          <w:szCs w:val="24"/>
          <w:highlight w:val="none"/>
          <w:lang w:val="en-US" w:eastAsia="zh-CN"/>
        </w:rPr>
        <w:t>中标人驾驶员提前到达交付地点时，需把车辆停放至安全合理的位置，招标人不提供槽车停放地点，期间槽车发生任何安全事故由中标人自行承担。</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3B2DAB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8.1.</w:t>
      </w:r>
      <w:r>
        <w:rPr>
          <w:rFonts w:hint="eastAsia" w:ascii="仿宋" w:hAnsi="仿宋" w:eastAsia="仿宋" w:cs="仿宋"/>
          <w:sz w:val="24"/>
          <w:szCs w:val="24"/>
          <w:lang w:val="en-US" w:eastAsia="zh-CN"/>
        </w:rPr>
        <w:t>3</w:t>
      </w:r>
      <w:r>
        <w:rPr>
          <w:rFonts w:hint="eastAsia" w:ascii="仿宋" w:hAnsi="仿宋" w:eastAsia="仿宋" w:cs="仿宋"/>
          <w:sz w:val="24"/>
          <w:szCs w:val="24"/>
        </w:rPr>
        <w:t>交付地点负责人：</w:t>
      </w:r>
      <w:r>
        <w:rPr>
          <w:rFonts w:hint="eastAsia" w:ascii="仿宋" w:hAnsi="仿宋" w:eastAsia="仿宋" w:cs="仿宋"/>
          <w:sz w:val="24"/>
          <w:szCs w:val="24"/>
          <w:lang w:val="en-US" w:eastAsia="zh-CN"/>
        </w:rPr>
        <w:t>顾元峰</w:t>
      </w:r>
      <w:r>
        <w:rPr>
          <w:rFonts w:hint="eastAsia" w:ascii="仿宋" w:hAnsi="仿宋" w:eastAsia="仿宋" w:cs="仿宋"/>
          <w:sz w:val="24"/>
          <w:szCs w:val="24"/>
        </w:rPr>
        <w:t>、王勇</w:t>
      </w:r>
      <w:r>
        <w:rPr>
          <w:rFonts w:hint="eastAsia" w:ascii="仿宋" w:hAnsi="仿宋" w:eastAsia="仿宋" w:cs="仿宋"/>
          <w:sz w:val="24"/>
          <w:szCs w:val="24"/>
          <w:lang w:eastAsia="zh-CN"/>
        </w:rPr>
        <w:t>，</w:t>
      </w:r>
      <w:r>
        <w:rPr>
          <w:rFonts w:hint="eastAsia" w:ascii="仿宋" w:hAnsi="仿宋" w:eastAsia="仿宋" w:cs="仿宋"/>
          <w:sz w:val="24"/>
          <w:szCs w:val="24"/>
        </w:rPr>
        <w:t>联系方式：</w:t>
      </w:r>
      <w:r>
        <w:rPr>
          <w:rFonts w:hint="eastAsia" w:ascii="仿宋" w:hAnsi="仿宋" w:eastAsia="仿宋" w:cs="仿宋"/>
          <w:sz w:val="24"/>
          <w:szCs w:val="24"/>
          <w:lang w:val="en-US" w:eastAsia="zh-CN"/>
        </w:rPr>
        <w:t>13819507870</w:t>
      </w:r>
      <w:r>
        <w:rPr>
          <w:rFonts w:hint="eastAsia" w:ascii="仿宋" w:hAnsi="仿宋" w:eastAsia="仿宋" w:cs="仿宋"/>
          <w:sz w:val="24"/>
          <w:szCs w:val="24"/>
        </w:rPr>
        <w:t>、18606751998</w:t>
      </w:r>
      <w:r>
        <w:rPr>
          <w:rFonts w:hint="eastAsia" w:ascii="仿宋" w:hAnsi="仿宋" w:eastAsia="仿宋" w:cs="仿宋"/>
          <w:sz w:val="24"/>
          <w:szCs w:val="24"/>
          <w:lang w:eastAsia="zh-CN"/>
        </w:rPr>
        <w:t>。</w:t>
      </w:r>
    </w:p>
    <w:p w14:paraId="085B3B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8.2 交付分工：LNG</w:t>
      </w:r>
      <w:r>
        <w:rPr>
          <w:rFonts w:hint="eastAsia" w:ascii="仿宋" w:hAnsi="仿宋" w:eastAsia="仿宋" w:cs="仿宋"/>
          <w:color w:val="000000"/>
          <w:sz w:val="24"/>
          <w:szCs w:val="24"/>
        </w:rPr>
        <w:t>卸</w:t>
      </w:r>
      <w:r>
        <w:rPr>
          <w:rFonts w:hint="eastAsia" w:ascii="仿宋" w:hAnsi="仿宋" w:eastAsia="仿宋" w:cs="仿宋"/>
          <w:sz w:val="24"/>
          <w:szCs w:val="24"/>
        </w:rPr>
        <w:t>载时，招标人操作人员负责储配站内所属设备、工具或部件的操作；中标人驾驶员负责运输车辆所属设备、工具或部件的操作，</w:t>
      </w:r>
      <w:r>
        <w:rPr>
          <w:rFonts w:hint="eastAsia" w:ascii="仿宋" w:hAnsi="仿宋" w:eastAsia="仿宋" w:cs="仿宋"/>
          <w:color w:val="000000"/>
          <w:sz w:val="24"/>
          <w:szCs w:val="24"/>
        </w:rPr>
        <w:t>并尽量将车内液化</w:t>
      </w:r>
      <w:r>
        <w:rPr>
          <w:rFonts w:hint="eastAsia" w:ascii="仿宋" w:hAnsi="仿宋" w:eastAsia="仿宋" w:cs="仿宋"/>
          <w:color w:val="000000"/>
          <w:sz w:val="24"/>
          <w:szCs w:val="24"/>
          <w:lang w:val="en-US" w:eastAsia="zh-CN"/>
        </w:rPr>
        <w:t>天然气</w:t>
      </w:r>
      <w:r>
        <w:rPr>
          <w:rFonts w:hint="eastAsia" w:ascii="仿宋" w:hAnsi="仿宋" w:eastAsia="仿宋" w:cs="仿宋"/>
          <w:color w:val="000000"/>
          <w:sz w:val="24"/>
          <w:szCs w:val="24"/>
        </w:rPr>
        <w:t>LNG卸载干净。如因中标人操作不当引起的风险，由中标人承担全部责任及其带来的一切经济损失。</w:t>
      </w:r>
    </w:p>
    <w:p w14:paraId="160230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rPr>
        <w:t>8.3</w:t>
      </w:r>
      <w:r>
        <w:rPr>
          <w:rFonts w:hint="eastAsia" w:ascii="仿宋" w:hAnsi="仿宋" w:eastAsia="仿宋" w:cs="仿宋"/>
          <w:sz w:val="24"/>
          <w:szCs w:val="24"/>
          <w:highlight w:val="none"/>
        </w:rPr>
        <w:t xml:space="preserve"> 所有权和交付风险转移：LNG</w:t>
      </w:r>
      <w:r>
        <w:rPr>
          <w:rFonts w:hint="eastAsia" w:ascii="仿宋" w:hAnsi="仿宋" w:eastAsia="仿宋" w:cs="仿宋"/>
          <w:color w:val="000000"/>
          <w:sz w:val="24"/>
          <w:szCs w:val="24"/>
          <w:highlight w:val="none"/>
        </w:rPr>
        <w:t>卸</w:t>
      </w:r>
      <w:r>
        <w:rPr>
          <w:rFonts w:hint="eastAsia" w:ascii="仿宋" w:hAnsi="仿宋" w:eastAsia="仿宋" w:cs="仿宋"/>
          <w:sz w:val="24"/>
          <w:szCs w:val="24"/>
          <w:highlight w:val="none"/>
        </w:rPr>
        <w:t>载时，须</w:t>
      </w:r>
      <w:r>
        <w:rPr>
          <w:rFonts w:hint="eastAsia" w:ascii="仿宋" w:hAnsi="仿宋" w:eastAsia="仿宋" w:cs="仿宋"/>
          <w:color w:val="000000"/>
          <w:sz w:val="24"/>
          <w:szCs w:val="24"/>
          <w:highlight w:val="none"/>
        </w:rPr>
        <w:t>双方共同</w:t>
      </w:r>
      <w:r>
        <w:rPr>
          <w:rFonts w:hint="eastAsia" w:ascii="仿宋" w:hAnsi="仿宋" w:eastAsia="仿宋" w:cs="仿宋"/>
          <w:sz w:val="24"/>
          <w:szCs w:val="24"/>
          <w:highlight w:val="none"/>
        </w:rPr>
        <w:t>配合，以招标人</w:t>
      </w:r>
      <w:r>
        <w:rPr>
          <w:rFonts w:hint="eastAsia" w:ascii="仿宋" w:hAnsi="仿宋" w:eastAsia="仿宋" w:cs="仿宋"/>
          <w:color w:val="000000"/>
          <w:sz w:val="24"/>
          <w:szCs w:val="24"/>
          <w:highlight w:val="none"/>
        </w:rPr>
        <w:t>卸液口</w:t>
      </w:r>
      <w:r>
        <w:rPr>
          <w:rFonts w:hint="eastAsia" w:ascii="仿宋" w:hAnsi="仿宋" w:eastAsia="仿宋" w:cs="仿宋"/>
          <w:sz w:val="24"/>
          <w:szCs w:val="24"/>
          <w:highlight w:val="none"/>
        </w:rPr>
        <w:t>法兰为交接点，交接点前LNG的所有权和风险由中标人承担，交接点后LNG的所有权和风险由招标人承担。</w:t>
      </w:r>
    </w:p>
    <w:p w14:paraId="71F272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8.4 交付气量</w:t>
      </w:r>
    </w:p>
    <w:p w14:paraId="3B81BF2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rPr>
        <w:t>8</w:t>
      </w:r>
      <w:r>
        <w:rPr>
          <w:rFonts w:hint="eastAsia" w:ascii="仿宋" w:hAnsi="仿宋" w:eastAsia="仿宋" w:cs="仿宋"/>
          <w:sz w:val="24"/>
          <w:szCs w:val="24"/>
          <w:lang w:val="zh-CN"/>
        </w:rPr>
        <w:t>.4.1 中标人驾驶员应在运货单上签字以确认承运数量。</w:t>
      </w:r>
    </w:p>
    <w:p w14:paraId="291589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4"/>
          <w:szCs w:val="24"/>
        </w:rPr>
      </w:pPr>
      <w:r>
        <w:rPr>
          <w:rFonts w:hint="eastAsia" w:ascii="仿宋" w:hAnsi="仿宋" w:eastAsia="仿宋" w:cs="仿宋"/>
          <w:sz w:val="24"/>
          <w:szCs w:val="24"/>
        </w:rPr>
        <w:t>8</w:t>
      </w:r>
      <w:r>
        <w:rPr>
          <w:rFonts w:hint="eastAsia" w:ascii="仿宋" w:hAnsi="仿宋" w:eastAsia="仿宋" w:cs="仿宋"/>
          <w:sz w:val="24"/>
          <w:szCs w:val="24"/>
          <w:lang w:val="zh-CN"/>
        </w:rPr>
        <w:t xml:space="preserve">.4.2 </w:t>
      </w:r>
      <w:r>
        <w:rPr>
          <w:rFonts w:hint="eastAsia" w:ascii="仿宋" w:hAnsi="仿宋" w:eastAsia="仿宋" w:cs="仿宋"/>
          <w:color w:val="000000"/>
          <w:sz w:val="24"/>
          <w:szCs w:val="24"/>
          <w:lang w:val="zh-CN"/>
        </w:rPr>
        <w:t>招标人应在运货单上签字以确认接收数量</w:t>
      </w:r>
      <w:r>
        <w:rPr>
          <w:rFonts w:hint="eastAsia" w:ascii="仿宋" w:hAnsi="仿宋" w:eastAsia="仿宋" w:cs="仿宋"/>
          <w:color w:val="000000"/>
          <w:sz w:val="24"/>
          <w:szCs w:val="24"/>
        </w:rPr>
        <w:t>。</w:t>
      </w:r>
    </w:p>
    <w:p w14:paraId="475CE01A">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color w:val="0000FF"/>
          <w:sz w:val="24"/>
          <w:szCs w:val="24"/>
        </w:rPr>
      </w:pPr>
      <w:r>
        <w:rPr>
          <w:rFonts w:hint="eastAsia" w:ascii="仿宋" w:hAnsi="仿宋" w:eastAsia="仿宋" w:cs="仿宋"/>
          <w:b/>
          <w:sz w:val="24"/>
          <w:szCs w:val="24"/>
        </w:rPr>
        <w:t>9.计 量</w:t>
      </w:r>
    </w:p>
    <w:p w14:paraId="31FFAD29">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FF"/>
          <w:sz w:val="24"/>
          <w:szCs w:val="24"/>
        </w:rPr>
      </w:pPr>
      <w:r>
        <w:rPr>
          <w:rFonts w:hint="eastAsia" w:ascii="仿宋" w:hAnsi="仿宋" w:eastAsia="仿宋" w:cs="仿宋"/>
          <w:sz w:val="24"/>
          <w:szCs w:val="24"/>
        </w:rPr>
        <w:t>9.1 本合同项下交付的LNG，以重量计量，单位为吨，计量工具为汽车地衡。</w:t>
      </w:r>
      <w:r>
        <w:rPr>
          <w:rFonts w:hint="eastAsia" w:ascii="仿宋" w:hAnsi="仿宋" w:eastAsia="仿宋" w:cs="仿宋"/>
          <w:color w:val="0000FF"/>
          <w:sz w:val="24"/>
          <w:szCs w:val="24"/>
        </w:rPr>
        <w:t xml:space="preserve"> </w:t>
      </w:r>
    </w:p>
    <w:p w14:paraId="6DB9042C">
      <w:pPr>
        <w:keepNext w:val="0"/>
        <w:keepLines w:val="0"/>
        <w:pageBreakBefore w:val="0"/>
        <w:kinsoku/>
        <w:wordWrap/>
        <w:overflowPunct/>
        <w:topLinePunct w:val="0"/>
        <w:bidi w:val="0"/>
        <w:spacing w:line="560" w:lineRule="exact"/>
        <w:jc w:val="left"/>
        <w:textAlignment w:val="auto"/>
        <w:rPr>
          <w:rFonts w:hint="eastAsia" w:ascii="仿宋" w:hAnsi="仿宋" w:eastAsia="仿宋" w:cs="仿宋"/>
          <w:i/>
          <w:color w:val="auto"/>
          <w:sz w:val="24"/>
          <w:szCs w:val="24"/>
        </w:rPr>
      </w:pPr>
      <w:r>
        <w:rPr>
          <w:rFonts w:hint="eastAsia" w:ascii="仿宋" w:hAnsi="仿宋" w:eastAsia="仿宋" w:cs="仿宋"/>
          <w:color w:val="auto"/>
          <w:sz w:val="24"/>
          <w:szCs w:val="24"/>
        </w:rPr>
        <w:t>9.2 LNG交付量分别以</w:t>
      </w:r>
      <w:r>
        <w:rPr>
          <w:rFonts w:hint="eastAsia" w:ascii="仿宋" w:hAnsi="仿宋" w:eastAsia="仿宋" w:cs="仿宋"/>
          <w:color w:val="auto"/>
          <w:sz w:val="24"/>
          <w:szCs w:val="24"/>
          <w:lang w:eastAsia="zh-CN"/>
        </w:rPr>
        <w:t>招</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设施汽车地衡和</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装车</w:t>
      </w:r>
      <w:r>
        <w:rPr>
          <w:rFonts w:hint="eastAsia" w:ascii="仿宋" w:hAnsi="仿宋" w:eastAsia="仿宋" w:cs="仿宋"/>
          <w:color w:val="auto"/>
          <w:sz w:val="24"/>
          <w:szCs w:val="24"/>
        </w:rPr>
        <w:t>设施的汽车地衡计量。原则上每车LNG交付量计量值以中标人LNG装车设施汽车地衡的计量值为准，但前提是该车LNG在中标人LNG装车设施汽车地衡计量值与招标人LNG接收设施的汽车地衡计量值的偏差值为正负百分之一</w:t>
      </w:r>
      <w:r>
        <w:rPr>
          <w:rFonts w:hint="eastAsia" w:ascii="仿宋" w:hAnsi="仿宋" w:eastAsia="仿宋" w:cs="仿宋"/>
          <w:color w:val="auto"/>
          <w:sz w:val="24"/>
          <w:szCs w:val="24"/>
          <w:highlight w:val="none"/>
        </w:rPr>
        <w:t>（±1%）以内（含±1%</w:t>
      </w:r>
      <w:r>
        <w:rPr>
          <w:rFonts w:hint="eastAsia" w:ascii="仿宋" w:hAnsi="仿宋" w:eastAsia="仿宋" w:cs="仿宋"/>
          <w:color w:val="auto"/>
          <w:sz w:val="24"/>
          <w:szCs w:val="24"/>
        </w:rPr>
        <w:t>），甲、乙双方互不追究。</w:t>
      </w:r>
    </w:p>
    <w:p w14:paraId="7DE874C8">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9.3 如果某车LNG在</w:t>
      </w:r>
      <w:r>
        <w:rPr>
          <w:rFonts w:hint="eastAsia" w:ascii="仿宋" w:hAnsi="仿宋" w:eastAsia="仿宋" w:cs="仿宋"/>
          <w:color w:val="auto"/>
          <w:sz w:val="24"/>
          <w:szCs w:val="24"/>
          <w:lang w:eastAsia="zh-CN"/>
        </w:rPr>
        <w:t>招</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设施汽车地衡计量值与</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装车</w:t>
      </w:r>
      <w:r>
        <w:rPr>
          <w:rFonts w:hint="eastAsia" w:ascii="仿宋" w:hAnsi="仿宋" w:eastAsia="仿宋" w:cs="仿宋"/>
          <w:color w:val="auto"/>
          <w:sz w:val="24"/>
          <w:szCs w:val="24"/>
        </w:rPr>
        <w:t>设施的汽车地衡计量值的偏差值超出负百分之一（－1%），则偏差值在负百分之一（－1%）以内部分视为正常的计量误差和运输损耗，该车LNG的计量值为：中标人LNG装车设施汽车地衡计量值减去偏差值大于负百分之一（－1%）部分的LNG量。</w:t>
      </w:r>
    </w:p>
    <w:p w14:paraId="2217D5A8">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9.4 如果某车LNG在</w:t>
      </w:r>
      <w:r>
        <w:rPr>
          <w:rFonts w:hint="eastAsia" w:ascii="仿宋" w:hAnsi="仿宋" w:eastAsia="仿宋" w:cs="仿宋"/>
          <w:color w:val="auto"/>
          <w:sz w:val="24"/>
          <w:szCs w:val="24"/>
          <w:lang w:eastAsia="zh-CN"/>
        </w:rPr>
        <w:t>招</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设施汽车地衡计量值与</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标人LNG</w:t>
      </w:r>
      <w:r>
        <w:rPr>
          <w:rFonts w:hint="eastAsia" w:ascii="仿宋" w:hAnsi="仿宋" w:eastAsia="仿宋" w:cs="仿宋"/>
          <w:color w:val="auto"/>
          <w:sz w:val="24"/>
          <w:szCs w:val="24"/>
          <w:lang w:val="en-US" w:eastAsia="zh-CN"/>
        </w:rPr>
        <w:t>装车</w:t>
      </w:r>
      <w:r>
        <w:rPr>
          <w:rFonts w:hint="eastAsia" w:ascii="仿宋" w:hAnsi="仿宋" w:eastAsia="仿宋" w:cs="仿宋"/>
          <w:color w:val="auto"/>
          <w:sz w:val="24"/>
          <w:szCs w:val="24"/>
        </w:rPr>
        <w:t>设施的汽车地衡计量值的偏差值超出正百分之一（+1%），该车LNG的计量值为：中标人LNG装车设施汽车地衡计量值加上偏差值大于正百分之一（+1%）部分的LNG量。</w:t>
      </w:r>
    </w:p>
    <w:p w14:paraId="1FE549DA">
      <w:pPr>
        <w:keepNext w:val="0"/>
        <w:keepLines w:val="0"/>
        <w:pageBreakBefore w:val="0"/>
        <w:kinsoku/>
        <w:wordWrap/>
        <w:overflowPunct/>
        <w:topLinePunct w:val="0"/>
        <w:bidi w:val="0"/>
        <w:spacing w:line="560" w:lineRule="exact"/>
        <w:jc w:val="left"/>
        <w:textAlignment w:val="auto"/>
        <w:rPr>
          <w:rFonts w:hint="eastAsia" w:ascii="仿宋" w:hAnsi="仿宋" w:eastAsia="仿宋" w:cs="仿宋"/>
          <w:dstrike/>
          <w:color w:val="auto"/>
          <w:sz w:val="24"/>
          <w:szCs w:val="24"/>
        </w:rPr>
      </w:pPr>
      <w:r>
        <w:rPr>
          <w:rFonts w:hint="eastAsia" w:ascii="仿宋" w:hAnsi="仿宋" w:eastAsia="仿宋" w:cs="仿宋"/>
          <w:color w:val="auto"/>
          <w:sz w:val="24"/>
          <w:szCs w:val="24"/>
        </w:rPr>
        <w:t>9.5 如任一方对另一方的计量有争议，可在交接计量文件（招标人的称量计量单）上注明争议内容，并在第一时间沟通，查找原因。在争议解决前，</w:t>
      </w:r>
      <w:r>
        <w:rPr>
          <w:rFonts w:hint="eastAsia" w:ascii="仿宋" w:hAnsi="仿宋" w:eastAsia="仿宋" w:cs="仿宋"/>
          <w:b/>
          <w:bCs/>
          <w:color w:val="auto"/>
          <w:sz w:val="24"/>
          <w:szCs w:val="24"/>
          <w:highlight w:val="none"/>
        </w:rPr>
        <w:t>LNG结算总金额</w:t>
      </w:r>
      <w:r>
        <w:rPr>
          <w:rFonts w:hint="eastAsia" w:ascii="仿宋" w:hAnsi="仿宋" w:eastAsia="仿宋" w:cs="仿宋"/>
          <w:color w:val="auto"/>
          <w:sz w:val="24"/>
          <w:szCs w:val="24"/>
          <w:highlight w:val="none"/>
        </w:rPr>
        <w:t xml:space="preserve">暂按其中最低气量的数据先行付费，待原因明晰后根据实际情况相应核算。 </w:t>
      </w:r>
      <w:r>
        <w:rPr>
          <w:rFonts w:hint="eastAsia" w:ascii="仿宋" w:hAnsi="仿宋" w:eastAsia="仿宋" w:cs="仿宋"/>
          <w:color w:val="auto"/>
          <w:sz w:val="24"/>
          <w:szCs w:val="24"/>
        </w:rPr>
        <w:t xml:space="preserve"> </w:t>
      </w:r>
    </w:p>
    <w:p w14:paraId="13475970">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rPr>
        <w:t>10.权利和义务</w:t>
      </w:r>
    </w:p>
    <w:p w14:paraId="5C538575">
      <w:pPr>
        <w:keepNext w:val="0"/>
        <w:keepLines w:val="0"/>
        <w:pageBreakBefore w:val="0"/>
        <w:kinsoku/>
        <w:wordWrap/>
        <w:overflowPunct/>
        <w:topLinePunct w:val="0"/>
        <w:bidi w:val="0"/>
        <w:spacing w:line="56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10.1 招标人的权利和义务。</w:t>
      </w:r>
      <w:r>
        <w:rPr>
          <w:rFonts w:hint="eastAsia" w:ascii="仿宋" w:hAnsi="仿宋" w:eastAsia="仿宋" w:cs="仿宋"/>
          <w:sz w:val="24"/>
          <w:szCs w:val="24"/>
        </w:rPr>
        <w:tab/>
      </w:r>
    </w:p>
    <w:p w14:paraId="71C36769">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 xml:space="preserve">10.1.1 </w:t>
      </w:r>
      <w:r>
        <w:rPr>
          <w:rFonts w:hint="eastAsia" w:ascii="仿宋" w:hAnsi="仿宋" w:eastAsia="仿宋" w:cs="仿宋"/>
          <w:color w:val="000000"/>
          <w:sz w:val="24"/>
          <w:szCs w:val="24"/>
        </w:rPr>
        <w:t>招标人在急需用气时，在中标人无法满足供应的前提下，招标人有权通过其他渠道进行采购，招标人不承担违约责任，中标人不得以此向招标人主张任何权利。</w:t>
      </w:r>
    </w:p>
    <w:p w14:paraId="40907E66">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10.1.2招标人应按中标人确认反馈的供应数量稳定、连续</w:t>
      </w:r>
      <w:r>
        <w:rPr>
          <w:rFonts w:hint="eastAsia" w:ascii="仿宋" w:hAnsi="仿宋" w:eastAsia="仿宋" w:cs="仿宋"/>
          <w:color w:val="000000"/>
          <w:sz w:val="24"/>
          <w:szCs w:val="24"/>
        </w:rPr>
        <w:t>接</w:t>
      </w:r>
      <w:r>
        <w:rPr>
          <w:rFonts w:hint="eastAsia" w:ascii="仿宋" w:hAnsi="仿宋" w:eastAsia="仿宋" w:cs="仿宋"/>
          <w:sz w:val="24"/>
          <w:szCs w:val="24"/>
        </w:rPr>
        <w:t>气，</w:t>
      </w:r>
      <w:r>
        <w:rPr>
          <w:rFonts w:hint="eastAsia" w:ascii="仿宋" w:hAnsi="仿宋" w:eastAsia="仿宋" w:cs="仿宋"/>
          <w:color w:val="000000"/>
          <w:sz w:val="24"/>
          <w:szCs w:val="24"/>
        </w:rPr>
        <w:t>如中标人未按招标人采购计划交货，造成招标人供应中断，中标人应赔偿招标人由此造成的全部损失。</w:t>
      </w:r>
    </w:p>
    <w:p w14:paraId="0929D582">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10.1.3 </w:t>
      </w:r>
      <w:r>
        <w:rPr>
          <w:rFonts w:hint="eastAsia" w:ascii="仿宋" w:hAnsi="仿宋" w:eastAsia="仿宋" w:cs="仿宋"/>
          <w:color w:val="000000"/>
          <w:sz w:val="24"/>
          <w:szCs w:val="24"/>
        </w:rPr>
        <w:t>招标人为中标人提供的卸气场地必须符合国家消防、安全等有关规定及LNG产品的特殊物性带来的安全需求</w:t>
      </w:r>
      <w:r>
        <w:rPr>
          <w:rFonts w:hint="eastAsia" w:ascii="仿宋" w:hAnsi="仿宋" w:eastAsia="仿宋" w:cs="仿宋"/>
          <w:sz w:val="24"/>
          <w:szCs w:val="24"/>
        </w:rPr>
        <w:t>。</w:t>
      </w:r>
    </w:p>
    <w:p w14:paraId="60BDB5DB">
      <w:pPr>
        <w:keepNext w:val="0"/>
        <w:keepLines w:val="0"/>
        <w:pageBreakBefore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rPr>
        <w:t>10.1.4 如中标人LNG运输车辆按时到达招标人指定卸气点后，招标人</w:t>
      </w:r>
      <w:r>
        <w:rPr>
          <w:rFonts w:hint="eastAsia" w:ascii="仿宋" w:hAnsi="仿宋" w:eastAsia="仿宋" w:cs="仿宋"/>
          <w:color w:val="000000"/>
          <w:sz w:val="24"/>
          <w:szCs w:val="24"/>
        </w:rPr>
        <w:t>应配合中标人</w:t>
      </w:r>
      <w:r>
        <w:rPr>
          <w:rFonts w:hint="eastAsia" w:ascii="仿宋" w:hAnsi="仿宋" w:eastAsia="仿宋" w:cs="仿宋"/>
          <w:sz w:val="24"/>
          <w:szCs w:val="24"/>
        </w:rPr>
        <w:t>在</w:t>
      </w:r>
      <w:r>
        <w:rPr>
          <w:rFonts w:hint="eastAsia" w:ascii="仿宋" w:hAnsi="仿宋" w:eastAsia="仿宋" w:cs="仿宋"/>
          <w:color w:val="000000"/>
          <w:sz w:val="24"/>
          <w:szCs w:val="24"/>
        </w:rPr>
        <w:t>要求到货时间后24</w:t>
      </w:r>
      <w:r>
        <w:rPr>
          <w:rFonts w:hint="eastAsia" w:ascii="仿宋" w:hAnsi="仿宋" w:eastAsia="仿宋" w:cs="仿宋"/>
          <w:sz w:val="24"/>
          <w:szCs w:val="24"/>
        </w:rPr>
        <w:t>小时内</w:t>
      </w:r>
      <w:r>
        <w:rPr>
          <w:rFonts w:hint="eastAsia" w:ascii="仿宋" w:hAnsi="仿宋" w:eastAsia="仿宋" w:cs="仿宋"/>
          <w:b/>
          <w:sz w:val="24"/>
          <w:szCs w:val="24"/>
        </w:rPr>
        <w:t>完成</w:t>
      </w:r>
      <w:r>
        <w:rPr>
          <w:rFonts w:hint="eastAsia" w:ascii="仿宋" w:hAnsi="仿宋" w:eastAsia="仿宋" w:cs="仿宋"/>
          <w:b/>
          <w:color w:val="000000"/>
          <w:sz w:val="24"/>
          <w:szCs w:val="24"/>
        </w:rPr>
        <w:t>单车</w:t>
      </w:r>
      <w:r>
        <w:rPr>
          <w:rFonts w:hint="eastAsia" w:ascii="仿宋" w:hAnsi="仿宋" w:eastAsia="仿宋" w:cs="仿宋"/>
          <w:b/>
          <w:sz w:val="24"/>
          <w:szCs w:val="24"/>
        </w:rPr>
        <w:t>卸气</w:t>
      </w:r>
      <w:r>
        <w:rPr>
          <w:rFonts w:hint="eastAsia" w:ascii="仿宋" w:hAnsi="仿宋" w:eastAsia="仿宋" w:cs="仿宋"/>
          <w:sz w:val="24"/>
          <w:szCs w:val="24"/>
        </w:rPr>
        <w:t>（首次充装除外）。因招标人原因导致</w:t>
      </w:r>
      <w:r>
        <w:rPr>
          <w:rFonts w:hint="eastAsia" w:ascii="仿宋" w:hAnsi="仿宋" w:eastAsia="仿宋" w:cs="仿宋"/>
          <w:color w:val="000000"/>
          <w:sz w:val="24"/>
          <w:szCs w:val="24"/>
        </w:rPr>
        <w:t>到货时间后24</w:t>
      </w:r>
      <w:r>
        <w:rPr>
          <w:rFonts w:hint="eastAsia" w:ascii="仿宋" w:hAnsi="仿宋" w:eastAsia="仿宋" w:cs="仿宋"/>
          <w:sz w:val="24"/>
          <w:szCs w:val="24"/>
        </w:rPr>
        <w:t>小时内未能完成卸气的，</w:t>
      </w:r>
      <w:r>
        <w:rPr>
          <w:rFonts w:hint="eastAsia" w:ascii="仿宋" w:hAnsi="仿宋" w:eastAsia="仿宋" w:cs="仿宋"/>
          <w:color w:val="000000"/>
          <w:sz w:val="24"/>
          <w:szCs w:val="24"/>
        </w:rPr>
        <w:t>每增加</w:t>
      </w:r>
      <w:r>
        <w:rPr>
          <w:rFonts w:hint="eastAsia" w:ascii="仿宋" w:hAnsi="仿宋" w:eastAsia="仿宋" w:cs="仿宋"/>
          <w:color w:val="000000"/>
          <w:sz w:val="24"/>
          <w:szCs w:val="24"/>
          <w:highlight w:val="none"/>
        </w:rPr>
        <w:t>一小时，招标人须向中标人支付</w:t>
      </w:r>
      <w:r>
        <w:rPr>
          <w:rFonts w:hint="eastAsia" w:ascii="仿宋" w:hAnsi="仿宋" w:eastAsia="仿宋" w:cs="仿宋"/>
          <w:b/>
          <w:bCs/>
          <w:color w:val="000000"/>
          <w:sz w:val="24"/>
          <w:szCs w:val="24"/>
          <w:highlight w:val="none"/>
        </w:rPr>
        <w:t>100元/小时</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押车</w:t>
      </w:r>
      <w:r>
        <w:rPr>
          <w:rFonts w:hint="eastAsia" w:ascii="仿宋" w:hAnsi="仿宋" w:eastAsia="仿宋" w:cs="仿宋"/>
          <w:color w:val="000000"/>
          <w:sz w:val="24"/>
          <w:szCs w:val="24"/>
          <w:highlight w:val="none"/>
        </w:rPr>
        <w:t>费</w:t>
      </w:r>
      <w:r>
        <w:rPr>
          <w:rFonts w:hint="eastAsia" w:ascii="仿宋" w:hAnsi="仿宋" w:eastAsia="仿宋" w:cs="仿宋"/>
          <w:color w:val="000000"/>
          <w:sz w:val="24"/>
          <w:szCs w:val="24"/>
        </w:rPr>
        <w:t>（中标人LNG运输车辆未按招标人要求的时间而自行</w:t>
      </w:r>
      <w:r>
        <w:rPr>
          <w:rFonts w:hint="eastAsia" w:ascii="仿宋" w:hAnsi="仿宋" w:eastAsia="仿宋" w:cs="仿宋"/>
          <w:b/>
          <w:bCs/>
          <w:color w:val="000000"/>
          <w:sz w:val="24"/>
          <w:szCs w:val="24"/>
        </w:rPr>
        <w:t>提前</w:t>
      </w:r>
      <w:r>
        <w:rPr>
          <w:rFonts w:hint="eastAsia" w:ascii="仿宋" w:hAnsi="仿宋" w:eastAsia="仿宋" w:cs="仿宋"/>
          <w:color w:val="000000"/>
          <w:sz w:val="24"/>
          <w:szCs w:val="24"/>
        </w:rPr>
        <w:t>到达卸气</w:t>
      </w:r>
      <w:r>
        <w:rPr>
          <w:rFonts w:hint="eastAsia" w:ascii="仿宋" w:hAnsi="仿宋" w:eastAsia="仿宋" w:cs="仿宋"/>
          <w:sz w:val="24"/>
          <w:szCs w:val="24"/>
        </w:rPr>
        <w:t>站情况除外），不足一小时的不予计算。</w:t>
      </w:r>
      <w:r>
        <w:rPr>
          <w:rFonts w:hint="eastAsia" w:ascii="仿宋" w:hAnsi="仿宋" w:eastAsia="仿宋" w:cs="仿宋"/>
          <w:color w:val="auto"/>
          <w:sz w:val="24"/>
          <w:szCs w:val="24"/>
          <w:lang w:eastAsia="zh-CN"/>
        </w:rPr>
        <w:t>因中标人LNG运输车辆到达卸气站时间超过招标人要求的时间，导致招标人</w:t>
      </w:r>
      <w:r>
        <w:rPr>
          <w:rFonts w:hint="eastAsia" w:ascii="仿宋" w:hAnsi="仿宋" w:eastAsia="仿宋" w:cs="仿宋"/>
          <w:color w:val="auto"/>
          <w:sz w:val="24"/>
          <w:szCs w:val="24"/>
        </w:rPr>
        <w:t>卸气</w:t>
      </w:r>
      <w:r>
        <w:rPr>
          <w:rFonts w:hint="eastAsia" w:ascii="仿宋" w:hAnsi="仿宋" w:eastAsia="仿宋" w:cs="仿宋"/>
          <w:color w:val="auto"/>
          <w:sz w:val="24"/>
          <w:szCs w:val="24"/>
          <w:lang w:eastAsia="zh-CN"/>
        </w:rPr>
        <w:t>滞后的，中标人不得向招标人收取任何押车费用。</w:t>
      </w:r>
      <w:r>
        <w:rPr>
          <w:rFonts w:hint="eastAsia" w:ascii="仿宋" w:hAnsi="仿宋" w:eastAsia="仿宋" w:cs="仿宋"/>
          <w:b/>
          <w:bCs/>
          <w:sz w:val="24"/>
          <w:szCs w:val="24"/>
          <w:highlight w:val="none"/>
        </w:rPr>
        <w:t>【注：如投标人有承诺的以投标承诺为准】</w:t>
      </w:r>
    </w:p>
    <w:p w14:paraId="4FB2967E">
      <w:pPr>
        <w:keepNext w:val="0"/>
        <w:keepLines w:val="0"/>
        <w:pageBreakBefore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highlight w:val="none"/>
        </w:rPr>
        <w:t>10.1.5 本合同中约定的需招标人履</w:t>
      </w:r>
      <w:r>
        <w:rPr>
          <w:rFonts w:hint="eastAsia" w:ascii="仿宋" w:hAnsi="仿宋" w:eastAsia="仿宋" w:cs="仿宋"/>
          <w:sz w:val="24"/>
          <w:szCs w:val="24"/>
        </w:rPr>
        <w:t>行</w:t>
      </w:r>
      <w:r>
        <w:rPr>
          <w:rFonts w:hint="eastAsia" w:ascii="仿宋" w:hAnsi="仿宋" w:eastAsia="仿宋" w:cs="仿宋"/>
          <w:sz w:val="24"/>
          <w:szCs w:val="24"/>
          <w:lang w:eastAsia="zh-CN"/>
        </w:rPr>
        <w:t>的其他</w:t>
      </w:r>
      <w:r>
        <w:rPr>
          <w:rFonts w:hint="eastAsia" w:ascii="仿宋" w:hAnsi="仿宋" w:eastAsia="仿宋" w:cs="仿宋"/>
          <w:sz w:val="24"/>
          <w:szCs w:val="24"/>
        </w:rPr>
        <w:t>权利和义务。</w:t>
      </w:r>
    </w:p>
    <w:p w14:paraId="7109E051">
      <w:pPr>
        <w:keepNext w:val="0"/>
        <w:keepLines w:val="0"/>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10</w:t>
      </w:r>
      <w:r>
        <w:rPr>
          <w:rFonts w:hint="eastAsia" w:ascii="仿宋" w:hAnsi="仿宋" w:eastAsia="仿宋" w:cs="仿宋"/>
          <w:bCs/>
          <w:sz w:val="24"/>
          <w:szCs w:val="24"/>
        </w:rPr>
        <w:t>.2 中标人的权利和义务。</w:t>
      </w:r>
    </w:p>
    <w:p w14:paraId="637B0AA9">
      <w:pPr>
        <w:keepNext w:val="0"/>
        <w:keepLines w:val="0"/>
        <w:pageBreakBefore w:val="0"/>
        <w:kinsoku/>
        <w:wordWrap/>
        <w:overflowPunct/>
        <w:topLinePunct w:val="0"/>
        <w:bidi w:val="0"/>
        <w:spacing w:line="560" w:lineRule="exact"/>
        <w:jc w:val="left"/>
        <w:textAlignment w:val="auto"/>
        <w:rPr>
          <w:rFonts w:hint="eastAsia" w:ascii="仿宋" w:hAnsi="仿宋" w:eastAsia="仿宋" w:cs="仿宋"/>
          <w:bCs/>
          <w:color w:val="0000FF"/>
          <w:sz w:val="24"/>
          <w:szCs w:val="24"/>
          <w:lang w:eastAsia="zh-CN"/>
        </w:rPr>
      </w:pPr>
      <w:r>
        <w:rPr>
          <w:rFonts w:hint="eastAsia" w:ascii="仿宋" w:hAnsi="仿宋" w:eastAsia="仿宋" w:cs="仿宋"/>
          <w:sz w:val="24"/>
          <w:szCs w:val="24"/>
        </w:rPr>
        <w:t>10</w:t>
      </w:r>
      <w:r>
        <w:rPr>
          <w:rFonts w:hint="eastAsia" w:ascii="仿宋" w:hAnsi="仿宋" w:eastAsia="仿宋" w:cs="仿宋"/>
          <w:bCs/>
          <w:sz w:val="24"/>
          <w:szCs w:val="24"/>
        </w:rPr>
        <w:t xml:space="preserve">.2.1 </w:t>
      </w:r>
      <w:r>
        <w:rPr>
          <w:rFonts w:hint="eastAsia" w:ascii="仿宋" w:hAnsi="仿宋" w:eastAsia="仿宋" w:cs="仿宋"/>
          <w:sz w:val="24"/>
          <w:szCs w:val="24"/>
        </w:rPr>
        <w:t>中标人每次供货时</w:t>
      </w:r>
      <w:r>
        <w:rPr>
          <w:rFonts w:hint="eastAsia" w:ascii="仿宋" w:hAnsi="仿宋" w:eastAsia="仿宋" w:cs="仿宋"/>
          <w:bCs/>
          <w:sz w:val="24"/>
          <w:szCs w:val="24"/>
        </w:rPr>
        <w:t>向招标人提供</w:t>
      </w:r>
      <w:r>
        <w:rPr>
          <w:rFonts w:hint="eastAsia" w:ascii="仿宋" w:hAnsi="仿宋" w:eastAsia="仿宋" w:cs="仿宋"/>
          <w:bCs/>
          <w:color w:val="auto"/>
          <w:sz w:val="24"/>
          <w:szCs w:val="24"/>
        </w:rPr>
        <w:t>最新的上游气源单位出具的天然气</w:t>
      </w:r>
      <w:r>
        <w:rPr>
          <w:rFonts w:hint="eastAsia" w:ascii="仿宋" w:hAnsi="仿宋" w:eastAsia="仿宋" w:cs="仿宋"/>
          <w:color w:val="auto"/>
          <w:sz w:val="24"/>
          <w:szCs w:val="24"/>
        </w:rPr>
        <w:t>《</w:t>
      </w:r>
      <w:r>
        <w:rPr>
          <w:rFonts w:hint="eastAsia" w:ascii="仿宋" w:hAnsi="仿宋" w:eastAsia="仿宋" w:cs="仿宋"/>
          <w:bCs/>
          <w:color w:val="auto"/>
          <w:sz w:val="24"/>
          <w:szCs w:val="24"/>
        </w:rPr>
        <w:t>气质参数报告</w:t>
      </w:r>
      <w:r>
        <w:rPr>
          <w:rFonts w:hint="eastAsia" w:ascii="仿宋" w:hAnsi="仿宋" w:eastAsia="仿宋" w:cs="仿宋"/>
          <w:color w:val="auto"/>
          <w:sz w:val="24"/>
          <w:szCs w:val="24"/>
        </w:rPr>
        <w:t>》</w:t>
      </w:r>
      <w:r>
        <w:rPr>
          <w:rFonts w:hint="eastAsia" w:ascii="仿宋" w:hAnsi="仿宋" w:eastAsia="仿宋" w:cs="仿宋"/>
          <w:bCs/>
          <w:color w:val="auto"/>
          <w:sz w:val="24"/>
          <w:szCs w:val="24"/>
        </w:rPr>
        <w:t>，以证明LNG产品的组分和质量（加盖公章），否则招标人有权拒绝接</w:t>
      </w:r>
      <w:r>
        <w:rPr>
          <w:rFonts w:hint="eastAsia" w:ascii="仿宋" w:hAnsi="仿宋" w:eastAsia="仿宋" w:cs="仿宋"/>
          <w:bCs/>
          <w:color w:val="000000"/>
          <w:sz w:val="24"/>
          <w:szCs w:val="24"/>
        </w:rPr>
        <w:t>收，且视为中标人逾期交货</w:t>
      </w:r>
      <w:r>
        <w:rPr>
          <w:rFonts w:hint="eastAsia" w:ascii="仿宋" w:hAnsi="仿宋" w:eastAsia="仿宋" w:cs="仿宋"/>
          <w:bCs/>
          <w:color w:val="000000"/>
          <w:sz w:val="24"/>
          <w:szCs w:val="24"/>
          <w:lang w:eastAsia="zh-CN"/>
        </w:rPr>
        <w:t>。</w:t>
      </w:r>
    </w:p>
    <w:p w14:paraId="1781FB27">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10.2.2 中标人应按本合同约定及《供货通知单》上的</w:t>
      </w:r>
      <w:r>
        <w:rPr>
          <w:rFonts w:hint="eastAsia" w:ascii="仿宋" w:hAnsi="仿宋" w:eastAsia="仿宋" w:cs="仿宋"/>
          <w:b/>
          <w:sz w:val="24"/>
          <w:szCs w:val="24"/>
        </w:rPr>
        <w:t>数量</w:t>
      </w:r>
      <w:r>
        <w:rPr>
          <w:rFonts w:hint="eastAsia" w:ascii="仿宋" w:hAnsi="仿宋" w:eastAsia="仿宋" w:cs="仿宋"/>
          <w:b/>
          <w:sz w:val="24"/>
          <w:szCs w:val="24"/>
          <w:lang w:eastAsia="zh-CN"/>
        </w:rPr>
        <w:t>、</w:t>
      </w:r>
      <w:r>
        <w:rPr>
          <w:rFonts w:hint="eastAsia" w:ascii="仿宋" w:hAnsi="仿宋" w:eastAsia="仿宋" w:cs="仿宋"/>
          <w:b/>
          <w:sz w:val="24"/>
          <w:szCs w:val="24"/>
          <w:highlight w:val="none"/>
        </w:rPr>
        <w:t>时间</w:t>
      </w:r>
      <w:r>
        <w:rPr>
          <w:rFonts w:hint="eastAsia" w:ascii="仿宋" w:hAnsi="仿宋" w:eastAsia="仿宋" w:cs="仿宋"/>
          <w:b/>
          <w:sz w:val="24"/>
          <w:szCs w:val="24"/>
          <w:highlight w:val="none"/>
          <w:lang w:eastAsia="zh-CN"/>
        </w:rPr>
        <w:t>和指定接收站</w:t>
      </w:r>
      <w:r>
        <w:rPr>
          <w:rFonts w:hint="eastAsia" w:ascii="仿宋" w:hAnsi="仿宋" w:eastAsia="仿宋" w:cs="仿宋"/>
          <w:sz w:val="24"/>
          <w:szCs w:val="24"/>
          <w:highlight w:val="none"/>
        </w:rPr>
        <w:t>向招</w:t>
      </w:r>
      <w:r>
        <w:rPr>
          <w:rFonts w:hint="eastAsia" w:ascii="仿宋" w:hAnsi="仿宋" w:eastAsia="仿宋" w:cs="仿宋"/>
          <w:sz w:val="24"/>
          <w:szCs w:val="24"/>
        </w:rPr>
        <w:t>标人供气。如因中标人未能按时供气给招标人造成损失，中标人需支付</w:t>
      </w:r>
      <w:r>
        <w:rPr>
          <w:rFonts w:hint="eastAsia" w:ascii="仿宋" w:hAnsi="仿宋" w:eastAsia="仿宋" w:cs="仿宋"/>
          <w:b/>
          <w:sz w:val="24"/>
          <w:szCs w:val="24"/>
        </w:rPr>
        <w:t>招标</w:t>
      </w:r>
      <w:r>
        <w:rPr>
          <w:rFonts w:hint="eastAsia" w:ascii="仿宋" w:hAnsi="仿宋" w:eastAsia="仿宋" w:cs="仿宋"/>
          <w:b/>
          <w:color w:val="auto"/>
          <w:sz w:val="24"/>
          <w:szCs w:val="24"/>
        </w:rPr>
        <w:t>人</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eastAsia="zh-CN"/>
        </w:rPr>
        <w:t>万元</w:t>
      </w:r>
      <w:r>
        <w:rPr>
          <w:rFonts w:hint="eastAsia" w:ascii="仿宋" w:hAnsi="仿宋" w:eastAsia="仿宋" w:cs="仿宋"/>
          <w:b/>
          <w:bCs/>
          <w:color w:val="auto"/>
          <w:sz w:val="24"/>
          <w:szCs w:val="24"/>
        </w:rPr>
        <w:t>/次</w:t>
      </w:r>
      <w:r>
        <w:rPr>
          <w:rFonts w:hint="eastAsia" w:ascii="仿宋" w:hAnsi="仿宋" w:eastAsia="仿宋" w:cs="仿宋"/>
          <w:b/>
          <w:color w:val="auto"/>
          <w:sz w:val="24"/>
          <w:szCs w:val="24"/>
        </w:rPr>
        <w:t>的违约金</w:t>
      </w:r>
      <w:r>
        <w:rPr>
          <w:rFonts w:hint="eastAsia" w:ascii="仿宋" w:hAnsi="仿宋" w:eastAsia="仿宋" w:cs="仿宋"/>
          <w:color w:val="auto"/>
          <w:sz w:val="24"/>
          <w:szCs w:val="24"/>
        </w:rPr>
        <w:t>外</w:t>
      </w:r>
      <w:r>
        <w:rPr>
          <w:rFonts w:hint="eastAsia" w:ascii="仿宋" w:hAnsi="仿宋" w:eastAsia="仿宋" w:cs="仿宋"/>
          <w:color w:val="auto"/>
          <w:sz w:val="24"/>
          <w:szCs w:val="24"/>
          <w:lang w:eastAsia="zh-CN"/>
        </w:rPr>
        <w:t>（招标人可直接在结算款项中扣除）</w:t>
      </w:r>
      <w:r>
        <w:rPr>
          <w:rFonts w:hint="eastAsia" w:ascii="仿宋" w:hAnsi="仿宋" w:eastAsia="仿宋" w:cs="仿宋"/>
          <w:color w:val="auto"/>
          <w:sz w:val="24"/>
          <w:szCs w:val="24"/>
        </w:rPr>
        <w:t>，</w:t>
      </w:r>
      <w:r>
        <w:rPr>
          <w:rFonts w:hint="eastAsia" w:ascii="仿宋" w:hAnsi="仿宋" w:eastAsia="仿宋" w:cs="仿宋"/>
          <w:sz w:val="24"/>
          <w:szCs w:val="24"/>
        </w:rPr>
        <w:t>中标人还应赔偿招标人</w:t>
      </w:r>
      <w:r>
        <w:rPr>
          <w:rFonts w:hint="eastAsia" w:ascii="仿宋" w:hAnsi="仿宋" w:eastAsia="仿宋" w:cs="仿宋"/>
          <w:color w:val="000000"/>
          <w:sz w:val="24"/>
          <w:szCs w:val="24"/>
        </w:rPr>
        <w:t>由此造成的全部损失。</w:t>
      </w:r>
    </w:p>
    <w:p w14:paraId="4E696260">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10.2.3 中标人在招标人不按合同约定支付气款或违反其他合同约定时，应先书面告知招标人履行义务，但不得减少或停止气源供应，书面告知后招标人仍未履行的，中标人可</w:t>
      </w:r>
      <w:r>
        <w:rPr>
          <w:rFonts w:hint="eastAsia" w:ascii="仿宋" w:hAnsi="仿宋" w:eastAsia="仿宋" w:cs="仿宋"/>
          <w:color w:val="000000"/>
          <w:sz w:val="24"/>
          <w:szCs w:val="24"/>
        </w:rPr>
        <w:t>书面告知招标人一个月后减少或停止对招标人的气源供应，并不承担由此给招标人造成的损失。</w:t>
      </w:r>
    </w:p>
    <w:p w14:paraId="6976E55E">
      <w:pPr>
        <w:keepNext w:val="0"/>
        <w:keepLines w:val="0"/>
        <w:pageBreakBefore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 xml:space="preserve">10.2.4 </w:t>
      </w:r>
      <w:r>
        <w:rPr>
          <w:rFonts w:hint="eastAsia" w:ascii="仿宋" w:hAnsi="仿宋" w:eastAsia="仿宋" w:cs="仿宋"/>
          <w:sz w:val="24"/>
          <w:szCs w:val="24"/>
        </w:rPr>
        <w:t>本合同中约定的需中标人履行</w:t>
      </w:r>
      <w:r>
        <w:rPr>
          <w:rFonts w:hint="eastAsia" w:ascii="仿宋" w:hAnsi="仿宋" w:eastAsia="仿宋" w:cs="仿宋"/>
          <w:sz w:val="24"/>
          <w:szCs w:val="24"/>
          <w:lang w:eastAsia="zh-CN"/>
        </w:rPr>
        <w:t>的其他</w:t>
      </w:r>
      <w:r>
        <w:rPr>
          <w:rFonts w:hint="eastAsia" w:ascii="仿宋" w:hAnsi="仿宋" w:eastAsia="仿宋" w:cs="仿宋"/>
          <w:sz w:val="24"/>
          <w:szCs w:val="24"/>
        </w:rPr>
        <w:t>权利和义务。</w:t>
      </w:r>
    </w:p>
    <w:p w14:paraId="3A73C450">
      <w:pPr>
        <w:keepNext w:val="0"/>
        <w:keepLines w:val="0"/>
        <w:pageBreakBefore w:val="0"/>
        <w:kinsoku/>
        <w:wordWrap/>
        <w:overflowPunct/>
        <w:topLinePunct w:val="0"/>
        <w:bidi w:val="0"/>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rPr>
        <w:t>11.违约责任</w:t>
      </w:r>
    </w:p>
    <w:p w14:paraId="29D2DF05">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bCs/>
          <w:sz w:val="24"/>
          <w:szCs w:val="24"/>
        </w:rPr>
        <w:t>11.1 招标人的违约责任</w:t>
      </w:r>
    </w:p>
    <w:p w14:paraId="4C493E93">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11.1.1 由于招标人</w:t>
      </w:r>
      <w:r>
        <w:rPr>
          <w:rFonts w:hint="eastAsia" w:ascii="仿宋" w:hAnsi="仿宋" w:eastAsia="仿宋" w:cs="仿宋"/>
          <w:color w:val="000000"/>
          <w:sz w:val="24"/>
          <w:szCs w:val="24"/>
        </w:rPr>
        <w:t>未按约支付气款</w:t>
      </w:r>
      <w:r>
        <w:rPr>
          <w:rFonts w:hint="eastAsia" w:ascii="仿宋" w:hAnsi="仿宋" w:eastAsia="仿宋" w:cs="仿宋"/>
          <w:sz w:val="24"/>
          <w:szCs w:val="24"/>
        </w:rPr>
        <w:t>造成的限气、断气事故，责任由招标人自负。</w:t>
      </w:r>
    </w:p>
    <w:p w14:paraId="0B4A0000">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11.1.2 如果招标人未能按约定支付</w:t>
      </w:r>
      <w:r>
        <w:rPr>
          <w:rFonts w:hint="eastAsia" w:ascii="仿宋" w:hAnsi="仿宋" w:eastAsia="仿宋" w:cs="仿宋"/>
          <w:color w:val="auto"/>
          <w:sz w:val="24"/>
          <w:szCs w:val="24"/>
        </w:rPr>
        <w:t>款项，中标人有权对未付部分款项，</w:t>
      </w:r>
      <w:r>
        <w:rPr>
          <w:rFonts w:hint="eastAsia" w:ascii="仿宋" w:hAnsi="仿宋" w:eastAsia="仿宋" w:cs="仿宋"/>
          <w:color w:val="auto"/>
          <w:sz w:val="24"/>
          <w:szCs w:val="24"/>
          <w:lang w:val="en-US" w:eastAsia="zh-CN"/>
        </w:rPr>
        <w:t>自逾期之日起</w:t>
      </w:r>
      <w:r>
        <w:rPr>
          <w:rFonts w:hint="eastAsia" w:ascii="仿宋" w:hAnsi="仿宋" w:eastAsia="仿宋" w:cs="仿宋"/>
          <w:color w:val="auto"/>
          <w:sz w:val="24"/>
          <w:szCs w:val="24"/>
        </w:rPr>
        <w:t>按照同期全国银行间同业拆借中心公布的1年期贷款市场报价利率（LPR）收取违约金。</w:t>
      </w:r>
    </w:p>
    <w:p w14:paraId="7EFA72F1">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 中标人</w:t>
      </w:r>
      <w:r>
        <w:rPr>
          <w:rFonts w:hint="eastAsia" w:ascii="仿宋" w:hAnsi="仿宋" w:eastAsia="仿宋" w:cs="仿宋"/>
          <w:bCs/>
          <w:color w:val="auto"/>
          <w:sz w:val="24"/>
          <w:szCs w:val="24"/>
        </w:rPr>
        <w:t>的违约责任</w:t>
      </w:r>
    </w:p>
    <w:p w14:paraId="50C5C47E">
      <w:pPr>
        <w:keepNext w:val="0"/>
        <w:keepLines w:val="0"/>
        <w:pageBreakBefore w:val="0"/>
        <w:kinsoku/>
        <w:wordWrap/>
        <w:overflowPunct/>
        <w:topLinePunct w:val="0"/>
        <w:bidi w:val="0"/>
        <w:spacing w:line="56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11.2.1 由于</w:t>
      </w:r>
      <w:r>
        <w:rPr>
          <w:rFonts w:hint="eastAsia" w:ascii="仿宋" w:hAnsi="仿宋" w:eastAsia="仿宋" w:cs="仿宋"/>
          <w:color w:val="000000"/>
          <w:sz w:val="24"/>
          <w:szCs w:val="24"/>
        </w:rPr>
        <w:t>中标人</w:t>
      </w:r>
      <w:r>
        <w:rPr>
          <w:rFonts w:hint="eastAsia" w:ascii="仿宋" w:hAnsi="仿宋" w:eastAsia="仿宋" w:cs="仿宋"/>
          <w:sz w:val="24"/>
          <w:szCs w:val="24"/>
        </w:rPr>
        <w:t>不符合本合同约定的行为，造成招标人限气</w:t>
      </w:r>
      <w:r>
        <w:rPr>
          <w:rFonts w:hint="eastAsia" w:ascii="仿宋" w:hAnsi="仿宋" w:eastAsia="仿宋" w:cs="仿宋"/>
          <w:color w:val="000000"/>
          <w:sz w:val="24"/>
          <w:szCs w:val="24"/>
        </w:rPr>
        <w:t>、断气事故，在扣除中标人</w:t>
      </w:r>
      <w:r>
        <w:rPr>
          <w:rFonts w:hint="eastAsia" w:ascii="仿宋" w:hAnsi="仿宋" w:eastAsia="仿宋" w:cs="仿宋"/>
          <w:color w:val="000000"/>
          <w:sz w:val="24"/>
          <w:szCs w:val="24"/>
          <w:lang w:val="en-US" w:eastAsia="zh-CN"/>
        </w:rPr>
        <w:t>全额</w:t>
      </w:r>
      <w:r>
        <w:rPr>
          <w:rFonts w:hint="eastAsia" w:ascii="仿宋" w:hAnsi="仿宋" w:eastAsia="仿宋" w:cs="仿宋"/>
          <w:color w:val="000000"/>
          <w:sz w:val="24"/>
          <w:szCs w:val="24"/>
        </w:rPr>
        <w:t>履约保证金外，还须赔偿招标人的全部损失，同时招标人有权单方面解除合同。</w:t>
      </w:r>
    </w:p>
    <w:p w14:paraId="67507411">
      <w:pPr>
        <w:keepNext w:val="0"/>
        <w:keepLines w:val="0"/>
        <w:pageBreakBefore w:val="0"/>
        <w:kinsoku/>
        <w:wordWrap/>
        <w:overflowPunct/>
        <w:topLinePunct w:val="0"/>
        <w:autoSpaceDE w:val="0"/>
        <w:autoSpaceDN w:val="0"/>
        <w:bidi w:val="0"/>
        <w:adjustRightInd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11.2.2 中标人提供的液化</w:t>
      </w:r>
      <w:r>
        <w:rPr>
          <w:rFonts w:hint="eastAsia" w:ascii="仿宋" w:hAnsi="仿宋" w:eastAsia="仿宋" w:cs="仿宋"/>
          <w:color w:val="000000"/>
          <w:sz w:val="24"/>
          <w:szCs w:val="24"/>
          <w:lang w:val="en-US" w:eastAsia="zh-CN"/>
        </w:rPr>
        <w:t>天然</w:t>
      </w:r>
      <w:r>
        <w:rPr>
          <w:rFonts w:hint="eastAsia" w:ascii="仿宋" w:hAnsi="仿宋" w:eastAsia="仿宋" w:cs="仿宋"/>
          <w:color w:val="000000"/>
          <w:sz w:val="24"/>
          <w:szCs w:val="24"/>
        </w:rPr>
        <w:t>气（LNG）不符合质量规定、逾期到货达6小时及以上的或不按照招标人要求的供货数量送货的（除供货商确需逾期到货时，提前书面通知招标人，经招标人同意后调整到货时间外），在扣除中标人</w:t>
      </w:r>
      <w:r>
        <w:rPr>
          <w:rFonts w:hint="eastAsia" w:ascii="仿宋" w:hAnsi="仿宋" w:eastAsia="仿宋" w:cs="仿宋"/>
          <w:color w:val="000000"/>
          <w:sz w:val="24"/>
          <w:szCs w:val="24"/>
          <w:lang w:val="en-US" w:eastAsia="zh-CN"/>
        </w:rPr>
        <w:t>全额</w:t>
      </w:r>
      <w:r>
        <w:rPr>
          <w:rFonts w:hint="eastAsia" w:ascii="仿宋" w:hAnsi="仿宋" w:eastAsia="仿宋" w:cs="仿宋"/>
          <w:color w:val="000000"/>
          <w:sz w:val="24"/>
          <w:szCs w:val="24"/>
        </w:rPr>
        <w:t>履约保证金外，还须赔偿招标人由此造成的全部损失，同时招标人有权单方面解除合同，并将中标人列入黑名单，三年内不得</w:t>
      </w:r>
      <w:r>
        <w:rPr>
          <w:rFonts w:hint="eastAsia" w:ascii="仿宋" w:hAnsi="仿宋" w:eastAsia="仿宋" w:cs="仿宋"/>
          <w:color w:val="000000"/>
          <w:sz w:val="24"/>
          <w:szCs w:val="24"/>
          <w:lang w:eastAsia="zh-CN"/>
        </w:rPr>
        <w:t>参与本单位项目投标</w:t>
      </w:r>
      <w:r>
        <w:rPr>
          <w:rFonts w:hint="eastAsia" w:ascii="仿宋" w:hAnsi="仿宋" w:eastAsia="仿宋" w:cs="仿宋"/>
          <w:color w:val="000000"/>
          <w:sz w:val="24"/>
          <w:szCs w:val="24"/>
        </w:rPr>
        <w:t>。</w:t>
      </w:r>
    </w:p>
    <w:p w14:paraId="5B8AB4FD">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11.2.3 中标人在合同期内必须确保招标人需求量供货，</w:t>
      </w:r>
      <w:r>
        <w:rPr>
          <w:rFonts w:hint="eastAsia" w:ascii="仿宋" w:hAnsi="仿宋" w:eastAsia="仿宋" w:cs="仿宋"/>
          <w:color w:val="000000"/>
          <w:sz w:val="24"/>
          <w:szCs w:val="24"/>
          <w:u w:val="none"/>
        </w:rPr>
        <w:t>否则</w:t>
      </w:r>
      <w:r>
        <w:rPr>
          <w:rFonts w:hint="eastAsia" w:ascii="仿宋" w:hAnsi="仿宋" w:eastAsia="仿宋" w:cs="仿宋"/>
          <w:color w:val="000000"/>
          <w:sz w:val="24"/>
          <w:szCs w:val="24"/>
        </w:rPr>
        <w:t>在扣除中标人</w:t>
      </w:r>
      <w:r>
        <w:rPr>
          <w:rFonts w:hint="eastAsia" w:ascii="仿宋" w:hAnsi="仿宋" w:eastAsia="仿宋" w:cs="仿宋"/>
          <w:color w:val="000000"/>
          <w:sz w:val="24"/>
          <w:szCs w:val="24"/>
          <w:lang w:val="en-US" w:eastAsia="zh-CN"/>
        </w:rPr>
        <w:t>全额</w:t>
      </w:r>
      <w:r>
        <w:rPr>
          <w:rFonts w:hint="eastAsia" w:ascii="仿宋" w:hAnsi="仿宋" w:eastAsia="仿宋" w:cs="仿宋"/>
          <w:color w:val="000000"/>
          <w:sz w:val="24"/>
          <w:szCs w:val="24"/>
        </w:rPr>
        <w:t>履约保证金外，还须赔偿招标人由此造成的全部损失，同时招标人有权单方面解除合同。</w:t>
      </w:r>
    </w:p>
    <w:p w14:paraId="382CE9F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11.2.4 无正当法定理由，中标人不得解除合同。因中标人原因解除合同的，中标人应向招标人支付违约金</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eastAsia="zh-CN"/>
        </w:rPr>
        <w:t>万元整</w:t>
      </w:r>
      <w:r>
        <w:rPr>
          <w:rFonts w:hint="eastAsia" w:ascii="仿宋" w:hAnsi="仿宋" w:eastAsia="仿宋" w:cs="仿宋"/>
          <w:sz w:val="24"/>
          <w:szCs w:val="24"/>
          <w:lang w:eastAsia="zh-CN"/>
        </w:rPr>
        <w:t>（招标人可直接在结算款项中扣除）</w:t>
      </w:r>
      <w:r>
        <w:rPr>
          <w:rFonts w:hint="eastAsia" w:ascii="仿宋" w:hAnsi="仿宋" w:eastAsia="仿宋" w:cs="仿宋"/>
          <w:color w:val="000000"/>
          <w:sz w:val="24"/>
          <w:szCs w:val="24"/>
        </w:rPr>
        <w:t>，若解除合同造成招标人实际损失超过违约金的，中标人还需赔偿招标人实际损失，且履约保证金不予返还。</w:t>
      </w:r>
    </w:p>
    <w:p w14:paraId="4DC0E2B5">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11.2.5</w:t>
      </w:r>
      <w:r>
        <w:rPr>
          <w:rFonts w:hint="eastAsia" w:ascii="仿宋" w:hAnsi="仿宋" w:eastAsia="仿宋" w:cs="仿宋"/>
          <w:b/>
          <w:bCs/>
          <w:color w:val="auto"/>
          <w:sz w:val="24"/>
          <w:szCs w:val="24"/>
          <w:lang w:val="zh-CN"/>
        </w:rPr>
        <w:t>中标人应自主服务，不得再将项目委托或转包给其他公司。一经发现，招标人有权</w:t>
      </w:r>
      <w:r>
        <w:rPr>
          <w:rFonts w:hint="eastAsia" w:ascii="仿宋" w:hAnsi="仿宋" w:eastAsia="仿宋" w:cs="仿宋"/>
          <w:b/>
          <w:bCs/>
          <w:color w:val="auto"/>
          <w:sz w:val="24"/>
          <w:szCs w:val="24"/>
        </w:rPr>
        <w:t>扣除中标人</w:t>
      </w:r>
      <w:r>
        <w:rPr>
          <w:rFonts w:hint="eastAsia" w:ascii="仿宋" w:hAnsi="仿宋" w:eastAsia="仿宋" w:cs="仿宋"/>
          <w:b/>
          <w:bCs/>
          <w:color w:val="auto"/>
          <w:sz w:val="24"/>
          <w:szCs w:val="24"/>
          <w:lang w:val="en-US" w:eastAsia="zh-CN"/>
        </w:rPr>
        <w:t>全额</w:t>
      </w:r>
      <w:r>
        <w:rPr>
          <w:rFonts w:hint="eastAsia" w:ascii="仿宋" w:hAnsi="仿宋" w:eastAsia="仿宋" w:cs="仿宋"/>
          <w:b/>
          <w:bCs/>
          <w:color w:val="auto"/>
          <w:sz w:val="24"/>
          <w:szCs w:val="24"/>
        </w:rPr>
        <w:t>履约保证金，还须赔偿招标人由此造成的全部损失，同时招标人有权单方面解除合同</w:t>
      </w:r>
      <w:r>
        <w:rPr>
          <w:rFonts w:hint="eastAsia" w:ascii="仿宋" w:hAnsi="仿宋" w:eastAsia="仿宋" w:cs="仿宋"/>
          <w:b/>
          <w:bCs/>
          <w:color w:val="auto"/>
          <w:sz w:val="24"/>
          <w:szCs w:val="24"/>
          <w:lang w:eastAsia="zh-CN"/>
        </w:rPr>
        <w:t>。</w:t>
      </w:r>
    </w:p>
    <w:p w14:paraId="34466909">
      <w:pPr>
        <w:keepNext w:val="0"/>
        <w:keepLines w:val="0"/>
        <w:pageBreakBefore w:val="0"/>
        <w:widowControl w:val="0"/>
        <w:kinsoku/>
        <w:wordWrap/>
        <w:overflowPunct/>
        <w:topLinePunct w:val="0"/>
        <w:bidi w:val="0"/>
        <w:snapToGrid/>
        <w:spacing w:line="560" w:lineRule="exact"/>
        <w:ind w:right="26"/>
        <w:jc w:val="left"/>
        <w:textAlignment w:val="auto"/>
        <w:rPr>
          <w:rFonts w:hint="eastAsia" w:ascii="仿宋" w:hAnsi="仿宋" w:eastAsia="仿宋" w:cs="仿宋"/>
          <w:b/>
          <w:sz w:val="24"/>
          <w:szCs w:val="24"/>
        </w:rPr>
      </w:pPr>
      <w:r>
        <w:rPr>
          <w:rFonts w:hint="eastAsia" w:ascii="仿宋" w:hAnsi="仿宋" w:eastAsia="仿宋" w:cs="仿宋"/>
          <w:b/>
          <w:sz w:val="24"/>
          <w:szCs w:val="24"/>
        </w:rPr>
        <w:t>12.不可抗力</w:t>
      </w:r>
    </w:p>
    <w:p w14:paraId="7448538A">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24"/>
          <w:szCs w:val="24"/>
        </w:rPr>
      </w:pPr>
      <w:r>
        <w:rPr>
          <w:rFonts w:hint="eastAsia" w:ascii="仿宋" w:hAnsi="仿宋" w:eastAsia="仿宋" w:cs="仿宋"/>
          <w:bCs/>
          <w:sz w:val="24"/>
          <w:szCs w:val="24"/>
        </w:rPr>
        <w:t>12.1 “不可抗力”指在本合同签署后发生的、本合同签署和履行时不能</w:t>
      </w:r>
      <w:r>
        <w:rPr>
          <w:rFonts w:hint="eastAsia" w:ascii="仿宋" w:hAnsi="仿宋" w:eastAsia="仿宋" w:cs="仿宋"/>
          <w:sz w:val="24"/>
          <w:szCs w:val="24"/>
        </w:rPr>
        <w:t>预见的、其发生与后果是无法合理避免或克服的、合理妨碍任何一方全部或部分履约的所有事件。为避免疑义，不可抗力应包括（但不限于）下述行为、事件和情况：</w:t>
      </w:r>
    </w:p>
    <w:p w14:paraId="39C79367">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24"/>
          <w:szCs w:val="24"/>
        </w:rPr>
      </w:pPr>
      <w:r>
        <w:rPr>
          <w:rFonts w:hint="eastAsia" w:ascii="仿宋" w:hAnsi="仿宋" w:eastAsia="仿宋" w:cs="仿宋"/>
          <w:bCs/>
          <w:sz w:val="24"/>
          <w:szCs w:val="24"/>
        </w:rPr>
        <w:t>12.1.1</w:t>
      </w:r>
      <w:r>
        <w:rPr>
          <w:rFonts w:hint="eastAsia" w:ascii="仿宋" w:hAnsi="仿宋" w:eastAsia="仿宋" w:cs="仿宋"/>
          <w:sz w:val="24"/>
          <w:szCs w:val="24"/>
        </w:rPr>
        <w:t>火灾、水灾、干旱、爆炸、闪电、风暴、暴雨、飓风、旋风、台风、龙卷风、地震、地陷、土蚀、地面下沉、道路冲塌、疫情或其他天灾；</w:t>
      </w:r>
    </w:p>
    <w:p w14:paraId="670A8D5C">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12.1.2 战争（无论是否宣战）、骚乱、内战、封锁、叛乱、公敌行动、入侵、禁运、革命、破坏或恐怖行动的严重威胁；</w:t>
      </w:r>
    </w:p>
    <w:p w14:paraId="6B3E8604">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12.1.3 </w:t>
      </w:r>
      <w:r>
        <w:rPr>
          <w:rFonts w:hint="eastAsia" w:ascii="仿宋" w:hAnsi="仿宋" w:eastAsia="仿宋" w:cs="仿宋"/>
          <w:color w:val="000000"/>
          <w:sz w:val="24"/>
          <w:szCs w:val="24"/>
        </w:rPr>
        <w:t>全国性罢工、闭厂或全国性劳资纠纷（</w:t>
      </w:r>
      <w:r>
        <w:rPr>
          <w:rFonts w:hint="eastAsia" w:ascii="仿宋" w:hAnsi="仿宋" w:eastAsia="仿宋" w:cs="仿宋"/>
          <w:sz w:val="24"/>
          <w:szCs w:val="24"/>
        </w:rPr>
        <w:t>提出不可抗力一方单独发生的罢工、闭厂或其他劳资纠纷除外）；</w:t>
      </w:r>
    </w:p>
    <w:p w14:paraId="079D8C79">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12.1.4 化学或放射性污染或电离放射；</w:t>
      </w:r>
    </w:p>
    <w:p w14:paraId="49764587">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12.1.5 上游停产或规模性减产、政府行政性交通管制；</w:t>
      </w:r>
    </w:p>
    <w:p w14:paraId="444AC4B2">
      <w:pPr>
        <w:keepNext w:val="0"/>
        <w:keepLines w:val="0"/>
        <w:pageBreakBefore w:val="0"/>
        <w:kinsoku/>
        <w:wordWrap/>
        <w:overflowPunct/>
        <w:topLinePunct w:val="0"/>
        <w:bidi w:val="0"/>
        <w:spacing w:line="56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12.1.6 征用、国有化、强制收购、没收或</w:t>
      </w:r>
      <w:r>
        <w:rPr>
          <w:rFonts w:hint="eastAsia" w:ascii="仿宋" w:hAnsi="仿宋" w:eastAsia="仿宋" w:cs="仿宋"/>
          <w:sz w:val="24"/>
          <w:szCs w:val="24"/>
          <w:lang w:eastAsia="zh-CN"/>
        </w:rPr>
        <w:t>任何其他</w:t>
      </w:r>
      <w:r>
        <w:rPr>
          <w:rFonts w:hint="eastAsia" w:ascii="仿宋" w:hAnsi="仿宋" w:eastAsia="仿宋" w:cs="仿宋"/>
          <w:sz w:val="24"/>
          <w:szCs w:val="24"/>
        </w:rPr>
        <w:t>行动，包括由在其法定权力范围内</w:t>
      </w:r>
      <w:r>
        <w:rPr>
          <w:rFonts w:hint="eastAsia" w:ascii="仿宋" w:hAnsi="仿宋" w:eastAsia="仿宋" w:cs="仿宋"/>
          <w:sz w:val="24"/>
          <w:szCs w:val="24"/>
          <w:lang w:eastAsia="zh-CN"/>
        </w:rPr>
        <w:t>行使</w:t>
      </w:r>
      <w:r>
        <w:rPr>
          <w:rFonts w:hint="eastAsia" w:ascii="仿宋" w:hAnsi="仿宋" w:eastAsia="仿宋" w:cs="仿宋"/>
          <w:sz w:val="24"/>
          <w:szCs w:val="24"/>
        </w:rPr>
        <w:t>的任何中国中央和省、直辖市、自治区政</w:t>
      </w:r>
      <w:r>
        <w:rPr>
          <w:rFonts w:hint="eastAsia" w:ascii="仿宋" w:hAnsi="仿宋" w:eastAsia="仿宋" w:cs="仿宋"/>
          <w:bCs/>
          <w:sz w:val="24"/>
          <w:szCs w:val="24"/>
        </w:rPr>
        <w:t>府、其任何部门或任何中国立法机关，通过颁布或实施命令、指令、裁定、</w:t>
      </w:r>
      <w:r>
        <w:rPr>
          <w:rFonts w:hint="eastAsia" w:ascii="仿宋" w:hAnsi="仿宋" w:eastAsia="仿宋" w:cs="仿宋"/>
          <w:bCs/>
          <w:sz w:val="24"/>
          <w:szCs w:val="24"/>
          <w:lang w:eastAsia="zh-CN"/>
        </w:rPr>
        <w:t>法律法规</w:t>
      </w:r>
      <w:r>
        <w:rPr>
          <w:rFonts w:hint="eastAsia" w:ascii="仿宋" w:hAnsi="仿宋" w:eastAsia="仿宋" w:cs="仿宋"/>
          <w:bCs/>
          <w:sz w:val="24"/>
          <w:szCs w:val="24"/>
        </w:rPr>
        <w:t>或政策而进行的征用、国有化、强制收购、没收或</w:t>
      </w:r>
      <w:r>
        <w:rPr>
          <w:rFonts w:hint="eastAsia" w:ascii="仿宋" w:hAnsi="仿宋" w:eastAsia="仿宋" w:cs="仿宋"/>
          <w:bCs/>
          <w:sz w:val="24"/>
          <w:szCs w:val="24"/>
          <w:lang w:eastAsia="zh-CN"/>
        </w:rPr>
        <w:t>任何其他</w:t>
      </w:r>
      <w:r>
        <w:rPr>
          <w:rFonts w:hint="eastAsia" w:ascii="仿宋" w:hAnsi="仿宋" w:eastAsia="仿宋" w:cs="仿宋"/>
          <w:bCs/>
          <w:sz w:val="24"/>
          <w:szCs w:val="24"/>
        </w:rPr>
        <w:t>行动。</w:t>
      </w:r>
    </w:p>
    <w:p w14:paraId="34E0D88B">
      <w:pPr>
        <w:keepNext w:val="0"/>
        <w:keepLines w:val="0"/>
        <w:pageBreakBefore w:val="0"/>
        <w:kinsoku/>
        <w:wordWrap/>
        <w:overflowPunct/>
        <w:topLinePunct w:val="0"/>
        <w:bidi w:val="0"/>
        <w:spacing w:line="5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12.2 如果发生不可抗力事件，影响任何一方履行其于本合同项下的义务，则该等义务应在不可抗力事件影响的范围内和不可抗力事件造成的延误期内暂时中止履行，而不视为违约。</w:t>
      </w:r>
    </w:p>
    <w:p w14:paraId="2BD7EDA4">
      <w:pPr>
        <w:keepNext w:val="0"/>
        <w:keepLines w:val="0"/>
        <w:pageBreakBefore w:val="0"/>
        <w:kinsoku/>
        <w:wordWrap/>
        <w:overflowPunct/>
        <w:topLinePunct w:val="0"/>
        <w:bidi w:val="0"/>
        <w:spacing w:line="5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12.3 遇有上述不可抗力的一方应立即通知另一方，并在5个工作日内提供不可抗力事件发生地公证机关或有权机关出具的不可抗力详情及合同不能履行、或者部分不能履行、或者需要延期履行理由的有效证明。</w:t>
      </w:r>
    </w:p>
    <w:p w14:paraId="197B31E9">
      <w:pPr>
        <w:keepNext w:val="0"/>
        <w:keepLines w:val="0"/>
        <w:pageBreakBefore w:val="0"/>
        <w:kinsoku/>
        <w:wordWrap/>
        <w:overflowPunct/>
        <w:topLinePunct w:val="0"/>
        <w:bidi w:val="0"/>
        <w:spacing w:line="5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12.4 如果发生不可抗力事件，双方应按不可抗力事件对合同履行的影响程度，协商确定部分或全部延期履行合同或者部分或全部终止履行合同，并相应地免除受不可抗力事件影响一方在该期间不能履行或不能全部履行或延迟履行合同的责任，但受影响一方应尽一切合理努力将不可抗力事件的影响减少到最低限度。</w:t>
      </w:r>
    </w:p>
    <w:p w14:paraId="256CA40F">
      <w:pPr>
        <w:keepNext w:val="0"/>
        <w:keepLines w:val="0"/>
        <w:pageBreakBefore w:val="0"/>
        <w:kinsoku/>
        <w:wordWrap/>
        <w:overflowPunct/>
        <w:topLinePunct w:val="0"/>
        <w:bidi w:val="0"/>
        <w:spacing w:line="5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12.5 一旦不可抗力事件的影响解除，遇有不可抗力事件影响的一方应立即恢复履行其于本合同项下的义务。</w:t>
      </w:r>
    </w:p>
    <w:p w14:paraId="18F3A3FB">
      <w:pPr>
        <w:keepNext w:val="0"/>
        <w:keepLines w:val="0"/>
        <w:pageBreakBefore w:val="0"/>
        <w:kinsoku/>
        <w:wordWrap/>
        <w:overflowPunct/>
        <w:topLinePunct w:val="0"/>
        <w:bidi w:val="0"/>
        <w:spacing w:line="5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12.6 对于未按期履行其合同义务的任何一方，在逾期履行的时间内发生不可抗力事件，致使合同不能履行、或者部分不能履行，或者需要延期履行，其违约责任不能免除。</w:t>
      </w:r>
    </w:p>
    <w:p w14:paraId="664F2756">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13.保 密</w:t>
      </w:r>
    </w:p>
    <w:p w14:paraId="7E0BA655">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13.1 本合同自生效之日起，本合同的任何条款及相关信息均应依照本条的约定予以保密。未经双方事先书面同意，任何一方不得在该期限内将本合同的条款全部或部分透露给第三方。否则视为违约，守约方有权终止合同，并由违约方承担因此给守约方造成的一切经济损失。</w:t>
      </w:r>
    </w:p>
    <w:p w14:paraId="720AA390">
      <w:pPr>
        <w:keepNext w:val="0"/>
        <w:keepLines w:val="0"/>
        <w:pageBreakBefore w:val="0"/>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13.2 双方中的任何一方将全部或部分合同信息透露给以下人员或机构，无须经过另一方同意。即提供给该方主管、董事、雇员、关联机构，但该方应要求上述人员保密；提供给对方具有管辖权的政府部门或机构、或答复司法传讯等法律程序。</w:t>
      </w:r>
    </w:p>
    <w:p w14:paraId="0D849AF3">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color w:val="000000"/>
          <w:sz w:val="24"/>
          <w:szCs w:val="24"/>
        </w:rPr>
      </w:pPr>
      <w:r>
        <w:rPr>
          <w:rFonts w:hint="eastAsia" w:ascii="仿宋" w:hAnsi="仿宋" w:eastAsia="仿宋" w:cs="仿宋"/>
          <w:b/>
          <w:sz w:val="24"/>
          <w:szCs w:val="24"/>
        </w:rPr>
        <w:t>14.</w:t>
      </w:r>
      <w:r>
        <w:rPr>
          <w:rFonts w:hint="eastAsia" w:ascii="仿宋" w:hAnsi="仿宋" w:eastAsia="仿宋" w:cs="仿宋"/>
          <w:b/>
          <w:color w:val="000000"/>
          <w:sz w:val="24"/>
          <w:szCs w:val="24"/>
        </w:rPr>
        <w:t>送达条款</w:t>
      </w:r>
    </w:p>
    <w:p w14:paraId="55E7D33B">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为本合同之目的，通知发出后在下述日期时视为送达：</w:t>
      </w:r>
    </w:p>
    <w:p w14:paraId="7E60CA1E">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（1）以传真方式发出的，传真上载明的发出时间；</w:t>
      </w:r>
    </w:p>
    <w:p w14:paraId="38BF6FEB">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（2）以电子邮件发出的，邮件到达受送达人特定系统的时间；</w:t>
      </w:r>
    </w:p>
    <w:p w14:paraId="21E2F5B2">
      <w:pPr>
        <w:keepNext w:val="0"/>
        <w:keepLines w:val="0"/>
        <w:pageBreakBefore w:val="0"/>
        <w:kinsoku/>
        <w:wordWrap/>
        <w:overflowPunct/>
        <w:topLinePunct w:val="0"/>
        <w:bidi w:val="0"/>
        <w:spacing w:line="5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（3）本合同载明的地址即为双方寄送文件的法定地址（包括法律文书），因拒收或无法送达而退回的，以邮局第一个邮戳所记载的日期视为送达日期。</w:t>
      </w:r>
    </w:p>
    <w:p w14:paraId="758FBC02">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rPr>
        <w:t>任何一方变更以上送达方式的，应于变更后</w:t>
      </w:r>
      <w:r>
        <w:rPr>
          <w:rFonts w:hint="eastAsia" w:ascii="仿宋" w:hAnsi="仿宋" w:eastAsia="仿宋" w:cs="仿宋"/>
          <w:b/>
          <w:bCs/>
          <w:color w:val="000000"/>
          <w:sz w:val="24"/>
          <w:szCs w:val="24"/>
        </w:rPr>
        <w:t>2</w:t>
      </w:r>
      <w:r>
        <w:rPr>
          <w:rFonts w:hint="eastAsia" w:ascii="仿宋" w:hAnsi="仿宋" w:eastAsia="仿宋" w:cs="仿宋"/>
          <w:color w:val="000000"/>
          <w:sz w:val="24"/>
          <w:szCs w:val="24"/>
        </w:rPr>
        <w:t>日内书面告知另一方，否则由此导致的一切不利后果自行承担。</w:t>
      </w:r>
    </w:p>
    <w:p w14:paraId="637BAEFD">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15.争议解决</w:t>
      </w:r>
    </w:p>
    <w:p w14:paraId="17E3565B">
      <w:pPr>
        <w:keepNext w:val="0"/>
        <w:keepLines w:val="0"/>
        <w:pageBreakBefore w:val="0"/>
        <w:kinsoku/>
        <w:wordWrap/>
        <w:overflowPunct/>
        <w:topLinePunct w:val="0"/>
        <w:bidi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双方在履行合同发生争议或纠纷时，应友好协商解决，若协商不成，双方同意合同争议的最终解决方式为下列第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种方式。</w:t>
      </w:r>
    </w:p>
    <w:p w14:paraId="503CF6B4">
      <w:pPr>
        <w:keepNext w:val="0"/>
        <w:keepLines w:val="0"/>
        <w:pageBreakBefore w:val="0"/>
        <w:kinsoku/>
        <w:wordWrap/>
        <w:overflowPunct/>
        <w:topLinePunct w:val="0"/>
        <w:bidi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（1）提请绍兴仲裁委员会仲裁。</w:t>
      </w:r>
    </w:p>
    <w:p w14:paraId="758841E3">
      <w:pPr>
        <w:keepNext w:val="0"/>
        <w:keepLines w:val="0"/>
        <w:pageBreakBefore w:val="0"/>
        <w:kinsoku/>
        <w:wordWrap/>
        <w:overflowPunct/>
        <w:topLinePunct w:val="0"/>
        <w:bidi w:val="0"/>
        <w:spacing w:line="560" w:lineRule="exact"/>
        <w:textAlignment w:val="auto"/>
        <w:rPr>
          <w:rFonts w:hint="eastAsia" w:ascii="仿宋" w:hAnsi="仿宋" w:eastAsia="仿宋" w:cs="仿宋"/>
          <w:color w:val="008000"/>
          <w:sz w:val="24"/>
          <w:szCs w:val="24"/>
        </w:rPr>
      </w:pPr>
      <w:r>
        <w:rPr>
          <w:rFonts w:hint="eastAsia" w:ascii="仿宋" w:hAnsi="仿宋" w:eastAsia="仿宋" w:cs="仿宋"/>
          <w:sz w:val="24"/>
          <w:szCs w:val="24"/>
        </w:rPr>
        <w:t>（2）向</w:t>
      </w:r>
      <w:r>
        <w:rPr>
          <w:rFonts w:hint="eastAsia" w:ascii="仿宋" w:hAnsi="仿宋" w:eastAsia="仿宋" w:cs="仿宋"/>
          <w:b/>
          <w:bCs/>
          <w:sz w:val="24"/>
          <w:szCs w:val="24"/>
        </w:rPr>
        <w:t>招标人所在地</w:t>
      </w:r>
      <w:r>
        <w:rPr>
          <w:rFonts w:hint="eastAsia" w:ascii="仿宋" w:hAnsi="仿宋" w:eastAsia="仿宋" w:cs="仿宋"/>
          <w:sz w:val="24"/>
          <w:szCs w:val="24"/>
        </w:rPr>
        <w:t>人民法院提起诉讼。</w:t>
      </w:r>
    </w:p>
    <w:p w14:paraId="6369B3BE">
      <w:pPr>
        <w:keepNext w:val="0"/>
        <w:keepLines w:val="0"/>
        <w:pageBreakBefore w:val="0"/>
        <w:kinsoku/>
        <w:wordWrap/>
        <w:overflowPunct/>
        <w:topLinePunct w:val="0"/>
        <w:bidi w:val="0"/>
        <w:spacing w:line="560" w:lineRule="exact"/>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16.其 他</w:t>
      </w:r>
    </w:p>
    <w:p w14:paraId="69438935">
      <w:pPr>
        <w:keepNext w:val="0"/>
        <w:keepLines w:val="0"/>
        <w:pageBreakBefore w:val="0"/>
        <w:tabs>
          <w:tab w:val="left" w:pos="540"/>
          <w:tab w:val="left" w:pos="720"/>
          <w:tab w:val="left" w:pos="900"/>
        </w:tabs>
        <w:kinsoku/>
        <w:wordWrap/>
        <w:overflowPunct/>
        <w:topLinePunct w:val="0"/>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16.1 本合同未尽事宜，经双方协商一致可以签订补充条款或补充协议，与本合同具有同等法律效力。</w:t>
      </w:r>
    </w:p>
    <w:p w14:paraId="20D98BD3">
      <w:pPr>
        <w:keepNext w:val="0"/>
        <w:keepLines w:val="0"/>
        <w:pageBreakBefore w:val="0"/>
        <w:tabs>
          <w:tab w:val="left" w:pos="540"/>
          <w:tab w:val="left" w:pos="720"/>
          <w:tab w:val="left" w:pos="900"/>
        </w:tabs>
        <w:kinsoku/>
        <w:wordWrap/>
        <w:overflowPunct/>
        <w:topLinePunct w:val="0"/>
        <w:bidi w:val="0"/>
        <w:spacing w:line="560" w:lineRule="exact"/>
        <w:jc w:val="left"/>
        <w:textAlignment w:val="auto"/>
        <w:rPr>
          <w:rFonts w:hint="eastAsia" w:ascii="仿宋" w:hAnsi="仿宋" w:eastAsia="仿宋" w:cs="仿宋"/>
          <w:color w:val="FF0000"/>
          <w:sz w:val="24"/>
          <w:szCs w:val="24"/>
        </w:rPr>
      </w:pPr>
      <w:r>
        <w:rPr>
          <w:rFonts w:hint="eastAsia" w:ascii="仿宋" w:hAnsi="仿宋" w:eastAsia="仿宋" w:cs="仿宋"/>
          <w:sz w:val="24"/>
          <w:szCs w:val="24"/>
        </w:rPr>
        <w:t>16.2 如因价格调整及其他原因双方不能达成一致意见，</w:t>
      </w:r>
      <w:r>
        <w:rPr>
          <w:rFonts w:hint="eastAsia" w:ascii="仿宋" w:hAnsi="仿宋" w:eastAsia="仿宋" w:cs="仿宋"/>
          <w:color w:val="000000"/>
          <w:sz w:val="24"/>
          <w:szCs w:val="24"/>
        </w:rPr>
        <w:t>导致合同无法继续履行的，双方结清余款并达成书面终止意见。</w:t>
      </w:r>
    </w:p>
    <w:p w14:paraId="254A87F7">
      <w:pPr>
        <w:keepNext w:val="0"/>
        <w:keepLines w:val="0"/>
        <w:pageBreakBefore w:val="0"/>
        <w:kinsoku/>
        <w:wordWrap/>
        <w:overflowPunct/>
        <w:topLinePunct w:val="0"/>
        <w:bidi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3</w:t>
      </w:r>
      <w:r>
        <w:rPr>
          <w:rFonts w:hint="eastAsia" w:ascii="仿宋" w:hAnsi="仿宋" w:eastAsia="仿宋" w:cs="仿宋"/>
          <w:sz w:val="24"/>
          <w:szCs w:val="24"/>
        </w:rPr>
        <w:t>双方于文首载明日期及地点签署本合同，本合同一式陆份，招标人执肆份，中标人执贰份，均具同等效力，由双方签</w:t>
      </w:r>
      <w:r>
        <w:rPr>
          <w:rFonts w:hint="eastAsia" w:ascii="仿宋" w:hAnsi="仿宋" w:eastAsia="仿宋" w:cs="仿宋"/>
          <w:color w:val="000000"/>
          <w:sz w:val="24"/>
          <w:szCs w:val="24"/>
        </w:rPr>
        <w:t>字</w:t>
      </w:r>
      <w:r>
        <w:rPr>
          <w:rFonts w:hint="eastAsia" w:ascii="仿宋" w:hAnsi="仿宋" w:eastAsia="仿宋" w:cs="仿宋"/>
          <w:sz w:val="24"/>
          <w:szCs w:val="24"/>
        </w:rPr>
        <w:t>盖章之日起生效。</w:t>
      </w:r>
    </w:p>
    <w:p w14:paraId="0558B6BC">
      <w:pPr>
        <w:pStyle w:val="58"/>
        <w:keepNext w:val="0"/>
        <w:keepLines w:val="0"/>
        <w:pageBreakBefore w:val="0"/>
        <w:shd w:val="clear" w:color="auto" w:fill="auto"/>
        <w:kinsoku/>
        <w:wordWrap/>
        <w:overflowPunct/>
        <w:topLinePunct w:val="0"/>
        <w:bidi w:val="0"/>
        <w:spacing w:before="0" w:beforeAutospacing="0" w:after="0" w:afterAutospacing="0" w:line="500" w:lineRule="exact"/>
        <w:jc w:val="both"/>
        <w:textAlignment w:val="auto"/>
        <w:rPr>
          <w:rFonts w:hint="eastAsia" w:ascii="仿宋" w:hAnsi="仿宋" w:eastAsia="仿宋" w:cs="仿宋"/>
          <w:b/>
          <w:bCs/>
          <w:color w:val="auto"/>
          <w:sz w:val="24"/>
          <w:szCs w:val="24"/>
          <w:shd w:val="clear" w:color="auto" w:fill="FFFFFF"/>
        </w:rPr>
      </w:pPr>
    </w:p>
    <w:p w14:paraId="51D68053">
      <w:pPr>
        <w:pStyle w:val="58"/>
        <w:shd w:val="clear" w:color="auto" w:fill="FFFFFF"/>
        <w:spacing w:before="0" w:beforeAutospacing="0" w:after="0" w:afterAutospacing="0" w:line="520" w:lineRule="exact"/>
        <w:jc w:val="both"/>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4"/>
          <w:szCs w:val="24"/>
          <w:shd w:val="clear" w:color="auto" w:fill="FFFFFF"/>
        </w:rPr>
        <w:br w:type="page"/>
      </w:r>
      <w:r>
        <w:rPr>
          <w:rFonts w:hint="eastAsia" w:ascii="仿宋" w:hAnsi="仿宋" w:eastAsia="仿宋" w:cs="仿宋"/>
          <w:b/>
          <w:bCs/>
          <w:color w:val="auto"/>
          <w:sz w:val="28"/>
          <w:szCs w:val="28"/>
          <w:shd w:val="clear" w:color="auto" w:fill="FFFFFF"/>
        </w:rPr>
        <w:t>附件一：</w:t>
      </w:r>
    </w:p>
    <w:p w14:paraId="52C04751">
      <w:pPr>
        <w:pStyle w:val="58"/>
        <w:shd w:val="clear" w:color="auto" w:fill="FFFFFF"/>
        <w:spacing w:before="0" w:beforeAutospacing="0" w:after="0" w:afterAutospacing="0" w:line="52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危险化学品安全协议书</w:t>
      </w:r>
    </w:p>
    <w:p w14:paraId="34B51041">
      <w:pPr>
        <w:pStyle w:val="58"/>
        <w:shd w:val="clear" w:color="auto" w:fill="FFFFFF"/>
        <w:spacing w:before="0" w:beforeAutospacing="0" w:after="0" w:afterAutospacing="0" w:line="520" w:lineRule="exact"/>
        <w:ind w:firstLine="560" w:firstLineChars="200"/>
        <w:rPr>
          <w:rFonts w:hint="eastAsia" w:ascii="仿宋" w:hAnsi="仿宋" w:eastAsia="仿宋" w:cs="仿宋"/>
          <w:color w:val="auto"/>
          <w:sz w:val="28"/>
          <w:szCs w:val="28"/>
          <w:shd w:val="clear" w:color="auto" w:fill="FFFFFF"/>
        </w:rPr>
      </w:pPr>
    </w:p>
    <w:p w14:paraId="4029AC04">
      <w:pPr>
        <w:spacing w:line="44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rPr>
        <w:t>甲方（招标人）：</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eastAsia="zh-CN"/>
        </w:rPr>
        <w:t>绍兴天然气投资有限公司</w:t>
      </w:r>
      <w:r>
        <w:rPr>
          <w:rFonts w:hint="eastAsia" w:ascii="仿宋" w:hAnsi="仿宋" w:eastAsia="仿宋" w:cs="仿宋"/>
          <w:sz w:val="22"/>
          <w:szCs w:val="22"/>
          <w:u w:val="single"/>
        </w:rPr>
        <w:t xml:space="preserve">  </w:t>
      </w:r>
    </w:p>
    <w:p w14:paraId="05857029">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乙方（中标人）：</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eastAsia="zh-CN"/>
        </w:rPr>
        <w:t>　</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640829E9">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为贯彻“安全第一、预防为主、综合治理”的安全生产方针，明确甲、乙双方安全责任，确保进、出甲方厂区或在厂区内异地搬运、车载危险化学品等物资的作业人员的安全与健康，依据国家相关法律法规和甲方的有关规定，并结合实际工作情况，经双方友好协商，达成如下协议：</w:t>
      </w:r>
    </w:p>
    <w:p w14:paraId="1DA60B0F">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一、乙方在运输危险化学品时，必须遵守国务院令《危险化学品安全管理条例》</w:t>
      </w:r>
      <w:r>
        <w:rPr>
          <w:rFonts w:hint="eastAsia" w:ascii="仿宋" w:hAnsi="仿宋" w:eastAsia="仿宋" w:cs="仿宋"/>
          <w:color w:val="auto"/>
          <w:sz w:val="22"/>
          <w:szCs w:val="22"/>
          <w:shd w:val="clear" w:color="auto" w:fill="FFFFFF"/>
          <w:lang w:eastAsia="zh-CN"/>
        </w:rPr>
        <w:t>、</w:t>
      </w:r>
      <w:r>
        <w:rPr>
          <w:rFonts w:hint="eastAsia" w:ascii="仿宋" w:hAnsi="仿宋" w:eastAsia="仿宋" w:cs="仿宋"/>
          <w:color w:val="auto"/>
          <w:sz w:val="22"/>
          <w:szCs w:val="22"/>
          <w:shd w:val="clear" w:color="auto" w:fill="FFFFFF"/>
        </w:rPr>
        <w:t>《危险货物道路运输安全管理办法》和国家有关安全生产的法律、其他行政法规的规定。必须做好《危险货物道路运输安全管理办法》中规定的LNG装载前“五必查”内容，并为此承担相关的责任。</w:t>
      </w:r>
    </w:p>
    <w:p w14:paraId="3F98B1F1">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二、乙方必须有合法有效的危险化学品运输资质，乙方的车辆及从业人员必须具备相应的合法有效资质。</w:t>
      </w:r>
    </w:p>
    <w:p w14:paraId="045F00CC">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shd w:val="clear" w:color="auto" w:fill="FFFFFF"/>
        </w:rPr>
        <w:t>三、乙方应对装有易燃、易爆危险化学品应分开运输，严禁载人和装载其他物品，严禁烟火，运输车辆应贴有</w:t>
      </w:r>
      <w:r>
        <w:rPr>
          <w:rStyle w:val="76"/>
          <w:rFonts w:hint="eastAsia" w:ascii="仿宋" w:hAnsi="仿宋" w:eastAsia="仿宋" w:cs="仿宋"/>
          <w:color w:val="auto"/>
          <w:sz w:val="22"/>
          <w:szCs w:val="22"/>
          <w:highlight w:val="none"/>
          <w:u w:val="none"/>
          <w:shd w:val="clear" w:color="auto" w:fill="FFFFFF"/>
        </w:rPr>
        <w:t>危化品</w:t>
      </w:r>
      <w:r>
        <w:rPr>
          <w:rFonts w:hint="eastAsia" w:ascii="仿宋" w:hAnsi="仿宋" w:eastAsia="仿宋" w:cs="仿宋"/>
          <w:color w:val="auto"/>
          <w:sz w:val="22"/>
          <w:szCs w:val="22"/>
          <w:highlight w:val="none"/>
          <w:shd w:val="clear" w:color="auto" w:fill="FFFFFF"/>
        </w:rPr>
        <w:t>安全告示。</w:t>
      </w:r>
    </w:p>
    <w:p w14:paraId="6F7100AD">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四、乙方负责危险化学品的销售运输安全，直至乙方将</w:t>
      </w:r>
      <w:r>
        <w:rPr>
          <w:rFonts w:hint="eastAsia" w:ascii="仿宋" w:hAnsi="仿宋" w:eastAsia="仿宋" w:cs="仿宋"/>
          <w:color w:val="auto"/>
          <w:sz w:val="22"/>
          <w:szCs w:val="22"/>
          <w:shd w:val="clear" w:color="auto" w:fill="FFFFFF"/>
          <w:lang w:eastAsia="zh-CN"/>
        </w:rPr>
        <w:t>危</w:t>
      </w:r>
      <w:r>
        <w:rPr>
          <w:rFonts w:hint="eastAsia" w:ascii="仿宋" w:hAnsi="仿宋" w:eastAsia="仿宋" w:cs="仿宋"/>
          <w:color w:val="auto"/>
          <w:sz w:val="22"/>
          <w:szCs w:val="22"/>
          <w:shd w:val="clear" w:color="auto" w:fill="FFFFFF"/>
        </w:rPr>
        <w:t>化品运至甲方指定位置，并妥善入库</w:t>
      </w:r>
      <w:r>
        <w:rPr>
          <w:rFonts w:hint="eastAsia" w:ascii="仿宋" w:hAnsi="仿宋" w:eastAsia="仿宋" w:cs="仿宋"/>
          <w:color w:val="auto"/>
          <w:sz w:val="22"/>
          <w:szCs w:val="22"/>
          <w:shd w:val="clear" w:color="auto" w:fill="FFFFFF"/>
        </w:rPr>
        <w:fldChar w:fldCharType="begin"/>
      </w:r>
      <w:r>
        <w:rPr>
          <w:rFonts w:hint="eastAsia" w:ascii="仿宋" w:hAnsi="仿宋" w:eastAsia="仿宋" w:cs="仿宋"/>
          <w:color w:val="auto"/>
          <w:sz w:val="22"/>
          <w:szCs w:val="22"/>
          <w:shd w:val="clear" w:color="auto" w:fill="FFFFFF"/>
        </w:rPr>
        <w:instrText xml:space="preserve"> HYPERLINK "http://www.gkstk.com/article/wk-47897880029165.html" \l "gkstk3" </w:instrText>
      </w:r>
      <w:r>
        <w:rPr>
          <w:rFonts w:hint="eastAsia" w:ascii="仿宋" w:hAnsi="仿宋" w:eastAsia="仿宋" w:cs="仿宋"/>
          <w:color w:val="auto"/>
          <w:sz w:val="22"/>
          <w:szCs w:val="22"/>
          <w:shd w:val="clear" w:color="auto" w:fill="FFFFFF"/>
        </w:rPr>
        <w:fldChar w:fldCharType="separate"/>
      </w:r>
      <w:r>
        <w:rPr>
          <w:rStyle w:val="76"/>
          <w:rFonts w:hint="eastAsia" w:ascii="仿宋" w:hAnsi="仿宋" w:eastAsia="仿宋" w:cs="仿宋"/>
          <w:color w:val="auto"/>
          <w:sz w:val="22"/>
          <w:szCs w:val="22"/>
          <w:u w:val="none"/>
          <w:shd w:val="clear" w:color="auto" w:fill="FFFFFF"/>
        </w:rPr>
        <w:t>危化品</w:t>
      </w:r>
      <w:r>
        <w:rPr>
          <w:rFonts w:hint="eastAsia" w:ascii="仿宋" w:hAnsi="仿宋" w:eastAsia="仿宋" w:cs="仿宋"/>
          <w:color w:val="auto"/>
          <w:sz w:val="22"/>
          <w:szCs w:val="22"/>
          <w:shd w:val="clear" w:color="auto" w:fill="FFFFFF"/>
        </w:rPr>
        <w:fldChar w:fldCharType="end"/>
      </w:r>
      <w:r>
        <w:rPr>
          <w:rFonts w:hint="eastAsia" w:ascii="仿宋" w:hAnsi="仿宋" w:eastAsia="仿宋" w:cs="仿宋"/>
          <w:color w:val="auto"/>
          <w:sz w:val="22"/>
          <w:szCs w:val="22"/>
          <w:shd w:val="clear" w:color="auto" w:fill="FFFFFF"/>
        </w:rPr>
        <w:t>。运输安全由乙方负责，甲方不承担任何责任。</w:t>
      </w:r>
    </w:p>
    <w:p w14:paraId="7BB84BE8">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五、乙方送货车辆进入甲方厂区后应严格遵守甲方厂区的环境、安全管理规定：</w:t>
      </w:r>
    </w:p>
    <w:p w14:paraId="3476D217">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1、严禁鸣笛；</w:t>
      </w:r>
    </w:p>
    <w:p w14:paraId="6DBD8026">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2、车速不得超过5公里以上；</w:t>
      </w:r>
    </w:p>
    <w:p w14:paraId="70FFA7F4">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3、车辆应装置防火装置；</w:t>
      </w:r>
    </w:p>
    <w:p w14:paraId="719E4CDA">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4、车辆油箱不可有</w:t>
      </w:r>
      <w:r>
        <w:rPr>
          <w:rFonts w:hint="eastAsia" w:ascii="仿宋" w:hAnsi="仿宋" w:eastAsia="仿宋" w:cs="仿宋"/>
          <w:color w:val="auto"/>
          <w:sz w:val="22"/>
          <w:szCs w:val="22"/>
          <w:shd w:val="clear" w:color="auto" w:fill="FFFFFF"/>
          <w:lang w:eastAsia="zh-CN"/>
        </w:rPr>
        <w:t>泄漏</w:t>
      </w:r>
      <w:r>
        <w:rPr>
          <w:rFonts w:hint="eastAsia" w:ascii="仿宋" w:hAnsi="仿宋" w:eastAsia="仿宋" w:cs="仿宋"/>
          <w:color w:val="auto"/>
          <w:sz w:val="22"/>
          <w:szCs w:val="22"/>
          <w:shd w:val="clear" w:color="auto" w:fill="FFFFFF"/>
        </w:rPr>
        <w:t>现象；</w:t>
      </w:r>
    </w:p>
    <w:p w14:paraId="3DA19D65">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5、车辆停好后不准开动引擎，更不准在驾驶室内吸烟。</w:t>
      </w:r>
    </w:p>
    <w:p w14:paraId="27BA1363">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六、装卸货物时车辆停稳后应放置三角木固定好轮胎，乙方运输人员在甲方公司应严格遵守甲方公司的有关规定，未经允许不得进入生产车间、库房；卸完货物后应保持好卸货区域的清洁卫生。</w:t>
      </w:r>
    </w:p>
    <w:p w14:paraId="5A7622AE">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七、乙方的运输车辆不得违章作业并做好防火防爆措施，同时设立</w:t>
      </w:r>
      <w:r>
        <w:rPr>
          <w:rFonts w:hint="eastAsia" w:ascii="仿宋" w:hAnsi="仿宋" w:eastAsia="仿宋" w:cs="仿宋"/>
          <w:color w:val="auto"/>
          <w:sz w:val="22"/>
          <w:szCs w:val="22"/>
          <w:shd w:val="clear" w:color="auto" w:fill="FFFFFF"/>
          <w:lang w:eastAsia="zh-CN"/>
        </w:rPr>
        <w:t>警示标识</w:t>
      </w:r>
      <w:r>
        <w:rPr>
          <w:rFonts w:hint="eastAsia" w:ascii="仿宋" w:hAnsi="仿宋" w:eastAsia="仿宋" w:cs="仿宋"/>
          <w:color w:val="auto"/>
          <w:sz w:val="22"/>
          <w:szCs w:val="22"/>
          <w:shd w:val="clear" w:color="auto" w:fill="FFFFFF"/>
        </w:rPr>
        <w:t>，如因违章作业产</w:t>
      </w:r>
      <w:r>
        <w:rPr>
          <w:rFonts w:hint="eastAsia" w:ascii="仿宋" w:hAnsi="仿宋" w:eastAsia="仿宋" w:cs="仿宋"/>
          <w:color w:val="auto"/>
          <w:sz w:val="22"/>
          <w:szCs w:val="22"/>
          <w:shd w:val="clear" w:color="auto" w:fill="FFFFFF"/>
          <w:lang w:eastAsia="zh-CN"/>
        </w:rPr>
        <w:t>生的</w:t>
      </w:r>
      <w:r>
        <w:rPr>
          <w:rFonts w:hint="eastAsia" w:ascii="仿宋" w:hAnsi="仿宋" w:eastAsia="仿宋" w:cs="仿宋"/>
          <w:color w:val="auto"/>
          <w:sz w:val="22"/>
          <w:szCs w:val="22"/>
          <w:highlight w:val="none"/>
          <w:shd w:val="clear" w:color="auto" w:fill="FFFFFF"/>
          <w:lang w:eastAsia="zh-CN"/>
        </w:rPr>
        <w:t>一切</w:t>
      </w:r>
      <w:r>
        <w:rPr>
          <w:rFonts w:hint="eastAsia" w:ascii="仿宋" w:hAnsi="仿宋" w:eastAsia="仿宋" w:cs="仿宋"/>
          <w:color w:val="auto"/>
          <w:sz w:val="22"/>
          <w:szCs w:val="22"/>
          <w:highlight w:val="none"/>
          <w:shd w:val="clear" w:color="auto" w:fill="FFFFFF"/>
        </w:rPr>
        <w:t>后果由乙方</w:t>
      </w:r>
      <w:r>
        <w:rPr>
          <w:rFonts w:hint="eastAsia" w:ascii="仿宋" w:hAnsi="仿宋" w:eastAsia="仿宋" w:cs="仿宋"/>
          <w:color w:val="auto"/>
          <w:sz w:val="22"/>
          <w:szCs w:val="22"/>
          <w:highlight w:val="none"/>
          <w:shd w:val="clear" w:color="auto" w:fill="FFFFFF"/>
          <w:lang w:eastAsia="zh-CN"/>
        </w:rPr>
        <w:t>承担</w:t>
      </w:r>
      <w:r>
        <w:rPr>
          <w:rFonts w:hint="eastAsia" w:ascii="仿宋" w:hAnsi="仿宋" w:eastAsia="仿宋" w:cs="仿宋"/>
          <w:color w:val="auto"/>
          <w:sz w:val="22"/>
          <w:szCs w:val="22"/>
          <w:highlight w:val="none"/>
          <w:shd w:val="clear" w:color="auto" w:fill="FFFFFF"/>
        </w:rPr>
        <w:t>。</w:t>
      </w:r>
    </w:p>
    <w:p w14:paraId="6192E7BF">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八、运输货物及起止地点</w:t>
      </w:r>
    </w:p>
    <w:p w14:paraId="43DDE7C3">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1、运输的主要货物：液化天然气（LNG）为危险化学品。</w:t>
      </w:r>
    </w:p>
    <w:p w14:paraId="67896064">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highlight w:val="yellow"/>
          <w:shd w:val="clear" w:color="auto" w:fill="FFFFFF"/>
          <w:lang w:eastAsia="zh-CN"/>
        </w:rPr>
      </w:pPr>
      <w:r>
        <w:rPr>
          <w:rFonts w:hint="eastAsia" w:ascii="仿宋" w:hAnsi="仿宋" w:eastAsia="仿宋" w:cs="仿宋"/>
          <w:color w:val="auto"/>
          <w:sz w:val="22"/>
          <w:szCs w:val="22"/>
          <w:shd w:val="clear" w:color="auto" w:fill="FFFFFF"/>
        </w:rPr>
        <w:t>2、货物的起运地点：</w:t>
      </w:r>
      <w:r>
        <w:rPr>
          <w:rFonts w:hint="eastAsia" w:ascii="仿宋" w:hAnsi="仿宋" w:eastAsia="仿宋" w:cs="仿宋"/>
          <w:color w:val="auto"/>
          <w:sz w:val="22"/>
          <w:szCs w:val="22"/>
          <w:highlight w:val="none"/>
          <w:shd w:val="clear" w:color="auto" w:fill="FFFFFF"/>
          <w:lang w:eastAsia="zh-CN"/>
        </w:rPr>
        <w:t>甲方《供货通知单》指定接收站。</w:t>
      </w:r>
    </w:p>
    <w:p w14:paraId="4C3C0514">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3、到达地点：甲方指定的送货地点。</w:t>
      </w:r>
    </w:p>
    <w:p w14:paraId="79430D71">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shd w:val="clear" w:color="auto" w:fill="FFFFFF"/>
        </w:rPr>
        <w:t>4 、甲方采购的货物及服务内容，以甲方发给乙</w:t>
      </w:r>
      <w:r>
        <w:rPr>
          <w:rFonts w:hint="eastAsia" w:ascii="仿宋" w:hAnsi="仿宋" w:eastAsia="仿宋" w:cs="仿宋"/>
          <w:color w:val="auto"/>
          <w:sz w:val="22"/>
          <w:szCs w:val="22"/>
          <w:highlight w:val="none"/>
          <w:shd w:val="clear" w:color="auto" w:fill="FFFFFF"/>
        </w:rPr>
        <w:t>方的</w:t>
      </w:r>
      <w:r>
        <w:rPr>
          <w:rFonts w:hint="eastAsia" w:ascii="仿宋" w:hAnsi="仿宋" w:eastAsia="仿宋" w:cs="仿宋"/>
          <w:color w:val="auto"/>
          <w:sz w:val="22"/>
          <w:szCs w:val="22"/>
          <w:highlight w:val="none"/>
          <w:shd w:val="clear" w:color="auto" w:fill="FFFFFF"/>
          <w:lang w:eastAsia="zh-CN"/>
        </w:rPr>
        <w:t>《供货通知单》为准</w:t>
      </w:r>
      <w:r>
        <w:rPr>
          <w:rFonts w:hint="eastAsia" w:ascii="仿宋" w:hAnsi="仿宋" w:eastAsia="仿宋" w:cs="仿宋"/>
          <w:color w:val="auto"/>
          <w:sz w:val="22"/>
          <w:szCs w:val="22"/>
          <w:highlight w:val="none"/>
          <w:shd w:val="clear" w:color="auto" w:fill="FFFFFF"/>
        </w:rPr>
        <w:t>。</w:t>
      </w:r>
    </w:p>
    <w:p w14:paraId="6638F26E">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九、甲方的义务和责任</w:t>
      </w:r>
    </w:p>
    <w:p w14:paraId="45F635CB">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1、 甲方至少提前12小时以电话或书面形式向乙方发出运输指令，通知内容包含</w:t>
      </w:r>
      <w:r>
        <w:rPr>
          <w:rFonts w:hint="eastAsia" w:ascii="仿宋" w:hAnsi="仿宋" w:eastAsia="仿宋" w:cs="仿宋"/>
          <w:color w:val="auto"/>
          <w:sz w:val="22"/>
          <w:szCs w:val="22"/>
          <w:shd w:val="clear" w:color="auto" w:fill="FFFFFF"/>
          <w:lang w:eastAsia="zh-CN"/>
        </w:rPr>
        <w:t>到货</w:t>
      </w:r>
      <w:r>
        <w:rPr>
          <w:rFonts w:hint="eastAsia" w:ascii="仿宋" w:hAnsi="仿宋" w:eastAsia="仿宋" w:cs="仿宋"/>
          <w:color w:val="auto"/>
          <w:sz w:val="22"/>
          <w:szCs w:val="22"/>
          <w:shd w:val="clear" w:color="auto" w:fill="FFFFFF"/>
        </w:rPr>
        <w:t>时间、运输方式、货物名称、数量</w:t>
      </w:r>
      <w:r>
        <w:rPr>
          <w:rFonts w:hint="eastAsia" w:ascii="仿宋" w:hAnsi="仿宋" w:eastAsia="仿宋" w:cs="仿宋"/>
          <w:color w:val="auto"/>
          <w:sz w:val="22"/>
          <w:szCs w:val="22"/>
          <w:shd w:val="clear" w:color="auto" w:fill="FFFFFF"/>
          <w:lang w:eastAsia="zh-CN"/>
        </w:rPr>
        <w:t>及指定接收站</w:t>
      </w:r>
      <w:r>
        <w:rPr>
          <w:rFonts w:hint="eastAsia" w:ascii="仿宋" w:hAnsi="仿宋" w:eastAsia="仿宋" w:cs="仿宋"/>
          <w:color w:val="auto"/>
          <w:sz w:val="22"/>
          <w:szCs w:val="22"/>
          <w:shd w:val="clear" w:color="auto" w:fill="FFFFFF"/>
        </w:rPr>
        <w:t>，并准确提供目的地址及联络方式等信息。</w:t>
      </w:r>
    </w:p>
    <w:p w14:paraId="3DB1BF03">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2 、甲方保证所采购的货物不属于国家违禁品。</w:t>
      </w:r>
    </w:p>
    <w:p w14:paraId="4C3302BB">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3 、甲方负责对乙方有关驾驶员和押车人员进行必要的入厂前安全教育。</w:t>
      </w:r>
    </w:p>
    <w:p w14:paraId="122394FB">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4 、甲方负责审查乙方的危险货物道路运输许可证、营业执照、运输车辆的道路运输证、车辆驾驶员及押运人员的从业资</w:t>
      </w:r>
      <w:r>
        <w:rPr>
          <w:rFonts w:hint="eastAsia" w:ascii="仿宋" w:hAnsi="仿宋" w:eastAsia="仿宋" w:cs="仿宋"/>
          <w:color w:val="auto"/>
          <w:sz w:val="22"/>
          <w:szCs w:val="22"/>
          <w:shd w:val="clear" w:color="auto" w:fill="FFFFFF"/>
          <w:lang w:eastAsia="zh-CN"/>
        </w:rPr>
        <w:t>格</w:t>
      </w:r>
      <w:r>
        <w:rPr>
          <w:rFonts w:hint="eastAsia" w:ascii="仿宋" w:hAnsi="仿宋" w:eastAsia="仿宋" w:cs="仿宋"/>
          <w:color w:val="auto"/>
          <w:sz w:val="22"/>
          <w:szCs w:val="22"/>
          <w:shd w:val="clear" w:color="auto" w:fill="FFFFFF"/>
        </w:rPr>
        <w:t>证。</w:t>
      </w:r>
    </w:p>
    <w:p w14:paraId="198862B8">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5 、因甲方交代不清而引起的无法抵达目的地或找不到收货人所造成的损失由甲方负责。</w:t>
      </w:r>
    </w:p>
    <w:p w14:paraId="7441A11C">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6 、甲方保证按液化天然气购销合同</w:t>
      </w:r>
      <w:r>
        <w:rPr>
          <w:rFonts w:hint="eastAsia" w:ascii="仿宋" w:hAnsi="仿宋" w:eastAsia="仿宋" w:cs="仿宋"/>
          <w:color w:val="auto"/>
          <w:sz w:val="22"/>
          <w:szCs w:val="22"/>
          <w:shd w:val="clear" w:color="auto" w:fill="FFFFFF"/>
          <w:lang w:eastAsia="zh-CN"/>
        </w:rPr>
        <w:t>约定，</w:t>
      </w:r>
      <w:r>
        <w:rPr>
          <w:rFonts w:hint="eastAsia" w:ascii="仿宋" w:hAnsi="仿宋" w:eastAsia="仿宋" w:cs="仿宋"/>
          <w:color w:val="auto"/>
          <w:sz w:val="22"/>
          <w:szCs w:val="22"/>
          <w:shd w:val="clear" w:color="auto" w:fill="FFFFFF"/>
        </w:rPr>
        <w:t>在乙方向甲方提交相关单据</w:t>
      </w:r>
      <w:r>
        <w:rPr>
          <w:rFonts w:hint="eastAsia" w:ascii="仿宋" w:hAnsi="仿宋" w:eastAsia="仿宋" w:cs="仿宋"/>
          <w:color w:val="auto"/>
          <w:sz w:val="22"/>
          <w:szCs w:val="22"/>
          <w:shd w:val="clear" w:color="auto" w:fill="FFFFFF"/>
          <w:lang w:eastAsia="zh-CN"/>
        </w:rPr>
        <w:t>后，按</w:t>
      </w:r>
      <w:r>
        <w:rPr>
          <w:rFonts w:hint="eastAsia" w:ascii="仿宋" w:hAnsi="仿宋" w:eastAsia="仿宋" w:cs="仿宋"/>
          <w:color w:val="auto"/>
          <w:sz w:val="22"/>
          <w:szCs w:val="22"/>
          <w:shd w:val="clear" w:color="auto" w:fill="FFFFFF"/>
        </w:rPr>
        <w:t>时结算给乙方</w:t>
      </w:r>
      <w:r>
        <w:rPr>
          <w:rFonts w:hint="eastAsia" w:ascii="仿宋" w:hAnsi="仿宋" w:eastAsia="仿宋" w:cs="仿宋"/>
          <w:color w:val="auto"/>
          <w:sz w:val="22"/>
          <w:szCs w:val="22"/>
          <w:shd w:val="clear" w:color="auto" w:fill="FFFFFF"/>
          <w:lang w:eastAsia="zh-CN"/>
        </w:rPr>
        <w:t>货款</w:t>
      </w:r>
      <w:r>
        <w:rPr>
          <w:rFonts w:hint="eastAsia" w:ascii="仿宋" w:hAnsi="仿宋" w:eastAsia="仿宋" w:cs="仿宋"/>
          <w:color w:val="auto"/>
          <w:sz w:val="22"/>
          <w:szCs w:val="22"/>
          <w:shd w:val="clear" w:color="auto" w:fill="FFFFFF"/>
        </w:rPr>
        <w:t>。</w:t>
      </w:r>
    </w:p>
    <w:p w14:paraId="33D2F3FE">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十、乙方的义务和责任</w:t>
      </w:r>
    </w:p>
    <w:p w14:paraId="47F72E0A">
      <w:pPr>
        <w:snapToGrid/>
        <w:spacing w:line="360" w:lineRule="auto"/>
        <w:ind w:firstLine="440" w:firstLineChars="200"/>
        <w:contextualSpacing/>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1、乙方应对运输车负责，应当为运输车辆安装具有行驶记录功能的卫星定位装置以及提供符合运输天然气产品的设施。乙方必须向甲方提供合法有效的危险货物道路运输许可证、</w:t>
      </w:r>
      <w:r>
        <w:rPr>
          <w:rFonts w:hint="eastAsia" w:ascii="仿宋" w:hAnsi="仿宋" w:eastAsia="仿宋" w:cs="仿宋"/>
          <w:color w:val="auto"/>
          <w:sz w:val="22"/>
          <w:szCs w:val="22"/>
          <w:shd w:val="clear" w:color="auto" w:fill="FFFFFF"/>
          <w:lang w:eastAsia="zh-CN"/>
        </w:rPr>
        <w:t>营业执照、</w:t>
      </w:r>
      <w:r>
        <w:rPr>
          <w:rFonts w:hint="eastAsia" w:ascii="仿宋" w:hAnsi="仿宋" w:eastAsia="仿宋" w:cs="仿宋"/>
          <w:color w:val="auto"/>
          <w:sz w:val="22"/>
          <w:szCs w:val="22"/>
          <w:shd w:val="clear" w:color="auto" w:fill="FFFFFF"/>
        </w:rPr>
        <w:t>运输车辆的道路运输证、车辆驾驶员及押运人员的从业资</w:t>
      </w:r>
      <w:r>
        <w:rPr>
          <w:rFonts w:hint="eastAsia" w:ascii="仿宋" w:hAnsi="仿宋" w:eastAsia="仿宋" w:cs="仿宋"/>
          <w:color w:val="auto"/>
          <w:sz w:val="22"/>
          <w:szCs w:val="22"/>
          <w:shd w:val="clear" w:color="auto" w:fill="FFFFFF"/>
          <w:lang w:eastAsia="zh-CN"/>
        </w:rPr>
        <w:t>格</w:t>
      </w:r>
      <w:r>
        <w:rPr>
          <w:rFonts w:hint="eastAsia" w:ascii="仿宋" w:hAnsi="仿宋" w:eastAsia="仿宋" w:cs="仿宋"/>
          <w:color w:val="auto"/>
          <w:sz w:val="22"/>
          <w:szCs w:val="22"/>
          <w:shd w:val="clear" w:color="auto" w:fill="FFFFFF"/>
        </w:rPr>
        <w:t>证。运输车辆在槽车进站、停车以及卸液过程中应按照甲方的安全规定进行操作。</w:t>
      </w:r>
    </w:p>
    <w:p w14:paraId="1BBC0D76">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2、乙方负责为甲方提供货物运输服务，并安全、准时、准确地将货物运至甲方指定的目的地。运输</w:t>
      </w:r>
      <w:r>
        <w:rPr>
          <w:rFonts w:hint="eastAsia" w:ascii="仿宋" w:hAnsi="仿宋" w:eastAsia="仿宋" w:cs="仿宋"/>
          <w:color w:val="auto"/>
          <w:sz w:val="22"/>
          <w:szCs w:val="22"/>
          <w:shd w:val="clear" w:color="auto" w:fill="FFFFFF"/>
          <w:lang w:eastAsia="zh-CN"/>
        </w:rPr>
        <w:t>过程中</w:t>
      </w:r>
      <w:r>
        <w:rPr>
          <w:rFonts w:hint="eastAsia" w:ascii="仿宋" w:hAnsi="仿宋" w:eastAsia="仿宋" w:cs="仿宋"/>
          <w:color w:val="auto"/>
          <w:sz w:val="22"/>
          <w:szCs w:val="22"/>
          <w:shd w:val="clear" w:color="auto" w:fill="FFFFFF"/>
        </w:rPr>
        <w:t>安全由乙方自行负责，甲方不承担任何责任。</w:t>
      </w:r>
    </w:p>
    <w:p w14:paraId="7A6C5953">
      <w:pPr>
        <w:pStyle w:val="58"/>
        <w:shd w:val="clear" w:color="auto" w:fill="FFFFFF"/>
        <w:spacing w:before="0" w:beforeAutospacing="0" w:after="0" w:afterAutospacing="0" w:line="44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十一、本协议履行期限与双方</w:t>
      </w:r>
      <w:r>
        <w:rPr>
          <w:rFonts w:hint="eastAsia" w:ascii="仿宋" w:hAnsi="仿宋" w:eastAsia="仿宋" w:cs="仿宋"/>
          <w:color w:val="auto"/>
          <w:sz w:val="22"/>
          <w:szCs w:val="22"/>
          <w:shd w:val="clear" w:color="auto" w:fill="FFFFFF"/>
          <w:lang w:eastAsia="zh-CN"/>
        </w:rPr>
        <w:t>签署</w:t>
      </w:r>
      <w:r>
        <w:rPr>
          <w:rFonts w:hint="eastAsia" w:ascii="仿宋" w:hAnsi="仿宋" w:eastAsia="仿宋" w:cs="仿宋"/>
          <w:color w:val="auto"/>
          <w:sz w:val="22"/>
          <w:szCs w:val="22"/>
          <w:shd w:val="clear" w:color="auto" w:fill="FFFFFF"/>
        </w:rPr>
        <w:t>的《液化天然气购销合同》履行期限一致，属《液化天然气购销合同》的附件之一，与《液化天然气购销合同》有同等的法律效力。</w:t>
      </w:r>
    </w:p>
    <w:p w14:paraId="0C22B9BD">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以上各条款双方必须严格执行，如违反均按此协议承担经济和法律责任。</w:t>
      </w:r>
    </w:p>
    <w:p w14:paraId="478589F4">
      <w:pPr>
        <w:spacing w:line="440" w:lineRule="exact"/>
        <w:ind w:firstLine="440" w:firstLineChars="200"/>
        <w:rPr>
          <w:rFonts w:hint="eastAsia" w:ascii="仿宋" w:hAnsi="仿宋" w:eastAsia="仿宋" w:cs="仿宋"/>
          <w:sz w:val="22"/>
          <w:szCs w:val="22"/>
        </w:rPr>
      </w:pPr>
    </w:p>
    <w:p w14:paraId="020CCC85">
      <w:pPr>
        <w:spacing w:line="5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甲方（盖章）：                           乙方（盖章）：</w:t>
      </w:r>
    </w:p>
    <w:p w14:paraId="1F36C7BA">
      <w:pPr>
        <w:spacing w:line="5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法定代表人或授权代表：                  法定代表人或授权代表： </w:t>
      </w:r>
    </w:p>
    <w:p w14:paraId="1DC0F5CC">
      <w:pPr>
        <w:spacing w:line="5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   】年【  】月【  】日              【   】年【  】月【  】日</w:t>
      </w:r>
    </w:p>
    <w:p w14:paraId="55831498">
      <w:pPr>
        <w:spacing w:line="240" w:lineRule="auto"/>
        <w:ind w:right="3573"/>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附件二：</w:t>
      </w:r>
    </w:p>
    <w:p w14:paraId="25BA4835">
      <w:pPr>
        <w:spacing w:line="240" w:lineRule="auto"/>
        <w:ind w:right="3573"/>
        <w:rPr>
          <w:rFonts w:hint="eastAsia" w:ascii="仿宋" w:hAnsi="仿宋" w:eastAsia="仿宋" w:cs="仿宋"/>
          <w:b/>
          <w:bCs/>
          <w:kern w:val="0"/>
          <w:sz w:val="28"/>
          <w:szCs w:val="28"/>
          <w:shd w:val="clear" w:color="auto" w:fill="FFFFFF"/>
        </w:rPr>
      </w:pPr>
    </w:p>
    <w:p w14:paraId="067B26E8">
      <w:pPr>
        <w:spacing w:line="240" w:lineRule="auto"/>
        <w:ind w:right="3573"/>
        <w:jc w:val="center"/>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32"/>
          <w:szCs w:val="32"/>
          <w:shd w:val="clear" w:color="auto" w:fill="FFFFFF"/>
          <w:lang w:val="en-US" w:eastAsia="zh-CN"/>
        </w:rPr>
        <w:t xml:space="preserve">                       </w:t>
      </w:r>
      <w:r>
        <w:rPr>
          <w:rFonts w:hint="eastAsia" w:ascii="仿宋" w:hAnsi="仿宋" w:eastAsia="仿宋" w:cs="仿宋"/>
          <w:b/>
          <w:bCs/>
          <w:kern w:val="0"/>
          <w:sz w:val="32"/>
          <w:szCs w:val="32"/>
          <w:shd w:val="clear" w:color="auto" w:fill="FFFFFF"/>
        </w:rPr>
        <w:t>廉政合同书</w:t>
      </w:r>
    </w:p>
    <w:p w14:paraId="2E7631F8">
      <w:pPr>
        <w:spacing w:line="240" w:lineRule="auto"/>
        <w:ind w:left="3593" w:right="3573"/>
        <w:jc w:val="center"/>
        <w:rPr>
          <w:rFonts w:hint="eastAsia" w:ascii="仿宋" w:hAnsi="仿宋" w:eastAsia="仿宋" w:cs="仿宋"/>
          <w:b/>
          <w:bCs/>
          <w:kern w:val="0"/>
          <w:sz w:val="32"/>
          <w:szCs w:val="32"/>
          <w:shd w:val="clear" w:color="auto" w:fill="FFFFFF"/>
        </w:rPr>
      </w:pPr>
    </w:p>
    <w:p w14:paraId="2D5B8AFC">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为加强廉政建设，防止各种不正当行为发生，经甲、乙双方商定，在合同履行过程中，本合同作为双方共同遵守的廉政行为准则。</w:t>
      </w:r>
    </w:p>
    <w:p w14:paraId="45771F14">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甲方（招标人）：</w:t>
      </w:r>
      <w:r>
        <w:rPr>
          <w:rFonts w:hint="eastAsia" w:ascii="仿宋" w:hAnsi="仿宋" w:eastAsia="仿宋" w:cs="仿宋"/>
          <w:kern w:val="0"/>
          <w:sz w:val="24"/>
          <w:szCs w:val="24"/>
          <w:u w:val="single"/>
          <w:shd w:val="clear" w:color="auto" w:fill="FFFFFF"/>
        </w:rPr>
        <w:t xml:space="preserve"> </w:t>
      </w:r>
      <w:r>
        <w:rPr>
          <w:rFonts w:hint="eastAsia" w:ascii="仿宋" w:hAnsi="仿宋" w:eastAsia="仿宋" w:cs="仿宋"/>
          <w:kern w:val="0"/>
          <w:sz w:val="24"/>
          <w:szCs w:val="24"/>
          <w:u w:val="single"/>
          <w:shd w:val="clear" w:color="auto" w:fill="FFFFFF"/>
          <w:lang w:eastAsia="zh-CN"/>
        </w:rPr>
        <w:t>绍兴天然气投资有限公司</w:t>
      </w:r>
      <w:r>
        <w:rPr>
          <w:rFonts w:hint="eastAsia" w:ascii="仿宋" w:hAnsi="仿宋" w:eastAsia="仿宋" w:cs="仿宋"/>
          <w:kern w:val="0"/>
          <w:sz w:val="24"/>
          <w:szCs w:val="24"/>
          <w:u w:val="single"/>
          <w:shd w:val="clear" w:color="auto" w:fill="FFFFFF"/>
        </w:rPr>
        <w:t xml:space="preserve">  </w:t>
      </w:r>
      <w:r>
        <w:rPr>
          <w:rFonts w:hint="eastAsia" w:ascii="仿宋" w:hAnsi="仿宋" w:eastAsia="仿宋" w:cs="仿宋"/>
          <w:kern w:val="0"/>
          <w:sz w:val="24"/>
          <w:szCs w:val="24"/>
          <w:shd w:val="clear" w:color="auto" w:fill="FFFFFF"/>
        </w:rPr>
        <w:t xml:space="preserve">       </w:t>
      </w:r>
    </w:p>
    <w:p w14:paraId="6B5EF9B5">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乙方（中标人）：</w:t>
      </w:r>
      <w:r>
        <w:rPr>
          <w:rFonts w:hint="eastAsia" w:ascii="仿宋" w:hAnsi="仿宋" w:eastAsia="仿宋" w:cs="仿宋"/>
          <w:kern w:val="0"/>
          <w:sz w:val="24"/>
          <w:szCs w:val="24"/>
          <w:u w:val="single"/>
          <w:shd w:val="clear" w:color="auto" w:fill="FFFFFF"/>
        </w:rPr>
        <w:t xml:space="preserve">             </w:t>
      </w:r>
      <w:r>
        <w:rPr>
          <w:rFonts w:hint="eastAsia" w:ascii="仿宋" w:hAnsi="仿宋" w:eastAsia="仿宋" w:cs="仿宋"/>
          <w:kern w:val="0"/>
          <w:sz w:val="24"/>
          <w:szCs w:val="24"/>
          <w:u w:val="single"/>
          <w:shd w:val="clear" w:color="auto" w:fill="FFFFFF"/>
          <w:lang w:eastAsia="zh-CN"/>
        </w:rPr>
        <w:t>　</w:t>
      </w:r>
      <w:r>
        <w:rPr>
          <w:rFonts w:hint="eastAsia" w:ascii="仿宋" w:hAnsi="仿宋" w:eastAsia="仿宋" w:cs="仿宋"/>
          <w:kern w:val="0"/>
          <w:sz w:val="24"/>
          <w:szCs w:val="24"/>
          <w:u w:val="single"/>
          <w:shd w:val="clear" w:color="auto" w:fill="FFFFFF"/>
        </w:rPr>
        <w:t xml:space="preserve">          </w:t>
      </w:r>
      <w:r>
        <w:rPr>
          <w:rFonts w:hint="eastAsia" w:ascii="仿宋" w:hAnsi="仿宋" w:eastAsia="仿宋" w:cs="仿宋"/>
          <w:kern w:val="0"/>
          <w:sz w:val="24"/>
          <w:szCs w:val="24"/>
          <w:shd w:val="clear" w:color="auto" w:fill="FFFFFF"/>
        </w:rPr>
        <w:t xml:space="preserve">     </w:t>
      </w:r>
    </w:p>
    <w:p w14:paraId="34FD9B9D">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一、甲、乙双方都必须自觉遵守党和国家制定的政策、</w:t>
      </w:r>
      <w:r>
        <w:rPr>
          <w:rFonts w:hint="eastAsia" w:ascii="仿宋" w:hAnsi="仿宋" w:eastAsia="仿宋" w:cs="仿宋"/>
          <w:kern w:val="0"/>
          <w:sz w:val="24"/>
          <w:szCs w:val="24"/>
          <w:shd w:val="clear" w:color="auto" w:fill="FFFFFF"/>
          <w:lang w:eastAsia="zh-CN"/>
        </w:rPr>
        <w:t>法律法规</w:t>
      </w:r>
      <w:r>
        <w:rPr>
          <w:rFonts w:hint="eastAsia" w:ascii="仿宋" w:hAnsi="仿宋" w:eastAsia="仿宋" w:cs="仿宋"/>
          <w:kern w:val="0"/>
          <w:sz w:val="24"/>
          <w:szCs w:val="24"/>
          <w:shd w:val="clear" w:color="auto" w:fill="FFFFFF"/>
        </w:rPr>
        <w:t>及廉政建设方面</w:t>
      </w:r>
    </w:p>
    <w:p w14:paraId="26D9CFC2">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的有关规定。 </w:t>
      </w:r>
    </w:p>
    <w:p w14:paraId="6819AFFC">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二、甲、乙双方都必须自觉遵守“重合同，守信用”的原则，不得以欺诈、强迫等行为或手段损害对方的利益。</w:t>
      </w:r>
    </w:p>
    <w:p w14:paraId="1FBAD349">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三、甲、乙双方在合同履行过程中，对相关人员经常进行廉政教育，自觉遵守以下条款。</w:t>
      </w:r>
    </w:p>
    <w:p w14:paraId="2718BD1A">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1、甲方任何人不准向乙方报销发票、借款或故意刁难变相索取好处费。</w:t>
      </w:r>
    </w:p>
    <w:p w14:paraId="6A023317">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2、甲方任何人不准参加乙方组织的消费娱乐活动。</w:t>
      </w:r>
    </w:p>
    <w:p w14:paraId="1AE6FE70">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3、甲方任何人不准参加可能影响天然气购销合同履行的各种宴请。</w:t>
      </w:r>
    </w:p>
    <w:p w14:paraId="15CDC4C6">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4、甲方任何人不得利用职权要求乙方安排亲友工作。</w:t>
      </w:r>
    </w:p>
    <w:p w14:paraId="198EF606">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5、乙方不准以任何理由向甲方任何人赠送礼金、礼品或有价证券。</w:t>
      </w:r>
    </w:p>
    <w:p w14:paraId="16894AD0">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6、乙方不得邀请甲方任何人参加影响天然气购销合同履行的各种宴请、旅游、娱乐</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不得向甲方人员提供交通工具作为私用。</w:t>
      </w:r>
    </w:p>
    <w:p w14:paraId="62A63C5A">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四、甲方人员违反本合同第三条 1、2、3、4项，乙方应及时报告甲方相关部门， 并配合调查、取证工作。</w:t>
      </w:r>
    </w:p>
    <w:p w14:paraId="63F1D892">
      <w:pPr>
        <w:widowControl/>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五、乙方人员违反本合同第三条 5、6项，则按违约项目（费用）处以 10倍的违约金。情节严重，造成后果，甲方有权及时解除合同。</w:t>
      </w:r>
    </w:p>
    <w:p w14:paraId="79423A0C">
      <w:pPr>
        <w:widowControl/>
        <w:tabs>
          <w:tab w:val="left" w:pos="5240"/>
        </w:tabs>
        <w:spacing w:line="40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六、本合同履行期限与双方签订的《液化天然气购销合同》履行期限一致，属《液化天然气购销合同》的附件之一，与《液化天然气购销合同》具有同等的法律效力。</w:t>
      </w:r>
      <w:r>
        <w:rPr>
          <w:rFonts w:hint="eastAsia" w:ascii="仿宋" w:hAnsi="仿宋" w:eastAsia="仿宋" w:cs="仿宋"/>
          <w:kern w:val="0"/>
          <w:sz w:val="24"/>
          <w:szCs w:val="24"/>
          <w:shd w:val="clear" w:color="auto" w:fill="FFFFFF"/>
        </w:rPr>
        <w:tab/>
      </w:r>
      <w:r>
        <w:rPr>
          <w:rFonts w:hint="eastAsia" w:ascii="仿宋" w:hAnsi="仿宋" w:eastAsia="仿宋" w:cs="仿宋"/>
          <w:kern w:val="0"/>
          <w:sz w:val="24"/>
          <w:szCs w:val="24"/>
          <w:shd w:val="clear" w:color="auto" w:fill="FFFFFF"/>
        </w:rPr>
        <w:t xml:space="preserve">  </w:t>
      </w:r>
    </w:p>
    <w:p w14:paraId="5287870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甲方（盖章）：                           乙方（盖章）：</w:t>
      </w:r>
    </w:p>
    <w:p w14:paraId="7E48AB2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法定代表人或授权代表：                  法定代表人或授权代表： </w:t>
      </w:r>
    </w:p>
    <w:p w14:paraId="2CA6838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】年【  】月【  】日              【   】年【  】月【  】日</w:t>
      </w:r>
    </w:p>
    <w:p w14:paraId="77E977B9">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814" w:right="1474" w:bottom="1814" w:left="1474" w:header="1361" w:footer="992" w:gutter="0"/>
          <w:cols w:space="720" w:num="1"/>
          <w:titlePg/>
          <w:docGrid w:linePitch="312" w:charSpace="0"/>
        </w:sectPr>
      </w:pPr>
    </w:p>
    <w:p w14:paraId="32E000FD">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评标方法及标准</w:t>
      </w:r>
    </w:p>
    <w:p w14:paraId="08EBD56A">
      <w:pPr>
        <w:numPr>
          <w:ilvl w:val="0"/>
          <w:numId w:val="0"/>
        </w:numPr>
        <w:topLinePunct/>
        <w:spacing w:line="360" w:lineRule="auto"/>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1.总则</w:t>
      </w:r>
    </w:p>
    <w:p w14:paraId="0DF28EA5">
      <w:pPr>
        <w:topLinePunct/>
        <w:spacing w:line="360" w:lineRule="auto"/>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评标工作必须遵循公平、公正的竞争原则。最大限度地保护当事人的权益，评标委员会应严格按照招标文件的</w:t>
      </w:r>
      <w:r>
        <w:rPr>
          <w:rFonts w:hint="eastAsia" w:ascii="仿宋" w:hAnsi="仿宋" w:eastAsia="仿宋" w:cs="仿宋"/>
          <w:color w:val="000000" w:themeColor="text1"/>
          <w:sz w:val="24"/>
          <w:highlight w:val="none"/>
          <w:lang w:val="en-US" w:eastAsia="zh-CN"/>
          <w14:textFill>
            <w14:solidFill>
              <w14:schemeClr w14:val="tx1"/>
            </w14:solidFill>
          </w14:textFill>
        </w:rPr>
        <w:t>资格文件、商务技术（资信）</w:t>
      </w:r>
      <w:r>
        <w:rPr>
          <w:rFonts w:hint="default" w:ascii="仿宋" w:hAnsi="仿宋" w:eastAsia="仿宋" w:cs="仿宋"/>
          <w:color w:val="000000" w:themeColor="text1"/>
          <w:sz w:val="24"/>
          <w:highlight w:val="none"/>
          <w:lang w:val="en-US" w:eastAsia="zh-CN"/>
          <w14:textFill>
            <w14:solidFill>
              <w14:schemeClr w14:val="tx1"/>
            </w14:solidFill>
          </w14:textFill>
        </w:rPr>
        <w:t>文件资料、报价文件资料要求，对投标文件进行综合分析评价。评标人员必须严格遵守保密规定，不得泄露评标有关的情况，不得索贿，不得参加影响评标的任何活动。</w:t>
      </w:r>
    </w:p>
    <w:p w14:paraId="157AD6D1">
      <w:pPr>
        <w:numPr>
          <w:ilvl w:val="0"/>
          <w:numId w:val="0"/>
        </w:numPr>
        <w:topLinePunct/>
        <w:spacing w:line="360" w:lineRule="auto"/>
        <w:jc w:val="left"/>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2.评标组织</w:t>
      </w:r>
    </w:p>
    <w:p w14:paraId="353092AB">
      <w:pPr>
        <w:topLinePunct/>
        <w:spacing w:line="360" w:lineRule="auto"/>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评标委员会：评标委员会按相关规定共由5人及以上单数组成。</w:t>
      </w:r>
    </w:p>
    <w:p w14:paraId="345CFF53">
      <w:pPr>
        <w:topLinePunct/>
        <w:spacing w:line="360"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评标方法</w:t>
      </w:r>
    </w:p>
    <w:p w14:paraId="38B21ACE">
      <w:pPr>
        <w:topLinePunct/>
        <w:spacing w:line="360" w:lineRule="auto"/>
        <w:ind w:firstLine="480" w:firstLineChars="200"/>
        <w:jc w:val="left"/>
        <w:rPr>
          <w:ins w:id="2" w:author="Administrator" w:date="2024-09-05T10:38:04Z"/>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.1本次评标采用综合评分法，评标结果按评审后总得分由高到低顺序排列。总得分相同的，按商务技术分由高到低顺序排列。总得分且商务技术分相同的，按投标报价（下浮率）由</w:t>
      </w:r>
      <w:r>
        <w:rPr>
          <w:rFonts w:hint="eastAsia" w:ascii="仿宋" w:hAnsi="仿宋" w:eastAsia="仿宋" w:cs="仿宋"/>
          <w:color w:val="000000" w:themeColor="text1"/>
          <w:sz w:val="24"/>
          <w:highlight w:val="none"/>
          <w:lang w:val="en-US" w:eastAsia="zh-CN"/>
          <w14:textFill>
            <w14:solidFill>
              <w14:schemeClr w14:val="tx1"/>
            </w14:solidFill>
          </w14:textFill>
        </w:rPr>
        <w:t>大</w:t>
      </w:r>
      <w:r>
        <w:rPr>
          <w:rFonts w:hint="eastAsia" w:ascii="仿宋" w:hAnsi="仿宋" w:eastAsia="仿宋" w:cs="仿宋"/>
          <w:color w:val="000000" w:themeColor="text1"/>
          <w:sz w:val="24"/>
          <w:highlight w:val="none"/>
          <w14:textFill>
            <w14:solidFill>
              <w14:schemeClr w14:val="tx1"/>
            </w14:solidFill>
          </w14:textFill>
        </w:rPr>
        <w:t>到</w:t>
      </w:r>
      <w:r>
        <w:rPr>
          <w:rFonts w:hint="eastAsia" w:ascii="仿宋" w:hAnsi="仿宋" w:eastAsia="仿宋" w:cs="仿宋"/>
          <w:color w:val="000000" w:themeColor="text1"/>
          <w:sz w:val="24"/>
          <w:highlight w:val="none"/>
          <w:lang w:val="en-US" w:eastAsia="zh-CN"/>
          <w14:textFill>
            <w14:solidFill>
              <w14:schemeClr w14:val="tx1"/>
            </w14:solidFill>
          </w14:textFill>
        </w:rPr>
        <w:t>小</w:t>
      </w:r>
      <w:r>
        <w:rPr>
          <w:rFonts w:hint="eastAsia" w:ascii="仿宋" w:hAnsi="仿宋" w:eastAsia="仿宋" w:cs="仿宋"/>
          <w:color w:val="000000" w:themeColor="text1"/>
          <w:sz w:val="24"/>
          <w:highlight w:val="none"/>
          <w14:textFill>
            <w14:solidFill>
              <w14:schemeClr w14:val="tx1"/>
            </w14:solidFill>
          </w14:textFill>
        </w:rPr>
        <w:t>顺序排列。中标候选人并列的，采用随机抽取的方式确定。</w:t>
      </w:r>
    </w:p>
    <w:p w14:paraId="0C7154D4">
      <w:pPr>
        <w:numPr>
          <w:ilvl w:val="0"/>
          <w:numId w:val="0"/>
        </w:numPr>
        <w:topLinePunct/>
        <w:spacing w:line="360" w:lineRule="auto"/>
        <w:ind w:left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评标</w:t>
      </w:r>
      <w:r>
        <w:rPr>
          <w:rFonts w:hint="eastAsia" w:ascii="仿宋" w:hAnsi="仿宋" w:eastAsia="仿宋" w:cs="仿宋"/>
          <w:b/>
          <w:color w:val="000000" w:themeColor="text1"/>
          <w:sz w:val="24"/>
          <w:highlight w:val="none"/>
          <w:lang w:val="en-US" w:eastAsia="zh-CN"/>
          <w14:textFill>
            <w14:solidFill>
              <w14:schemeClr w14:val="tx1"/>
            </w14:solidFill>
          </w14:textFill>
        </w:rPr>
        <w:t>程序</w:t>
      </w:r>
    </w:p>
    <w:p w14:paraId="6883173D">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w:t>
      </w:r>
      <w:r>
        <w:rPr>
          <w:rFonts w:hint="eastAsia" w:ascii="仿宋" w:hAnsi="仿宋" w:eastAsia="仿宋" w:cs="仿宋"/>
          <w:color w:val="000000" w:themeColor="text1"/>
          <w:sz w:val="24"/>
          <w:highlight w:val="none"/>
          <w14:textFill>
            <w14:solidFill>
              <w14:schemeClr w14:val="tx1"/>
            </w14:solidFill>
          </w14:textFill>
        </w:rPr>
        <w:t>开标后，首先验证投标人资格，评标委员会对投标书进行符合性审查。再对投标人资格及方案进行评审；凡投标书中的内容、要求等实质性内容严重不符合招标文件规定或不响应招标文件要求者，经评标委员会认定，作为无效投标予以废除。</w:t>
      </w:r>
    </w:p>
    <w:p w14:paraId="22F71BD4">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2采用综合评分法，评标委员会将根据投标人的</w:t>
      </w:r>
      <w:r>
        <w:rPr>
          <w:rFonts w:hint="eastAsia" w:ascii="仿宋" w:hAnsi="仿宋" w:eastAsia="仿宋" w:cs="仿宋"/>
          <w:color w:val="000000" w:themeColor="text1"/>
          <w:sz w:val="24"/>
          <w:highlight w:val="none"/>
          <w:lang w:val="en-US" w:eastAsia="zh-CN"/>
          <w14:textFill>
            <w14:solidFill>
              <w14:schemeClr w14:val="tx1"/>
            </w14:solidFill>
          </w14:textFill>
        </w:rPr>
        <w:t>商务</w:t>
      </w:r>
      <w:r>
        <w:rPr>
          <w:rFonts w:hint="eastAsia" w:ascii="仿宋" w:hAnsi="仿宋" w:eastAsia="仿宋" w:cs="仿宋"/>
          <w:color w:val="000000" w:themeColor="text1"/>
          <w:sz w:val="24"/>
          <w:highlight w:val="none"/>
          <w14:textFill>
            <w14:solidFill>
              <w14:schemeClr w14:val="tx1"/>
            </w14:solidFill>
          </w14:textFill>
        </w:rPr>
        <w:t>技术（</w:t>
      </w:r>
      <w:r>
        <w:rPr>
          <w:rFonts w:hint="eastAsia" w:ascii="仿宋" w:hAnsi="仿宋" w:eastAsia="仿宋" w:cs="仿宋"/>
          <w:color w:val="000000" w:themeColor="text1"/>
          <w:sz w:val="24"/>
          <w:highlight w:val="none"/>
          <w:lang w:val="en-US" w:eastAsia="zh-CN"/>
          <w14:textFill>
            <w14:solidFill>
              <w14:schemeClr w14:val="tx1"/>
            </w14:solidFill>
          </w14:textFill>
        </w:rPr>
        <w:t>资信</w:t>
      </w:r>
      <w:r>
        <w:rPr>
          <w:rFonts w:hint="eastAsia" w:ascii="仿宋" w:hAnsi="仿宋" w:eastAsia="仿宋" w:cs="仿宋"/>
          <w:color w:val="000000" w:themeColor="text1"/>
          <w:sz w:val="24"/>
          <w:highlight w:val="none"/>
          <w14:textFill>
            <w14:solidFill>
              <w14:schemeClr w14:val="tx1"/>
            </w14:solidFill>
          </w14:textFill>
        </w:rPr>
        <w:t>）文件资料等内容对投标文件进行分析、评议、打分，如有疑问，将对投标人进行询标，投标人要向评标委员会澄清有关问题，并最终以书面形式进行答复。</w:t>
      </w:r>
      <w:r>
        <w:rPr>
          <w:rFonts w:hint="eastAsia" w:ascii="仿宋" w:hAnsi="仿宋" w:eastAsia="仿宋" w:cs="仿宋"/>
          <w:color w:val="000000" w:themeColor="text1"/>
          <w:sz w:val="24"/>
          <w:highlight w:val="none"/>
          <w:lang w:val="en-US" w:eastAsia="zh-CN"/>
          <w14:textFill>
            <w14:solidFill>
              <w14:schemeClr w14:val="tx1"/>
            </w14:solidFill>
          </w14:textFill>
        </w:rPr>
        <w:t>商务</w:t>
      </w:r>
      <w:r>
        <w:rPr>
          <w:rFonts w:hint="eastAsia" w:ascii="仿宋" w:hAnsi="仿宋" w:eastAsia="仿宋" w:cs="仿宋"/>
          <w:color w:val="000000" w:themeColor="text1"/>
          <w:sz w:val="24"/>
          <w:highlight w:val="none"/>
          <w14:textFill>
            <w14:solidFill>
              <w14:schemeClr w14:val="tx1"/>
            </w14:solidFill>
          </w14:textFill>
        </w:rPr>
        <w:t>技术（</w:t>
      </w:r>
      <w:r>
        <w:rPr>
          <w:rFonts w:hint="eastAsia" w:ascii="仿宋" w:hAnsi="仿宋" w:eastAsia="仿宋" w:cs="仿宋"/>
          <w:color w:val="000000" w:themeColor="text1"/>
          <w:sz w:val="24"/>
          <w:highlight w:val="none"/>
          <w:lang w:val="en-US" w:eastAsia="zh-CN"/>
          <w14:textFill>
            <w14:solidFill>
              <w14:schemeClr w14:val="tx1"/>
            </w14:solidFill>
          </w14:textFill>
        </w:rPr>
        <w:t>资信</w:t>
      </w:r>
      <w:r>
        <w:rPr>
          <w:rFonts w:hint="eastAsia" w:ascii="仿宋" w:hAnsi="仿宋" w:eastAsia="仿宋" w:cs="仿宋"/>
          <w:color w:val="000000" w:themeColor="text1"/>
          <w:sz w:val="24"/>
          <w:highlight w:val="none"/>
          <w14:textFill>
            <w14:solidFill>
              <w14:schemeClr w14:val="tx1"/>
            </w14:solidFill>
          </w14:textFill>
        </w:rPr>
        <w:t>）文件资料评审结束后，依次开有效的报价文件资料，评标委员会委员审核报价文件资料，并计算分值。</w:t>
      </w:r>
    </w:p>
    <w:p w14:paraId="59E9CFE5">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3当通过资格后审文件资料评审的投标人不足3家时，开标终止，重新组织招标。</w:t>
      </w:r>
    </w:p>
    <w:p w14:paraId="0BC6AFDE">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.4汇总</w:t>
      </w:r>
      <w:r>
        <w:rPr>
          <w:rFonts w:hint="eastAsia" w:ascii="仿宋" w:hAnsi="仿宋" w:eastAsia="仿宋" w:cs="仿宋"/>
          <w:color w:val="000000" w:themeColor="text1"/>
          <w:sz w:val="24"/>
          <w:highlight w:val="none"/>
          <w14:textFill>
            <w14:solidFill>
              <w14:schemeClr w14:val="tx1"/>
            </w14:solidFill>
          </w14:textFill>
        </w:rPr>
        <w:t>计算</w:t>
      </w:r>
      <w:r>
        <w:rPr>
          <w:rFonts w:hint="eastAsia" w:ascii="仿宋" w:hAnsi="仿宋" w:eastAsia="仿宋" w:cs="仿宋"/>
          <w:color w:val="000000" w:themeColor="text1"/>
          <w:sz w:val="24"/>
          <w:highlight w:val="none"/>
          <w:lang w:val="en-US" w:eastAsia="zh-CN"/>
          <w14:textFill>
            <w14:solidFill>
              <w14:schemeClr w14:val="tx1"/>
            </w14:solidFill>
          </w14:textFill>
        </w:rPr>
        <w:t>商务</w:t>
      </w:r>
      <w:r>
        <w:rPr>
          <w:rFonts w:hint="eastAsia" w:ascii="仿宋" w:hAnsi="仿宋" w:eastAsia="仿宋" w:cs="仿宋"/>
          <w:color w:val="000000" w:themeColor="text1"/>
          <w:sz w:val="24"/>
          <w:highlight w:val="none"/>
          <w14:textFill>
            <w14:solidFill>
              <w14:schemeClr w14:val="tx1"/>
            </w14:solidFill>
          </w14:textFill>
        </w:rPr>
        <w:t>技术分及价格分之和得出评标总得分。</w:t>
      </w:r>
    </w:p>
    <w:p w14:paraId="116EA035">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5编写评标报告。</w:t>
      </w:r>
    </w:p>
    <w:p w14:paraId="75E9065E">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6中标候选人确定后，应当在招标人发布招标公告的网站中予以公示。公示期间，投标人及其他利害关系人可以向招标人提出异议申请核查。</w:t>
      </w:r>
    </w:p>
    <w:p w14:paraId="12ACE582">
      <w:pPr>
        <w:numPr>
          <w:ilvl w:val="0"/>
          <w:numId w:val="0"/>
        </w:numPr>
        <w:topLinePunct/>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评分</w:t>
      </w:r>
      <w:r>
        <w:rPr>
          <w:rFonts w:hint="eastAsia" w:ascii="仿宋" w:hAnsi="仿宋" w:eastAsia="仿宋" w:cs="仿宋"/>
          <w:b/>
          <w:color w:val="000000" w:themeColor="text1"/>
          <w:sz w:val="24"/>
          <w:highlight w:val="none"/>
          <w:lang w:val="en-US" w:eastAsia="zh-CN"/>
          <w14:textFill>
            <w14:solidFill>
              <w14:schemeClr w14:val="tx1"/>
            </w14:solidFill>
          </w14:textFill>
        </w:rPr>
        <w:t>项目说明</w:t>
      </w:r>
    </w:p>
    <w:p w14:paraId="2D29E24C">
      <w:pPr>
        <w:numPr>
          <w:ilvl w:val="0"/>
          <w:numId w:val="0"/>
        </w:num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1总分100分，其中</w:t>
      </w:r>
      <w:r>
        <w:rPr>
          <w:rFonts w:hint="eastAsia" w:ascii="仿宋" w:hAnsi="仿宋" w:eastAsia="仿宋" w:cs="仿宋"/>
          <w:color w:val="000000" w:themeColor="text1"/>
          <w:sz w:val="24"/>
          <w:highlight w:val="none"/>
          <w:lang w:val="en-US" w:eastAsia="zh-CN"/>
          <w14:textFill>
            <w14:solidFill>
              <w14:schemeClr w14:val="tx1"/>
            </w14:solidFill>
          </w14:textFill>
        </w:rPr>
        <w:t>商务技术</w:t>
      </w:r>
      <w:r>
        <w:rPr>
          <w:rFonts w:hint="eastAsia" w:ascii="仿宋" w:hAnsi="仿宋" w:eastAsia="仿宋" w:cs="仿宋"/>
          <w:color w:val="000000" w:themeColor="text1"/>
          <w:sz w:val="24"/>
          <w:highlight w:val="none"/>
          <w14:textFill>
            <w14:solidFill>
              <w14:schemeClr w14:val="tx1"/>
            </w14:solidFill>
          </w14:textFill>
        </w:rPr>
        <w:t>分15分，价格分85分。评标委员会成员评分在得分栏中填上分值。</w:t>
      </w:r>
    </w:p>
    <w:p w14:paraId="737B2EF5">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5.2商务</w:t>
      </w:r>
      <w:r>
        <w:rPr>
          <w:rFonts w:hint="eastAsia" w:ascii="仿宋" w:hAnsi="仿宋" w:eastAsia="仿宋" w:cs="仿宋"/>
          <w:color w:val="000000" w:themeColor="text1"/>
          <w:sz w:val="24"/>
          <w:highlight w:val="none"/>
          <w14:textFill>
            <w14:solidFill>
              <w14:schemeClr w14:val="tx1"/>
            </w14:solidFill>
          </w14:textFill>
        </w:rPr>
        <w:t>技术分占15%，即满分15分。评标委员会成员对各投标书技术内容充分审核、讨论、评议后，按评分细则进行独立评判，评分最多精确到小数点后两位，小数点后第三位四舍五入。</w:t>
      </w:r>
    </w:p>
    <w:p w14:paraId="60D0361D">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3价格分占85%，即满分85分。评标委员会成员按评分细则对各投标人的报价进行统一计算评分,得分计算结果精确到小数点后两位，小数点后第三位四舍五入。</w:t>
      </w:r>
    </w:p>
    <w:p w14:paraId="7F8B00CE">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4对各评标委员会成员的</w:t>
      </w:r>
      <w:r>
        <w:rPr>
          <w:rFonts w:hint="eastAsia" w:ascii="仿宋" w:hAnsi="仿宋" w:eastAsia="仿宋" w:cs="仿宋"/>
          <w:color w:val="000000" w:themeColor="text1"/>
          <w:sz w:val="24"/>
          <w:highlight w:val="none"/>
          <w:lang w:val="en-US" w:eastAsia="zh-CN"/>
          <w14:textFill>
            <w14:solidFill>
              <w14:schemeClr w14:val="tx1"/>
            </w14:solidFill>
          </w14:textFill>
        </w:rPr>
        <w:t>商务</w:t>
      </w:r>
      <w:r>
        <w:rPr>
          <w:rFonts w:hint="eastAsia" w:ascii="仿宋" w:hAnsi="仿宋" w:eastAsia="仿宋" w:cs="仿宋"/>
          <w:color w:val="000000" w:themeColor="text1"/>
          <w:sz w:val="24"/>
          <w:highlight w:val="none"/>
          <w14:textFill>
            <w14:solidFill>
              <w14:schemeClr w14:val="tx1"/>
            </w14:solidFill>
          </w14:textFill>
        </w:rPr>
        <w:t>技术（</w:t>
      </w:r>
      <w:r>
        <w:rPr>
          <w:rFonts w:hint="eastAsia" w:ascii="仿宋" w:hAnsi="仿宋" w:eastAsia="仿宋" w:cs="仿宋"/>
          <w:color w:val="000000" w:themeColor="text1"/>
          <w:sz w:val="24"/>
          <w:highlight w:val="none"/>
          <w:lang w:val="en-US" w:eastAsia="zh-CN"/>
          <w14:textFill>
            <w14:solidFill>
              <w14:schemeClr w14:val="tx1"/>
            </w14:solidFill>
          </w14:textFill>
        </w:rPr>
        <w:t>资信</w:t>
      </w:r>
      <w:r>
        <w:rPr>
          <w:rFonts w:hint="eastAsia" w:ascii="仿宋" w:hAnsi="仿宋" w:eastAsia="仿宋" w:cs="仿宋"/>
          <w:color w:val="000000" w:themeColor="text1"/>
          <w:sz w:val="24"/>
          <w:highlight w:val="none"/>
          <w14:textFill>
            <w14:solidFill>
              <w14:schemeClr w14:val="tx1"/>
            </w14:solidFill>
          </w14:textFill>
        </w:rPr>
        <w:t>）文件资料评分和报价文件资料评分进行汇总，按算术平均值方式计算出各投标人的</w:t>
      </w:r>
      <w:r>
        <w:rPr>
          <w:rFonts w:hint="eastAsia" w:ascii="仿宋" w:hAnsi="仿宋" w:eastAsia="仿宋" w:cs="仿宋"/>
          <w:color w:val="000000" w:themeColor="text1"/>
          <w:sz w:val="24"/>
          <w:highlight w:val="none"/>
          <w:lang w:val="en-US" w:eastAsia="zh-CN"/>
          <w14:textFill>
            <w14:solidFill>
              <w14:schemeClr w14:val="tx1"/>
            </w14:solidFill>
          </w14:textFill>
        </w:rPr>
        <w:t>商务</w:t>
      </w:r>
      <w:r>
        <w:rPr>
          <w:rFonts w:hint="eastAsia" w:ascii="仿宋" w:hAnsi="仿宋" w:eastAsia="仿宋" w:cs="仿宋"/>
          <w:color w:val="000000" w:themeColor="text1"/>
          <w:sz w:val="24"/>
          <w:highlight w:val="none"/>
          <w14:textFill>
            <w14:solidFill>
              <w14:schemeClr w14:val="tx1"/>
            </w14:solidFill>
          </w14:textFill>
        </w:rPr>
        <w:t>技术分和价格分。得分计算结果精确到小数点后两位，小数点后第三位四舍五入。</w:t>
      </w:r>
    </w:p>
    <w:p w14:paraId="50CC194C">
      <w:pPr>
        <w:numPr>
          <w:ilvl w:val="0"/>
          <w:numId w:val="0"/>
        </w:numPr>
        <w:topLinePunct/>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评分细则</w:t>
      </w:r>
    </w:p>
    <w:p w14:paraId="5E0C61D7">
      <w:pPr>
        <w:topLinePunct/>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.1商务技术分（</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分）</w:t>
      </w:r>
    </w:p>
    <w:tbl>
      <w:tblPr>
        <w:tblStyle w:val="62"/>
        <w:tblpPr w:leftFromText="180" w:rightFromText="180" w:vertAnchor="text" w:horzAnchor="page" w:tblpXSpec="center" w:tblpY="638"/>
        <w:tblOverlap w:val="never"/>
        <w:tblW w:w="9010" w:type="dxa"/>
        <w:jc w:val="center"/>
        <w:tblLayout w:type="fixed"/>
        <w:tblCellMar>
          <w:top w:w="15" w:type="dxa"/>
          <w:left w:w="15" w:type="dxa"/>
          <w:bottom w:w="15" w:type="dxa"/>
          <w:right w:w="15" w:type="dxa"/>
        </w:tblCellMar>
      </w:tblPr>
      <w:tblGrid>
        <w:gridCol w:w="654"/>
        <w:gridCol w:w="1330"/>
        <w:gridCol w:w="692"/>
        <w:gridCol w:w="6334"/>
      </w:tblGrid>
      <w:tr w14:paraId="3B5B34E7">
        <w:tblPrEx>
          <w:tblCellMar>
            <w:top w:w="15" w:type="dxa"/>
            <w:left w:w="15" w:type="dxa"/>
            <w:bottom w:w="15" w:type="dxa"/>
            <w:right w:w="15" w:type="dxa"/>
          </w:tblCellMar>
        </w:tblPrEx>
        <w:trPr>
          <w:trHeight w:val="688"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008F17">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序号</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4CE2CE9">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项目</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61077B4">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分值</w:t>
            </w:r>
          </w:p>
        </w:tc>
        <w:tc>
          <w:tcPr>
            <w:tcW w:w="6334" w:type="dxa"/>
            <w:tcBorders>
              <w:top w:val="single" w:color="000000" w:sz="4" w:space="0"/>
              <w:left w:val="single" w:color="000000" w:sz="4" w:space="0"/>
              <w:bottom w:val="single" w:color="000000" w:sz="4" w:space="0"/>
              <w:right w:val="single" w:color="000000" w:sz="4" w:space="0"/>
            </w:tcBorders>
            <w:noWrap w:val="0"/>
            <w:vAlign w:val="center"/>
          </w:tcPr>
          <w:p w14:paraId="538CBED2">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评分规则</w:t>
            </w:r>
          </w:p>
        </w:tc>
      </w:tr>
      <w:tr w14:paraId="5DA221BA">
        <w:tblPrEx>
          <w:tblCellMar>
            <w:top w:w="15" w:type="dxa"/>
            <w:left w:w="15" w:type="dxa"/>
            <w:bottom w:w="15" w:type="dxa"/>
            <w:right w:w="15" w:type="dxa"/>
          </w:tblCellMar>
        </w:tblPrEx>
        <w:trPr>
          <w:trHeight w:val="2674"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ADC2A8">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07478D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物流运输</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C96E7DC">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5</w:t>
            </w:r>
          </w:p>
        </w:tc>
        <w:tc>
          <w:tcPr>
            <w:tcW w:w="6334" w:type="dxa"/>
            <w:tcBorders>
              <w:top w:val="single" w:color="000000" w:sz="4" w:space="0"/>
              <w:left w:val="single" w:color="000000" w:sz="4" w:space="0"/>
              <w:bottom w:val="single" w:color="000000" w:sz="4" w:space="0"/>
              <w:right w:val="single" w:color="000000" w:sz="4" w:space="0"/>
            </w:tcBorders>
            <w:noWrap w:val="0"/>
            <w:vAlign w:val="center"/>
          </w:tcPr>
          <w:p w14:paraId="0EB0D7F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1、投标人为承运人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提供</w:t>
            </w:r>
            <w:r>
              <w:rPr>
                <w:rFonts w:hint="eastAsia" w:ascii="仿宋" w:hAnsi="仿宋" w:eastAsia="仿宋" w:cs="仿宋"/>
                <w:kern w:val="0"/>
                <w:sz w:val="24"/>
                <w:szCs w:val="24"/>
              </w:rPr>
              <w:t>营业执照、道路运输经营许可证（经营范围包括：危险货物运</w:t>
            </w:r>
            <w:r>
              <w:rPr>
                <w:rFonts w:hint="eastAsia" w:ascii="仿宋" w:hAnsi="仿宋" w:eastAsia="仿宋" w:cs="仿宋"/>
                <w:color w:val="auto"/>
                <w:kern w:val="0"/>
                <w:sz w:val="24"/>
                <w:szCs w:val="24"/>
              </w:rPr>
              <w:t>输[2类1项</w:t>
            </w:r>
            <w:r>
              <w:rPr>
                <w:rFonts w:hint="eastAsia" w:ascii="仿宋" w:hAnsi="仿宋" w:eastAsia="仿宋" w:cs="仿宋"/>
                <w:color w:val="auto"/>
                <w:kern w:val="0"/>
                <w:sz w:val="24"/>
                <w:szCs w:val="24"/>
                <w:lang w:eastAsia="zh-CN"/>
              </w:rPr>
              <w:t>或</w:t>
            </w:r>
            <w:r>
              <w:rPr>
                <w:rFonts w:hint="eastAsia" w:ascii="仿宋" w:hAnsi="仿宋" w:eastAsia="仿宋" w:cs="仿宋"/>
                <w:color w:val="auto"/>
                <w:kern w:val="0"/>
                <w:sz w:val="24"/>
                <w:szCs w:val="24"/>
                <w:lang w:val="en-US" w:eastAsia="zh-CN"/>
              </w:rPr>
              <w:t>2.1项</w:t>
            </w:r>
            <w:r>
              <w:rPr>
                <w:rFonts w:hint="eastAsia" w:ascii="仿宋" w:hAnsi="仿宋" w:eastAsia="仿宋" w:cs="仿宋"/>
                <w:color w:val="auto"/>
                <w:kern w:val="0"/>
                <w:sz w:val="24"/>
                <w:szCs w:val="24"/>
              </w:rPr>
              <w:t>]）</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highlight w:val="none"/>
              </w:rPr>
              <w:t>并加盖投标人公章）</w:t>
            </w:r>
            <w:r>
              <w:rPr>
                <w:rFonts w:hint="eastAsia" w:ascii="仿宋" w:hAnsi="仿宋" w:eastAsia="仿宋" w:cs="仿宋"/>
                <w:color w:val="auto"/>
                <w:sz w:val="24"/>
                <w:szCs w:val="24"/>
                <w:highlight w:val="none"/>
                <w:lang w:val="en-US" w:eastAsia="zh-CN"/>
              </w:rPr>
              <w:t>；</w:t>
            </w:r>
          </w:p>
          <w:p w14:paraId="14F7F311">
            <w:pPr>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委托第三方</w:t>
            </w:r>
            <w:r>
              <w:rPr>
                <w:rFonts w:hint="eastAsia" w:ascii="仿宋" w:hAnsi="仿宋" w:eastAsia="仿宋" w:cs="仿宋"/>
                <w:color w:val="auto"/>
                <w:sz w:val="24"/>
                <w:szCs w:val="24"/>
                <w:highlight w:val="none"/>
                <w:lang w:eastAsia="zh-CN"/>
              </w:rPr>
              <w:t>承运的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第三方</w:t>
            </w:r>
            <w:r>
              <w:rPr>
                <w:rFonts w:hint="eastAsia" w:ascii="仿宋" w:hAnsi="仿宋" w:eastAsia="仿宋" w:cs="仿宋"/>
                <w:color w:val="auto"/>
                <w:sz w:val="24"/>
                <w:szCs w:val="24"/>
                <w:highlight w:val="none"/>
              </w:rPr>
              <w:t>承运</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的营业执照、道路运输</w:t>
            </w:r>
            <w:r>
              <w:rPr>
                <w:rFonts w:hint="eastAsia" w:ascii="仿宋" w:hAnsi="仿宋" w:eastAsia="仿宋" w:cs="仿宋"/>
                <w:color w:val="auto"/>
                <w:sz w:val="24"/>
                <w:szCs w:val="24"/>
                <w:highlight w:val="none"/>
                <w:lang w:eastAsia="zh-CN"/>
              </w:rPr>
              <w:t>经营</w:t>
            </w:r>
            <w:r>
              <w:rPr>
                <w:rFonts w:hint="eastAsia" w:ascii="仿宋" w:hAnsi="仿宋" w:eastAsia="仿宋" w:cs="仿宋"/>
                <w:color w:val="auto"/>
                <w:sz w:val="24"/>
                <w:szCs w:val="24"/>
                <w:highlight w:val="none"/>
              </w:rPr>
              <w:t>许可证</w:t>
            </w:r>
            <w:r>
              <w:rPr>
                <w:rFonts w:hint="eastAsia" w:ascii="仿宋" w:hAnsi="仿宋" w:eastAsia="仿宋" w:cs="仿宋"/>
                <w:kern w:val="0"/>
                <w:sz w:val="24"/>
                <w:szCs w:val="24"/>
              </w:rPr>
              <w:t>【经营范围包括：危险货物运</w:t>
            </w:r>
            <w:r>
              <w:rPr>
                <w:rFonts w:hint="eastAsia" w:ascii="仿宋" w:hAnsi="仿宋" w:eastAsia="仿宋" w:cs="仿宋"/>
                <w:color w:val="auto"/>
                <w:kern w:val="0"/>
                <w:sz w:val="24"/>
                <w:szCs w:val="24"/>
              </w:rPr>
              <w:t>输[2类1项</w:t>
            </w:r>
            <w:r>
              <w:rPr>
                <w:rFonts w:hint="eastAsia" w:ascii="仿宋" w:hAnsi="仿宋" w:eastAsia="仿宋" w:cs="仿宋"/>
                <w:color w:val="auto"/>
                <w:kern w:val="0"/>
                <w:sz w:val="24"/>
                <w:szCs w:val="24"/>
                <w:lang w:eastAsia="zh-CN"/>
              </w:rPr>
              <w:t>或</w:t>
            </w:r>
            <w:r>
              <w:rPr>
                <w:rFonts w:hint="eastAsia" w:ascii="仿宋" w:hAnsi="仿宋" w:eastAsia="仿宋" w:cs="仿宋"/>
                <w:color w:val="auto"/>
                <w:kern w:val="0"/>
                <w:sz w:val="24"/>
                <w:szCs w:val="24"/>
                <w:lang w:val="en-US" w:eastAsia="zh-CN"/>
              </w:rPr>
              <w:t>2.1项</w:t>
            </w:r>
            <w:r>
              <w:rPr>
                <w:rFonts w:hint="eastAsia" w:ascii="仿宋" w:hAnsi="仿宋" w:eastAsia="仿宋" w:cs="仿宋"/>
                <w:color w:val="auto"/>
                <w:kern w:val="0"/>
                <w:sz w:val="24"/>
                <w:szCs w:val="24"/>
              </w:rPr>
              <w:t>]】</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委托人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第三方</w:t>
            </w:r>
            <w:r>
              <w:rPr>
                <w:rFonts w:hint="eastAsia" w:ascii="仿宋" w:hAnsi="仿宋" w:eastAsia="仿宋" w:cs="仿宋"/>
                <w:color w:val="auto"/>
                <w:sz w:val="24"/>
                <w:szCs w:val="24"/>
                <w:highlight w:val="none"/>
              </w:rPr>
              <w:t>承运</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签订的运输合同等资料</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并加盖投标人公章）</w:t>
            </w:r>
            <w:r>
              <w:rPr>
                <w:rFonts w:hint="eastAsia" w:ascii="仿宋" w:hAnsi="仿宋" w:eastAsia="仿宋" w:cs="仿宋"/>
                <w:b w:val="0"/>
                <w:bCs w:val="0"/>
                <w:color w:val="auto"/>
                <w:sz w:val="24"/>
                <w:szCs w:val="24"/>
                <w:highlight w:val="none"/>
                <w:lang w:val="en-US" w:eastAsia="zh-CN"/>
              </w:rPr>
              <w:t>。</w:t>
            </w:r>
          </w:p>
          <w:p w14:paraId="40AED24F">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本项最高得5分。</w:t>
            </w:r>
          </w:p>
          <w:p w14:paraId="1ABEC39E">
            <w:pPr>
              <w:rPr>
                <w:ins w:id="3" w:author="Administrator" w:date="2024-09-05T10:40:36Z"/>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注：未提供或提供的不符合招标文件要求的不得分。</w:t>
            </w:r>
          </w:p>
          <w:p w14:paraId="02319503">
            <w:pPr>
              <w:rPr>
                <w:rFonts w:hint="eastAsia" w:ascii="仿宋" w:hAnsi="仿宋" w:eastAsia="仿宋" w:cs="仿宋"/>
                <w:b w:val="0"/>
                <w:bCs w:val="0"/>
                <w:color w:val="auto"/>
                <w:sz w:val="24"/>
                <w:szCs w:val="24"/>
                <w:highlight w:val="none"/>
                <w:lang w:val="en-US" w:eastAsia="zh-CN"/>
              </w:rPr>
            </w:pPr>
          </w:p>
        </w:tc>
      </w:tr>
      <w:tr w14:paraId="00D2C11E">
        <w:tblPrEx>
          <w:tblCellMar>
            <w:top w:w="15" w:type="dxa"/>
            <w:left w:w="15" w:type="dxa"/>
            <w:bottom w:w="15" w:type="dxa"/>
            <w:right w:w="15" w:type="dxa"/>
          </w:tblCellMar>
        </w:tblPrEx>
        <w:trPr>
          <w:trHeight w:val="2286"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851844">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C80B6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应急保障</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247463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334" w:type="dxa"/>
            <w:tcBorders>
              <w:top w:val="single" w:color="000000" w:sz="4" w:space="0"/>
              <w:left w:val="single" w:color="000000" w:sz="4" w:space="0"/>
              <w:bottom w:val="single" w:color="000000" w:sz="4" w:space="0"/>
              <w:right w:val="single" w:color="000000" w:sz="4" w:space="0"/>
            </w:tcBorders>
            <w:noWrap w:val="0"/>
            <w:vAlign w:val="center"/>
          </w:tcPr>
          <w:p w14:paraId="72515B5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自招标人发起</w:t>
            </w:r>
            <w:r>
              <w:rPr>
                <w:rFonts w:hint="eastAsia" w:ascii="仿宋" w:hAnsi="仿宋" w:eastAsia="仿宋" w:cs="仿宋"/>
                <w:color w:val="auto"/>
                <w:sz w:val="24"/>
                <w:szCs w:val="24"/>
                <w:highlight w:val="none"/>
              </w:rPr>
              <w:t>应急</w:t>
            </w:r>
            <w:r>
              <w:rPr>
                <w:rFonts w:hint="eastAsia" w:ascii="仿宋" w:hAnsi="仿宋" w:eastAsia="仿宋" w:cs="仿宋"/>
                <w:color w:val="auto"/>
                <w:sz w:val="24"/>
                <w:szCs w:val="24"/>
                <w:highlight w:val="none"/>
                <w:lang w:eastAsia="zh-CN"/>
              </w:rPr>
              <w:t>保障，投标人响应时间：</w:t>
            </w:r>
          </w:p>
          <w:p w14:paraId="238F5CB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1、满足招标人应急需求量，且</w:t>
            </w:r>
            <w:r>
              <w:rPr>
                <w:rFonts w:hint="eastAsia" w:ascii="仿宋" w:hAnsi="仿宋" w:eastAsia="仿宋" w:cs="仿宋"/>
                <w:color w:val="auto"/>
                <w:sz w:val="24"/>
                <w:szCs w:val="24"/>
                <w:highlight w:val="none"/>
              </w:rPr>
              <w:t>承诺</w:t>
            </w:r>
            <w:r>
              <w:rPr>
                <w:rFonts w:hint="eastAsia" w:ascii="仿宋" w:hAnsi="仿宋" w:eastAsia="仿宋" w:cs="仿宋"/>
                <w:color w:val="auto"/>
                <w:sz w:val="24"/>
                <w:szCs w:val="24"/>
                <w:highlight w:val="none"/>
                <w:lang w:val="en-US" w:eastAsia="zh-CN"/>
              </w:rPr>
              <w:t>6小时内</w:t>
            </w:r>
            <w:r>
              <w:rPr>
                <w:rFonts w:hint="eastAsia" w:ascii="仿宋" w:hAnsi="仿宋" w:eastAsia="仿宋" w:cs="仿宋"/>
                <w:color w:val="auto"/>
                <w:sz w:val="24"/>
                <w:szCs w:val="24"/>
                <w:highlight w:val="none"/>
                <w:lang w:eastAsia="zh-CN"/>
              </w:rPr>
              <w:t>到货，得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提供承诺书并加盖投标人公章</w:t>
            </w:r>
            <w:r>
              <w:rPr>
                <w:rFonts w:hint="eastAsia" w:ascii="仿宋" w:hAnsi="仿宋" w:eastAsia="仿宋" w:cs="仿宋"/>
                <w:color w:val="auto"/>
                <w:sz w:val="24"/>
                <w:szCs w:val="24"/>
                <w:highlight w:val="none"/>
                <w:lang w:eastAsia="zh-CN"/>
              </w:rPr>
              <w:t>）；</w:t>
            </w:r>
          </w:p>
          <w:p w14:paraId="52FC0A7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2、满足招标人应急需求量，且</w:t>
            </w:r>
            <w:r>
              <w:rPr>
                <w:rFonts w:hint="eastAsia" w:ascii="仿宋" w:hAnsi="仿宋" w:eastAsia="仿宋" w:cs="仿宋"/>
                <w:color w:val="auto"/>
                <w:sz w:val="24"/>
                <w:szCs w:val="24"/>
                <w:highlight w:val="none"/>
              </w:rPr>
              <w:t>承诺</w:t>
            </w:r>
            <w:r>
              <w:rPr>
                <w:rFonts w:hint="eastAsia" w:ascii="仿宋" w:hAnsi="仿宋" w:eastAsia="仿宋" w:cs="仿宋"/>
                <w:color w:val="auto"/>
                <w:sz w:val="24"/>
                <w:szCs w:val="24"/>
                <w:highlight w:val="none"/>
                <w:lang w:val="en-US" w:eastAsia="zh-CN"/>
              </w:rPr>
              <w:t>12小时内</w:t>
            </w:r>
            <w:r>
              <w:rPr>
                <w:rFonts w:hint="eastAsia" w:ascii="仿宋" w:hAnsi="仿宋" w:eastAsia="仿宋" w:cs="仿宋"/>
                <w:color w:val="auto"/>
                <w:sz w:val="24"/>
                <w:szCs w:val="24"/>
                <w:highlight w:val="none"/>
                <w:lang w:eastAsia="zh-CN"/>
              </w:rPr>
              <w:t>到货，得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提供承诺书并加盖投标人公章</w:t>
            </w:r>
            <w:r>
              <w:rPr>
                <w:rFonts w:hint="eastAsia" w:ascii="仿宋" w:hAnsi="仿宋" w:eastAsia="仿宋" w:cs="仿宋"/>
                <w:color w:val="auto"/>
                <w:sz w:val="24"/>
                <w:szCs w:val="24"/>
                <w:highlight w:val="none"/>
                <w:lang w:eastAsia="zh-CN"/>
              </w:rPr>
              <w:t>）；</w:t>
            </w:r>
          </w:p>
          <w:p w14:paraId="79BE9333">
            <w:pP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val="en-US" w:eastAsia="zh-CN"/>
              </w:rPr>
              <w:t>3、无承诺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lang w:val="en-US" w:eastAsia="zh-CN"/>
              </w:rPr>
              <w:t>12小时到货的</w:t>
            </w:r>
            <w:r>
              <w:rPr>
                <w:rFonts w:hint="eastAsia" w:ascii="仿宋" w:hAnsi="仿宋" w:eastAsia="仿宋" w:cs="仿宋"/>
                <w:color w:val="auto"/>
                <w:sz w:val="24"/>
                <w:szCs w:val="24"/>
                <w:highlight w:val="none"/>
              </w:rPr>
              <w:t>不得分。</w:t>
            </w:r>
          </w:p>
          <w:p w14:paraId="5FD8EC4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本项最高得4分。</w:t>
            </w:r>
          </w:p>
        </w:tc>
      </w:tr>
      <w:tr w14:paraId="122C0618">
        <w:tblPrEx>
          <w:tblCellMar>
            <w:top w:w="15" w:type="dxa"/>
            <w:left w:w="15" w:type="dxa"/>
            <w:bottom w:w="15" w:type="dxa"/>
            <w:right w:w="15" w:type="dxa"/>
          </w:tblCellMar>
        </w:tblPrEx>
        <w:trPr>
          <w:trHeight w:val="2047"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1EDD79">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F2AEC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押车处理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B2A68F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6334" w:type="dxa"/>
            <w:tcBorders>
              <w:top w:val="single" w:color="000000" w:sz="4" w:space="0"/>
              <w:left w:val="single" w:color="000000" w:sz="4" w:space="0"/>
              <w:bottom w:val="single" w:color="000000" w:sz="4" w:space="0"/>
              <w:right w:val="single" w:color="000000" w:sz="4" w:space="0"/>
            </w:tcBorders>
            <w:noWrap w:val="0"/>
            <w:vAlign w:val="center"/>
          </w:tcPr>
          <w:p w14:paraId="30BF7B8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承诺不收取押车费用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提供承诺书并加盖投标人公章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111D33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2、押车时长超24</w:t>
            </w:r>
            <w:r>
              <w:rPr>
                <w:rFonts w:hint="eastAsia" w:ascii="仿宋" w:hAnsi="仿宋" w:eastAsia="仿宋" w:cs="仿宋"/>
                <w:color w:val="auto"/>
                <w:sz w:val="24"/>
                <w:szCs w:val="24"/>
                <w:highlight w:val="none"/>
              </w:rPr>
              <w:t>小时收取费用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提供承诺书并加盖投标人公章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B8B5B77">
            <w:pPr>
              <w:numPr>
                <w:ilvl w:val="0"/>
                <w:numId w:val="0"/>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无承诺</w:t>
            </w:r>
            <w:r>
              <w:rPr>
                <w:rFonts w:hint="eastAsia" w:ascii="仿宋" w:hAnsi="仿宋" w:eastAsia="仿宋" w:cs="仿宋"/>
                <w:color w:val="auto"/>
                <w:sz w:val="24"/>
                <w:szCs w:val="24"/>
                <w:highlight w:val="none"/>
                <w:lang w:eastAsia="zh-CN"/>
              </w:rPr>
              <w:t>或承诺</w:t>
            </w:r>
            <w:r>
              <w:rPr>
                <w:rFonts w:hint="eastAsia" w:ascii="仿宋" w:hAnsi="仿宋" w:eastAsia="仿宋" w:cs="仿宋"/>
                <w:color w:val="auto"/>
                <w:sz w:val="24"/>
                <w:szCs w:val="24"/>
                <w:highlight w:val="none"/>
                <w:lang w:val="en-US" w:eastAsia="zh-CN"/>
              </w:rPr>
              <w:t>24小时及以内的</w:t>
            </w:r>
            <w:r>
              <w:rPr>
                <w:rFonts w:hint="eastAsia" w:ascii="仿宋" w:hAnsi="仿宋" w:eastAsia="仿宋" w:cs="仿宋"/>
                <w:color w:val="auto"/>
                <w:sz w:val="24"/>
                <w:szCs w:val="24"/>
                <w:highlight w:val="none"/>
              </w:rPr>
              <w:t>不得分。</w:t>
            </w:r>
          </w:p>
          <w:p w14:paraId="1D6893D8">
            <w:pPr>
              <w:numPr>
                <w:ilvl w:val="0"/>
                <w:numId w:val="0"/>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本项最高得6分。</w:t>
            </w:r>
          </w:p>
        </w:tc>
      </w:tr>
    </w:tbl>
    <w:p w14:paraId="2BBE873A">
      <w:pPr>
        <w:topLinePunct/>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注：所有证书均需在有效期内，否则不得分。</w:t>
      </w:r>
    </w:p>
    <w:p w14:paraId="3113E601">
      <w:pPr>
        <w:keepNext w:val="0"/>
        <w:keepLines w:val="0"/>
        <w:widowControl/>
        <w:suppressLineNumbers w:val="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6.2 价格分（85 分）</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 </w:t>
      </w:r>
    </w:p>
    <w:p w14:paraId="61B5715A">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6.2.1</w:t>
      </w:r>
      <w:r>
        <w:rPr>
          <w:rFonts w:hint="eastAsia" w:ascii="仿宋" w:hAnsi="仿宋" w:eastAsia="仿宋" w:cs="仿宋"/>
          <w:sz w:val="24"/>
          <w:szCs w:val="24"/>
        </w:rPr>
        <w:t>评标基准价：</w:t>
      </w:r>
      <w:r>
        <w:rPr>
          <w:rFonts w:hint="eastAsia" w:ascii="仿宋" w:hAnsi="仿宋" w:eastAsia="仿宋" w:cs="仿宋"/>
          <w:bCs/>
          <w:iCs/>
          <w:sz w:val="24"/>
          <w:szCs w:val="24"/>
        </w:rPr>
        <w:t>即满足招标文件要求且投标</w:t>
      </w:r>
      <w:r>
        <w:rPr>
          <w:rFonts w:hint="eastAsia" w:ascii="仿宋" w:hAnsi="仿宋" w:eastAsia="仿宋" w:cs="仿宋"/>
          <w:bCs/>
          <w:iCs/>
          <w:sz w:val="24"/>
          <w:szCs w:val="24"/>
          <w:lang w:val="en-US" w:eastAsia="zh-CN"/>
        </w:rPr>
        <w:t>下浮</w:t>
      </w:r>
      <w:r>
        <w:rPr>
          <w:rFonts w:hint="eastAsia" w:ascii="仿宋" w:hAnsi="仿宋" w:eastAsia="仿宋" w:cs="仿宋"/>
          <w:bCs/>
          <w:iCs/>
          <w:sz w:val="24"/>
          <w:szCs w:val="24"/>
          <w:lang w:eastAsia="zh-CN"/>
        </w:rPr>
        <w:t>率</w:t>
      </w:r>
      <w:r>
        <w:rPr>
          <w:rFonts w:hint="eastAsia" w:ascii="仿宋" w:hAnsi="仿宋" w:eastAsia="仿宋" w:cs="仿宋"/>
          <w:bCs/>
          <w:iCs/>
          <w:sz w:val="24"/>
          <w:szCs w:val="24"/>
        </w:rPr>
        <w:t>最</w:t>
      </w:r>
      <w:r>
        <w:rPr>
          <w:rFonts w:hint="eastAsia" w:ascii="仿宋" w:hAnsi="仿宋" w:eastAsia="仿宋" w:cs="仿宋"/>
          <w:bCs/>
          <w:iCs/>
          <w:sz w:val="24"/>
          <w:szCs w:val="24"/>
          <w:lang w:val="en-US" w:eastAsia="zh-CN"/>
        </w:rPr>
        <w:t>大</w:t>
      </w:r>
      <w:r>
        <w:rPr>
          <w:rFonts w:hint="eastAsia" w:ascii="仿宋" w:hAnsi="仿宋" w:eastAsia="仿宋" w:cs="仿宋"/>
          <w:bCs/>
          <w:iCs/>
          <w:sz w:val="24"/>
          <w:szCs w:val="24"/>
        </w:rPr>
        <w:t>的投标报价为评标基准</w:t>
      </w:r>
      <w:r>
        <w:rPr>
          <w:rFonts w:hint="eastAsia" w:ascii="仿宋" w:hAnsi="仿宋" w:eastAsia="仿宋" w:cs="仿宋"/>
          <w:bCs/>
          <w:iCs/>
          <w:sz w:val="24"/>
          <w:szCs w:val="24"/>
          <w:lang w:val="en-US" w:eastAsia="zh-CN"/>
        </w:rPr>
        <w:t>下浮率</w:t>
      </w:r>
      <w:r>
        <w:rPr>
          <w:rFonts w:hint="eastAsia" w:ascii="仿宋" w:hAnsi="仿宋" w:eastAsia="仿宋" w:cs="仿宋"/>
          <w:bCs/>
          <w:iCs/>
          <w:sz w:val="24"/>
          <w:szCs w:val="24"/>
        </w:rPr>
        <w:t>，其价格分为满分</w:t>
      </w:r>
      <w:r>
        <w:rPr>
          <w:rFonts w:hint="eastAsia" w:ascii="仿宋" w:hAnsi="仿宋" w:eastAsia="仿宋" w:cs="仿宋"/>
          <w:sz w:val="24"/>
          <w:szCs w:val="24"/>
        </w:rPr>
        <w:t>。</w:t>
      </w:r>
      <w:r>
        <w:rPr>
          <w:rFonts w:hint="eastAsia" w:ascii="仿宋" w:hAnsi="仿宋" w:eastAsia="仿宋" w:cs="仿宋"/>
          <w:bCs/>
          <w:iCs/>
          <w:sz w:val="24"/>
          <w:szCs w:val="24"/>
          <w:lang w:eastAsia="zh-CN"/>
        </w:rPr>
        <w:t>当有效报价不足3家时，开标终止，由采购人重新组织招标或按有关规定实施。</w:t>
      </w:r>
    </w:p>
    <w:p w14:paraId="7BC3EEB9">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6.2.2</w:t>
      </w:r>
      <w:r>
        <w:rPr>
          <w:rFonts w:hint="eastAsia" w:ascii="仿宋" w:hAnsi="仿宋" w:eastAsia="仿宋" w:cs="仿宋"/>
          <w:sz w:val="24"/>
          <w:szCs w:val="24"/>
        </w:rPr>
        <w:t>其他投标人的价格分统一按照下列公式计算：</w:t>
      </w:r>
    </w:p>
    <w:p w14:paraId="79EBFE5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Cs/>
          <w:iCs/>
          <w:sz w:val="24"/>
          <w:szCs w:val="24"/>
          <w:lang w:eastAsia="zh-CN"/>
        </w:rPr>
      </w:pPr>
      <w:r>
        <w:rPr>
          <w:rFonts w:hint="eastAsia" w:ascii="仿宋" w:hAnsi="仿宋" w:eastAsia="仿宋" w:cs="仿宋"/>
          <w:sz w:val="24"/>
          <w:szCs w:val="24"/>
        </w:rPr>
        <w:t>评标基准价：</w:t>
      </w:r>
      <w:r>
        <w:rPr>
          <w:rFonts w:hint="eastAsia" w:ascii="仿宋" w:hAnsi="仿宋" w:eastAsia="仿宋" w:cs="仿宋"/>
          <w:bCs/>
          <w:iCs/>
          <w:sz w:val="24"/>
          <w:szCs w:val="24"/>
          <w:lang w:eastAsia="zh-CN"/>
        </w:rPr>
        <w:drawing>
          <wp:inline distT="0" distB="0" distL="114300" distR="114300">
            <wp:extent cx="3101340" cy="419100"/>
            <wp:effectExtent l="0" t="0" r="381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5"/>
                    <a:stretch>
                      <a:fillRect/>
                    </a:stretch>
                  </pic:blipFill>
                  <pic:spPr>
                    <a:xfrm>
                      <a:off x="0" y="0"/>
                      <a:ext cx="3101340" cy="419100"/>
                    </a:xfrm>
                    <a:prstGeom prst="rect">
                      <a:avLst/>
                    </a:prstGeom>
                    <a:noFill/>
                    <a:ln>
                      <a:noFill/>
                    </a:ln>
                  </pic:spPr>
                </pic:pic>
              </a:graphicData>
            </a:graphic>
          </wp:inline>
        </w:drawing>
      </w:r>
    </w:p>
    <w:p w14:paraId="6A58881C">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2.3本项目“</w:t>
      </w:r>
      <w:r>
        <w:rPr>
          <w:rFonts w:hint="eastAsia" w:ascii="仿宋" w:hAnsi="仿宋" w:eastAsia="仿宋" w:cs="仿宋"/>
          <w:b/>
          <w:bCs/>
          <w:color w:val="auto"/>
          <w:sz w:val="24"/>
          <w:szCs w:val="24"/>
          <w:lang w:eastAsia="zh-CN"/>
        </w:rPr>
        <w:t>液化天然气</w:t>
      </w:r>
      <w:r>
        <w:rPr>
          <w:rFonts w:hint="eastAsia" w:ascii="仿宋" w:hAnsi="仿宋" w:eastAsia="仿宋" w:cs="仿宋"/>
          <w:b/>
          <w:bCs/>
          <w:color w:val="auto"/>
          <w:sz w:val="24"/>
          <w:szCs w:val="24"/>
        </w:rPr>
        <w:t>上限</w:t>
      </w:r>
      <w:r>
        <w:rPr>
          <w:rFonts w:hint="eastAsia" w:ascii="仿宋" w:hAnsi="仿宋" w:eastAsia="仿宋" w:cs="仿宋"/>
          <w:b/>
          <w:bCs/>
          <w:color w:val="auto"/>
          <w:sz w:val="24"/>
          <w:szCs w:val="24"/>
          <w:lang w:eastAsia="zh-CN"/>
        </w:rPr>
        <w:t>单价</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lang w:eastAsia="zh-CN"/>
        </w:rPr>
        <w:t>以招标人</w:t>
      </w:r>
      <w:r>
        <w:rPr>
          <w:rFonts w:hint="eastAsia" w:ascii="仿宋" w:hAnsi="仿宋" w:eastAsia="仿宋" w:cs="仿宋"/>
          <w:b/>
          <w:bCs/>
          <w:color w:val="auto"/>
          <w:kern w:val="0"/>
          <w:sz w:val="24"/>
          <w:szCs w:val="24"/>
          <w:u w:val="none"/>
          <w:lang w:eastAsia="zh-CN"/>
        </w:rPr>
        <w:t>《供货通知单》发出当日的卓创资讯(https://www.sci99.com/）→LNG接收站价→华东</w:t>
      </w:r>
      <w:r>
        <w:rPr>
          <w:rFonts w:hint="eastAsia" w:ascii="仿宋" w:hAnsi="仿宋" w:eastAsia="仿宋" w:cs="仿宋"/>
          <w:b/>
          <w:bCs/>
          <w:color w:val="auto"/>
          <w:sz w:val="24"/>
          <w:szCs w:val="24"/>
          <w:u w:val="none"/>
          <w:lang w:eastAsia="zh-CN"/>
        </w:rPr>
        <w:t>（浙江宁波、</w:t>
      </w:r>
      <w:r>
        <w:rPr>
          <w:rFonts w:hint="eastAsia" w:ascii="仿宋" w:hAnsi="仿宋" w:eastAsia="仿宋" w:cs="仿宋"/>
          <w:b/>
          <w:bCs/>
          <w:color w:val="auto"/>
          <w:kern w:val="0"/>
          <w:sz w:val="24"/>
          <w:szCs w:val="24"/>
          <w:u w:val="none"/>
        </w:rPr>
        <w:t>舟山</w:t>
      </w:r>
      <w:r>
        <w:rPr>
          <w:rFonts w:hint="eastAsia" w:ascii="仿宋" w:hAnsi="仿宋" w:eastAsia="仿宋" w:cs="仿宋"/>
          <w:b/>
          <w:bCs/>
          <w:color w:val="auto"/>
          <w:kern w:val="0"/>
          <w:sz w:val="24"/>
          <w:szCs w:val="24"/>
          <w:u w:val="none"/>
          <w:lang w:eastAsia="zh-CN"/>
        </w:rPr>
        <w:t>新奥、</w:t>
      </w:r>
      <w:r>
        <w:rPr>
          <w:rFonts w:hint="eastAsia" w:ascii="仿宋" w:hAnsi="仿宋" w:eastAsia="仿宋" w:cs="仿宋"/>
          <w:b/>
          <w:bCs/>
          <w:color w:val="auto"/>
          <w:kern w:val="0"/>
          <w:sz w:val="24"/>
          <w:szCs w:val="24"/>
          <w:u w:val="none"/>
        </w:rPr>
        <w:t>江苏如东</w:t>
      </w:r>
      <w:r>
        <w:rPr>
          <w:rFonts w:hint="eastAsia" w:ascii="仿宋" w:hAnsi="仿宋" w:eastAsia="仿宋" w:cs="仿宋"/>
          <w:b/>
          <w:bCs/>
          <w:color w:val="auto"/>
          <w:sz w:val="24"/>
          <w:szCs w:val="24"/>
          <w:u w:val="none"/>
          <w:lang w:eastAsia="zh-CN"/>
        </w:rPr>
        <w:t>）接收站单日</w:t>
      </w:r>
      <w:r>
        <w:rPr>
          <w:rFonts w:hint="eastAsia" w:ascii="仿宋" w:hAnsi="仿宋" w:eastAsia="仿宋" w:cs="仿宋"/>
          <w:b/>
          <w:bCs/>
          <w:color w:val="auto"/>
          <w:sz w:val="24"/>
          <w:szCs w:val="24"/>
          <w:u w:val="none"/>
        </w:rPr>
        <w:t>价格</w:t>
      </w:r>
      <w:r>
        <w:rPr>
          <w:rFonts w:hint="eastAsia" w:ascii="仿宋" w:hAnsi="仿宋" w:eastAsia="仿宋" w:cs="仿宋"/>
          <w:b/>
          <w:bCs/>
          <w:color w:val="auto"/>
          <w:sz w:val="24"/>
          <w:szCs w:val="24"/>
          <w:highlight w:val="none"/>
          <w:lang w:eastAsia="zh-CN"/>
        </w:rPr>
        <w:t>。</w:t>
      </w:r>
    </w:p>
    <w:p w14:paraId="4A772FE2">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液化天然气</w:t>
      </w:r>
      <w:r>
        <w:rPr>
          <w:rFonts w:hint="eastAsia" w:ascii="仿宋" w:hAnsi="仿宋" w:eastAsia="仿宋" w:cs="仿宋"/>
          <w:b/>
          <w:bCs/>
          <w:color w:val="auto"/>
          <w:sz w:val="24"/>
          <w:szCs w:val="24"/>
        </w:rPr>
        <w:t>中标单价=</w:t>
      </w:r>
      <w:r>
        <w:rPr>
          <w:rFonts w:hint="eastAsia" w:ascii="仿宋" w:hAnsi="仿宋" w:eastAsia="仿宋" w:cs="仿宋"/>
          <w:b/>
          <w:bCs/>
          <w:color w:val="auto"/>
          <w:sz w:val="24"/>
          <w:szCs w:val="24"/>
          <w:lang w:eastAsia="zh-CN"/>
        </w:rPr>
        <w:t>液化天然气</w:t>
      </w:r>
      <w:r>
        <w:rPr>
          <w:rFonts w:hint="eastAsia" w:ascii="仿宋" w:hAnsi="仿宋" w:eastAsia="仿宋" w:cs="仿宋"/>
          <w:b/>
          <w:bCs/>
          <w:color w:val="auto"/>
          <w:sz w:val="24"/>
          <w:szCs w:val="24"/>
        </w:rPr>
        <w:t>上限</w:t>
      </w:r>
      <w:r>
        <w:rPr>
          <w:rFonts w:hint="eastAsia" w:ascii="仿宋" w:hAnsi="仿宋" w:eastAsia="仿宋" w:cs="仿宋"/>
          <w:b/>
          <w:bCs/>
          <w:color w:val="auto"/>
          <w:sz w:val="24"/>
          <w:szCs w:val="24"/>
          <w:lang w:eastAsia="zh-CN"/>
        </w:rPr>
        <w:t>单价</w:t>
      </w:r>
      <w:r>
        <w:rPr>
          <w:rFonts w:hint="eastAsia" w:ascii="仿宋" w:hAnsi="仿宋" w:eastAsia="仿宋" w:cs="仿宋"/>
          <w:b/>
          <w:bCs/>
          <w:color w:val="auto"/>
          <w:sz w:val="24"/>
          <w:szCs w:val="24"/>
        </w:rPr>
        <w:t>×（1-中标下浮率）。</w:t>
      </w:r>
      <w:r>
        <w:rPr>
          <w:rFonts w:hint="eastAsia" w:ascii="仿宋" w:hAnsi="仿宋" w:eastAsia="仿宋" w:cs="仿宋"/>
          <w:b/>
          <w:bCs/>
          <w:color w:val="auto"/>
          <w:sz w:val="24"/>
          <w:szCs w:val="24"/>
          <w:lang w:val="en-US" w:eastAsia="zh-CN"/>
        </w:rPr>
        <w:t xml:space="preserve"> </w:t>
      </w:r>
    </w:p>
    <w:p w14:paraId="50CE703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C3E94D">
      <w:pPr>
        <w:pStyle w:val="22"/>
        <w:rPr>
          <w:rFonts w:hint="default" w:eastAsia="宋体"/>
          <w:color w:val="000000" w:themeColor="text1"/>
          <w:sz w:val="24"/>
          <w:szCs w:val="24"/>
          <w:highlight w:val="none"/>
          <w:lang w:val="en-US" w:eastAsia="zh-CN"/>
          <w14:textFill>
            <w14:solidFill>
              <w14:schemeClr w14:val="tx1"/>
            </w14:solidFill>
          </w14:textFill>
        </w:rPr>
      </w:pPr>
    </w:p>
    <w:p w14:paraId="62A095CD">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 </w:t>
      </w:r>
    </w:p>
    <w:p w14:paraId="4D2C6FFB">
      <w:pPr>
        <w:rPr>
          <w:rFonts w:hint="eastAsia"/>
          <w:color w:val="000000" w:themeColor="text1"/>
          <w:sz w:val="28"/>
          <w:szCs w:val="28"/>
          <w:highlight w:val="none"/>
          <w:lang w:val="en-US" w:eastAsia="zh-CN"/>
          <w14:textFill>
            <w14:solidFill>
              <w14:schemeClr w14:val="tx1"/>
            </w14:solidFill>
          </w14:textFill>
        </w:rPr>
      </w:pPr>
    </w:p>
    <w:bookmarkEnd w:id="29"/>
    <w:bookmarkEnd w:id="30"/>
    <w:p w14:paraId="7AD0281B">
      <w:pPr>
        <w:rPr>
          <w:rFonts w:hint="eastAsia" w:ascii="仿宋" w:hAnsi="仿宋" w:eastAsia="仿宋" w:cs="仿宋"/>
          <w:b/>
          <w:color w:val="000000" w:themeColor="text1"/>
          <w:sz w:val="36"/>
          <w:szCs w:val="20"/>
          <w:highlight w:val="none"/>
          <w14:textFill>
            <w14:solidFill>
              <w14:schemeClr w14:val="tx1"/>
            </w14:solidFill>
          </w14:textFill>
        </w:rPr>
      </w:pPr>
      <w:bookmarkStart w:id="41" w:name="_Toc465665161"/>
    </w:p>
    <w:p w14:paraId="5AFEA1CE">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p>
    <w:p w14:paraId="0C68F2D3">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p>
    <w:p w14:paraId="2D639CF0">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p>
    <w:p w14:paraId="58A8E8FF">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p>
    <w:p w14:paraId="09EBDC76">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p>
    <w:p w14:paraId="6CB727DA">
      <w:pPr>
        <w:widowControl/>
        <w:adjustRightInd/>
        <w:jc w:val="center"/>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投标文件及其附件格式</w:t>
      </w:r>
    </w:p>
    <w:p w14:paraId="17330223">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14:paraId="07B6D2DD">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39A52BD2">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183D763">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14:paraId="38418FC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0888BC06">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（2）营业执照</w:t>
      </w:r>
      <w:r>
        <w:rPr>
          <w:rFonts w:hint="eastAsia" w:ascii="仿宋" w:hAnsi="仿宋" w:eastAsia="仿宋" w:cs="仿宋"/>
          <w:color w:val="000000" w:themeColor="text1"/>
          <w:sz w:val="24"/>
          <w:highlight w:val="none"/>
          <w14:textFill>
            <w14:solidFill>
              <w14:schemeClr w14:val="tx1"/>
            </w14:solidFill>
          </w14:textFill>
        </w:rPr>
        <w:t>…………………………………………………………………………（页码）</w:t>
      </w:r>
    </w:p>
    <w:p w14:paraId="229DA402">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本项目的特定资格要求…………………………………………………………（页码）</w:t>
      </w:r>
    </w:p>
    <w:p w14:paraId="38C7262D">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75BF54E1">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73BE5345">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37F5B005">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0E69A02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395344F4">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一、符合参加采购活动应当具备的一般条件的承诺函</w:t>
      </w:r>
    </w:p>
    <w:p w14:paraId="788DF51B">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0BCDF7D9">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我方参与（项目名称）【招标编号：（采购编号）】采购活动，郑重承诺：</w:t>
      </w:r>
    </w:p>
    <w:p w14:paraId="688AACE7">
      <w:pPr>
        <w:snapToGrid w:val="0"/>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4B29AEBE">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3C4034B4">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2DDCB904">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18FE8CA4">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4A1E1A6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17862C03">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355EA682">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93F5DC6">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4319190B">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1、单位负责人为同一人或者存在直接控股、管理关系的不同供应商参加同一合同项下的采购活动的；</w:t>
      </w:r>
    </w:p>
    <w:p w14:paraId="7AAB67A8">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F527D8B">
      <w:pPr>
        <w:snapToGrid w:val="0"/>
        <w:spacing w:line="360" w:lineRule="auto"/>
        <w:ind w:firstLine="5520" w:firstLineChars="2300"/>
        <w:rPr>
          <w:rFonts w:ascii="仿宋" w:hAnsi="仿宋" w:eastAsia="仿宋" w:cs="仿宋"/>
          <w:color w:val="000000" w:themeColor="text1"/>
          <w:kern w:val="0"/>
          <w:sz w:val="24"/>
          <w:highlight w:val="none"/>
          <w:lang w:val="zh-CN"/>
          <w14:textFill>
            <w14:solidFill>
              <w14:schemeClr w14:val="tx1"/>
            </w14:solidFill>
          </w14:textFill>
        </w:rPr>
      </w:pPr>
    </w:p>
    <w:p w14:paraId="1AEF62FF">
      <w:pPr>
        <w:snapToGrid w:val="0"/>
        <w:spacing w:line="360" w:lineRule="auto"/>
        <w:ind w:firstLine="5520" w:firstLineChars="2300"/>
        <w:rPr>
          <w:rFonts w:ascii="仿宋" w:hAnsi="仿宋" w:eastAsia="仿宋" w:cs="仿宋"/>
          <w:color w:val="000000" w:themeColor="text1"/>
          <w:kern w:val="0"/>
          <w:sz w:val="24"/>
          <w:highlight w:val="none"/>
          <w:lang w:val="zh-CN"/>
          <w14:textFill>
            <w14:solidFill>
              <w14:schemeClr w14:val="tx1"/>
            </w14:solidFill>
          </w14:textFill>
        </w:rPr>
      </w:pPr>
    </w:p>
    <w:p w14:paraId="6DABDFF6">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盖章</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83BE8E0">
      <w:pPr>
        <w:snapToGrid w:val="0"/>
        <w:spacing w:line="360"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7E488F0">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590C74AA">
      <w:pPr>
        <w:pStyle w:val="80"/>
        <w:rPr>
          <w:rFonts w:ascii="仿宋" w:hAnsi="仿宋" w:eastAsia="仿宋" w:cs="仿宋"/>
          <w:color w:val="000000" w:themeColor="text1"/>
          <w:highlight w:val="none"/>
          <w14:textFill>
            <w14:solidFill>
              <w14:schemeClr w14:val="tx1"/>
            </w14:solidFill>
          </w14:textFill>
        </w:rPr>
      </w:pPr>
    </w:p>
    <w:p w14:paraId="0846BCB0">
      <w:pPr>
        <w:pStyle w:val="81"/>
        <w:rPr>
          <w:rFonts w:ascii="仿宋" w:hAnsi="仿宋" w:eastAsia="仿宋" w:cs="仿宋"/>
          <w:color w:val="000000" w:themeColor="text1"/>
          <w:highlight w:val="none"/>
          <w14:textFill>
            <w14:solidFill>
              <w14:schemeClr w14:val="tx1"/>
            </w14:solidFill>
          </w14:textFill>
        </w:rPr>
      </w:pPr>
    </w:p>
    <w:p w14:paraId="0385EF46">
      <w:pPr>
        <w:pStyle w:val="80"/>
        <w:rPr>
          <w:rFonts w:ascii="仿宋" w:hAnsi="仿宋" w:eastAsia="仿宋" w:cs="仿宋"/>
          <w:color w:val="000000" w:themeColor="text1"/>
          <w:highlight w:val="none"/>
          <w14:textFill>
            <w14:solidFill>
              <w14:schemeClr w14:val="tx1"/>
            </w14:solidFill>
          </w14:textFill>
        </w:rPr>
      </w:pPr>
    </w:p>
    <w:p w14:paraId="453CD93F">
      <w:pPr>
        <w:widowControl/>
        <w:spacing w:line="360" w:lineRule="auto"/>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二、营业执照</w:t>
      </w:r>
    </w:p>
    <w:p w14:paraId="17DE354E">
      <w:pPr>
        <w:widowControl/>
        <w:spacing w:line="360" w:lineRule="auto"/>
        <w:ind w:left="150"/>
        <w:jc w:val="center"/>
        <w:rPr>
          <w:rFonts w:ascii="仿宋" w:hAnsi="仿宋" w:eastAsia="仿宋" w:cs="仿宋"/>
          <w:b/>
          <w:color w:val="000000" w:themeColor="text1"/>
          <w:sz w:val="24"/>
          <w:highlight w:val="none"/>
          <w14:textFill>
            <w14:solidFill>
              <w14:schemeClr w14:val="tx1"/>
            </w14:solidFill>
          </w14:textFill>
        </w:rPr>
      </w:pPr>
    </w:p>
    <w:p w14:paraId="51C4CAFA">
      <w:pPr>
        <w:widowControl/>
        <w:spacing w:line="360" w:lineRule="auto"/>
        <w:ind w:left="150"/>
        <w:jc w:val="center"/>
        <w:rPr>
          <w:rFonts w:ascii="仿宋" w:hAnsi="仿宋" w:eastAsia="仿宋" w:cs="仿宋"/>
          <w:b/>
          <w:color w:val="000000" w:themeColor="text1"/>
          <w:sz w:val="24"/>
          <w:highlight w:val="none"/>
          <w14:textFill>
            <w14:solidFill>
              <w14:schemeClr w14:val="tx1"/>
            </w14:solidFill>
          </w14:textFill>
        </w:rPr>
      </w:pPr>
    </w:p>
    <w:p w14:paraId="5FD61DFA">
      <w:pPr>
        <w:widowControl/>
        <w:spacing w:line="360" w:lineRule="auto"/>
        <w:ind w:left="15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三、本项目的特定资格要求</w:t>
      </w:r>
    </w:p>
    <w:p w14:paraId="4D3F919B">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5C5E0B24">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6B5771D7">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48CD0FBD">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2A9B927B">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1CA119C0">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12590E8A">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09CEE5C9">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7FD71AED">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25374A82">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66D86C91">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69396F94">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318EF514">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7E198D43">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361B4831">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34ECE299">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p>
    <w:p w14:paraId="6DC77B41">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商务技术（资信）文件资料</w:t>
      </w:r>
    </w:p>
    <w:p w14:paraId="2DA87978">
      <w:pPr>
        <w:spacing w:line="336"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14:paraId="6D96D71B">
      <w:pPr>
        <w:spacing w:line="336"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1BAA83A7">
      <w:pPr>
        <w:pStyle w:val="905"/>
        <w:spacing w:line="336"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（1）评分标准索引表………………………………………………………………（页码）</w:t>
      </w:r>
    </w:p>
    <w:p w14:paraId="2E95965E">
      <w:pPr>
        <w:pStyle w:val="905"/>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eastAsia="zh-CN"/>
          <w14:textFill>
            <w14:solidFill>
              <w14:schemeClr w14:val="tx1"/>
            </w14:solidFill>
          </w14:textFill>
        </w:rPr>
        <w:t>（</w:t>
      </w:r>
      <w:r>
        <w:rPr>
          <w:rFonts w:hint="eastAsia" w:ascii="仿宋" w:eastAsia="仿宋" w:cs="仿宋"/>
          <w:color w:val="000000" w:themeColor="text1"/>
          <w:highlight w:val="none"/>
          <w:lang w:val="en-US" w:eastAsia="zh-CN"/>
          <w14:textFill>
            <w14:solidFill>
              <w14:schemeClr w14:val="tx1"/>
            </w14:solidFill>
          </w14:textFill>
        </w:rPr>
        <w:t>2</w:t>
      </w:r>
      <w:r>
        <w:rPr>
          <w:rFonts w:hint="eastAsia" w:ascii="仿宋" w:eastAsia="仿宋" w:cs="仿宋"/>
          <w:color w:val="000000" w:themeColor="text1"/>
          <w:highlight w:val="none"/>
          <w:lang w:eastAsia="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投标函……………………………………………………………………………（页码）</w:t>
      </w:r>
    </w:p>
    <w:p w14:paraId="376A0914">
      <w:pPr>
        <w:pStyle w:val="905"/>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en-US" w:eastAsia="zh-CN"/>
          <w14:textFill>
            <w14:solidFill>
              <w14:schemeClr w14:val="tx1"/>
            </w14:solidFill>
          </w14:textFill>
        </w:rPr>
        <w:t>3</w:t>
      </w:r>
      <w:r>
        <w:rPr>
          <w:rFonts w:hint="eastAsia" w:ascii="仿宋" w:eastAsia="仿宋" w:cs="仿宋"/>
          <w:color w:val="000000" w:themeColor="text1"/>
          <w:highlight w:val="none"/>
          <w14:textFill>
            <w14:solidFill>
              <w14:schemeClr w14:val="tx1"/>
            </w14:solidFill>
          </w14:textFill>
        </w:rPr>
        <w:t>）法定代表人授权</w:t>
      </w:r>
      <w:r>
        <w:rPr>
          <w:rFonts w:hint="eastAsia" w:ascii="仿宋" w:eastAsia="仿宋" w:cs="仿宋"/>
          <w:color w:val="000000" w:themeColor="text1"/>
          <w:highlight w:val="none"/>
          <w:lang w:eastAsia="zh-CN"/>
          <w14:textFill>
            <w14:solidFill>
              <w14:schemeClr w14:val="tx1"/>
            </w14:solidFill>
          </w14:textFill>
        </w:rPr>
        <w:t>委托</w:t>
      </w:r>
      <w:r>
        <w:rPr>
          <w:rFonts w:hint="eastAsia" w:ascii="仿宋" w:eastAsia="仿宋" w:cs="仿宋"/>
          <w:color w:val="000000" w:themeColor="text1"/>
          <w:highlight w:val="none"/>
          <w14:textFill>
            <w14:solidFill>
              <w14:schemeClr w14:val="tx1"/>
            </w14:solidFill>
          </w14:textFill>
        </w:rPr>
        <w:t>书 ……………………………………………………… （页码）</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lang w:val="en-US" w:eastAsia="zh-CN"/>
          <w14:textFill>
            <w14:solidFill>
              <w14:schemeClr w14:val="tx1"/>
            </w14:solidFill>
          </w14:textFill>
        </w:rPr>
        <w:t>4</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授权代表社保证明</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31E1BA18">
      <w:pPr>
        <w:pStyle w:val="905"/>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en-US" w:eastAsia="zh-CN"/>
          <w14:textFill>
            <w14:solidFill>
              <w14:schemeClr w14:val="tx1"/>
            </w14:solidFill>
          </w14:textFill>
        </w:rPr>
        <w:t>5</w:t>
      </w:r>
      <w:r>
        <w:rPr>
          <w:rFonts w:hint="eastAsia" w:ascii="仿宋" w:eastAsia="仿宋" w:cs="仿宋"/>
          <w:color w:val="000000" w:themeColor="text1"/>
          <w:highlight w:val="none"/>
          <w14:textFill>
            <w14:solidFill>
              <w14:schemeClr w14:val="tx1"/>
            </w14:solidFill>
          </w14:textFill>
        </w:rPr>
        <w:t>）法定代表人及其授权代表身份证复印件（复印件）…………………………（页码）</w:t>
      </w:r>
    </w:p>
    <w:p w14:paraId="4527B55C">
      <w:pPr>
        <w:pStyle w:val="905"/>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en-US" w:eastAsia="zh-CN"/>
          <w14:textFill>
            <w14:solidFill>
              <w14:schemeClr w14:val="tx1"/>
            </w14:solidFill>
          </w14:textFill>
        </w:rPr>
        <w:t>6</w:t>
      </w:r>
      <w:r>
        <w:rPr>
          <w:rFonts w:hint="eastAsia" w:ascii="仿宋" w:eastAsia="仿宋" w:cs="仿宋"/>
          <w:color w:val="000000" w:themeColor="text1"/>
          <w:highlight w:val="none"/>
          <w14:textFill>
            <w14:solidFill>
              <w14:schemeClr w14:val="tx1"/>
            </w14:solidFill>
          </w14:textFill>
        </w:rPr>
        <w:t>）法定代表人身份证明书……………………………………………………… （页码）</w:t>
      </w:r>
    </w:p>
    <w:p w14:paraId="078B9DEC">
      <w:pPr>
        <w:pStyle w:val="905"/>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en-US" w:eastAsia="zh-CN"/>
          <w14:textFill>
            <w14:solidFill>
              <w14:schemeClr w14:val="tx1"/>
            </w14:solidFill>
          </w14:textFill>
        </w:rPr>
        <w:t>7</w:t>
      </w:r>
      <w:r>
        <w:rPr>
          <w:rFonts w:hint="eastAsia" w:ascii="仿宋" w:eastAsia="仿宋" w:cs="仿宋"/>
          <w:color w:val="000000" w:themeColor="text1"/>
          <w:highlight w:val="none"/>
          <w14:textFill>
            <w14:solidFill>
              <w14:schemeClr w14:val="tx1"/>
            </w14:solidFill>
          </w14:textFill>
        </w:rPr>
        <w:t>）商务技术偏离表……………………………………………………………… （页码）</w:t>
      </w:r>
    </w:p>
    <w:p w14:paraId="385E0897">
      <w:pPr>
        <w:pStyle w:val="905"/>
        <w:spacing w:line="336" w:lineRule="auto"/>
        <w:ind w:left="0" w:firstLine="0" w:firstLineChars="0"/>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lang w:val="en-US" w:eastAsia="zh-CN"/>
          <w14:textFill>
            <w14:solidFill>
              <w14:schemeClr w14:val="tx1"/>
            </w14:solidFill>
          </w14:textFill>
        </w:rPr>
        <w:t>8</w:t>
      </w:r>
      <w:r>
        <w:rPr>
          <w:rFonts w:hint="eastAsia" w:ascii="仿宋" w:eastAsia="仿宋" w:cs="仿宋"/>
          <w:color w:val="000000" w:themeColor="text1"/>
          <w:highlight w:val="none"/>
          <w:lang w:val="zh-CN"/>
          <w14:textFill>
            <w14:solidFill>
              <w14:schemeClr w14:val="tx1"/>
            </w14:solidFill>
          </w14:textFill>
        </w:rPr>
        <w:t>）采购供应商廉洁自律承诺书</w:t>
      </w:r>
      <w:r>
        <w:rPr>
          <w:rFonts w:hint="eastAsia" w:ascii="仿宋" w:eastAsia="仿宋" w:cs="仿宋"/>
          <w:color w:val="000000" w:themeColor="text1"/>
          <w:highlight w:val="none"/>
          <w14:textFill>
            <w14:solidFill>
              <w14:schemeClr w14:val="tx1"/>
            </w14:solidFill>
          </w14:textFill>
        </w:rPr>
        <w:t>………………………………………………… （页码）</w:t>
      </w:r>
    </w:p>
    <w:p w14:paraId="5B7B0044">
      <w:pPr>
        <w:spacing w:line="360" w:lineRule="auto"/>
        <w:ind w:right="-510" w:rightChars="-24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主要业绩证明…………………………………………………</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14:paraId="606B5883">
      <w:pPr>
        <w:spacing w:line="360" w:lineRule="auto"/>
        <w:ind w:right="-510" w:rightChars="-24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highlight w:val="none"/>
          <w:lang w:val="zh-CN"/>
          <w14:textFill>
            <w14:solidFill>
              <w14:schemeClr w14:val="tx1"/>
            </w14:solidFill>
          </w14:textFill>
        </w:rPr>
        <w:t>认为需要的其他商务技术（资信）文件或说明………</w:t>
      </w:r>
      <w:r>
        <w:rPr>
          <w:rFonts w:hint="eastAsia" w:ascii="仿宋" w:hAnsi="仿宋" w:eastAsia="仿宋" w:cs="仿宋"/>
          <w:color w:val="000000" w:themeColor="text1"/>
          <w:sz w:val="24"/>
          <w:highlight w:val="none"/>
          <w14:textFill>
            <w14:solidFill>
              <w14:schemeClr w14:val="tx1"/>
            </w14:solidFill>
          </w14:textFill>
        </w:rPr>
        <w:t>…………………（页码）</w:t>
      </w:r>
    </w:p>
    <w:p w14:paraId="199C5077">
      <w:pPr>
        <w:spacing w:line="360" w:lineRule="auto"/>
        <w:ind w:right="-510" w:rightChars="-243"/>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lang w:val="zh-CN"/>
          <w14:textFill>
            <w14:solidFill>
              <w14:schemeClr w14:val="tx1"/>
            </w14:solidFill>
          </w14:textFill>
        </w:rPr>
        <w:t>）商务技术标评分索引表………………………………………</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14:paraId="3BF7893C">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4C5206BA">
      <w:pPr>
        <w:pStyle w:val="80"/>
        <w:rPr>
          <w:rFonts w:ascii="仿宋" w:hAnsi="仿宋" w:eastAsia="仿宋" w:cs="仿宋"/>
          <w:color w:val="000000" w:themeColor="text1"/>
          <w:highlight w:val="none"/>
          <w:lang w:val="zh-CN"/>
          <w14:textFill>
            <w14:solidFill>
              <w14:schemeClr w14:val="tx1"/>
            </w14:solidFill>
          </w14:textFill>
        </w:rPr>
      </w:pPr>
    </w:p>
    <w:p w14:paraId="3DEDADA4">
      <w:pPr>
        <w:pStyle w:val="81"/>
        <w:rPr>
          <w:rFonts w:ascii="仿宋" w:hAnsi="仿宋" w:eastAsia="仿宋" w:cs="仿宋"/>
          <w:color w:val="000000" w:themeColor="text1"/>
          <w:highlight w:val="none"/>
          <w:lang w:val="zh-CN"/>
          <w14:textFill>
            <w14:solidFill>
              <w14:schemeClr w14:val="tx1"/>
            </w14:solidFill>
          </w14:textFill>
        </w:rPr>
      </w:pPr>
    </w:p>
    <w:p w14:paraId="4FDCBAC6">
      <w:pPr>
        <w:rPr>
          <w:rFonts w:ascii="仿宋" w:hAnsi="仿宋" w:eastAsia="仿宋" w:cs="仿宋"/>
          <w:color w:val="000000" w:themeColor="text1"/>
          <w:highlight w:val="none"/>
          <w:lang w:val="zh-CN"/>
          <w14:textFill>
            <w14:solidFill>
              <w14:schemeClr w14:val="tx1"/>
            </w14:solidFill>
          </w14:textFill>
        </w:rPr>
      </w:pPr>
    </w:p>
    <w:p w14:paraId="48343FA0">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6D3D539B">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14:paraId="52ADE79C">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9325A67">
      <w:pPr>
        <w:snapToGrid w:val="0"/>
        <w:spacing w:line="360" w:lineRule="auto"/>
        <w:jc w:val="center"/>
        <w:outlineLvl w:val="0"/>
        <w:rPr>
          <w:rFonts w:hint="eastAsia" w:ascii="仿宋" w:hAnsi="仿宋" w:eastAsia="仿宋" w:cs="仿宋"/>
          <w:b/>
          <w:color w:val="000000"/>
          <w:kern w:val="0"/>
          <w:sz w:val="32"/>
          <w:szCs w:val="32"/>
          <w:lang w:val="en-US" w:eastAsia="zh-CN"/>
        </w:rPr>
      </w:pPr>
    </w:p>
    <w:p w14:paraId="5F43E640">
      <w:pPr>
        <w:snapToGrid w:val="0"/>
        <w:spacing w:line="360" w:lineRule="auto"/>
        <w:jc w:val="center"/>
        <w:outlineLvl w:val="0"/>
        <w:rPr>
          <w:rFonts w:hint="eastAsia" w:ascii="仿宋" w:hAnsi="仿宋" w:eastAsia="仿宋" w:cs="仿宋"/>
          <w:b/>
          <w:color w:val="000000"/>
          <w:kern w:val="0"/>
          <w:sz w:val="32"/>
          <w:szCs w:val="32"/>
          <w:highlight w:val="none"/>
          <w:lang w:eastAsia="zh-CN"/>
        </w:rPr>
      </w:pPr>
      <w:r>
        <w:rPr>
          <w:rFonts w:hint="eastAsia" w:ascii="仿宋" w:hAnsi="仿宋" w:eastAsia="仿宋" w:cs="仿宋"/>
          <w:b/>
          <w:color w:val="000000"/>
          <w:kern w:val="0"/>
          <w:sz w:val="32"/>
          <w:szCs w:val="32"/>
          <w:highlight w:val="none"/>
          <w:lang w:val="en-US" w:eastAsia="zh-CN"/>
        </w:rPr>
        <w:t>一、</w:t>
      </w:r>
      <w:r>
        <w:rPr>
          <w:rFonts w:hint="eastAsia" w:ascii="仿宋" w:hAnsi="仿宋" w:eastAsia="仿宋" w:cs="仿宋"/>
          <w:b/>
          <w:color w:val="000000"/>
          <w:kern w:val="0"/>
          <w:sz w:val="32"/>
          <w:szCs w:val="32"/>
          <w:highlight w:val="none"/>
          <w:lang w:eastAsia="zh-CN"/>
        </w:rPr>
        <w:t>评分标准索引表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9"/>
        <w:gridCol w:w="5040"/>
        <w:gridCol w:w="1995"/>
      </w:tblGrid>
      <w:tr w14:paraId="11199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6404B977">
            <w:pPr>
              <w:pStyle w:val="53"/>
              <w:keepNext w:val="0"/>
              <w:keepLines w:val="0"/>
              <w:pageBreakBefore w:val="0"/>
              <w:widowControl w:val="0"/>
              <w:shd w:val="clear"/>
              <w:kinsoku/>
              <w:wordWrap/>
              <w:overflowPunct/>
              <w:topLinePunct w:val="0"/>
              <w:autoSpaceDE/>
              <w:autoSpaceDN/>
              <w:bidi w:val="0"/>
              <w:adjustRightInd w:val="0"/>
              <w:snapToGrid/>
              <w:spacing w:after="0" w:line="460" w:lineRule="exact"/>
              <w:ind w:left="0" w:leftChars="0"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评分项目</w:t>
            </w:r>
          </w:p>
        </w:tc>
        <w:tc>
          <w:tcPr>
            <w:tcW w:w="5040" w:type="dxa"/>
            <w:tcBorders>
              <w:top w:val="single" w:color="auto" w:sz="4" w:space="0"/>
              <w:left w:val="single" w:color="auto" w:sz="4" w:space="0"/>
              <w:bottom w:val="single" w:color="auto" w:sz="4" w:space="0"/>
              <w:right w:val="single" w:color="auto" w:sz="4" w:space="0"/>
            </w:tcBorders>
            <w:vAlign w:val="center"/>
          </w:tcPr>
          <w:p w14:paraId="65EF0700">
            <w:pPr>
              <w:pStyle w:val="53"/>
              <w:keepNext w:val="0"/>
              <w:keepLines w:val="0"/>
              <w:pageBreakBefore w:val="0"/>
              <w:widowControl w:val="0"/>
              <w:shd w:val="clear"/>
              <w:kinsoku/>
              <w:wordWrap/>
              <w:overflowPunct/>
              <w:topLinePunct w:val="0"/>
              <w:autoSpaceDE/>
              <w:autoSpaceDN/>
              <w:bidi w:val="0"/>
              <w:adjustRightInd w:val="0"/>
              <w:snapToGrid/>
              <w:spacing w:after="0" w:line="460" w:lineRule="exact"/>
              <w:jc w:val="center"/>
              <w:textAlignment w:val="auto"/>
              <w:rPr>
                <w:rFonts w:hint="eastAsia" w:ascii="宋体" w:hAnsi="宋体" w:eastAsia="宋体" w:cs="宋体"/>
                <w:b/>
                <w:bCs/>
                <w:color w:val="auto"/>
                <w:sz w:val="24"/>
                <w:szCs w:val="24"/>
                <w:highlight w:val="none"/>
              </w:rPr>
            </w:pPr>
            <w:r>
              <w:rPr>
                <w:rFonts w:hint="eastAsia" w:ascii="仿宋" w:hAnsi="仿宋" w:eastAsia="仿宋" w:cs="仿宋"/>
                <w:b/>
                <w:bCs/>
                <w:highlight w:val="none"/>
                <w:vertAlign w:val="baseline"/>
                <w:lang w:val="en-US" w:eastAsia="zh-CN"/>
              </w:rPr>
              <w:t>投标文件对应资料</w:t>
            </w:r>
          </w:p>
        </w:tc>
        <w:tc>
          <w:tcPr>
            <w:tcW w:w="1995" w:type="dxa"/>
            <w:tcBorders>
              <w:top w:val="single" w:color="auto" w:sz="4" w:space="0"/>
              <w:left w:val="single" w:color="auto" w:sz="4" w:space="0"/>
              <w:bottom w:val="single" w:color="auto" w:sz="4" w:space="0"/>
              <w:right w:val="single" w:color="auto" w:sz="4" w:space="0"/>
            </w:tcBorders>
            <w:vAlign w:val="center"/>
          </w:tcPr>
          <w:p w14:paraId="39D090A8">
            <w:pPr>
              <w:pStyle w:val="53"/>
              <w:keepNext w:val="0"/>
              <w:keepLines w:val="0"/>
              <w:pageBreakBefore w:val="0"/>
              <w:widowControl w:val="0"/>
              <w:shd w:val="clear"/>
              <w:kinsoku/>
              <w:wordWrap/>
              <w:overflowPunct/>
              <w:topLinePunct w:val="0"/>
              <w:autoSpaceDE/>
              <w:autoSpaceDN/>
              <w:bidi w:val="0"/>
              <w:adjustRightInd w:val="0"/>
              <w:snapToGrid/>
              <w:spacing w:after="0" w:line="46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仿宋" w:hAnsi="仿宋" w:eastAsia="仿宋" w:cs="仿宋"/>
                <w:b/>
                <w:bCs/>
                <w:highlight w:val="none"/>
                <w:vertAlign w:val="baseline"/>
                <w:lang w:val="en-US" w:eastAsia="zh-CN"/>
              </w:rPr>
              <w:t>投标文件页码</w:t>
            </w:r>
          </w:p>
        </w:tc>
      </w:tr>
      <w:tr w14:paraId="19E73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2CA7B197">
            <w:pPr>
              <w:widowControl/>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仿宋" w:hAnsi="仿宋" w:eastAsia="仿宋" w:cs="仿宋"/>
                <w:highlight w:val="none"/>
                <w:vertAlign w:val="baseline"/>
                <w:lang w:eastAsia="zh-CN"/>
              </w:rPr>
              <w:t>对应第五部分评标方法及标准(报价除外)</w:t>
            </w:r>
          </w:p>
        </w:tc>
        <w:tc>
          <w:tcPr>
            <w:tcW w:w="5040" w:type="dxa"/>
            <w:tcBorders>
              <w:top w:val="single" w:color="auto" w:sz="4" w:space="0"/>
              <w:left w:val="single" w:color="auto" w:sz="4" w:space="0"/>
              <w:right w:val="single" w:color="auto" w:sz="4" w:space="0"/>
            </w:tcBorders>
            <w:vAlign w:val="center"/>
          </w:tcPr>
          <w:p w14:paraId="5234D6AC">
            <w:pPr>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tc>
        <w:tc>
          <w:tcPr>
            <w:tcW w:w="1995" w:type="dxa"/>
            <w:tcBorders>
              <w:top w:val="single" w:color="auto" w:sz="4" w:space="0"/>
              <w:left w:val="single" w:color="auto" w:sz="4" w:space="0"/>
              <w:right w:val="single" w:color="auto" w:sz="4" w:space="0"/>
            </w:tcBorders>
            <w:vAlign w:val="center"/>
          </w:tcPr>
          <w:p w14:paraId="4375D93C">
            <w:pPr>
              <w:shd w:val="clear"/>
              <w:jc w:val="center"/>
              <w:rPr>
                <w:rFonts w:hint="eastAsia" w:ascii="宋体" w:hAnsi="宋体" w:eastAsia="宋体" w:cs="宋体"/>
                <w:bCs/>
                <w:color w:val="auto"/>
                <w:sz w:val="24"/>
                <w:highlight w:val="none"/>
              </w:rPr>
            </w:pPr>
          </w:p>
        </w:tc>
      </w:tr>
      <w:tr w14:paraId="29739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413B5ED9">
            <w:pPr>
              <w:widowControl/>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tc>
        <w:tc>
          <w:tcPr>
            <w:tcW w:w="5040" w:type="dxa"/>
            <w:tcBorders>
              <w:top w:val="single" w:color="auto" w:sz="4" w:space="0"/>
              <w:left w:val="single" w:color="auto" w:sz="4" w:space="0"/>
              <w:right w:val="single" w:color="auto" w:sz="4" w:space="0"/>
            </w:tcBorders>
            <w:vAlign w:val="center"/>
          </w:tcPr>
          <w:p w14:paraId="28176305">
            <w:pPr>
              <w:widowControl/>
              <w:shd w:val="clear"/>
              <w:jc w:val="center"/>
              <w:rPr>
                <w:rFonts w:hint="eastAsia" w:ascii="宋体" w:hAnsi="宋体" w:eastAsia="宋体" w:cs="宋体"/>
                <w:color w:val="auto"/>
                <w:kern w:val="0"/>
                <w:sz w:val="24"/>
                <w:highlight w:val="none"/>
              </w:rPr>
            </w:pPr>
          </w:p>
        </w:tc>
        <w:tc>
          <w:tcPr>
            <w:tcW w:w="1995" w:type="dxa"/>
            <w:tcBorders>
              <w:top w:val="single" w:color="auto" w:sz="4" w:space="0"/>
              <w:left w:val="single" w:color="auto" w:sz="4" w:space="0"/>
              <w:right w:val="single" w:color="auto" w:sz="4" w:space="0"/>
            </w:tcBorders>
            <w:vAlign w:val="center"/>
          </w:tcPr>
          <w:p w14:paraId="0C90C9B4">
            <w:pPr>
              <w:shd w:val="clear"/>
              <w:jc w:val="center"/>
              <w:rPr>
                <w:rFonts w:hint="eastAsia" w:ascii="宋体" w:hAnsi="宋体" w:eastAsia="宋体" w:cs="宋体"/>
                <w:bCs/>
                <w:color w:val="auto"/>
                <w:sz w:val="24"/>
                <w:highlight w:val="none"/>
              </w:rPr>
            </w:pPr>
          </w:p>
        </w:tc>
      </w:tr>
      <w:tr w14:paraId="12F74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left w:val="single" w:color="auto" w:sz="4" w:space="0"/>
              <w:bottom w:val="single" w:color="auto" w:sz="4" w:space="0"/>
              <w:right w:val="single" w:color="auto" w:sz="4" w:space="0"/>
            </w:tcBorders>
            <w:vAlign w:val="center"/>
          </w:tcPr>
          <w:p w14:paraId="0F7DD4ED">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6920DFB3">
            <w:pPr>
              <w:shd w:val="clear"/>
              <w:ind w:left="55" w:leftChars="26"/>
              <w:rPr>
                <w:rFonts w:hint="eastAsia" w:ascii="宋体" w:hAnsi="宋体" w:eastAsia="宋体" w:cs="宋体"/>
                <w:color w:val="auto"/>
                <w:kern w:val="0"/>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2947118">
            <w:pPr>
              <w:shd w:val="clear"/>
              <w:jc w:val="center"/>
              <w:rPr>
                <w:rFonts w:hint="eastAsia" w:ascii="宋体" w:hAnsi="宋体" w:eastAsia="宋体" w:cs="宋体"/>
                <w:bCs/>
                <w:color w:val="auto"/>
                <w:sz w:val="24"/>
                <w:highlight w:val="none"/>
              </w:rPr>
            </w:pPr>
          </w:p>
        </w:tc>
      </w:tr>
      <w:tr w14:paraId="3305B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5A3287B1">
            <w:pPr>
              <w:widowControl/>
              <w:shd w:val="clear"/>
              <w:rPr>
                <w:rFonts w:hint="eastAsia" w:ascii="宋体" w:hAnsi="宋体" w:eastAsia="宋体" w:cs="宋体"/>
                <w:b/>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66CFDC6E">
            <w:pPr>
              <w:pStyle w:val="53"/>
              <w:shd w:val="clear"/>
              <w:ind w:firstLine="562"/>
              <w:rPr>
                <w:rFonts w:hint="eastAsia" w:ascii="宋体" w:hAnsi="宋体" w:eastAsia="宋体" w:cs="宋体"/>
                <w:b/>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8F9603D">
            <w:pPr>
              <w:pStyle w:val="53"/>
              <w:shd w:val="clear"/>
              <w:ind w:firstLine="562"/>
              <w:jc w:val="center"/>
              <w:rPr>
                <w:rFonts w:hint="eastAsia" w:ascii="宋体" w:hAnsi="宋体" w:eastAsia="宋体" w:cs="宋体"/>
                <w:b/>
                <w:color w:val="auto"/>
                <w:highlight w:val="none"/>
              </w:rPr>
            </w:pPr>
          </w:p>
        </w:tc>
      </w:tr>
      <w:tr w14:paraId="25A6E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4F243431">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1D219880">
            <w:pPr>
              <w:shd w:val="clear"/>
              <w:spacing w:line="320" w:lineRule="exact"/>
              <w:rPr>
                <w:rFonts w:hint="eastAsia" w:ascii="宋体" w:hAnsi="宋体" w:eastAsia="宋体" w:cs="宋体"/>
                <w:color w:val="auto"/>
                <w:kern w:val="0"/>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BBE3407">
            <w:pPr>
              <w:shd w:val="clear"/>
              <w:jc w:val="center"/>
              <w:rPr>
                <w:rFonts w:hint="eastAsia" w:ascii="宋体" w:hAnsi="宋体" w:eastAsia="宋体" w:cs="宋体"/>
                <w:bCs/>
                <w:color w:val="auto"/>
                <w:sz w:val="24"/>
                <w:highlight w:val="none"/>
              </w:rPr>
            </w:pPr>
          </w:p>
        </w:tc>
      </w:tr>
      <w:tr w14:paraId="4C632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35D06845">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383BA06D">
            <w:pPr>
              <w:shd w:val="clear"/>
              <w:rPr>
                <w:rFonts w:hint="eastAsia" w:ascii="宋体" w:hAnsi="宋体" w:eastAsia="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B045AD1">
            <w:pPr>
              <w:pStyle w:val="53"/>
              <w:shd w:val="clear"/>
              <w:ind w:firstLine="560"/>
              <w:jc w:val="center"/>
              <w:rPr>
                <w:rFonts w:hint="eastAsia" w:ascii="宋体" w:hAnsi="宋体" w:eastAsia="宋体" w:cs="宋体"/>
                <w:color w:val="auto"/>
                <w:highlight w:val="none"/>
              </w:rPr>
            </w:pPr>
          </w:p>
        </w:tc>
      </w:tr>
      <w:tr w14:paraId="0F17F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789AC112">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1F477057">
            <w:pPr>
              <w:shd w:val="clear"/>
              <w:rPr>
                <w:rFonts w:hint="eastAsia" w:ascii="宋体" w:hAnsi="宋体" w:eastAsia="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FFF461F">
            <w:pPr>
              <w:pStyle w:val="53"/>
              <w:shd w:val="clear"/>
              <w:ind w:firstLine="560"/>
              <w:jc w:val="center"/>
              <w:rPr>
                <w:rFonts w:hint="eastAsia" w:ascii="宋体" w:hAnsi="宋体" w:eastAsia="宋体" w:cs="宋体"/>
                <w:color w:val="auto"/>
                <w:highlight w:val="none"/>
              </w:rPr>
            </w:pPr>
          </w:p>
        </w:tc>
      </w:tr>
      <w:tr w14:paraId="1AA4D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left w:val="single" w:color="auto" w:sz="4" w:space="0"/>
              <w:bottom w:val="single" w:color="auto" w:sz="4" w:space="0"/>
              <w:right w:val="single" w:color="auto" w:sz="4" w:space="0"/>
            </w:tcBorders>
            <w:vAlign w:val="center"/>
          </w:tcPr>
          <w:p w14:paraId="4854168F">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2CFF028C">
            <w:pPr>
              <w:pStyle w:val="53"/>
              <w:shd w:val="clear"/>
              <w:ind w:firstLine="560"/>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F2A3BD7">
            <w:pPr>
              <w:widowControl/>
              <w:shd w:val="clear"/>
              <w:jc w:val="center"/>
              <w:rPr>
                <w:rFonts w:hint="eastAsia" w:ascii="宋体" w:hAnsi="宋体" w:eastAsia="宋体" w:cs="宋体"/>
                <w:b/>
                <w:color w:val="auto"/>
                <w:sz w:val="24"/>
                <w:highlight w:val="none"/>
              </w:rPr>
            </w:pPr>
          </w:p>
        </w:tc>
      </w:tr>
      <w:tr w14:paraId="40376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left w:val="single" w:color="auto" w:sz="4" w:space="0"/>
              <w:bottom w:val="single" w:color="auto" w:sz="4" w:space="0"/>
              <w:right w:val="single" w:color="auto" w:sz="4" w:space="0"/>
            </w:tcBorders>
            <w:vAlign w:val="center"/>
          </w:tcPr>
          <w:p w14:paraId="5A49CB79">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405EF0A4">
            <w:pPr>
              <w:shd w:val="clear"/>
              <w:rPr>
                <w:rFonts w:hint="eastAsia" w:ascii="宋体" w:hAnsi="宋体" w:eastAsia="宋体" w:cs="宋体"/>
                <w:bCs/>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0D6E2C4">
            <w:pPr>
              <w:shd w:val="clear"/>
              <w:jc w:val="center"/>
              <w:rPr>
                <w:rFonts w:hint="eastAsia" w:ascii="宋体" w:hAnsi="宋体" w:eastAsia="宋体" w:cs="宋体"/>
                <w:bCs/>
                <w:color w:val="auto"/>
                <w:sz w:val="24"/>
                <w:highlight w:val="none"/>
              </w:rPr>
            </w:pPr>
          </w:p>
        </w:tc>
      </w:tr>
      <w:tr w14:paraId="18387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484F8F08">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00A512B5">
            <w:pPr>
              <w:shd w:val="clear"/>
              <w:rPr>
                <w:rFonts w:hint="eastAsia" w:ascii="宋体" w:hAnsi="宋体" w:eastAsia="宋体" w:cs="宋体"/>
                <w:bCs/>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D28C401">
            <w:pPr>
              <w:shd w:val="clear"/>
              <w:jc w:val="center"/>
              <w:rPr>
                <w:rFonts w:hint="eastAsia" w:ascii="宋体" w:hAnsi="宋体" w:eastAsia="宋体" w:cs="宋体"/>
                <w:bCs/>
                <w:color w:val="auto"/>
                <w:sz w:val="24"/>
                <w:highlight w:val="none"/>
              </w:rPr>
            </w:pPr>
          </w:p>
        </w:tc>
      </w:tr>
      <w:tr w14:paraId="218F9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14:paraId="3659BC3E">
            <w:pPr>
              <w:widowControl/>
              <w:shd w:val="clear"/>
              <w:rPr>
                <w:rFonts w:hint="eastAsia" w:ascii="宋体" w:hAnsi="宋体" w:eastAsia="宋体" w:cs="宋体"/>
                <w:color w:val="auto"/>
                <w:sz w:val="24"/>
                <w:highlight w:val="none"/>
              </w:rPr>
            </w:pPr>
          </w:p>
        </w:tc>
        <w:tc>
          <w:tcPr>
            <w:tcW w:w="5040" w:type="dxa"/>
            <w:tcBorders>
              <w:top w:val="single" w:color="auto" w:sz="4" w:space="0"/>
              <w:left w:val="single" w:color="auto" w:sz="4" w:space="0"/>
              <w:bottom w:val="single" w:color="auto" w:sz="4" w:space="0"/>
              <w:right w:val="single" w:color="auto" w:sz="4" w:space="0"/>
            </w:tcBorders>
            <w:vAlign w:val="center"/>
          </w:tcPr>
          <w:p w14:paraId="0DE81E0E">
            <w:pPr>
              <w:shd w:val="clear"/>
              <w:rPr>
                <w:rFonts w:hint="eastAsia" w:ascii="宋体" w:hAnsi="宋体" w:eastAsia="宋体" w:cs="宋体"/>
                <w:bCs/>
                <w:color w:val="auto"/>
                <w:sz w:val="24"/>
                <w:highlight w:val="none"/>
              </w:rPr>
            </w:pPr>
          </w:p>
        </w:tc>
        <w:tc>
          <w:tcPr>
            <w:tcW w:w="1995" w:type="dxa"/>
            <w:tcBorders>
              <w:top w:val="single" w:color="auto" w:sz="4" w:space="0"/>
              <w:left w:val="single" w:color="auto" w:sz="4" w:space="0"/>
              <w:right w:val="single" w:color="auto" w:sz="4" w:space="0"/>
            </w:tcBorders>
            <w:vAlign w:val="center"/>
          </w:tcPr>
          <w:p w14:paraId="62B7EB6F">
            <w:pPr>
              <w:shd w:val="clear"/>
              <w:jc w:val="center"/>
              <w:rPr>
                <w:rFonts w:hint="eastAsia" w:ascii="宋体" w:hAnsi="宋体" w:eastAsia="宋体" w:cs="宋体"/>
                <w:bCs/>
                <w:color w:val="auto"/>
                <w:sz w:val="24"/>
                <w:highlight w:val="none"/>
              </w:rPr>
            </w:pPr>
          </w:p>
        </w:tc>
      </w:tr>
    </w:tbl>
    <w:p w14:paraId="049945AD">
      <w:pPr>
        <w:pStyle w:val="5"/>
        <w:ind w:left="0" w:leftChars="0" w:firstLine="0" w:firstLineChars="0"/>
        <w:rPr>
          <w:rFonts w:hint="eastAsia" w:ascii="仿宋" w:hAnsi="仿宋" w:eastAsia="仿宋" w:cs="仿宋"/>
          <w:highlight w:val="none"/>
          <w:lang w:eastAsia="zh-CN"/>
        </w:rPr>
      </w:pPr>
    </w:p>
    <w:p w14:paraId="6E4CF995">
      <w:pPr>
        <w:rPr>
          <w:rFonts w:hint="eastAsia" w:ascii="仿宋" w:hAnsi="仿宋" w:eastAsia="仿宋" w:cs="仿宋"/>
          <w:highlight w:val="none"/>
          <w:lang w:eastAsia="zh-CN"/>
        </w:rPr>
      </w:pPr>
    </w:p>
    <w:p w14:paraId="317F19D1">
      <w:pPr>
        <w:spacing w:line="360" w:lineRule="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投标人(盖章):</w:t>
      </w:r>
    </w:p>
    <w:p w14:paraId="30733BB0">
      <w:pPr>
        <w:spacing w:line="360" w:lineRule="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日期:年月日</w:t>
      </w:r>
    </w:p>
    <w:p w14:paraId="2513F13C">
      <w:pPr>
        <w:snapToGrid w:val="0"/>
        <w:spacing w:line="360" w:lineRule="auto"/>
        <w:jc w:val="center"/>
        <w:outlineLvl w:val="0"/>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p>
    <w:p w14:paraId="43769E2F">
      <w:pPr>
        <w:snapToGrid w:val="0"/>
        <w:spacing w:line="360" w:lineRule="auto"/>
        <w:jc w:val="center"/>
        <w:outlineLvl w:val="0"/>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p>
    <w:p w14:paraId="0228EFF9">
      <w:pPr>
        <w:snapToGrid w:val="0"/>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二</w:t>
      </w:r>
      <w:r>
        <w:rPr>
          <w:rFonts w:hint="eastAsia" w:ascii="仿宋" w:hAnsi="仿宋" w:eastAsia="仿宋" w:cs="仿宋"/>
          <w:b/>
          <w:color w:val="000000" w:themeColor="text1"/>
          <w:kern w:val="0"/>
          <w:sz w:val="32"/>
          <w:szCs w:val="32"/>
          <w:highlight w:val="none"/>
          <w14:textFill>
            <w14:solidFill>
              <w14:schemeClr w14:val="tx1"/>
            </w14:solidFill>
          </w14:textFill>
        </w:rPr>
        <w:t>、投标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186F10D5">
      <w:pPr>
        <w:pStyle w:val="396"/>
        <w:spacing w:after="120" w:line="336" w:lineRule="auto"/>
        <w:ind w:firstLine="0" w:firstLineChars="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致：</w:t>
      </w:r>
    </w:p>
    <w:p w14:paraId="224DA69D">
      <w:pPr>
        <w:pStyle w:val="396"/>
        <w:spacing w:after="12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根据贵方招标文件（</w:t>
      </w:r>
      <w:r>
        <w:rPr>
          <w:rFonts w:hint="eastAsia" w:ascii="仿宋" w:hAnsi="仿宋" w:eastAsia="仿宋" w:cs="仿宋"/>
          <w:b/>
          <w:color w:val="000000" w:themeColor="text1"/>
          <w:szCs w:val="24"/>
          <w:highlight w:val="none"/>
          <w:u w:val="single"/>
          <w14:textFill>
            <w14:solidFill>
              <w14:schemeClr w14:val="tx1"/>
            </w14:solidFill>
          </w14:textFill>
        </w:rPr>
        <w:t>填写招标编号：</w:t>
      </w:r>
      <w:r>
        <w:rPr>
          <w:rFonts w:hint="eastAsia" w:ascii="仿宋" w:hAnsi="仿宋" w:eastAsia="仿宋" w:cs="仿宋"/>
          <w:color w:val="000000" w:themeColor="text1"/>
          <w:szCs w:val="24"/>
          <w:highlight w:val="none"/>
          <w14:textFill>
            <w14:solidFill>
              <w14:schemeClr w14:val="tx1"/>
            </w14:solidFill>
          </w14:textFill>
        </w:rPr>
        <w:t>）的要求，正式授权</w:t>
      </w:r>
      <w:r>
        <w:rPr>
          <w:rFonts w:hint="eastAsia" w:ascii="仿宋" w:hAnsi="仿宋" w:eastAsia="仿宋" w:cs="仿宋"/>
          <w:b/>
          <w:color w:val="000000" w:themeColor="text1"/>
          <w:szCs w:val="24"/>
          <w:highlight w:val="none"/>
          <w:u w:val="single"/>
          <w14:textFill>
            <w14:solidFill>
              <w14:schemeClr w14:val="tx1"/>
            </w14:solidFill>
          </w14:textFill>
        </w:rPr>
        <w:t>（全权代表姓名    、单位    、职务   ）</w:t>
      </w:r>
      <w:r>
        <w:rPr>
          <w:rFonts w:hint="eastAsia" w:ascii="仿宋" w:hAnsi="仿宋" w:eastAsia="仿宋" w:cs="仿宋"/>
          <w:color w:val="000000" w:themeColor="text1"/>
          <w:szCs w:val="24"/>
          <w:highlight w:val="none"/>
          <w14:textFill>
            <w14:solidFill>
              <w14:schemeClr w14:val="tx1"/>
            </w14:solidFill>
          </w14:textFill>
        </w:rPr>
        <w:t>代表投标人</w:t>
      </w:r>
      <w:r>
        <w:rPr>
          <w:rFonts w:hint="eastAsia" w:ascii="仿宋" w:hAnsi="仿宋" w:eastAsia="仿宋" w:cs="仿宋"/>
          <w:color w:val="000000" w:themeColor="text1"/>
          <w:szCs w:val="24"/>
          <w:highlight w:val="none"/>
          <w:u w:val="single"/>
          <w14:textFill>
            <w14:solidFill>
              <w14:schemeClr w14:val="tx1"/>
            </w14:solidFill>
          </w14:textFill>
        </w:rPr>
        <w:t>（</w:t>
      </w:r>
      <w:r>
        <w:rPr>
          <w:rFonts w:hint="eastAsia" w:ascii="仿宋" w:hAnsi="仿宋" w:eastAsia="仿宋" w:cs="仿宋"/>
          <w:b/>
          <w:color w:val="000000" w:themeColor="text1"/>
          <w:szCs w:val="24"/>
          <w:highlight w:val="none"/>
          <w:u w:val="single"/>
          <w14:textFill>
            <w14:solidFill>
              <w14:schemeClr w14:val="tx1"/>
            </w14:solidFill>
          </w14:textFill>
        </w:rPr>
        <w:t xml:space="preserve">填写单位    、地址   </w:t>
      </w:r>
      <w:r>
        <w:rPr>
          <w:rFonts w:hint="eastAsia" w:ascii="仿宋" w:hAnsi="仿宋" w:eastAsia="仿宋" w:cs="仿宋"/>
          <w:color w:val="000000" w:themeColor="text1"/>
          <w:szCs w:val="24"/>
          <w:highlight w:val="none"/>
          <w:u w:val="singl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提交投标文件。</w:t>
      </w:r>
    </w:p>
    <w:p w14:paraId="1F27318B">
      <w:pPr>
        <w:pStyle w:val="396"/>
        <w:spacing w:after="12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我方已完全明白招标文件的所有条款要求，兹声明同意如下：</w:t>
      </w:r>
    </w:p>
    <w:p w14:paraId="6D77C9D0">
      <w:pPr>
        <w:pStyle w:val="16"/>
        <w:tabs>
          <w:tab w:val="clear" w:pos="1697"/>
        </w:tabs>
        <w:spacing w:after="120" w:line="336" w:lineRule="auto"/>
        <w:ind w:left="0" w:firstLine="480" w:firstLineChars="200"/>
        <w:rPr>
          <w:rFonts w:ascii="仿宋" w:hAnsi="仿宋" w:eastAsia="仿宋" w:cs="仿宋"/>
          <w:color w:val="auto"/>
          <w:szCs w:val="24"/>
          <w:highlight w:val="none"/>
        </w:rPr>
      </w:pPr>
      <w:r>
        <w:rPr>
          <w:rFonts w:hint="eastAsia" w:ascii="仿宋" w:hAnsi="仿宋" w:eastAsia="仿宋" w:cs="仿宋"/>
          <w:color w:val="000000" w:themeColor="text1"/>
          <w:szCs w:val="24"/>
          <w:highlight w:val="none"/>
          <w14:textFill>
            <w14:solidFill>
              <w14:schemeClr w14:val="tx1"/>
            </w14:solidFill>
          </w14:textFill>
        </w:rPr>
        <w:t>1.我方同意在投标人</w:t>
      </w:r>
      <w:r>
        <w:rPr>
          <w:rFonts w:hint="eastAsia" w:ascii="仿宋" w:hAnsi="仿宋" w:eastAsia="仿宋" w:cs="仿宋"/>
          <w:color w:val="000000" w:themeColor="text1"/>
          <w:kern w:val="44"/>
          <w:szCs w:val="24"/>
          <w:highlight w:val="none"/>
          <w14:textFill>
            <w14:solidFill>
              <w14:schemeClr w14:val="tx1"/>
            </w14:solidFill>
          </w14:textFill>
        </w:rPr>
        <w:t>须知</w:t>
      </w:r>
      <w:r>
        <w:rPr>
          <w:rFonts w:hint="eastAsia" w:ascii="仿宋" w:hAnsi="仿宋" w:eastAsia="仿宋" w:cs="仿宋"/>
          <w:color w:val="000000" w:themeColor="text1"/>
          <w:szCs w:val="24"/>
          <w:highlight w:val="none"/>
          <w14:textFill>
            <w14:solidFill>
              <w14:schemeClr w14:val="tx1"/>
            </w14:solidFill>
          </w14:textFill>
        </w:rPr>
        <w:t>规定的开标日期起遵守本投标文件中的承诺且在投标有效期满之前均具有</w:t>
      </w:r>
      <w:r>
        <w:rPr>
          <w:rFonts w:hint="eastAsia" w:ascii="仿宋" w:hAnsi="仿宋" w:eastAsia="仿宋" w:cs="仿宋"/>
          <w:color w:val="auto"/>
          <w:szCs w:val="24"/>
          <w:highlight w:val="none"/>
        </w:rPr>
        <w:t>约束力。</w:t>
      </w:r>
    </w:p>
    <w:p w14:paraId="47D65A54">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2.我方承诺已经具备</w:t>
      </w:r>
      <w:r>
        <w:rPr>
          <w:rFonts w:hint="eastAsia" w:ascii="仿宋" w:hAnsi="仿宋" w:eastAsia="仿宋" w:cs="仿宋"/>
          <w:color w:val="auto"/>
          <w:szCs w:val="24"/>
          <w:highlight w:val="none"/>
          <w:lang w:eastAsia="zh-CN"/>
        </w:rPr>
        <w:t>本项目招标文件中要求</w:t>
      </w:r>
      <w:r>
        <w:rPr>
          <w:rFonts w:hint="eastAsia" w:ascii="仿宋" w:hAnsi="仿宋" w:eastAsia="仿宋" w:cs="仿宋"/>
          <w:color w:val="auto"/>
          <w:szCs w:val="24"/>
          <w:highlight w:val="none"/>
        </w:rPr>
        <w:t>的参加采购活动的供应商应当具备的条件。</w:t>
      </w:r>
    </w:p>
    <w:p w14:paraId="6266B2CB">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eastAsia="zh-CN"/>
        </w:rPr>
        <w:t>我方</w:t>
      </w:r>
      <w:r>
        <w:rPr>
          <w:rFonts w:hint="eastAsia" w:ascii="仿宋" w:hAnsi="仿宋" w:eastAsia="仿宋" w:cs="仿宋"/>
          <w:color w:val="auto"/>
          <w:szCs w:val="24"/>
          <w:highlight w:val="none"/>
        </w:rPr>
        <w:t>投标文件中填列的技术参数、配置、服务、数量等相关内容都是真实、准确的。保证在本次项目中所提供的资料全部真实和合法。同意向</w:t>
      </w:r>
      <w:r>
        <w:rPr>
          <w:rFonts w:hint="eastAsia" w:ascii="仿宋" w:hAnsi="仿宋" w:eastAsia="仿宋" w:cs="仿宋"/>
          <w:color w:val="auto"/>
          <w:szCs w:val="24"/>
          <w:highlight w:val="none"/>
          <w:lang w:eastAsia="zh-CN"/>
        </w:rPr>
        <w:t>采购人或</w:t>
      </w:r>
      <w:r>
        <w:rPr>
          <w:rFonts w:hint="eastAsia" w:ascii="仿宋" w:hAnsi="仿宋" w:eastAsia="仿宋" w:cs="仿宋"/>
          <w:color w:val="auto"/>
          <w:szCs w:val="24"/>
          <w:highlight w:val="none"/>
        </w:rPr>
        <w:t>采购代理机构提供可能另外要求的与投标有关的任何数据或资料。</w:t>
      </w:r>
    </w:p>
    <w:p w14:paraId="2D614603">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4.我方理解贵方将不受你们所收到的最低报价的约束。</w:t>
      </w:r>
    </w:p>
    <w:p w14:paraId="0956ECC1">
      <w:pPr>
        <w:pStyle w:val="16"/>
        <w:tabs>
          <w:tab w:val="clear" w:pos="1697"/>
        </w:tabs>
        <w:spacing w:after="120" w:line="336" w:lineRule="auto"/>
        <w:ind w:left="0"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5.本投标自开标之日（投标截止之日）起90天内有效。</w:t>
      </w:r>
    </w:p>
    <w:p w14:paraId="61A3EA6E">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6.我方将严格遵守</w:t>
      </w:r>
      <w:r>
        <w:rPr>
          <w:rFonts w:hint="eastAsia" w:ascii="仿宋" w:hAnsi="仿宋" w:eastAsia="仿宋" w:cs="仿宋"/>
          <w:color w:val="auto"/>
          <w:szCs w:val="24"/>
          <w:highlight w:val="none"/>
          <w:lang w:eastAsia="zh-CN"/>
        </w:rPr>
        <w:t>以下</w:t>
      </w:r>
      <w:r>
        <w:rPr>
          <w:rFonts w:hint="eastAsia" w:ascii="仿宋" w:hAnsi="仿宋" w:eastAsia="仿宋" w:cs="仿宋"/>
          <w:color w:val="auto"/>
          <w:szCs w:val="24"/>
          <w:highlight w:val="none"/>
          <w:lang w:val="en-US" w:eastAsia="zh-CN"/>
        </w:rPr>
        <w:t>条款</w:t>
      </w:r>
      <w:r>
        <w:rPr>
          <w:rFonts w:hint="eastAsia" w:ascii="仿宋" w:hAnsi="仿宋" w:eastAsia="仿宋" w:cs="仿宋"/>
          <w:color w:val="auto"/>
          <w:szCs w:val="24"/>
          <w:highlight w:val="none"/>
          <w:lang w:eastAsia="zh-CN"/>
        </w:rPr>
        <w:t>，即</w:t>
      </w:r>
      <w:r>
        <w:rPr>
          <w:rFonts w:hint="eastAsia" w:ascii="仿宋" w:hAnsi="仿宋" w:eastAsia="仿宋" w:cs="仿宋"/>
          <w:color w:val="auto"/>
          <w:szCs w:val="24"/>
          <w:highlight w:val="none"/>
        </w:rPr>
        <w:t>供应商有下列情形之一的，处以采购金额5‰以上10‰以下的罚款，列入不良行为记录名单，在一至三年内禁止参加本项目采购人发起的采购活动；构成犯罪的，依法追究刑事责任：</w:t>
      </w:r>
    </w:p>
    <w:p w14:paraId="25603582">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32A35092">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b)采取不正当手段诋毁、排挤其他供应商的；</w:t>
      </w:r>
    </w:p>
    <w:p w14:paraId="7782749F">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c)与采购人、</w:t>
      </w:r>
      <w:r>
        <w:rPr>
          <w:rFonts w:hint="eastAsia" w:ascii="仿宋" w:hAnsi="仿宋" w:eastAsia="仿宋" w:cs="仿宋"/>
          <w:color w:val="000000" w:themeColor="text1"/>
          <w:sz w:val="24"/>
          <w:highlight w:val="none"/>
          <w:lang w:eastAsia="zh-CN"/>
          <w14:textFill>
            <w14:solidFill>
              <w14:schemeClr w14:val="tx1"/>
            </w14:solidFill>
          </w14:textFill>
        </w:rPr>
        <w:t>其他</w:t>
      </w:r>
      <w:r>
        <w:rPr>
          <w:rFonts w:hint="eastAsia" w:ascii="仿宋" w:hAnsi="仿宋" w:eastAsia="仿宋" w:cs="仿宋"/>
          <w:color w:val="000000" w:themeColor="text1"/>
          <w:sz w:val="24"/>
          <w:highlight w:val="none"/>
          <w14:textFill>
            <w14:solidFill>
              <w14:schemeClr w14:val="tx1"/>
            </w14:solidFill>
          </w14:textFill>
        </w:rPr>
        <w:t>供应商或者采购代理机构恶意串通的；</w:t>
      </w:r>
    </w:p>
    <w:p w14:paraId="7B6264B9">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d)向采购人、采购代理机构行贿或者提供其他不正当利益的；</w:t>
      </w:r>
    </w:p>
    <w:p w14:paraId="5FCD2E7B">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e)在招标采购过程中与采购人进行协商谈判的；</w:t>
      </w:r>
    </w:p>
    <w:p w14:paraId="05193E72">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f)拒绝有关部门监督检查或提供虚假情况的。</w:t>
      </w:r>
    </w:p>
    <w:p w14:paraId="7D1D12FD">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供应商有前款第a)至e)项情形之一的，中标、成交无效。</w:t>
      </w:r>
    </w:p>
    <w:p w14:paraId="51ED35D8">
      <w:pPr>
        <w:pStyle w:val="396"/>
        <w:spacing w:after="12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地址：　　　　　　　　　　　　　　　邮政编码：</w:t>
      </w:r>
    </w:p>
    <w:p w14:paraId="1DD84E6E">
      <w:pPr>
        <w:pStyle w:val="396"/>
        <w:spacing w:after="12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电话：                              传真：</w:t>
      </w:r>
    </w:p>
    <w:p w14:paraId="0789FB2D">
      <w:pPr>
        <w:pStyle w:val="396"/>
        <w:spacing w:after="12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开户银行：                          </w:t>
      </w:r>
      <w:r>
        <w:rPr>
          <w:rFonts w:hint="eastAsia" w:ascii="仿宋" w:hAnsi="仿宋" w:eastAsia="仿宋" w:cs="仿宋"/>
          <w:color w:val="000000" w:themeColor="text1"/>
          <w:szCs w:val="24"/>
          <w:highlight w:val="none"/>
          <w:lang w:eastAsia="zh-CN"/>
          <w14:textFill>
            <w14:solidFill>
              <w14:schemeClr w14:val="tx1"/>
            </w14:solidFill>
          </w14:textFill>
        </w:rPr>
        <w:t>账号</w:t>
      </w:r>
      <w:r>
        <w:rPr>
          <w:rFonts w:hint="eastAsia" w:ascii="仿宋" w:hAnsi="仿宋" w:eastAsia="仿宋" w:cs="仿宋"/>
          <w:color w:val="000000" w:themeColor="text1"/>
          <w:szCs w:val="24"/>
          <w:highlight w:val="none"/>
          <w14:textFill>
            <w14:solidFill>
              <w14:schemeClr w14:val="tx1"/>
            </w14:solidFill>
          </w14:textFill>
        </w:rPr>
        <w:t>：</w:t>
      </w:r>
    </w:p>
    <w:p w14:paraId="5DE0374E">
      <w:pPr>
        <w:pStyle w:val="396"/>
        <w:spacing w:after="12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法定代表人或其授权代表(签字或盖章)：</w:t>
      </w:r>
    </w:p>
    <w:p w14:paraId="7C2C77A1">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p>
    <w:p w14:paraId="0D964081">
      <w:pPr>
        <w:snapToGrid w:val="0"/>
        <w:spacing w:line="336" w:lineRule="auto"/>
        <w:ind w:firstLine="480" w:firstLineChars="200"/>
        <w:jc w:val="left"/>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投标人(盖章)：　　　　　　　　　日期：  </w:t>
      </w:r>
    </w:p>
    <w:p w14:paraId="2086DC93">
      <w:pPr>
        <w:snapToGrid w:val="0"/>
        <w:spacing w:line="360" w:lineRule="auto"/>
        <w:jc w:val="center"/>
        <w:rPr>
          <w:rFonts w:ascii="仿宋" w:hAnsi="仿宋" w:eastAsia="仿宋" w:cs="仿宋"/>
          <w:b/>
          <w:color w:val="000000" w:themeColor="text1"/>
          <w:kern w:val="0"/>
          <w:sz w:val="32"/>
          <w:szCs w:val="32"/>
          <w:highlight w:val="none"/>
          <w14:textFill>
            <w14:solidFill>
              <w14:schemeClr w14:val="tx1"/>
            </w14:solidFill>
          </w14:textFill>
        </w:rPr>
      </w:pPr>
    </w:p>
    <w:p w14:paraId="59AB8057">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427405FC">
      <w:pPr>
        <w:jc w:val="center"/>
        <w:rPr>
          <w:rFonts w:ascii="仿宋" w:hAnsi="仿宋" w:eastAsia="仿宋" w:cs="仿宋"/>
          <w:b/>
          <w:color w:val="000000" w:themeColor="text1"/>
          <w:kern w:val="0"/>
          <w:sz w:val="32"/>
          <w:szCs w:val="32"/>
          <w:highlight w:val="none"/>
          <w14:textFill>
            <w14:solidFill>
              <w14:schemeClr w14:val="tx1"/>
            </w14:solidFill>
          </w14:textFill>
        </w:rPr>
      </w:pPr>
    </w:p>
    <w:p w14:paraId="69EBAF63">
      <w:pPr>
        <w:jc w:val="center"/>
        <w:rPr>
          <w:rFonts w:ascii="仿宋" w:hAnsi="仿宋" w:eastAsia="仿宋" w:cs="仿宋"/>
          <w:b/>
          <w:color w:val="000000" w:themeColor="text1"/>
          <w:kern w:val="0"/>
          <w:sz w:val="32"/>
          <w:szCs w:val="32"/>
          <w:highlight w:val="none"/>
          <w14:textFill>
            <w14:solidFill>
              <w14:schemeClr w14:val="tx1"/>
            </w14:solidFill>
          </w14:textFill>
        </w:rPr>
      </w:pPr>
    </w:p>
    <w:p w14:paraId="5753ACFF">
      <w:pPr>
        <w:jc w:val="center"/>
        <w:rPr>
          <w:rFonts w:ascii="仿宋" w:hAnsi="仿宋" w:eastAsia="仿宋" w:cs="仿宋"/>
          <w:b/>
          <w:color w:val="000000" w:themeColor="text1"/>
          <w:kern w:val="0"/>
          <w:sz w:val="32"/>
          <w:szCs w:val="32"/>
          <w:highlight w:val="none"/>
          <w14:textFill>
            <w14:solidFill>
              <w14:schemeClr w14:val="tx1"/>
            </w14:solidFill>
          </w14:textFill>
        </w:rPr>
      </w:pPr>
    </w:p>
    <w:p w14:paraId="14BAE8C6">
      <w:pPr>
        <w:jc w:val="center"/>
        <w:rPr>
          <w:rFonts w:ascii="仿宋" w:hAnsi="仿宋" w:eastAsia="仿宋" w:cs="仿宋"/>
          <w:b/>
          <w:color w:val="000000" w:themeColor="text1"/>
          <w:kern w:val="0"/>
          <w:sz w:val="32"/>
          <w:szCs w:val="32"/>
          <w:highlight w:val="none"/>
          <w14:textFill>
            <w14:solidFill>
              <w14:schemeClr w14:val="tx1"/>
            </w14:solidFill>
          </w14:textFill>
        </w:rPr>
      </w:pPr>
    </w:p>
    <w:p w14:paraId="04A3CCCB">
      <w:pPr>
        <w:jc w:val="center"/>
        <w:rPr>
          <w:rFonts w:ascii="仿宋" w:hAnsi="仿宋" w:eastAsia="仿宋" w:cs="仿宋"/>
          <w:b/>
          <w:color w:val="000000" w:themeColor="text1"/>
          <w:kern w:val="0"/>
          <w:sz w:val="32"/>
          <w:szCs w:val="32"/>
          <w:highlight w:val="none"/>
          <w14:textFill>
            <w14:solidFill>
              <w14:schemeClr w14:val="tx1"/>
            </w14:solidFill>
          </w14:textFill>
        </w:rPr>
      </w:pPr>
    </w:p>
    <w:p w14:paraId="2DE6296A">
      <w:pPr>
        <w:jc w:val="center"/>
        <w:rPr>
          <w:rFonts w:ascii="仿宋" w:hAnsi="仿宋" w:eastAsia="仿宋" w:cs="仿宋"/>
          <w:b/>
          <w:color w:val="000000" w:themeColor="text1"/>
          <w:kern w:val="0"/>
          <w:sz w:val="32"/>
          <w:szCs w:val="32"/>
          <w:highlight w:val="none"/>
          <w14:textFill>
            <w14:solidFill>
              <w14:schemeClr w14:val="tx1"/>
            </w14:solidFill>
          </w14:textFill>
        </w:rPr>
      </w:pPr>
    </w:p>
    <w:p w14:paraId="69E4BEE5">
      <w:pPr>
        <w:jc w:val="center"/>
        <w:rPr>
          <w:rFonts w:ascii="仿宋" w:hAnsi="仿宋" w:eastAsia="仿宋" w:cs="仿宋"/>
          <w:b/>
          <w:color w:val="000000" w:themeColor="text1"/>
          <w:kern w:val="0"/>
          <w:sz w:val="32"/>
          <w:szCs w:val="32"/>
          <w:highlight w:val="none"/>
          <w14:textFill>
            <w14:solidFill>
              <w14:schemeClr w14:val="tx1"/>
            </w14:solidFill>
          </w14:textFill>
        </w:rPr>
      </w:pPr>
    </w:p>
    <w:p w14:paraId="131A3413">
      <w:pPr>
        <w:jc w:val="center"/>
        <w:rPr>
          <w:rFonts w:ascii="仿宋" w:hAnsi="仿宋" w:eastAsia="仿宋" w:cs="仿宋"/>
          <w:b/>
          <w:color w:val="000000" w:themeColor="text1"/>
          <w:kern w:val="0"/>
          <w:sz w:val="32"/>
          <w:szCs w:val="32"/>
          <w:highlight w:val="none"/>
          <w14:textFill>
            <w14:solidFill>
              <w14:schemeClr w14:val="tx1"/>
            </w14:solidFill>
          </w14:textFill>
        </w:rPr>
      </w:pPr>
    </w:p>
    <w:p w14:paraId="10B06583">
      <w:pPr>
        <w:jc w:val="center"/>
        <w:rPr>
          <w:rFonts w:ascii="仿宋" w:hAnsi="仿宋" w:eastAsia="仿宋" w:cs="仿宋"/>
          <w:b/>
          <w:color w:val="000000" w:themeColor="text1"/>
          <w:kern w:val="0"/>
          <w:sz w:val="32"/>
          <w:szCs w:val="32"/>
          <w:highlight w:val="none"/>
          <w14:textFill>
            <w14:solidFill>
              <w14:schemeClr w14:val="tx1"/>
            </w14:solidFill>
          </w14:textFill>
        </w:rPr>
      </w:pPr>
    </w:p>
    <w:p w14:paraId="46E77AC5">
      <w:pPr>
        <w:jc w:val="center"/>
        <w:rPr>
          <w:rFonts w:ascii="仿宋" w:hAnsi="仿宋" w:eastAsia="仿宋" w:cs="仿宋"/>
          <w:b/>
          <w:color w:val="000000" w:themeColor="text1"/>
          <w:kern w:val="0"/>
          <w:sz w:val="32"/>
          <w:szCs w:val="32"/>
          <w:highlight w:val="none"/>
          <w14:textFill>
            <w14:solidFill>
              <w14:schemeClr w14:val="tx1"/>
            </w14:solidFill>
          </w14:textFill>
        </w:rPr>
      </w:pPr>
    </w:p>
    <w:p w14:paraId="16AA614A">
      <w:pPr>
        <w:jc w:val="center"/>
        <w:rPr>
          <w:rFonts w:ascii="仿宋" w:hAnsi="仿宋" w:eastAsia="仿宋" w:cs="仿宋"/>
          <w:b/>
          <w:color w:val="000000" w:themeColor="text1"/>
          <w:kern w:val="0"/>
          <w:sz w:val="32"/>
          <w:szCs w:val="32"/>
          <w:highlight w:val="none"/>
          <w14:textFill>
            <w14:solidFill>
              <w14:schemeClr w14:val="tx1"/>
            </w14:solidFill>
          </w14:textFill>
        </w:rPr>
      </w:pPr>
    </w:p>
    <w:p w14:paraId="53E1C01D">
      <w:pPr>
        <w:jc w:val="center"/>
        <w:rPr>
          <w:rFonts w:ascii="仿宋" w:hAnsi="仿宋" w:eastAsia="仿宋" w:cs="仿宋"/>
          <w:b/>
          <w:color w:val="000000" w:themeColor="text1"/>
          <w:kern w:val="0"/>
          <w:sz w:val="32"/>
          <w:szCs w:val="32"/>
          <w:highlight w:val="none"/>
          <w14:textFill>
            <w14:solidFill>
              <w14:schemeClr w14:val="tx1"/>
            </w14:solidFill>
          </w14:textFill>
        </w:rPr>
      </w:pPr>
    </w:p>
    <w:p w14:paraId="61B67ED4">
      <w:pPr>
        <w:jc w:val="center"/>
        <w:rPr>
          <w:rFonts w:ascii="仿宋" w:hAnsi="仿宋" w:eastAsia="仿宋" w:cs="仿宋"/>
          <w:b/>
          <w:color w:val="000000" w:themeColor="text1"/>
          <w:kern w:val="0"/>
          <w:sz w:val="32"/>
          <w:szCs w:val="32"/>
          <w:highlight w:val="none"/>
          <w14:textFill>
            <w14:solidFill>
              <w14:schemeClr w14:val="tx1"/>
            </w14:solidFill>
          </w14:textFill>
        </w:rPr>
      </w:pPr>
    </w:p>
    <w:p w14:paraId="1608A82F">
      <w:pPr>
        <w:jc w:val="center"/>
        <w:rPr>
          <w:rFonts w:ascii="仿宋" w:hAnsi="仿宋" w:eastAsia="仿宋" w:cs="仿宋"/>
          <w:b/>
          <w:color w:val="000000" w:themeColor="text1"/>
          <w:kern w:val="0"/>
          <w:sz w:val="32"/>
          <w:szCs w:val="32"/>
          <w:highlight w:val="none"/>
          <w14:textFill>
            <w14:solidFill>
              <w14:schemeClr w14:val="tx1"/>
            </w14:solidFill>
          </w14:textFill>
        </w:rPr>
      </w:pPr>
    </w:p>
    <w:p w14:paraId="42E9A5E0">
      <w:pPr>
        <w:jc w:val="center"/>
        <w:rPr>
          <w:rFonts w:ascii="仿宋" w:hAnsi="仿宋" w:eastAsia="仿宋" w:cs="仿宋"/>
          <w:b/>
          <w:color w:val="000000" w:themeColor="text1"/>
          <w:kern w:val="0"/>
          <w:sz w:val="32"/>
          <w:szCs w:val="32"/>
          <w:highlight w:val="none"/>
          <w14:textFill>
            <w14:solidFill>
              <w14:schemeClr w14:val="tx1"/>
            </w14:solidFill>
          </w14:textFill>
        </w:rPr>
      </w:pPr>
    </w:p>
    <w:p w14:paraId="1EF1F000">
      <w:pPr>
        <w:jc w:val="center"/>
        <w:rPr>
          <w:rFonts w:ascii="仿宋" w:hAnsi="仿宋" w:eastAsia="仿宋" w:cs="仿宋"/>
          <w:b/>
          <w:color w:val="000000" w:themeColor="text1"/>
          <w:kern w:val="0"/>
          <w:sz w:val="32"/>
          <w:szCs w:val="32"/>
          <w:highlight w:val="none"/>
          <w14:textFill>
            <w14:solidFill>
              <w14:schemeClr w14:val="tx1"/>
            </w14:solidFill>
          </w14:textFill>
        </w:rPr>
      </w:pPr>
    </w:p>
    <w:p w14:paraId="2309344F">
      <w:pPr>
        <w:pStyle w:val="80"/>
        <w:jc w:val="center"/>
        <w:rPr>
          <w:rFonts w:ascii="仿宋" w:hAnsi="仿宋" w:eastAsia="仿宋" w:cs="仿宋"/>
          <w:color w:val="000000" w:themeColor="text1"/>
          <w:highlight w:val="none"/>
          <w14:textFill>
            <w14:solidFill>
              <w14:schemeClr w14:val="tx1"/>
            </w14:solidFill>
          </w14:textFill>
        </w:rPr>
      </w:pPr>
    </w:p>
    <w:p w14:paraId="498E1104">
      <w:pPr>
        <w:pStyle w:val="81"/>
        <w:jc w:val="center"/>
        <w:rPr>
          <w:rFonts w:ascii="仿宋" w:hAnsi="仿宋" w:eastAsia="仿宋" w:cs="仿宋"/>
          <w:color w:val="000000" w:themeColor="text1"/>
          <w:highlight w:val="none"/>
          <w14:textFill>
            <w14:solidFill>
              <w14:schemeClr w14:val="tx1"/>
            </w14:solidFill>
          </w14:textFill>
        </w:rPr>
      </w:pPr>
    </w:p>
    <w:p w14:paraId="032C55F5">
      <w:pPr>
        <w:jc w:val="center"/>
        <w:rPr>
          <w:rFonts w:ascii="仿宋" w:hAnsi="仿宋" w:eastAsia="仿宋" w:cs="仿宋"/>
          <w:color w:val="000000" w:themeColor="text1"/>
          <w:highlight w:val="none"/>
          <w14:textFill>
            <w14:solidFill>
              <w14:schemeClr w14:val="tx1"/>
            </w14:solidFill>
          </w14:textFill>
        </w:rPr>
      </w:pPr>
    </w:p>
    <w:p w14:paraId="400F89D7">
      <w:pPr>
        <w:pStyle w:val="80"/>
        <w:jc w:val="center"/>
        <w:rPr>
          <w:rFonts w:ascii="仿宋" w:hAnsi="仿宋" w:eastAsia="仿宋" w:cs="仿宋"/>
          <w:color w:val="000000" w:themeColor="text1"/>
          <w:highlight w:val="none"/>
          <w14:textFill>
            <w14:solidFill>
              <w14:schemeClr w14:val="tx1"/>
            </w14:solidFill>
          </w14:textFill>
        </w:rPr>
      </w:pPr>
    </w:p>
    <w:p w14:paraId="18E6665D">
      <w:pPr>
        <w:pStyle w:val="81"/>
        <w:jc w:val="center"/>
        <w:rPr>
          <w:rFonts w:ascii="仿宋" w:hAnsi="仿宋" w:eastAsia="仿宋" w:cs="仿宋"/>
          <w:color w:val="000000" w:themeColor="text1"/>
          <w:highlight w:val="none"/>
          <w14:textFill>
            <w14:solidFill>
              <w14:schemeClr w14:val="tx1"/>
            </w14:solidFill>
          </w14:textFill>
        </w:rPr>
      </w:pPr>
    </w:p>
    <w:p w14:paraId="7986D6DF">
      <w:pPr>
        <w:jc w:val="center"/>
        <w:rPr>
          <w:rFonts w:ascii="仿宋" w:hAnsi="仿宋" w:eastAsia="仿宋" w:cs="仿宋"/>
          <w:color w:val="000000" w:themeColor="text1"/>
          <w:highlight w:val="none"/>
          <w14:textFill>
            <w14:solidFill>
              <w14:schemeClr w14:val="tx1"/>
            </w14:solidFill>
          </w14:textFill>
        </w:rPr>
      </w:pPr>
    </w:p>
    <w:p w14:paraId="10300760">
      <w:pPr>
        <w:pStyle w:val="80"/>
        <w:jc w:val="center"/>
        <w:rPr>
          <w:rFonts w:ascii="仿宋" w:hAnsi="仿宋" w:eastAsia="仿宋" w:cs="仿宋"/>
          <w:color w:val="000000" w:themeColor="text1"/>
          <w:highlight w:val="none"/>
          <w14:textFill>
            <w14:solidFill>
              <w14:schemeClr w14:val="tx1"/>
            </w14:solidFill>
          </w14:textFill>
        </w:rPr>
      </w:pPr>
    </w:p>
    <w:p w14:paraId="2505ABA8">
      <w:pPr>
        <w:pStyle w:val="81"/>
        <w:jc w:val="center"/>
        <w:rPr>
          <w:rFonts w:ascii="仿宋" w:hAnsi="仿宋" w:eastAsia="仿宋" w:cs="仿宋"/>
          <w:color w:val="000000" w:themeColor="text1"/>
          <w:highlight w:val="none"/>
          <w14:textFill>
            <w14:solidFill>
              <w14:schemeClr w14:val="tx1"/>
            </w14:solidFill>
          </w14:textFill>
        </w:rPr>
      </w:pPr>
    </w:p>
    <w:p w14:paraId="35E6D524">
      <w:pPr>
        <w:rPr>
          <w:rFonts w:ascii="仿宋" w:hAnsi="仿宋" w:eastAsia="仿宋" w:cs="仿宋"/>
          <w:color w:val="000000" w:themeColor="text1"/>
          <w:highlight w:val="none"/>
          <w14:textFill>
            <w14:solidFill>
              <w14:schemeClr w14:val="tx1"/>
            </w14:solidFill>
          </w14:textFill>
        </w:rPr>
      </w:pPr>
    </w:p>
    <w:p w14:paraId="0A443691">
      <w:pPr>
        <w:jc w:val="center"/>
        <w:rPr>
          <w:rFonts w:ascii="仿宋" w:hAnsi="仿宋" w:eastAsia="仿宋" w:cs="仿宋"/>
          <w:b/>
          <w:color w:val="000000" w:themeColor="text1"/>
          <w:kern w:val="0"/>
          <w:sz w:val="32"/>
          <w:szCs w:val="32"/>
          <w:highlight w:val="none"/>
          <w14:textFill>
            <w14:solidFill>
              <w14:schemeClr w14:val="tx1"/>
            </w14:solidFill>
          </w14:textFill>
        </w:rPr>
      </w:pPr>
    </w:p>
    <w:p w14:paraId="10A05262">
      <w:pPr>
        <w:jc w:val="center"/>
        <w:rPr>
          <w:rFonts w:ascii="仿宋" w:hAnsi="仿宋" w:eastAsia="仿宋" w:cs="仿宋"/>
          <w:b/>
          <w:color w:val="000000" w:themeColor="text1"/>
          <w:kern w:val="0"/>
          <w:sz w:val="32"/>
          <w:szCs w:val="32"/>
          <w:highlight w:val="none"/>
          <w14:textFill>
            <w14:solidFill>
              <w14:schemeClr w14:val="tx1"/>
            </w14:solidFill>
          </w14:textFill>
        </w:rPr>
      </w:pPr>
    </w:p>
    <w:p w14:paraId="705C86DC">
      <w:pPr>
        <w:widowControl/>
        <w:adjustRightInd/>
        <w:jc w:val="center"/>
        <w:rPr>
          <w:ins w:id="4" w:author="杨凯" w:date="2024-09-09T13:47:51Z"/>
          <w:rFonts w:hint="eastAsia" w:ascii="仿宋" w:hAnsi="仿宋" w:eastAsia="仿宋" w:cs="仿宋"/>
          <w:b/>
          <w:color w:val="000000" w:themeColor="text1"/>
          <w:sz w:val="30"/>
          <w:szCs w:val="30"/>
          <w:highlight w:val="none"/>
          <w14:textFill>
            <w14:solidFill>
              <w14:schemeClr w14:val="tx1"/>
            </w14:solidFill>
          </w14:textFill>
        </w:rPr>
      </w:pPr>
    </w:p>
    <w:p w14:paraId="0C11044A">
      <w:pPr>
        <w:widowControl/>
        <w:adjustRightInd/>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三</w:t>
      </w:r>
      <w:r>
        <w:rPr>
          <w:rFonts w:hint="eastAsia" w:ascii="仿宋" w:hAnsi="仿宋" w:eastAsia="仿宋" w:cs="仿宋"/>
          <w:b/>
          <w:color w:val="000000" w:themeColor="text1"/>
          <w:sz w:val="30"/>
          <w:szCs w:val="30"/>
          <w:highlight w:val="none"/>
          <w14:textFill>
            <w14:solidFill>
              <w14:schemeClr w14:val="tx1"/>
            </w14:solidFill>
          </w14:textFill>
        </w:rPr>
        <w:t xml:space="preserve">、法定代表人授权委托书（格式） </w:t>
      </w:r>
      <w:r>
        <w:rPr>
          <w:rFonts w:hint="eastAsia" w:ascii="仿宋" w:hAnsi="仿宋" w:eastAsia="仿宋" w:cs="仿宋"/>
          <w:b/>
          <w:color w:val="000000" w:themeColor="text1"/>
          <w:kern w:val="0"/>
          <w:sz w:val="32"/>
          <w:szCs w:val="32"/>
          <w:highlight w:val="none"/>
          <w:lang w:val="zh-CN"/>
          <w14:textFill>
            <w14:solidFill>
              <w14:schemeClr w14:val="tx1"/>
            </w14:solidFill>
          </w14:textFill>
        </w:rPr>
        <w:t>（适用于非联合体投标）</w:t>
      </w:r>
    </w:p>
    <w:p w14:paraId="4517936E">
      <w:pPr>
        <w:jc w:val="center"/>
        <w:rPr>
          <w:rFonts w:ascii="仿宋" w:hAnsi="仿宋" w:eastAsia="仿宋" w:cs="仿宋"/>
          <w:b/>
          <w:color w:val="000000" w:themeColor="text1"/>
          <w:sz w:val="24"/>
          <w:highlight w:val="none"/>
          <w14:textFill>
            <w14:solidFill>
              <w14:schemeClr w14:val="tx1"/>
            </w14:solidFill>
          </w14:textFill>
        </w:rPr>
      </w:pPr>
    </w:p>
    <w:p w14:paraId="473BB4A3">
      <w:pPr>
        <w:snapToGrid w:val="0"/>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本授权委托书声明：我</w:t>
      </w:r>
      <w:r>
        <w:rPr>
          <w:rFonts w:hint="eastAsia" w:ascii="仿宋" w:hAnsi="仿宋" w:eastAsia="仿宋" w:cs="仿宋"/>
          <w:color w:val="000000" w:themeColor="text1"/>
          <w:sz w:val="24"/>
          <w:highlight w:val="none"/>
          <w:u w:val="single"/>
          <w14:textFill>
            <w14:solidFill>
              <w14:schemeClr w14:val="tx1"/>
            </w14:solidFill>
          </w14:textFill>
        </w:rPr>
        <w:t xml:space="preserve">         (填写姓名)</w:t>
      </w: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（填写投标人单位全称）</w:t>
      </w:r>
      <w:r>
        <w:rPr>
          <w:rFonts w:hint="eastAsia" w:ascii="仿宋" w:hAnsi="仿宋" w:eastAsia="仿宋" w:cs="仿宋"/>
          <w:color w:val="000000" w:themeColor="text1"/>
          <w:sz w:val="24"/>
          <w:highlight w:val="none"/>
          <w14:textFill>
            <w14:solidFill>
              <w14:schemeClr w14:val="tx1"/>
            </w14:solidFill>
          </w14:textFill>
        </w:rPr>
        <w:t>的法定代表人，现授权委托</w:t>
      </w:r>
      <w:r>
        <w:rPr>
          <w:rFonts w:hint="eastAsia" w:ascii="仿宋" w:hAnsi="仿宋" w:eastAsia="仿宋" w:cs="仿宋"/>
          <w:color w:val="000000" w:themeColor="text1"/>
          <w:sz w:val="24"/>
          <w:highlight w:val="none"/>
          <w:u w:val="single"/>
          <w14:textFill>
            <w14:solidFill>
              <w14:schemeClr w14:val="tx1"/>
            </w14:solidFill>
          </w14:textFill>
        </w:rPr>
        <w:t xml:space="preserve">                  （填写单位全称）</w:t>
      </w:r>
      <w:r>
        <w:rPr>
          <w:rFonts w:hint="eastAsia" w:ascii="仿宋" w:hAnsi="仿宋" w:eastAsia="仿宋" w:cs="仿宋"/>
          <w:color w:val="000000" w:themeColor="text1"/>
          <w:sz w:val="24"/>
          <w:highlight w:val="none"/>
          <w14:textFill>
            <w14:solidFill>
              <w14:schemeClr w14:val="tx1"/>
            </w14:solidFill>
          </w14:textFill>
        </w:rPr>
        <w:t>的（填写姓名）为我公司授权代表，</w:t>
      </w:r>
      <w:r>
        <w:rPr>
          <w:rFonts w:hint="eastAsia" w:ascii="仿宋" w:hAnsi="仿宋" w:eastAsia="仿宋" w:cs="仿宋"/>
          <w:color w:val="000000" w:themeColor="text1"/>
          <w:sz w:val="24"/>
          <w:highlight w:val="none"/>
          <w:u w:val="single"/>
          <w14:textFill>
            <w14:solidFill>
              <w14:schemeClr w14:val="tx1"/>
            </w14:solidFill>
          </w14:textFill>
        </w:rPr>
        <w:t>（填写身份证号码：                       ）</w:t>
      </w:r>
      <w:r>
        <w:rPr>
          <w:rFonts w:hint="eastAsia" w:ascii="仿宋" w:hAnsi="仿宋" w:eastAsia="仿宋" w:cs="仿宋"/>
          <w:color w:val="000000" w:themeColor="text1"/>
          <w:sz w:val="24"/>
          <w:highlight w:val="none"/>
          <w14:textFill>
            <w14:solidFill>
              <w14:schemeClr w14:val="tx1"/>
            </w14:solidFill>
          </w14:textFill>
        </w:rPr>
        <w:t>。以本公司的名义参加组织的投标活动。授权代表在开标、评标、合同谈判过程中所签署的一切文件和处理与之有关的一切事务，我均予以承认。</w:t>
      </w:r>
    </w:p>
    <w:p w14:paraId="707CAAE1">
      <w:pPr>
        <w:snapToGrid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14:paraId="4B30CAFA">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授权代表无转委托权。特此委托。</w:t>
      </w:r>
    </w:p>
    <w:p w14:paraId="08084376">
      <w:pPr>
        <w:snapToGrid w:val="0"/>
        <w:spacing w:line="600" w:lineRule="exact"/>
        <w:jc w:val="left"/>
        <w:rPr>
          <w:rFonts w:ascii="仿宋" w:hAnsi="仿宋" w:eastAsia="仿宋" w:cs="仿宋"/>
          <w:color w:val="000000" w:themeColor="text1"/>
          <w:sz w:val="24"/>
          <w:highlight w:val="none"/>
          <w14:textFill>
            <w14:solidFill>
              <w14:schemeClr w14:val="tx1"/>
            </w14:solidFill>
          </w14:textFill>
        </w:rPr>
      </w:pPr>
    </w:p>
    <w:p w14:paraId="192A5863">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授权代表姓名：              性别：               年龄：</w:t>
      </w:r>
    </w:p>
    <w:p w14:paraId="35118C40">
      <w:pPr>
        <w:spacing w:line="360" w:lineRule="exact"/>
        <w:rPr>
          <w:rFonts w:ascii="仿宋" w:hAnsi="仿宋" w:eastAsia="仿宋" w:cs="仿宋"/>
          <w:color w:val="000000" w:themeColor="text1"/>
          <w:sz w:val="24"/>
          <w:highlight w:val="none"/>
          <w14:textFill>
            <w14:solidFill>
              <w14:schemeClr w14:val="tx1"/>
            </w14:solidFill>
          </w14:textFill>
        </w:rPr>
      </w:pPr>
    </w:p>
    <w:p w14:paraId="6E42C256">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                      部门：               职务：</w:t>
      </w:r>
    </w:p>
    <w:p w14:paraId="0DFC19E5">
      <w:pPr>
        <w:spacing w:line="360" w:lineRule="exact"/>
        <w:rPr>
          <w:rFonts w:ascii="仿宋" w:hAnsi="仿宋" w:eastAsia="仿宋" w:cs="仿宋"/>
          <w:color w:val="000000" w:themeColor="text1"/>
          <w:sz w:val="24"/>
          <w:highlight w:val="none"/>
          <w14:textFill>
            <w14:solidFill>
              <w14:schemeClr w14:val="tx1"/>
            </w14:solidFill>
          </w14:textFill>
        </w:rPr>
      </w:pPr>
    </w:p>
    <w:p w14:paraId="621FA94D">
      <w:pPr>
        <w:widowControl/>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办公地址：                  联系电话：           传真：</w:t>
      </w:r>
    </w:p>
    <w:p w14:paraId="7DF6F87E">
      <w:pPr>
        <w:spacing w:line="360" w:lineRule="exact"/>
        <w:rPr>
          <w:rFonts w:ascii="仿宋" w:hAnsi="仿宋" w:eastAsia="仿宋" w:cs="仿宋"/>
          <w:color w:val="000000" w:themeColor="text1"/>
          <w:sz w:val="24"/>
          <w:highlight w:val="none"/>
          <w14:textFill>
            <w14:solidFill>
              <w14:schemeClr w14:val="tx1"/>
            </w14:solidFill>
          </w14:textFill>
        </w:rPr>
      </w:pPr>
    </w:p>
    <w:p w14:paraId="2DA5C375">
      <w:pPr>
        <w:spacing w:line="360" w:lineRule="exact"/>
        <w:rPr>
          <w:rFonts w:ascii="仿宋" w:hAnsi="仿宋" w:eastAsia="仿宋" w:cs="仿宋"/>
          <w:color w:val="000000" w:themeColor="text1"/>
          <w:sz w:val="24"/>
          <w:highlight w:val="none"/>
          <w14:textFill>
            <w14:solidFill>
              <w14:schemeClr w14:val="tx1"/>
            </w14:solidFill>
          </w14:textFill>
        </w:rPr>
      </w:pPr>
    </w:p>
    <w:p w14:paraId="29C1EBC7">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投标人（盖章）：</w:t>
      </w:r>
    </w:p>
    <w:p w14:paraId="494506BB">
      <w:pPr>
        <w:spacing w:line="360" w:lineRule="exact"/>
        <w:rPr>
          <w:rFonts w:ascii="仿宋" w:hAnsi="仿宋" w:eastAsia="仿宋" w:cs="仿宋"/>
          <w:color w:val="000000" w:themeColor="text1"/>
          <w:sz w:val="24"/>
          <w:highlight w:val="none"/>
          <w14:textFill>
            <w14:solidFill>
              <w14:schemeClr w14:val="tx1"/>
            </w14:solidFill>
          </w14:textFill>
        </w:rPr>
      </w:pPr>
    </w:p>
    <w:p w14:paraId="585F7A8E">
      <w:pPr>
        <w:spacing w:line="360" w:lineRule="exact"/>
        <w:rPr>
          <w:rFonts w:ascii="仿宋" w:hAnsi="仿宋" w:eastAsia="仿宋" w:cs="仿宋"/>
          <w:color w:val="000000" w:themeColor="text1"/>
          <w:sz w:val="24"/>
          <w:highlight w:val="none"/>
          <w14:textFill>
            <w14:solidFill>
              <w14:schemeClr w14:val="tx1"/>
            </w14:solidFill>
          </w14:textFill>
        </w:rPr>
      </w:pPr>
    </w:p>
    <w:p w14:paraId="5AEA4F42">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法定代表人（签字或盖章）：</w:t>
      </w:r>
    </w:p>
    <w:p w14:paraId="44329D77">
      <w:pPr>
        <w:spacing w:line="360" w:lineRule="exact"/>
        <w:rPr>
          <w:rFonts w:ascii="仿宋" w:hAnsi="仿宋" w:eastAsia="仿宋" w:cs="仿宋"/>
          <w:color w:val="000000" w:themeColor="text1"/>
          <w:sz w:val="24"/>
          <w:highlight w:val="none"/>
          <w14:textFill>
            <w14:solidFill>
              <w14:schemeClr w14:val="tx1"/>
            </w14:solidFill>
          </w14:textFill>
        </w:rPr>
      </w:pPr>
    </w:p>
    <w:p w14:paraId="106F1635">
      <w:pPr>
        <w:spacing w:line="360" w:lineRule="exact"/>
        <w:rPr>
          <w:rFonts w:ascii="仿宋" w:hAnsi="仿宋" w:eastAsia="仿宋" w:cs="仿宋"/>
          <w:color w:val="000000" w:themeColor="text1"/>
          <w:sz w:val="24"/>
          <w:highlight w:val="none"/>
          <w14:textFill>
            <w14:solidFill>
              <w14:schemeClr w14:val="tx1"/>
            </w14:solidFill>
          </w14:textFill>
        </w:rPr>
      </w:pPr>
    </w:p>
    <w:p w14:paraId="79419145">
      <w:pPr>
        <w:ind w:firstLine="5280" w:firstLineChars="2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4DBCD766">
      <w:pPr>
        <w:ind w:firstLine="4920" w:firstLineChars="2050"/>
        <w:jc w:val="left"/>
        <w:rPr>
          <w:rFonts w:ascii="仿宋" w:hAnsi="仿宋" w:eastAsia="仿宋" w:cs="仿宋"/>
          <w:color w:val="000000" w:themeColor="text1"/>
          <w:sz w:val="24"/>
          <w:highlight w:val="none"/>
          <w14:textFill>
            <w14:solidFill>
              <w14:schemeClr w14:val="tx1"/>
            </w14:solidFill>
          </w14:textFill>
        </w:rPr>
      </w:pPr>
    </w:p>
    <w:p w14:paraId="1437E857">
      <w:pPr>
        <w:spacing w:line="800" w:lineRule="exact"/>
        <w:rPr>
          <w:rFonts w:ascii="仿宋" w:hAnsi="仿宋" w:eastAsia="仿宋" w:cs="仿宋"/>
          <w:b/>
          <w:color w:val="000000" w:themeColor="text1"/>
          <w:sz w:val="24"/>
          <w:highlight w:val="none"/>
          <w14:textFill>
            <w14:solidFill>
              <w14:schemeClr w14:val="tx1"/>
            </w14:solidFill>
          </w14:textFill>
        </w:rPr>
      </w:pPr>
    </w:p>
    <w:p w14:paraId="6BB9F20A">
      <w:pPr>
        <w:pageBreakBefore/>
        <w:spacing w:line="800" w:lineRule="exact"/>
        <w:jc w:val="center"/>
        <w:rPr>
          <w:rFonts w:ascii="仿宋" w:hAnsi="仿宋" w:eastAsia="仿宋" w:cs="仿宋"/>
          <w:b/>
          <w:strike/>
          <w:dstrike w:val="0"/>
          <w:color w:val="000000" w:themeColor="text1"/>
          <w:sz w:val="30"/>
          <w:szCs w:val="30"/>
          <w:highlight w:val="none"/>
          <w14:textFill>
            <w14:solidFill>
              <w14:schemeClr w14:val="tx1"/>
            </w14:solidFill>
          </w14:textFill>
        </w:rPr>
      </w:pPr>
      <w:r>
        <w:rPr>
          <w:rFonts w:hint="eastAsia" w:ascii="仿宋" w:hAnsi="仿宋" w:eastAsia="仿宋" w:cs="仿宋"/>
          <w:b/>
          <w:strike/>
          <w:dstrike w:val="0"/>
          <w:color w:val="000000" w:themeColor="text1"/>
          <w:sz w:val="30"/>
          <w:szCs w:val="30"/>
          <w:highlight w:val="none"/>
          <w14:textFill>
            <w14:solidFill>
              <w14:schemeClr w14:val="tx1"/>
            </w14:solidFill>
          </w14:textFill>
        </w:rPr>
        <w:t xml:space="preserve">法定代表人授权委托书（格式） </w:t>
      </w:r>
      <w:r>
        <w:rPr>
          <w:rFonts w:hint="eastAsia" w:ascii="仿宋" w:hAnsi="仿宋" w:eastAsia="仿宋" w:cs="仿宋"/>
          <w:b/>
          <w:strike/>
          <w:dstrike w:val="0"/>
          <w:color w:val="000000" w:themeColor="text1"/>
          <w:kern w:val="0"/>
          <w:sz w:val="32"/>
          <w:szCs w:val="32"/>
          <w:highlight w:val="none"/>
          <w:lang w:val="zh-CN"/>
          <w14:textFill>
            <w14:solidFill>
              <w14:schemeClr w14:val="tx1"/>
            </w14:solidFill>
          </w14:textFill>
        </w:rPr>
        <w:t>（适用于联合体投标）</w:t>
      </w:r>
    </w:p>
    <w:p w14:paraId="5244D5B8">
      <w:pPr>
        <w:jc w:val="center"/>
        <w:rPr>
          <w:rFonts w:ascii="仿宋" w:hAnsi="仿宋" w:eastAsia="仿宋" w:cs="仿宋"/>
          <w:b/>
          <w:strike/>
          <w:dstrike w:val="0"/>
          <w:color w:val="000000" w:themeColor="text1"/>
          <w:sz w:val="24"/>
          <w:highlight w:val="none"/>
          <w14:textFill>
            <w14:solidFill>
              <w14:schemeClr w14:val="tx1"/>
            </w14:solidFill>
          </w14:textFill>
        </w:rPr>
      </w:pPr>
    </w:p>
    <w:p w14:paraId="20245CFE">
      <w:pPr>
        <w:snapToGrid w:val="0"/>
        <w:spacing w:line="560" w:lineRule="exact"/>
        <w:ind w:firstLine="480" w:firstLineChars="200"/>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本授权委托书声明：</w:t>
      </w:r>
    </w:p>
    <w:p w14:paraId="59EFC77D">
      <w:pPr>
        <w:snapToGrid w:val="0"/>
        <w:spacing w:line="560" w:lineRule="exact"/>
        <w:ind w:firstLine="480" w:firstLineChars="200"/>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现授权委托</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（填写单位全称）</w:t>
      </w:r>
      <w:r>
        <w:rPr>
          <w:rFonts w:hint="eastAsia" w:ascii="仿宋" w:hAnsi="仿宋" w:eastAsia="仿宋" w:cs="仿宋"/>
          <w:strike/>
          <w:dstrike w:val="0"/>
          <w:color w:val="000000" w:themeColor="text1"/>
          <w:sz w:val="24"/>
          <w:highlight w:val="none"/>
          <w14:textFill>
            <w14:solidFill>
              <w14:schemeClr w14:val="tx1"/>
            </w14:solidFill>
          </w14:textFill>
        </w:rPr>
        <w:t>的（填写姓名）为我方授权代表，</w:t>
      </w:r>
      <w:r>
        <w:rPr>
          <w:rFonts w:hint="eastAsia" w:ascii="仿宋" w:hAnsi="仿宋" w:eastAsia="仿宋" w:cs="仿宋"/>
          <w:strike/>
          <w:dstrike w:val="0"/>
          <w:color w:val="000000" w:themeColor="text1"/>
          <w:sz w:val="24"/>
          <w:highlight w:val="none"/>
          <w:u w:val="single"/>
          <w14:textFill>
            <w14:solidFill>
              <w14:schemeClr w14:val="tx1"/>
            </w14:solidFill>
          </w14:textFill>
        </w:rPr>
        <w:t>（填写身份证号码：                       ）</w:t>
      </w:r>
      <w:r>
        <w:rPr>
          <w:rFonts w:hint="eastAsia" w:ascii="仿宋" w:hAnsi="仿宋" w:eastAsia="仿宋" w:cs="仿宋"/>
          <w:strike/>
          <w:dstrike w:val="0"/>
          <w:color w:val="000000" w:themeColor="text1"/>
          <w:sz w:val="24"/>
          <w:highlight w:val="none"/>
          <w14:textFill>
            <w14:solidFill>
              <w14:schemeClr w14:val="tx1"/>
            </w14:solidFill>
          </w14:textFill>
        </w:rPr>
        <w:t>。以我方的名义参加组织的投标活动。授权代表在开标、评标、合同谈判过程中所签署的一切文件和处理与之有关的一切事务，我均予以承认。</w:t>
      </w:r>
    </w:p>
    <w:p w14:paraId="08EA2040">
      <w:pPr>
        <w:snapToGrid w:val="0"/>
        <w:spacing w:line="560" w:lineRule="exact"/>
        <w:ind w:firstLine="480" w:firstLineChars="200"/>
        <w:jc w:val="left"/>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14:paraId="2FB5DF41">
      <w:pPr>
        <w:spacing w:line="560" w:lineRule="exact"/>
        <w:ind w:firstLine="480" w:firstLineChars="200"/>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授权代表无转委托权。特此委托。</w:t>
      </w:r>
    </w:p>
    <w:p w14:paraId="38D1A0E5">
      <w:pPr>
        <w:snapToGrid w:val="0"/>
        <w:spacing w:line="600" w:lineRule="exact"/>
        <w:jc w:val="left"/>
        <w:rPr>
          <w:rFonts w:ascii="仿宋" w:hAnsi="仿宋" w:eastAsia="仿宋" w:cs="仿宋"/>
          <w:strike/>
          <w:dstrike w:val="0"/>
          <w:color w:val="000000" w:themeColor="text1"/>
          <w:sz w:val="24"/>
          <w:highlight w:val="none"/>
          <w14:textFill>
            <w14:solidFill>
              <w14:schemeClr w14:val="tx1"/>
            </w14:solidFill>
          </w14:textFill>
        </w:rPr>
      </w:pPr>
    </w:p>
    <w:p w14:paraId="5CCEF019">
      <w:pPr>
        <w:spacing w:line="360" w:lineRule="exact"/>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授权代表姓名：              性别：               年龄：</w:t>
      </w:r>
    </w:p>
    <w:p w14:paraId="00C1E391">
      <w:pPr>
        <w:spacing w:line="360" w:lineRule="exact"/>
        <w:rPr>
          <w:rFonts w:ascii="仿宋" w:hAnsi="仿宋" w:eastAsia="仿宋" w:cs="仿宋"/>
          <w:strike/>
          <w:dstrike w:val="0"/>
          <w:color w:val="000000" w:themeColor="text1"/>
          <w:sz w:val="24"/>
          <w:highlight w:val="none"/>
          <w14:textFill>
            <w14:solidFill>
              <w14:schemeClr w14:val="tx1"/>
            </w14:solidFill>
          </w14:textFill>
        </w:rPr>
      </w:pPr>
    </w:p>
    <w:p w14:paraId="311BE47C">
      <w:pPr>
        <w:spacing w:line="360" w:lineRule="exact"/>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单位：                      部门：               职务：</w:t>
      </w:r>
    </w:p>
    <w:p w14:paraId="3DFA7E3E">
      <w:pPr>
        <w:spacing w:line="360" w:lineRule="exact"/>
        <w:rPr>
          <w:rFonts w:ascii="仿宋" w:hAnsi="仿宋" w:eastAsia="仿宋" w:cs="仿宋"/>
          <w:strike/>
          <w:dstrike w:val="0"/>
          <w:color w:val="000000" w:themeColor="text1"/>
          <w:sz w:val="24"/>
          <w:highlight w:val="none"/>
          <w14:textFill>
            <w14:solidFill>
              <w14:schemeClr w14:val="tx1"/>
            </w14:solidFill>
          </w14:textFill>
        </w:rPr>
      </w:pPr>
    </w:p>
    <w:p w14:paraId="204400CB">
      <w:pPr>
        <w:widowControl/>
        <w:snapToGrid w:val="0"/>
        <w:spacing w:line="440" w:lineRule="exact"/>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kern w:val="0"/>
          <w:sz w:val="24"/>
          <w:highlight w:val="none"/>
          <w14:textFill>
            <w14:solidFill>
              <w14:schemeClr w14:val="tx1"/>
            </w14:solidFill>
          </w14:textFill>
        </w:rPr>
        <w:t>办公地址：                  联系电话：           传真：</w:t>
      </w:r>
    </w:p>
    <w:p w14:paraId="37633328">
      <w:pPr>
        <w:spacing w:line="360" w:lineRule="exact"/>
        <w:rPr>
          <w:rFonts w:ascii="仿宋" w:hAnsi="仿宋" w:eastAsia="仿宋" w:cs="仿宋"/>
          <w:strike/>
          <w:dstrike w:val="0"/>
          <w:color w:val="000000" w:themeColor="text1"/>
          <w:sz w:val="24"/>
          <w:highlight w:val="none"/>
          <w14:textFill>
            <w14:solidFill>
              <w14:schemeClr w14:val="tx1"/>
            </w14:solidFill>
          </w14:textFill>
        </w:rPr>
      </w:pPr>
    </w:p>
    <w:p w14:paraId="1006B8D2">
      <w:pPr>
        <w:spacing w:line="360" w:lineRule="exact"/>
        <w:rPr>
          <w:rFonts w:ascii="仿宋" w:hAnsi="仿宋" w:eastAsia="仿宋" w:cs="仿宋"/>
          <w:strike/>
          <w:dstrike w:val="0"/>
          <w:color w:val="000000" w:themeColor="text1"/>
          <w:sz w:val="24"/>
          <w:highlight w:val="none"/>
          <w14:textFill>
            <w14:solidFill>
              <w14:schemeClr w14:val="tx1"/>
            </w14:solidFill>
          </w14:textFill>
        </w:rPr>
      </w:pPr>
    </w:p>
    <w:p w14:paraId="7AFFB978">
      <w:pPr>
        <w:jc w:val="center"/>
        <w:rPr>
          <w:rFonts w:ascii="仿宋" w:hAnsi="仿宋" w:eastAsia="仿宋" w:cs="仿宋"/>
          <w:b/>
          <w:strike/>
          <w:dstrike w:val="0"/>
          <w:color w:val="000000" w:themeColor="text1"/>
          <w:kern w:val="0"/>
          <w:sz w:val="32"/>
          <w:szCs w:val="32"/>
          <w:highlight w:val="none"/>
          <w14:textFill>
            <w14:solidFill>
              <w14:schemeClr w14:val="tx1"/>
            </w14:solidFill>
          </w14:textFill>
        </w:rPr>
      </w:pPr>
    </w:p>
    <w:p w14:paraId="15BCEC87">
      <w:pPr>
        <w:rPr>
          <w:rFonts w:ascii="仿宋" w:hAnsi="仿宋" w:eastAsia="仿宋" w:cs="仿宋"/>
          <w:strike/>
          <w:dstrike w:val="0"/>
          <w:color w:val="000000" w:themeColor="text1"/>
          <w:highlight w:val="none"/>
          <w14:textFill>
            <w14:solidFill>
              <w14:schemeClr w14:val="tx1"/>
            </w14:solidFill>
          </w14:textFill>
        </w:rPr>
      </w:pPr>
    </w:p>
    <w:p w14:paraId="2CB6B967">
      <w:pPr>
        <w:snapToGrid w:val="0"/>
        <w:spacing w:line="360" w:lineRule="auto"/>
        <w:ind w:firstLine="5040" w:firstLineChars="2100"/>
        <w:rPr>
          <w:rFonts w:ascii="仿宋" w:hAnsi="仿宋" w:eastAsia="仿宋" w:cs="仿宋"/>
          <w:strike/>
          <w:dstrike w:val="0"/>
          <w:color w:val="000000" w:themeColor="text1"/>
          <w:kern w:val="0"/>
          <w:sz w:val="24"/>
          <w:highlight w:val="none"/>
          <w:lang w:val="zh-CN"/>
          <w14:textFill>
            <w14:solidFill>
              <w14:schemeClr w14:val="tx1"/>
            </w14:solidFill>
          </w14:textFill>
        </w:rPr>
      </w:pPr>
      <w:r>
        <w:rPr>
          <w:rFonts w:hint="eastAsia" w:ascii="仿宋" w:hAnsi="仿宋" w:eastAsia="仿宋" w:cs="仿宋"/>
          <w:strike/>
          <w:dstrike w:val="0"/>
          <w:color w:val="000000" w:themeColor="text1"/>
          <w:kern w:val="0"/>
          <w:sz w:val="24"/>
          <w:highlight w:val="none"/>
          <w:lang w:val="zh-CN"/>
          <w14:textFill>
            <w14:solidFill>
              <w14:schemeClr w14:val="tx1"/>
            </w14:solidFill>
          </w14:textFill>
        </w:rPr>
        <w:t>联合体成员名称(</w:t>
      </w:r>
      <w:r>
        <w:rPr>
          <w:rFonts w:hint="eastAsia" w:ascii="仿宋" w:hAnsi="仿宋" w:eastAsia="仿宋" w:cs="仿宋"/>
          <w:strike/>
          <w:dstrike w:val="0"/>
          <w:color w:val="000000" w:themeColor="text1"/>
          <w:sz w:val="24"/>
          <w:highlight w:val="none"/>
          <w14:textFill>
            <w14:solidFill>
              <w14:schemeClr w14:val="tx1"/>
            </w14:solidFill>
          </w14:textFill>
        </w:rPr>
        <w:t>盖章</w:t>
      </w:r>
      <w:r>
        <w:rPr>
          <w:rFonts w:hint="eastAsia" w:ascii="仿宋" w:hAnsi="仿宋" w:eastAsia="仿宋" w:cs="仿宋"/>
          <w:strike/>
          <w:dstrike w:val="0"/>
          <w:color w:val="000000" w:themeColor="text1"/>
          <w:kern w:val="0"/>
          <w:sz w:val="24"/>
          <w:highlight w:val="none"/>
          <w:lang w:val="zh-CN"/>
          <w14:textFill>
            <w14:solidFill>
              <w14:schemeClr w14:val="tx1"/>
            </w14:solidFill>
          </w14:textFill>
        </w:rPr>
        <w:t>)：</w:t>
      </w:r>
    </w:p>
    <w:p w14:paraId="6125450C">
      <w:pPr>
        <w:snapToGrid w:val="0"/>
        <w:spacing w:line="360" w:lineRule="auto"/>
        <w:ind w:firstLine="5040" w:firstLineChars="2100"/>
        <w:rPr>
          <w:rFonts w:ascii="仿宋" w:hAnsi="仿宋" w:eastAsia="仿宋" w:cs="仿宋"/>
          <w:strike/>
          <w:dstrike w:val="0"/>
          <w:color w:val="000000" w:themeColor="text1"/>
          <w:kern w:val="0"/>
          <w:sz w:val="24"/>
          <w:highlight w:val="none"/>
          <w:lang w:val="zh-CN"/>
          <w14:textFill>
            <w14:solidFill>
              <w14:schemeClr w14:val="tx1"/>
            </w14:solidFill>
          </w14:textFill>
        </w:rPr>
      </w:pPr>
      <w:r>
        <w:rPr>
          <w:rFonts w:hint="eastAsia" w:ascii="仿宋" w:hAnsi="仿宋" w:eastAsia="仿宋" w:cs="仿宋"/>
          <w:strike/>
          <w:dstrike w:val="0"/>
          <w:color w:val="000000" w:themeColor="text1"/>
          <w:kern w:val="0"/>
          <w:sz w:val="24"/>
          <w:highlight w:val="none"/>
          <w:lang w:val="zh-CN"/>
          <w14:textFill>
            <w14:solidFill>
              <w14:schemeClr w14:val="tx1"/>
            </w14:solidFill>
          </w14:textFill>
        </w:rPr>
        <w:t>联合体成员名称(</w:t>
      </w:r>
      <w:r>
        <w:rPr>
          <w:rFonts w:hint="eastAsia" w:ascii="仿宋" w:hAnsi="仿宋" w:eastAsia="仿宋" w:cs="仿宋"/>
          <w:strike/>
          <w:dstrike w:val="0"/>
          <w:color w:val="000000" w:themeColor="text1"/>
          <w:sz w:val="24"/>
          <w:highlight w:val="none"/>
          <w14:textFill>
            <w14:solidFill>
              <w14:schemeClr w14:val="tx1"/>
            </w14:solidFill>
          </w14:textFill>
        </w:rPr>
        <w:t>盖章</w:t>
      </w:r>
      <w:r>
        <w:rPr>
          <w:rFonts w:hint="eastAsia" w:ascii="仿宋" w:hAnsi="仿宋" w:eastAsia="仿宋" w:cs="仿宋"/>
          <w:strike/>
          <w:dstrike w:val="0"/>
          <w:color w:val="000000" w:themeColor="text1"/>
          <w:kern w:val="0"/>
          <w:sz w:val="24"/>
          <w:highlight w:val="none"/>
          <w:lang w:val="zh-CN"/>
          <w14:textFill>
            <w14:solidFill>
              <w14:schemeClr w14:val="tx1"/>
            </w14:solidFill>
          </w14:textFill>
        </w:rPr>
        <w:t>)：</w:t>
      </w:r>
    </w:p>
    <w:p w14:paraId="4B2EB4D0">
      <w:pPr>
        <w:snapToGrid w:val="0"/>
        <w:spacing w:line="360" w:lineRule="auto"/>
        <w:ind w:firstLine="5760" w:firstLineChars="2400"/>
        <w:rPr>
          <w:rFonts w:ascii="仿宋" w:hAnsi="仿宋" w:eastAsia="仿宋" w:cs="仿宋"/>
          <w:strike/>
          <w:dstrike w:val="0"/>
          <w:color w:val="000000" w:themeColor="text1"/>
          <w:highlight w:val="none"/>
          <w14:textFill>
            <w14:solidFill>
              <w14:schemeClr w14:val="tx1"/>
            </w14:solidFill>
          </w14:textFill>
        </w:rPr>
      </w:pPr>
      <w:r>
        <w:rPr>
          <w:rFonts w:hint="eastAsia" w:ascii="仿宋" w:hAnsi="仿宋" w:eastAsia="仿宋" w:cs="仿宋"/>
          <w:strike/>
          <w:dstrike w:val="0"/>
          <w:color w:val="000000" w:themeColor="text1"/>
          <w:kern w:val="0"/>
          <w:sz w:val="24"/>
          <w:highlight w:val="none"/>
          <w:lang w:val="zh-CN"/>
          <w14:textFill>
            <w14:solidFill>
              <w14:schemeClr w14:val="tx1"/>
            </w14:solidFill>
          </w14:textFill>
        </w:rPr>
        <w:t>……</w:t>
      </w:r>
    </w:p>
    <w:p w14:paraId="031EB7EE">
      <w:pPr>
        <w:snapToGrid w:val="0"/>
        <w:spacing w:line="360" w:lineRule="auto"/>
        <w:rPr>
          <w:rFonts w:ascii="仿宋" w:hAnsi="仿宋" w:eastAsia="仿宋" w:cs="仿宋"/>
          <w:strike/>
          <w:dstrike w:val="0"/>
          <w:color w:val="000000" w:themeColor="text1"/>
          <w:kern w:val="0"/>
          <w:sz w:val="24"/>
          <w:highlight w:val="none"/>
          <w:lang w:val="zh-CN"/>
          <w14:textFill>
            <w14:solidFill>
              <w14:schemeClr w14:val="tx1"/>
            </w14:solidFill>
          </w14:textFill>
        </w:rPr>
      </w:pPr>
      <w:r>
        <w:rPr>
          <w:rFonts w:hint="eastAsia" w:ascii="仿宋" w:hAnsi="仿宋" w:eastAsia="仿宋" w:cs="仿宋"/>
          <w:strike/>
          <w:dstrike w:val="0"/>
          <w:color w:val="000000" w:themeColor="text1"/>
          <w:kern w:val="0"/>
          <w:sz w:val="24"/>
          <w:highlight w:val="none"/>
          <w:lang w:val="zh-CN"/>
          <w14:textFill>
            <w14:solidFill>
              <w14:schemeClr w14:val="tx1"/>
            </w14:solidFill>
          </w14:textFill>
        </w:rPr>
        <w:t xml:space="preserve">                                               日期：   年   月   日</w:t>
      </w:r>
    </w:p>
    <w:p w14:paraId="1E863BFF">
      <w:pPr>
        <w:autoSpaceDE w:val="0"/>
        <w:autoSpaceDN w:val="0"/>
        <w:spacing w:line="360" w:lineRule="auto"/>
        <w:jc w:val="center"/>
        <w:rPr>
          <w:rFonts w:ascii="仿宋" w:hAnsi="仿宋" w:eastAsia="仿宋" w:cs="仿宋"/>
          <w:b/>
          <w:strike/>
          <w:dstrike w:val="0"/>
          <w:color w:val="000000" w:themeColor="text1"/>
          <w:kern w:val="0"/>
          <w:sz w:val="32"/>
          <w:szCs w:val="32"/>
          <w:highlight w:val="none"/>
          <w:lang w:val="zh-CN"/>
          <w14:textFill>
            <w14:solidFill>
              <w14:schemeClr w14:val="tx1"/>
            </w14:solidFill>
          </w14:textFill>
        </w:rPr>
      </w:pPr>
    </w:p>
    <w:p w14:paraId="099E3CF1">
      <w:pPr>
        <w:spacing w:line="800" w:lineRule="exact"/>
        <w:rPr>
          <w:rFonts w:ascii="仿宋" w:hAnsi="仿宋" w:eastAsia="仿宋" w:cs="仿宋"/>
          <w:b/>
          <w:strike/>
          <w:dstrike w:val="0"/>
          <w:color w:val="000000" w:themeColor="text1"/>
          <w:sz w:val="24"/>
          <w:highlight w:val="none"/>
          <w14:textFill>
            <w14:solidFill>
              <w14:schemeClr w14:val="tx1"/>
            </w14:solidFill>
          </w14:textFill>
        </w:rPr>
      </w:pPr>
    </w:p>
    <w:p w14:paraId="6BABA629">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四</w:t>
      </w:r>
      <w:r>
        <w:rPr>
          <w:rFonts w:hint="eastAsia" w:ascii="仿宋" w:hAnsi="仿宋" w:eastAsia="仿宋" w:cs="仿宋"/>
          <w:b/>
          <w:color w:val="000000" w:themeColor="text1"/>
          <w:sz w:val="30"/>
          <w:szCs w:val="30"/>
          <w:highlight w:val="none"/>
          <w14:textFill>
            <w14:solidFill>
              <w14:schemeClr w14:val="tx1"/>
            </w14:solidFill>
          </w14:textFill>
        </w:rPr>
        <w:t>、授权代表社保证明</w:t>
      </w:r>
    </w:p>
    <w:p w14:paraId="791B62C6">
      <w:pPr>
        <w:spacing w:line="800" w:lineRule="exact"/>
        <w:ind w:firstLine="480" w:firstLineChars="200"/>
        <w:jc w:val="left"/>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4"/>
          <w:highlight w:val="none"/>
          <w:u w:val="wave"/>
          <w14:textFill>
            <w14:solidFill>
              <w14:schemeClr w14:val="tx1"/>
            </w14:solidFill>
          </w14:textFill>
        </w:rPr>
        <w:t>出具距投标截止时间（</w:t>
      </w:r>
      <w:r>
        <w:rPr>
          <w:rFonts w:hint="eastAsia" w:ascii="仿宋" w:hAnsi="仿宋" w:eastAsia="仿宋" w:cs="仿宋"/>
          <w:color w:val="000000" w:themeColor="text1"/>
          <w:sz w:val="24"/>
          <w:highlight w:val="none"/>
          <w:u w:val="wave"/>
          <w:lang w:val="en-US" w:eastAsia="zh-CN"/>
          <w14:textFill>
            <w14:solidFill>
              <w14:schemeClr w14:val="tx1"/>
            </w14:solidFill>
          </w14:textFill>
        </w:rPr>
        <w:t>2024</w:t>
      </w:r>
      <w:r>
        <w:rPr>
          <w:rFonts w:hint="eastAsia" w:ascii="仿宋" w:hAnsi="仿宋" w:eastAsia="仿宋" w:cs="仿宋"/>
          <w:color w:val="000000" w:themeColor="text1"/>
          <w:sz w:val="24"/>
          <w:highlight w:val="none"/>
          <w:u w:val="wave"/>
          <w14:textFill>
            <w14:solidFill>
              <w14:schemeClr w14:val="tx1"/>
            </w14:solidFill>
          </w14:textFill>
        </w:rPr>
        <w:t>年</w:t>
      </w:r>
      <w:r>
        <w:rPr>
          <w:rFonts w:hint="eastAsia" w:ascii="仿宋" w:hAnsi="仿宋" w:eastAsia="仿宋" w:cs="仿宋"/>
          <w:color w:val="000000" w:themeColor="text1"/>
          <w:sz w:val="24"/>
          <w:highlight w:val="none"/>
          <w:u w:val="wave"/>
          <w:lang w:val="en-US" w:eastAsia="zh-CN"/>
          <w14:textFill>
            <w14:solidFill>
              <w14:schemeClr w14:val="tx1"/>
            </w14:solidFill>
          </w14:textFill>
        </w:rPr>
        <w:t>7</w:t>
      </w:r>
      <w:r>
        <w:rPr>
          <w:rFonts w:hint="eastAsia" w:ascii="仿宋" w:hAnsi="仿宋" w:eastAsia="仿宋" w:cs="仿宋"/>
          <w:color w:val="000000" w:themeColor="text1"/>
          <w:sz w:val="24"/>
          <w:highlight w:val="none"/>
          <w:u w:val="wave"/>
          <w14:textFill>
            <w14:solidFill>
              <w14:schemeClr w14:val="tx1"/>
            </w14:solidFill>
          </w14:textFill>
        </w:rPr>
        <w:t>月至</w:t>
      </w:r>
      <w:r>
        <w:rPr>
          <w:rFonts w:hint="eastAsia" w:ascii="仿宋" w:hAnsi="仿宋" w:eastAsia="仿宋" w:cs="仿宋"/>
          <w:color w:val="000000" w:themeColor="text1"/>
          <w:sz w:val="24"/>
          <w:highlight w:val="none"/>
          <w:u w:val="wave"/>
          <w:lang w:val="en-US" w:eastAsia="zh-CN"/>
          <w14:textFill>
            <w14:solidFill>
              <w14:schemeClr w14:val="tx1"/>
            </w14:solidFill>
          </w14:textFill>
        </w:rPr>
        <w:t>2024</w:t>
      </w:r>
      <w:r>
        <w:rPr>
          <w:rFonts w:hint="eastAsia" w:ascii="仿宋" w:hAnsi="仿宋" w:eastAsia="仿宋" w:cs="仿宋"/>
          <w:color w:val="000000" w:themeColor="text1"/>
          <w:sz w:val="24"/>
          <w:highlight w:val="none"/>
          <w:u w:val="wave"/>
          <w14:textFill>
            <w14:solidFill>
              <w14:schemeClr w14:val="tx1"/>
            </w14:solidFill>
          </w14:textFill>
        </w:rPr>
        <w:t>年</w:t>
      </w:r>
      <w:r>
        <w:rPr>
          <w:rFonts w:hint="eastAsia" w:ascii="仿宋" w:hAnsi="仿宋" w:eastAsia="仿宋" w:cs="仿宋"/>
          <w:color w:val="000000" w:themeColor="text1"/>
          <w:sz w:val="24"/>
          <w:highlight w:val="none"/>
          <w:u w:val="wave"/>
          <w:lang w:val="en-US" w:eastAsia="zh-CN"/>
          <w14:textFill>
            <w14:solidFill>
              <w14:schemeClr w14:val="tx1"/>
            </w14:solidFill>
          </w14:textFill>
        </w:rPr>
        <w:t>9</w:t>
      </w:r>
      <w:r>
        <w:rPr>
          <w:rFonts w:hint="eastAsia" w:ascii="仿宋" w:hAnsi="仿宋" w:eastAsia="仿宋" w:cs="仿宋"/>
          <w:color w:val="000000" w:themeColor="text1"/>
          <w:sz w:val="24"/>
          <w:highlight w:val="none"/>
          <w:u w:val="wave"/>
          <w14:textFill>
            <w14:solidFill>
              <w14:schemeClr w14:val="tx1"/>
            </w14:solidFill>
          </w14:textFill>
        </w:rPr>
        <w:t>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02F6BE6E">
      <w:pPr>
        <w:pStyle w:val="80"/>
        <w:rPr>
          <w:rFonts w:ascii="仿宋" w:hAnsi="仿宋" w:eastAsia="仿宋" w:cs="仿宋"/>
          <w:color w:val="000000" w:themeColor="text1"/>
          <w:highlight w:val="none"/>
          <w14:textFill>
            <w14:solidFill>
              <w14:schemeClr w14:val="tx1"/>
            </w14:solidFill>
          </w14:textFill>
        </w:rPr>
      </w:pPr>
    </w:p>
    <w:p w14:paraId="3680E8E6">
      <w:pPr>
        <w:pStyle w:val="80"/>
        <w:rPr>
          <w:rFonts w:ascii="仿宋" w:hAnsi="仿宋" w:eastAsia="仿宋" w:cs="仿宋"/>
          <w:color w:val="000000" w:themeColor="text1"/>
          <w:highlight w:val="none"/>
          <w14:textFill>
            <w14:solidFill>
              <w14:schemeClr w14:val="tx1"/>
            </w14:solidFill>
          </w14:textFill>
        </w:rPr>
      </w:pPr>
    </w:p>
    <w:p w14:paraId="7D79DCF5">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五、法定代表人及其授权代表身份证复印件（正反面）</w:t>
      </w:r>
    </w:p>
    <w:p w14:paraId="48C8CFAD">
      <w:pPr>
        <w:rPr>
          <w:rFonts w:ascii="仿宋" w:hAnsi="仿宋" w:eastAsia="仿宋" w:cs="仿宋"/>
          <w:b/>
          <w:color w:val="000000" w:themeColor="text1"/>
          <w:sz w:val="24"/>
          <w:highlight w:val="none"/>
          <w14:textFill>
            <w14:solidFill>
              <w14:schemeClr w14:val="tx1"/>
            </w14:solidFill>
          </w14:textFill>
        </w:rPr>
      </w:pPr>
    </w:p>
    <w:p w14:paraId="450149F5">
      <w:pPr>
        <w:rPr>
          <w:rFonts w:ascii="仿宋" w:hAnsi="仿宋" w:eastAsia="仿宋" w:cs="仿宋"/>
          <w:b/>
          <w:color w:val="000000" w:themeColor="text1"/>
          <w:sz w:val="24"/>
          <w:highlight w:val="none"/>
          <w14:textFill>
            <w14:solidFill>
              <w14:schemeClr w14:val="tx1"/>
            </w14:solidFill>
          </w14:textFill>
        </w:rPr>
      </w:pPr>
    </w:p>
    <w:p w14:paraId="771E0B01">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六</w:t>
      </w:r>
      <w:r>
        <w:rPr>
          <w:rFonts w:hint="eastAsia" w:ascii="仿宋" w:hAnsi="仿宋" w:eastAsia="仿宋" w:cs="仿宋"/>
          <w:b/>
          <w:color w:val="000000" w:themeColor="text1"/>
          <w:sz w:val="30"/>
          <w:szCs w:val="30"/>
          <w:highlight w:val="none"/>
          <w14:textFill>
            <w14:solidFill>
              <w14:schemeClr w14:val="tx1"/>
            </w14:solidFill>
          </w14:textFill>
        </w:rPr>
        <w:t>、法定代表人身份证明书(格式)</w:t>
      </w:r>
    </w:p>
    <w:p w14:paraId="47FEE7CA">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 标 人：</w:t>
      </w:r>
    </w:p>
    <w:p w14:paraId="078D98D4">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p>
    <w:p w14:paraId="4C986A39">
      <w:pPr>
        <w:spacing w:line="440" w:lineRule="exact"/>
        <w:ind w:right="281" w:rightChars="134"/>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    名：</w:t>
      </w:r>
    </w:p>
    <w:p w14:paraId="445D464D">
      <w:pPr>
        <w:spacing w:line="440" w:lineRule="exact"/>
        <w:ind w:right="281" w:rightChars="134"/>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身份证号码：</w:t>
      </w:r>
    </w:p>
    <w:p w14:paraId="3D2F28EA">
      <w:pPr>
        <w:spacing w:line="440" w:lineRule="exact"/>
        <w:ind w:right="281" w:rightChars="134"/>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   务：</w:t>
      </w:r>
    </w:p>
    <w:p w14:paraId="19D22B37">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（填写投标人名称）</w:t>
      </w:r>
      <w:r>
        <w:rPr>
          <w:rFonts w:hint="eastAsia" w:ascii="仿宋" w:hAnsi="仿宋" w:eastAsia="仿宋" w:cs="仿宋"/>
          <w:color w:val="000000" w:themeColor="text1"/>
          <w:sz w:val="24"/>
          <w:highlight w:val="none"/>
          <w14:textFill>
            <w14:solidFill>
              <w14:schemeClr w14:val="tx1"/>
            </w14:solidFill>
          </w14:textFill>
        </w:rPr>
        <w:t>的法定代表人。</w:t>
      </w:r>
    </w:p>
    <w:p w14:paraId="0B2F800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5E4A8007">
      <w:pPr>
        <w:spacing w:line="440" w:lineRule="exact"/>
        <w:rPr>
          <w:rFonts w:ascii="仿宋" w:hAnsi="仿宋" w:eastAsia="仿宋" w:cs="仿宋"/>
          <w:color w:val="000000" w:themeColor="text1"/>
          <w:sz w:val="24"/>
          <w:highlight w:val="none"/>
          <w14:textFill>
            <w14:solidFill>
              <w14:schemeClr w14:val="tx1"/>
            </w14:solidFill>
          </w14:textFill>
        </w:rPr>
      </w:pPr>
    </w:p>
    <w:p w14:paraId="5396F985">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投标人名称（盖章）：</w:t>
      </w:r>
    </w:p>
    <w:p w14:paraId="44CD71FD">
      <w:pPr>
        <w:spacing w:line="440" w:lineRule="exact"/>
        <w:ind w:right="480"/>
        <w:rPr>
          <w:rFonts w:ascii="仿宋" w:hAnsi="仿宋" w:eastAsia="仿宋" w:cs="仿宋"/>
          <w:color w:val="000000" w:themeColor="text1"/>
          <w:sz w:val="24"/>
          <w:highlight w:val="none"/>
          <w14:textFill>
            <w14:solidFill>
              <w14:schemeClr w14:val="tx1"/>
            </w14:solidFill>
          </w14:textFill>
        </w:rPr>
      </w:pPr>
    </w:p>
    <w:p w14:paraId="56CC739C">
      <w:pPr>
        <w:spacing w:line="440" w:lineRule="exact"/>
        <w:ind w:right="72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5E00F77B">
      <w:pPr>
        <w:jc w:val="center"/>
        <w:rPr>
          <w:rFonts w:ascii="仿宋" w:hAnsi="仿宋" w:eastAsia="仿宋" w:cs="仿宋"/>
          <w:b/>
          <w:color w:val="000000" w:themeColor="text1"/>
          <w:kern w:val="0"/>
          <w:sz w:val="32"/>
          <w:szCs w:val="32"/>
          <w:highlight w:val="none"/>
          <w14:textFill>
            <w14:solidFill>
              <w14:schemeClr w14:val="tx1"/>
            </w14:solidFill>
          </w14:textFill>
        </w:rPr>
      </w:pPr>
    </w:p>
    <w:p w14:paraId="777D57EC">
      <w:pPr>
        <w:pStyle w:val="80"/>
        <w:rPr>
          <w:rFonts w:ascii="仿宋" w:hAnsi="仿宋" w:eastAsia="仿宋" w:cs="仿宋"/>
          <w:color w:val="000000" w:themeColor="text1"/>
          <w:highlight w:val="none"/>
          <w14:textFill>
            <w14:solidFill>
              <w14:schemeClr w14:val="tx1"/>
            </w14:solidFill>
          </w14:textFill>
        </w:rPr>
      </w:pPr>
    </w:p>
    <w:p w14:paraId="4D50B93C">
      <w:pPr>
        <w:pStyle w:val="81"/>
        <w:rPr>
          <w:rFonts w:ascii="仿宋" w:hAnsi="仿宋" w:eastAsia="仿宋" w:cs="仿宋"/>
          <w:color w:val="000000" w:themeColor="text1"/>
          <w:highlight w:val="none"/>
          <w14:textFill>
            <w14:solidFill>
              <w14:schemeClr w14:val="tx1"/>
            </w14:solidFill>
          </w14:textFill>
        </w:rPr>
      </w:pPr>
    </w:p>
    <w:p w14:paraId="28C3A55C">
      <w:pPr>
        <w:jc w:val="center"/>
        <w:rPr>
          <w:rFonts w:ascii="仿宋" w:hAnsi="仿宋" w:eastAsia="仿宋" w:cs="仿宋"/>
          <w:b/>
          <w:color w:val="000000" w:themeColor="text1"/>
          <w:kern w:val="0"/>
          <w:sz w:val="32"/>
          <w:szCs w:val="32"/>
          <w:highlight w:val="none"/>
          <w14:textFill>
            <w14:solidFill>
              <w14:schemeClr w14:val="tx1"/>
            </w14:solidFill>
          </w14:textFill>
        </w:rPr>
      </w:pPr>
    </w:p>
    <w:p w14:paraId="2F2109D1">
      <w:pPr>
        <w:jc w:val="center"/>
        <w:rPr>
          <w:rFonts w:ascii="仿宋" w:hAnsi="仿宋" w:eastAsia="仿宋" w:cs="仿宋"/>
          <w:b/>
          <w:color w:val="000000" w:themeColor="text1"/>
          <w:kern w:val="0"/>
          <w:sz w:val="32"/>
          <w:szCs w:val="32"/>
          <w:highlight w:val="none"/>
          <w14:textFill>
            <w14:solidFill>
              <w14:schemeClr w14:val="tx1"/>
            </w14:solidFill>
          </w14:textFill>
        </w:rPr>
      </w:pPr>
    </w:p>
    <w:p w14:paraId="1052F285">
      <w:pPr>
        <w:jc w:val="center"/>
        <w:rPr>
          <w:rFonts w:ascii="仿宋" w:hAnsi="仿宋" w:eastAsia="仿宋" w:cs="仿宋"/>
          <w:b/>
          <w:color w:val="000000" w:themeColor="text1"/>
          <w:kern w:val="0"/>
          <w:sz w:val="32"/>
          <w:szCs w:val="32"/>
          <w:highlight w:val="none"/>
          <w14:textFill>
            <w14:solidFill>
              <w14:schemeClr w14:val="tx1"/>
            </w14:solidFill>
          </w14:textFill>
        </w:rPr>
      </w:pPr>
    </w:p>
    <w:p w14:paraId="6782B252">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F90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343199F">
            <w:pPr>
              <w:autoSpaceDE w:val="0"/>
              <w:autoSpaceDN w:val="0"/>
              <w:spacing w:line="240" w:lineRule="atLeast"/>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center"/>
          </w:tcPr>
          <w:p w14:paraId="4C34C8B0">
            <w:pPr>
              <w:autoSpaceDE w:val="0"/>
              <w:autoSpaceDN w:val="0"/>
              <w:spacing w:line="240" w:lineRule="atLeast"/>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vAlign w:val="center"/>
          </w:tcPr>
          <w:p w14:paraId="495D1C40">
            <w:pPr>
              <w:autoSpaceDE w:val="0"/>
              <w:autoSpaceDN w:val="0"/>
              <w:spacing w:line="240" w:lineRule="atLeast"/>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vAlign w:val="center"/>
          </w:tcPr>
          <w:p w14:paraId="744EE472">
            <w:pPr>
              <w:autoSpaceDE w:val="0"/>
              <w:autoSpaceDN w:val="0"/>
              <w:spacing w:line="240" w:lineRule="atLeast"/>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573E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29969A2">
            <w:pPr>
              <w:autoSpaceDE w:val="0"/>
              <w:autoSpaceDN w:val="0"/>
              <w:spacing w:line="240" w:lineRule="atLeast"/>
              <w:jc w:val="center"/>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center"/>
          </w:tcPr>
          <w:p w14:paraId="5609D8E3">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3E47C736">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2056A3AF">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r>
      <w:tr w14:paraId="652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46FA1B">
            <w:pPr>
              <w:spacing w:line="240" w:lineRule="atLeast"/>
              <w:jc w:val="center"/>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center"/>
          </w:tcPr>
          <w:p w14:paraId="0D3AE9F3">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67D59CAC">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21F0B62E">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r>
      <w:tr w14:paraId="7A92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D340EB">
            <w:pPr>
              <w:spacing w:line="240" w:lineRule="atLeast"/>
              <w:jc w:val="center"/>
              <w:textAlignment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center"/>
          </w:tcPr>
          <w:p w14:paraId="32215F01">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082D155C">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3E167D46">
            <w:pPr>
              <w:keepNext/>
              <w:keepLines/>
              <w:tabs>
                <w:tab w:val="left" w:pos="432"/>
              </w:tabs>
              <w:spacing w:line="240" w:lineRule="atLeast"/>
              <w:jc w:val="center"/>
              <w:textAlignment w:val="center"/>
              <w:outlineLvl w:val="0"/>
              <w:rPr>
                <w:rFonts w:ascii="仿宋" w:hAnsi="仿宋" w:eastAsia="仿宋" w:cs="仿宋"/>
                <w:b/>
                <w:color w:val="000000" w:themeColor="text1"/>
                <w:kern w:val="0"/>
                <w:sz w:val="32"/>
                <w:szCs w:val="32"/>
                <w:highlight w:val="none"/>
                <w14:textFill>
                  <w14:solidFill>
                    <w14:schemeClr w14:val="tx1"/>
                  </w14:solidFill>
                </w14:textFill>
              </w:rPr>
            </w:pPr>
          </w:p>
        </w:tc>
      </w:tr>
    </w:tbl>
    <w:p w14:paraId="0057E806">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86491C5">
      <w:pPr>
        <w:jc w:val="center"/>
        <w:rPr>
          <w:rFonts w:ascii="仿宋" w:hAnsi="仿宋" w:eastAsia="仿宋" w:cs="仿宋"/>
          <w:b/>
          <w:color w:val="000000" w:themeColor="text1"/>
          <w:kern w:val="0"/>
          <w:sz w:val="32"/>
          <w:szCs w:val="32"/>
          <w:highlight w:val="none"/>
          <w14:textFill>
            <w14:solidFill>
              <w14:schemeClr w14:val="tx1"/>
            </w14:solidFill>
          </w14:textFill>
        </w:rPr>
      </w:pPr>
    </w:p>
    <w:p w14:paraId="67364905">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AB274C0">
      <w:pPr>
        <w:pStyle w:val="80"/>
        <w:rPr>
          <w:rFonts w:ascii="仿宋" w:hAnsi="仿宋" w:eastAsia="仿宋" w:cs="仿宋"/>
          <w:color w:val="000000" w:themeColor="text1"/>
          <w:highlight w:val="none"/>
          <w14:textFill>
            <w14:solidFill>
              <w14:schemeClr w14:val="tx1"/>
            </w14:solidFill>
          </w14:textFill>
        </w:rPr>
      </w:pPr>
    </w:p>
    <w:p w14:paraId="208A0523">
      <w:pPr>
        <w:pStyle w:val="81"/>
        <w:ind w:firstLine="1249"/>
        <w:rPr>
          <w:rFonts w:ascii="仿宋" w:hAnsi="仿宋" w:eastAsia="仿宋" w:cs="仿宋"/>
          <w:color w:val="000000" w:themeColor="text1"/>
          <w:highlight w:val="none"/>
          <w14:textFill>
            <w14:solidFill>
              <w14:schemeClr w14:val="tx1"/>
            </w14:solidFill>
          </w14:textFill>
        </w:rPr>
      </w:pPr>
    </w:p>
    <w:p w14:paraId="7B9F3568">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0E73A5E">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BF69DD9">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D500DC2">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4EDC1F55">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0D7F987">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2D08C8D">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44D773D6">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5E33565">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A7F7511">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8639AD1">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A961FD8">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09C7805">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752C54F">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3FA753B">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188B7F6">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8E0EEAC">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E64E732">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F590527">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D76510A">
      <w:pPr>
        <w:widowControl/>
        <w:adjustRightInd/>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4EC4F8AA">
      <w:pPr>
        <w:widowControl/>
        <w:adjustRightInd/>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6F7C7E5E">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30A9DA4E">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F02A45">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3914985">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2D2BB68">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F8317A6">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008E07A">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48F0AAAE">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BCB672A">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00C713B1">
      <w:pPr>
        <w:numPr>
          <w:ilvl w:val="0"/>
          <w:numId w:val="1"/>
        </w:numPr>
        <w:autoSpaceDE w:val="0"/>
        <w:autoSpaceDN w:val="0"/>
        <w:spacing w:line="360" w:lineRule="auto"/>
        <w:ind w:left="481" w:leftChars="229"/>
        <w:jc w:val="left"/>
        <w:rPr>
          <w:ins w:id="5" w:author="杨凯" w:date="2024-09-09T13:48:30Z"/>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等法律</w:t>
      </w:r>
    </w:p>
    <w:p w14:paraId="67411E3B">
      <w:pPr>
        <w:numPr>
          <w:ilvl w:val="-1"/>
          <w:numId w:val="0"/>
        </w:numPr>
        <w:autoSpaceDE w:val="0"/>
        <w:autoSpaceDN w:val="0"/>
        <w:spacing w:line="360" w:lineRule="auto"/>
        <w:ind w:left="0" w:leftChars="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法规，诚实守信，合法经营，坚决抵制各种违法违纪行为。 </w:t>
      </w:r>
    </w:p>
    <w:p w14:paraId="1776BE7F">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进行项目建设或其他经营活动，并通报项目所在行业主管部门（如有）。由此引起的相应损失均由我单位承担。</w:t>
      </w:r>
    </w:p>
    <w:p w14:paraId="66BFA7BE">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7B2D8C30">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016C3164">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p>
    <w:p w14:paraId="4ACF464D">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盖章</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7B18A68">
      <w:pPr>
        <w:spacing w:line="360" w:lineRule="auto"/>
        <w:ind w:left="4620" w:left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65AD2544">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5D978369">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6B758B3">
      <w:pPr>
        <w:jc w:val="center"/>
        <w:rPr>
          <w:rFonts w:ascii="仿宋" w:hAnsi="仿宋" w:eastAsia="仿宋" w:cs="仿宋"/>
          <w:b/>
          <w:color w:val="000000" w:themeColor="text1"/>
          <w:sz w:val="32"/>
          <w:szCs w:val="32"/>
          <w:highlight w:val="none"/>
          <w14:textFill>
            <w14:solidFill>
              <w14:schemeClr w14:val="tx1"/>
            </w14:solidFill>
          </w14:textFill>
        </w:rPr>
      </w:pPr>
    </w:p>
    <w:p w14:paraId="3D39E67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0DE64CDE">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AA4D97B">
      <w:pPr>
        <w:spacing w:line="360" w:lineRule="auto"/>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九</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主要业绩证明</w:t>
      </w:r>
    </w:p>
    <w:p w14:paraId="3632A24B">
      <w:pPr>
        <w:autoSpaceDE w:val="0"/>
        <w:autoSpaceDN w:val="0"/>
        <w:spacing w:line="360" w:lineRule="auto"/>
        <w:ind w:firstLine="12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151EEA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D7C3748">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BB44B26">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549E5CA8">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3BAD229">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07AD4CB">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w:t>
            </w:r>
          </w:p>
          <w:p w14:paraId="4E98E800">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金额</w:t>
            </w:r>
          </w:p>
          <w:p w14:paraId="4C8B1847">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4172D05">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E54D06A">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91A88F3">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所在页码</w:t>
            </w:r>
          </w:p>
        </w:tc>
      </w:tr>
      <w:tr w14:paraId="4CAAFA60">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3159C3FF">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1363A4D6">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69E07F9D">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6B0C3993">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3FD11007">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49C07BCE">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5AEB23FD">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r>
      <w:tr w14:paraId="08006EBA">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73A5C380">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01A0E81A">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2F27069E">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4D16C5A4">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4FCD83BA">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50089524">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5413420A">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r>
      <w:tr w14:paraId="253580A6">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63BC8A94">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03D33E5D">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590E8F0F">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0145D890">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608537A8">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7A0855BC">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5C706C30">
            <w:pPr>
              <w:keepNext/>
              <w:keepLines/>
              <w:tabs>
                <w:tab w:val="left" w:pos="432"/>
              </w:tabs>
              <w:autoSpaceDE w:val="0"/>
              <w:autoSpaceDN w:val="0"/>
              <w:spacing w:line="360" w:lineRule="auto"/>
              <w:ind w:hanging="432"/>
              <w:jc w:val="center"/>
              <w:outlineLvl w:val="0"/>
              <w:rPr>
                <w:rFonts w:ascii="仿宋" w:hAnsi="仿宋" w:eastAsia="仿宋" w:cs="仿宋"/>
                <w:color w:val="000000" w:themeColor="text1"/>
                <w:sz w:val="24"/>
                <w:highlight w:val="none"/>
                <w14:textFill>
                  <w14:solidFill>
                    <w14:schemeClr w14:val="tx1"/>
                  </w14:solidFill>
                </w14:textFill>
              </w:rPr>
            </w:pPr>
          </w:p>
        </w:tc>
      </w:tr>
    </w:tbl>
    <w:p w14:paraId="7460FD82">
      <w:pPr>
        <w:autoSpaceDE w:val="0"/>
        <w:autoSpaceDN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注：供应商可按上述的格式自行编制，须随表提交相应的合同复印件。</w:t>
      </w:r>
    </w:p>
    <w:p w14:paraId="76FBED70">
      <w:pPr>
        <w:autoSpaceDE w:val="0"/>
        <w:autoSpaceDN w:val="0"/>
        <w:spacing w:line="360" w:lineRule="auto"/>
        <w:rPr>
          <w:rFonts w:ascii="仿宋" w:hAnsi="仿宋" w:eastAsia="仿宋" w:cs="仿宋"/>
          <w:b/>
          <w:color w:val="000000" w:themeColor="text1"/>
          <w:sz w:val="24"/>
          <w:highlight w:val="none"/>
          <w14:textFill>
            <w14:solidFill>
              <w14:schemeClr w14:val="tx1"/>
            </w14:solidFill>
          </w14:textFill>
        </w:rPr>
      </w:pPr>
    </w:p>
    <w:p w14:paraId="3FB1ED4F">
      <w:pPr>
        <w:autoSpaceDE w:val="0"/>
        <w:autoSpaceDN w:val="0"/>
        <w:spacing w:line="360" w:lineRule="auto"/>
        <w:rPr>
          <w:rFonts w:ascii="仿宋" w:hAnsi="仿宋" w:eastAsia="仿宋" w:cs="仿宋"/>
          <w:color w:val="000000" w:themeColor="text1"/>
          <w:sz w:val="24"/>
          <w:highlight w:val="none"/>
          <w14:textFill>
            <w14:solidFill>
              <w14:schemeClr w14:val="tx1"/>
            </w14:solidFill>
          </w14:textFill>
        </w:rPr>
      </w:pPr>
    </w:p>
    <w:p w14:paraId="45F250F7">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投标人名称（盖章）：                          </w:t>
      </w:r>
    </w:p>
    <w:p w14:paraId="3079E27A">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A329CD3">
      <w:pPr>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
          <w:bCs/>
          <w:color w:val="000000" w:themeColor="text1"/>
          <w:sz w:val="32"/>
          <w:szCs w:val="32"/>
          <w:highlight w:val="none"/>
          <w14:textFill>
            <w14:solidFill>
              <w14:schemeClr w14:val="tx1"/>
            </w14:solidFill>
          </w14:textFill>
        </w:rPr>
        <w:t>、认为需要的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其他商务技术（资信）文件或说明</w:t>
      </w:r>
    </w:p>
    <w:p w14:paraId="5BBAF9AC">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（由投标人根据采购需求自行编制）</w:t>
      </w:r>
    </w:p>
    <w:p w14:paraId="08DB8289">
      <w:pPr>
        <w:spacing w:line="360" w:lineRule="auto"/>
        <w:rPr>
          <w:rFonts w:ascii="仿宋" w:hAnsi="仿宋" w:eastAsia="仿宋" w:cs="仿宋"/>
          <w:color w:val="000000" w:themeColor="text1"/>
          <w:sz w:val="24"/>
          <w:highlight w:val="none"/>
          <w14:textFill>
            <w14:solidFill>
              <w14:schemeClr w14:val="tx1"/>
            </w14:solidFill>
          </w14:textFill>
        </w:rPr>
      </w:pPr>
    </w:p>
    <w:p w14:paraId="68D18032">
      <w:pPr>
        <w:pStyle w:val="80"/>
        <w:rPr>
          <w:rFonts w:ascii="仿宋" w:hAnsi="仿宋" w:eastAsia="仿宋" w:cs="仿宋"/>
          <w:color w:val="000000" w:themeColor="text1"/>
          <w:highlight w:val="none"/>
          <w14:textFill>
            <w14:solidFill>
              <w14:schemeClr w14:val="tx1"/>
            </w14:solidFill>
          </w14:textFill>
        </w:rPr>
      </w:pPr>
    </w:p>
    <w:p w14:paraId="739EA188">
      <w:pPr>
        <w:spacing w:line="336"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投标人名称（盖章）：                          </w:t>
      </w:r>
    </w:p>
    <w:p w14:paraId="67F13DCC">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7513B7B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F32A8BF">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十一</w:t>
      </w:r>
      <w:r>
        <w:rPr>
          <w:rFonts w:hint="eastAsia" w:ascii="仿宋" w:hAnsi="仿宋" w:eastAsia="仿宋" w:cs="仿宋"/>
          <w:b/>
          <w:bCs/>
          <w:color w:val="000000" w:themeColor="text1"/>
          <w:sz w:val="32"/>
          <w:szCs w:val="32"/>
          <w:highlight w:val="none"/>
          <w14:textFill>
            <w14:solidFill>
              <w14:schemeClr w14:val="tx1"/>
            </w14:solidFill>
          </w14:textFill>
        </w:rPr>
        <w:t>、商务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技术标评分索引表</w:t>
      </w:r>
    </w:p>
    <w:p w14:paraId="04D1D31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（由投标人根据采购需求自行编制）</w:t>
      </w:r>
    </w:p>
    <w:p w14:paraId="4083B51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6F3EDF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463A35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91301F1">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093DE474">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6F5BF151">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14:paraId="61BB1CCC">
      <w:pPr>
        <w:snapToGrid w:val="0"/>
        <w:spacing w:line="360" w:lineRule="auto"/>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5FF95CC4">
      <w:pPr>
        <w:pStyle w:val="692"/>
        <w:keepNext w:val="0"/>
        <w:pageBreakBefore w:val="0"/>
        <w:tabs>
          <w:tab w:val="clear" w:pos="720"/>
        </w:tabs>
        <w:snapToGrid w:val="0"/>
        <w:spacing w:before="120" w:after="120"/>
        <w:jc w:val="both"/>
        <w:outlineLvl w:val="9"/>
        <w:rPr>
          <w:rFonts w:ascii="仿宋" w:hAnsi="仿宋" w:eastAsia="仿宋" w:cs="仿宋"/>
          <w:color w:val="000000" w:themeColor="text1"/>
          <w:kern w:val="2"/>
          <w:sz w:val="32"/>
          <w:szCs w:val="32"/>
          <w:highlight w:val="none"/>
          <w14:textFill>
            <w14:solidFill>
              <w14:schemeClr w14:val="tx1"/>
            </w14:solidFill>
          </w14:textFill>
        </w:rPr>
        <w:sectPr>
          <w:pgSz w:w="11906" w:h="16838"/>
          <w:pgMar w:top="1814" w:right="1474" w:bottom="1814" w:left="1474" w:header="1361" w:footer="992" w:gutter="0"/>
          <w:cols w:space="720" w:num="1"/>
          <w:titlePg/>
          <w:docGrid w:linePitch="312" w:charSpace="0"/>
        </w:sectPr>
      </w:pPr>
    </w:p>
    <w:p w14:paraId="184B69C1">
      <w:pPr>
        <w:pStyle w:val="692"/>
        <w:keepNext w:val="0"/>
        <w:pageBreakBefore w:val="0"/>
        <w:numPr>
          <w:ilvl w:val="0"/>
          <w:numId w:val="2"/>
        </w:numPr>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开标一览表（报价表）</w:t>
      </w:r>
    </w:p>
    <w:p w14:paraId="4D4171A4">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投标人</w:t>
      </w:r>
      <w:r>
        <w:rPr>
          <w:rFonts w:hint="eastAsia" w:ascii="仿宋" w:hAnsi="仿宋" w:eastAsia="仿宋" w:cs="仿宋"/>
          <w:color w:val="000000"/>
          <w:sz w:val="24"/>
          <w:szCs w:val="24"/>
        </w:rPr>
        <w:t xml:space="preserve">名称：              </w:t>
      </w:r>
    </w:p>
    <w:p w14:paraId="0716ED37">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项目编号：    </w:t>
      </w:r>
    </w:p>
    <w:tbl>
      <w:tblPr>
        <w:tblStyle w:val="62"/>
        <w:tblW w:w="9917" w:type="dxa"/>
        <w:jc w:val="center"/>
        <w:tblLayout w:type="fixed"/>
        <w:tblCellMar>
          <w:top w:w="0" w:type="dxa"/>
          <w:left w:w="108" w:type="dxa"/>
          <w:bottom w:w="0" w:type="dxa"/>
          <w:right w:w="108" w:type="dxa"/>
        </w:tblCellMar>
      </w:tblPr>
      <w:tblGrid>
        <w:gridCol w:w="604"/>
        <w:gridCol w:w="2143"/>
        <w:gridCol w:w="1555"/>
        <w:gridCol w:w="1661"/>
        <w:gridCol w:w="2175"/>
        <w:gridCol w:w="1779"/>
      </w:tblGrid>
      <w:tr w14:paraId="1E8F8B9F">
        <w:tblPrEx>
          <w:tblCellMar>
            <w:top w:w="0" w:type="dxa"/>
            <w:left w:w="108" w:type="dxa"/>
            <w:bottom w:w="0" w:type="dxa"/>
            <w:right w:w="108" w:type="dxa"/>
          </w:tblCellMar>
        </w:tblPrEx>
        <w:trPr>
          <w:trHeight w:val="7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3587A918">
            <w:pPr>
              <w:autoSpaceDE w:val="0"/>
              <w:autoSpaceDN w:val="0"/>
              <w:adjustRightInd w:val="0"/>
              <w:spacing w:line="360" w:lineRule="exact"/>
              <w:jc w:val="center"/>
              <w:rPr>
                <w:rFonts w:hint="eastAsia" w:ascii="仿宋" w:hAnsi="仿宋" w:eastAsia="仿宋" w:cs="仿宋"/>
                <w:b/>
                <w:bCs/>
              </w:rPr>
            </w:pPr>
            <w:r>
              <w:rPr>
                <w:rFonts w:hint="eastAsia" w:ascii="仿宋" w:hAnsi="仿宋" w:eastAsia="仿宋" w:cs="仿宋"/>
                <w:b/>
                <w:bCs/>
                <w:lang w:val="zh-CN"/>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F967556">
            <w:pPr>
              <w:autoSpaceDE w:val="0"/>
              <w:autoSpaceDN w:val="0"/>
              <w:adjustRightInd w:val="0"/>
              <w:spacing w:line="360" w:lineRule="exact"/>
              <w:jc w:val="center"/>
              <w:rPr>
                <w:rFonts w:hint="eastAsia" w:ascii="仿宋" w:hAnsi="仿宋" w:eastAsia="仿宋" w:cs="仿宋"/>
                <w:b/>
                <w:bCs/>
              </w:rPr>
            </w:pPr>
            <w:r>
              <w:rPr>
                <w:rFonts w:hint="eastAsia" w:ascii="仿宋" w:hAnsi="仿宋" w:eastAsia="仿宋" w:cs="仿宋"/>
                <w:b/>
                <w:bCs/>
                <w:lang w:val="zh-CN"/>
              </w:rPr>
              <w:t>项目内容</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7E4A09E">
            <w:pPr>
              <w:autoSpaceDE w:val="0"/>
              <w:autoSpaceDN w:val="0"/>
              <w:adjustRightInd w:val="0"/>
              <w:spacing w:line="360" w:lineRule="exact"/>
              <w:jc w:val="center"/>
              <w:rPr>
                <w:rFonts w:hint="eastAsia" w:ascii="仿宋" w:hAnsi="仿宋" w:eastAsia="仿宋" w:cs="仿宋"/>
                <w:b/>
                <w:bCs/>
              </w:rPr>
            </w:pPr>
            <w:r>
              <w:rPr>
                <w:rFonts w:hint="eastAsia" w:ascii="仿宋" w:hAnsi="仿宋" w:eastAsia="仿宋" w:cs="仿宋"/>
                <w:b/>
                <w:bCs/>
                <w:lang w:eastAsia="zh-CN"/>
              </w:rPr>
              <w:t>液化天然气</w:t>
            </w:r>
            <w:r>
              <w:rPr>
                <w:rFonts w:hint="eastAsia" w:ascii="仿宋" w:hAnsi="仿宋" w:eastAsia="仿宋" w:cs="仿宋"/>
                <w:b/>
                <w:bCs/>
              </w:rPr>
              <w:t>单价</w:t>
            </w:r>
            <w:r>
              <w:rPr>
                <w:rFonts w:hint="eastAsia" w:ascii="仿宋" w:hAnsi="仿宋" w:eastAsia="仿宋" w:cs="仿宋"/>
                <w:b/>
                <w:bCs/>
                <w:lang w:val="en-US" w:eastAsia="zh-CN"/>
              </w:rPr>
              <w:t>下浮</w:t>
            </w:r>
            <w:r>
              <w:rPr>
                <w:rFonts w:hint="eastAsia" w:ascii="仿宋" w:hAnsi="仿宋" w:eastAsia="仿宋" w:cs="仿宋"/>
                <w:b/>
                <w:bCs/>
              </w:rPr>
              <w:t>率</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3A67ECE">
            <w:pPr>
              <w:autoSpaceDE w:val="0"/>
              <w:autoSpaceDN w:val="0"/>
              <w:adjustRightInd w:val="0"/>
              <w:spacing w:line="360" w:lineRule="exact"/>
              <w:jc w:val="center"/>
              <w:rPr>
                <w:rFonts w:hint="eastAsia" w:ascii="仿宋" w:hAnsi="仿宋" w:eastAsia="仿宋" w:cs="仿宋"/>
                <w:b/>
                <w:bCs/>
              </w:rPr>
            </w:pPr>
            <w:r>
              <w:rPr>
                <w:rFonts w:hint="eastAsia" w:ascii="仿宋" w:hAnsi="仿宋" w:eastAsia="仿宋" w:cs="仿宋"/>
                <w:b/>
                <w:bCs/>
              </w:rPr>
              <w:t>接收站</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25E1A193">
            <w:pPr>
              <w:autoSpaceDE w:val="0"/>
              <w:autoSpaceDN w:val="0"/>
              <w:adjustRightInd w:val="0"/>
              <w:spacing w:line="360" w:lineRule="exact"/>
              <w:jc w:val="center"/>
              <w:rPr>
                <w:rFonts w:hint="eastAsia" w:ascii="仿宋" w:hAnsi="仿宋" w:eastAsia="仿宋" w:cs="仿宋"/>
                <w:b/>
                <w:bCs/>
                <w:lang w:eastAsia="zh-CN"/>
              </w:rPr>
            </w:pPr>
            <w:r>
              <w:rPr>
                <w:rFonts w:hint="eastAsia" w:ascii="仿宋" w:hAnsi="仿宋" w:eastAsia="仿宋" w:cs="仿宋"/>
                <w:b/>
                <w:bCs/>
                <w:lang w:eastAsia="zh-CN"/>
              </w:rPr>
              <w:t>液化天然气</w:t>
            </w:r>
          </w:p>
          <w:p w14:paraId="0B35A301">
            <w:pPr>
              <w:autoSpaceDE w:val="0"/>
              <w:autoSpaceDN w:val="0"/>
              <w:adjustRightInd w:val="0"/>
              <w:spacing w:line="360" w:lineRule="exact"/>
              <w:jc w:val="center"/>
              <w:rPr>
                <w:rFonts w:hint="eastAsia" w:ascii="仿宋" w:hAnsi="仿宋" w:eastAsia="仿宋" w:cs="仿宋"/>
                <w:b/>
                <w:bCs/>
              </w:rPr>
            </w:pPr>
            <w:r>
              <w:rPr>
                <w:rFonts w:hint="eastAsia" w:ascii="仿宋" w:hAnsi="仿宋" w:eastAsia="仿宋" w:cs="仿宋"/>
                <w:b/>
                <w:bCs/>
              </w:rPr>
              <w:t>上限</w:t>
            </w:r>
            <w:r>
              <w:rPr>
                <w:rFonts w:hint="eastAsia" w:ascii="仿宋" w:hAnsi="仿宋" w:eastAsia="仿宋" w:cs="仿宋"/>
                <w:b/>
                <w:bCs/>
                <w:lang w:eastAsia="zh-CN"/>
              </w:rPr>
              <w:t>单</w:t>
            </w:r>
            <w:r>
              <w:rPr>
                <w:rFonts w:hint="eastAsia" w:ascii="仿宋" w:hAnsi="仿宋" w:eastAsia="仿宋" w:cs="仿宋"/>
                <w:b/>
                <w:bCs/>
              </w:rPr>
              <w:t>价</w:t>
            </w:r>
            <w:r>
              <w:rPr>
                <w:rFonts w:hint="eastAsia" w:ascii="仿宋" w:hAnsi="仿宋" w:eastAsia="仿宋" w:cs="仿宋"/>
                <w:b/>
              </w:rPr>
              <w:t>（元/吨）</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711811D3">
            <w:pPr>
              <w:autoSpaceDE w:val="0"/>
              <w:autoSpaceDN w:val="0"/>
              <w:adjustRightInd w:val="0"/>
              <w:spacing w:line="360" w:lineRule="exact"/>
              <w:jc w:val="center"/>
              <w:rPr>
                <w:rFonts w:hint="eastAsia" w:ascii="仿宋" w:hAnsi="仿宋" w:eastAsia="仿宋" w:cs="仿宋"/>
                <w:b/>
                <w:bCs/>
                <w:lang w:val="zh-CN"/>
              </w:rPr>
            </w:pPr>
            <w:r>
              <w:rPr>
                <w:rFonts w:hint="eastAsia" w:ascii="仿宋" w:hAnsi="仿宋" w:eastAsia="仿宋" w:cs="仿宋"/>
                <w:b/>
                <w:bCs/>
                <w:lang w:val="zh-CN"/>
              </w:rPr>
              <w:t>备注</w:t>
            </w:r>
          </w:p>
        </w:tc>
      </w:tr>
      <w:tr w14:paraId="63E0A69A">
        <w:tblPrEx>
          <w:tblCellMar>
            <w:top w:w="0" w:type="dxa"/>
            <w:left w:w="108" w:type="dxa"/>
            <w:bottom w:w="0" w:type="dxa"/>
            <w:right w:w="108" w:type="dxa"/>
          </w:tblCellMar>
        </w:tblPrEx>
        <w:trPr>
          <w:trHeight w:val="850" w:hRule="atLeast"/>
          <w:jc w:val="center"/>
        </w:trPr>
        <w:tc>
          <w:tcPr>
            <w:tcW w:w="604" w:type="dxa"/>
            <w:vMerge w:val="restart"/>
            <w:tcBorders>
              <w:top w:val="single" w:color="auto" w:sz="4" w:space="0"/>
              <w:left w:val="single" w:color="auto" w:sz="4" w:space="0"/>
              <w:bottom w:val="single" w:color="auto" w:sz="4" w:space="0"/>
              <w:right w:val="single" w:color="auto" w:sz="4" w:space="0"/>
            </w:tcBorders>
            <w:noWrap w:val="0"/>
            <w:vAlign w:val="center"/>
          </w:tcPr>
          <w:p w14:paraId="022F315A">
            <w:pPr>
              <w:autoSpaceDE w:val="0"/>
              <w:autoSpaceDN w:val="0"/>
              <w:adjustRightInd w:val="0"/>
              <w:spacing w:line="360" w:lineRule="exact"/>
              <w:jc w:val="center"/>
              <w:rPr>
                <w:rFonts w:hint="eastAsia" w:ascii="仿宋" w:hAnsi="仿宋" w:eastAsia="仿宋" w:cs="仿宋"/>
              </w:rPr>
            </w:pPr>
            <w:r>
              <w:rPr>
                <w:rFonts w:hint="eastAsia" w:ascii="仿宋" w:hAnsi="仿宋" w:eastAsia="仿宋" w:cs="仿宋"/>
              </w:rPr>
              <w:t>1</w:t>
            </w:r>
          </w:p>
        </w:tc>
        <w:tc>
          <w:tcPr>
            <w:tcW w:w="2143" w:type="dxa"/>
            <w:vMerge w:val="restart"/>
            <w:tcBorders>
              <w:top w:val="single" w:color="auto" w:sz="4" w:space="0"/>
              <w:left w:val="single" w:color="auto" w:sz="4" w:space="0"/>
              <w:bottom w:val="single" w:color="auto" w:sz="4" w:space="0"/>
              <w:right w:val="single" w:color="auto" w:sz="4" w:space="0"/>
            </w:tcBorders>
            <w:noWrap w:val="0"/>
            <w:vAlign w:val="center"/>
          </w:tcPr>
          <w:p w14:paraId="70433FAC">
            <w:pPr>
              <w:adjustRightInd w:val="0"/>
              <w:snapToGrid w:val="0"/>
              <w:ind w:right="172" w:rightChars="82"/>
              <w:rPr>
                <w:rFonts w:hint="eastAsia" w:ascii="仿宋" w:hAnsi="仿宋" w:eastAsia="仿宋" w:cs="仿宋"/>
                <w:spacing w:val="20"/>
                <w:szCs w:val="21"/>
              </w:rPr>
            </w:pPr>
            <w:r>
              <w:rPr>
                <w:rFonts w:hint="eastAsia" w:ascii="仿宋" w:hAnsi="仿宋" w:eastAsia="仿宋" w:cs="仿宋"/>
              </w:rPr>
              <w:t>绍兴天然气投资有限公司</w:t>
            </w:r>
            <w:r>
              <w:rPr>
                <w:rFonts w:hint="eastAsia" w:ascii="仿宋" w:hAnsi="仿宋" w:eastAsia="仿宋" w:cs="仿宋"/>
                <w:lang w:eastAsia="zh-CN"/>
              </w:rPr>
              <w:t>2025年度</w:t>
            </w:r>
            <w:r>
              <w:rPr>
                <w:rFonts w:hint="eastAsia" w:ascii="仿宋" w:hAnsi="仿宋" w:eastAsia="仿宋" w:cs="仿宋"/>
              </w:rPr>
              <w:t>液化天然气（LNG）采购项目</w:t>
            </w:r>
          </w:p>
        </w:tc>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7725A568">
            <w:pPr>
              <w:adjustRightInd w:val="0"/>
              <w:snapToGrid w:val="0"/>
              <w:ind w:right="172" w:rightChars="82"/>
              <w:jc w:val="center"/>
              <w:rPr>
                <w:rFonts w:hint="eastAsia" w:ascii="仿宋" w:hAnsi="仿宋" w:eastAsia="仿宋" w:cs="仿宋"/>
                <w:spacing w:val="20"/>
                <w:szCs w:val="21"/>
              </w:rPr>
            </w:pPr>
            <w:r>
              <w:rPr>
                <w:rFonts w:hint="eastAsia" w:ascii="仿宋" w:hAnsi="仿宋" w:eastAsia="仿宋" w:cs="仿宋"/>
                <w:b/>
                <w:bCs/>
                <w:u w:val="single"/>
                <w:lang w:val="en-US" w:eastAsia="zh-CN"/>
              </w:rPr>
              <w:t xml:space="preserve">       </w:t>
            </w:r>
            <w:r>
              <w:rPr>
                <w:rFonts w:hint="eastAsia" w:ascii="仿宋" w:hAnsi="仿宋" w:eastAsia="仿宋" w:cs="仿宋"/>
                <w:b/>
                <w:bCs/>
              </w:rPr>
              <w:t>%</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616B875">
            <w:pPr>
              <w:pStyle w:val="3"/>
              <w:jc w:val="center"/>
              <w:rPr>
                <w:rFonts w:hint="eastAsia" w:ascii="仿宋" w:hAnsi="仿宋" w:eastAsia="仿宋" w:cs="仿宋"/>
                <w:b w:val="0"/>
                <w:bCs w:val="0"/>
                <w:kern w:val="2"/>
                <w:sz w:val="24"/>
                <w:lang w:val="en-US" w:eastAsia="zh-CN"/>
              </w:rPr>
            </w:pPr>
            <w:r>
              <w:rPr>
                <w:rFonts w:hint="eastAsia" w:ascii="仿宋" w:hAnsi="仿宋" w:eastAsia="仿宋" w:cs="仿宋"/>
                <w:b w:val="0"/>
                <w:bCs w:val="0"/>
                <w:kern w:val="2"/>
                <w:sz w:val="24"/>
                <w:lang w:val="en-US" w:eastAsia="zh-CN"/>
              </w:rPr>
              <w:t>浙江宁波站</w:t>
            </w:r>
          </w:p>
        </w:tc>
        <w:tc>
          <w:tcPr>
            <w:tcW w:w="2175" w:type="dxa"/>
            <w:vMerge w:val="restart"/>
            <w:tcBorders>
              <w:top w:val="single" w:color="auto" w:sz="4" w:space="0"/>
              <w:left w:val="single" w:color="auto" w:sz="4" w:space="0"/>
              <w:bottom w:val="single" w:color="auto" w:sz="4" w:space="0"/>
              <w:right w:val="single" w:color="auto" w:sz="4" w:space="0"/>
            </w:tcBorders>
            <w:noWrap w:val="0"/>
            <w:vAlign w:val="center"/>
          </w:tcPr>
          <w:p w14:paraId="17C61960">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kern w:val="2"/>
                <w:sz w:val="24"/>
                <w:lang w:val="en-US" w:eastAsia="zh-CN"/>
              </w:rPr>
            </w:pPr>
            <w:r>
              <w:rPr>
                <w:rFonts w:hint="eastAsia" w:ascii="仿宋" w:hAnsi="仿宋" w:eastAsia="仿宋" w:cs="仿宋"/>
                <w:color w:val="auto"/>
                <w:kern w:val="2"/>
                <w:sz w:val="24"/>
                <w:lang w:eastAsia="zh-CN"/>
              </w:rPr>
              <w:t>以招标人《供货通知单》发出当日的卓创资讯网→LNG接收站价→华东（浙江宁波、舟山新奥、江苏如东）接收站单日价格作为上限单价。</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5BF1DBE2">
            <w:pPr>
              <w:autoSpaceDE w:val="0"/>
              <w:autoSpaceDN w:val="0"/>
              <w:adjustRightInd w:val="0"/>
              <w:spacing w:line="340" w:lineRule="exact"/>
              <w:rPr>
                <w:rFonts w:hint="eastAsia" w:ascii="仿宋" w:hAnsi="仿宋" w:eastAsia="仿宋" w:cs="仿宋"/>
                <w:color w:val="FF0000"/>
              </w:rPr>
            </w:pPr>
          </w:p>
        </w:tc>
      </w:tr>
      <w:tr w14:paraId="61B322F3">
        <w:tblPrEx>
          <w:tblCellMar>
            <w:top w:w="0" w:type="dxa"/>
            <w:left w:w="108" w:type="dxa"/>
            <w:bottom w:w="0" w:type="dxa"/>
            <w:right w:w="108" w:type="dxa"/>
          </w:tblCellMar>
        </w:tblPrEx>
        <w:trPr>
          <w:trHeight w:val="850" w:hRule="atLeast"/>
          <w:jc w:val="center"/>
        </w:trPr>
        <w:tc>
          <w:tcPr>
            <w:tcW w:w="604" w:type="dxa"/>
            <w:vMerge w:val="continue"/>
            <w:tcBorders>
              <w:top w:val="single" w:color="auto" w:sz="4" w:space="0"/>
              <w:left w:val="single" w:color="auto" w:sz="4" w:space="0"/>
              <w:bottom w:val="single" w:color="auto" w:sz="4" w:space="0"/>
              <w:right w:val="single" w:color="auto" w:sz="4" w:space="0"/>
            </w:tcBorders>
            <w:noWrap w:val="0"/>
            <w:vAlign w:val="center"/>
          </w:tcPr>
          <w:p w14:paraId="2E84E516">
            <w:pPr>
              <w:autoSpaceDE w:val="0"/>
              <w:autoSpaceDN w:val="0"/>
              <w:adjustRightInd w:val="0"/>
              <w:spacing w:line="360" w:lineRule="exact"/>
              <w:jc w:val="center"/>
              <w:rPr>
                <w:rFonts w:hint="eastAsia" w:ascii="仿宋" w:hAnsi="仿宋" w:eastAsia="仿宋" w:cs="仿宋"/>
              </w:rPr>
            </w:pPr>
          </w:p>
        </w:tc>
        <w:tc>
          <w:tcPr>
            <w:tcW w:w="2143" w:type="dxa"/>
            <w:vMerge w:val="continue"/>
            <w:tcBorders>
              <w:top w:val="single" w:color="auto" w:sz="4" w:space="0"/>
              <w:left w:val="single" w:color="auto" w:sz="4" w:space="0"/>
              <w:bottom w:val="single" w:color="auto" w:sz="4" w:space="0"/>
              <w:right w:val="single" w:color="auto" w:sz="4" w:space="0"/>
            </w:tcBorders>
            <w:noWrap w:val="0"/>
            <w:vAlign w:val="center"/>
          </w:tcPr>
          <w:p w14:paraId="41A6C679">
            <w:pPr>
              <w:adjustRightInd w:val="0"/>
              <w:snapToGrid w:val="0"/>
              <w:ind w:right="172" w:rightChars="82"/>
              <w:rPr>
                <w:rFonts w:hint="eastAsia" w:ascii="仿宋" w:hAnsi="仿宋" w:eastAsia="仿宋" w:cs="仿宋"/>
              </w:rPr>
            </w:pPr>
          </w:p>
        </w:tc>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E77E6BC">
            <w:pPr>
              <w:adjustRightInd w:val="0"/>
              <w:snapToGrid w:val="0"/>
              <w:ind w:right="172" w:rightChars="82"/>
              <w:jc w:val="center"/>
              <w:rPr>
                <w:rFonts w:hint="eastAsia" w:ascii="仿宋" w:hAnsi="仿宋" w:eastAsia="仿宋" w:cs="仿宋"/>
                <w:spacing w:val="20"/>
                <w:szCs w:val="21"/>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22A5387">
            <w:pPr>
              <w:pStyle w:val="3"/>
              <w:jc w:val="center"/>
              <w:rPr>
                <w:rFonts w:hint="eastAsia" w:ascii="仿宋" w:hAnsi="仿宋" w:eastAsia="仿宋" w:cs="仿宋"/>
                <w:b w:val="0"/>
                <w:bCs w:val="0"/>
                <w:kern w:val="2"/>
                <w:sz w:val="24"/>
                <w:lang w:val="en-US" w:eastAsia="zh-CN"/>
              </w:rPr>
            </w:pPr>
            <w:r>
              <w:rPr>
                <w:rFonts w:hint="eastAsia" w:ascii="仿宋" w:hAnsi="仿宋" w:eastAsia="仿宋" w:cs="仿宋"/>
                <w:b w:val="0"/>
                <w:bCs w:val="0"/>
                <w:kern w:val="2"/>
                <w:sz w:val="24"/>
                <w:lang w:val="en-US" w:eastAsia="zh-CN"/>
              </w:rPr>
              <w:t>舟山新奥站</w:t>
            </w:r>
          </w:p>
        </w:tc>
        <w:tc>
          <w:tcPr>
            <w:tcW w:w="2175" w:type="dxa"/>
            <w:vMerge w:val="continue"/>
            <w:tcBorders>
              <w:top w:val="single" w:color="auto" w:sz="4" w:space="0"/>
              <w:left w:val="single" w:color="auto" w:sz="4" w:space="0"/>
              <w:bottom w:val="single" w:color="auto" w:sz="4" w:space="0"/>
              <w:right w:val="single" w:color="auto" w:sz="4" w:space="0"/>
            </w:tcBorders>
            <w:noWrap w:val="0"/>
            <w:vAlign w:val="center"/>
          </w:tcPr>
          <w:p w14:paraId="401537A6">
            <w:pPr>
              <w:pStyle w:val="3"/>
              <w:jc w:val="center"/>
              <w:rPr>
                <w:rFonts w:hint="eastAsia" w:ascii="仿宋" w:hAnsi="仿宋" w:eastAsia="仿宋" w:cs="仿宋"/>
                <w:b/>
                <w:bCs/>
                <w:color w:val="auto"/>
                <w:lang w:val="en-US" w:eastAsia="zh-CN"/>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2F8EC3ED">
            <w:pPr>
              <w:autoSpaceDE w:val="0"/>
              <w:autoSpaceDN w:val="0"/>
              <w:adjustRightInd w:val="0"/>
              <w:spacing w:line="340" w:lineRule="exact"/>
              <w:rPr>
                <w:rFonts w:hint="eastAsia" w:ascii="仿宋" w:hAnsi="仿宋" w:eastAsia="仿宋" w:cs="仿宋"/>
                <w:color w:val="FF0000"/>
              </w:rPr>
            </w:pPr>
          </w:p>
        </w:tc>
      </w:tr>
      <w:tr w14:paraId="62B7F013">
        <w:tblPrEx>
          <w:tblCellMar>
            <w:top w:w="0" w:type="dxa"/>
            <w:left w:w="108" w:type="dxa"/>
            <w:bottom w:w="0" w:type="dxa"/>
            <w:right w:w="108" w:type="dxa"/>
          </w:tblCellMar>
        </w:tblPrEx>
        <w:trPr>
          <w:trHeight w:val="850" w:hRule="atLeast"/>
          <w:jc w:val="center"/>
        </w:trPr>
        <w:tc>
          <w:tcPr>
            <w:tcW w:w="604" w:type="dxa"/>
            <w:vMerge w:val="continue"/>
            <w:tcBorders>
              <w:top w:val="single" w:color="auto" w:sz="4" w:space="0"/>
              <w:left w:val="single" w:color="auto" w:sz="4" w:space="0"/>
              <w:bottom w:val="single" w:color="auto" w:sz="4" w:space="0"/>
              <w:right w:val="single" w:color="auto" w:sz="4" w:space="0"/>
            </w:tcBorders>
            <w:noWrap w:val="0"/>
            <w:vAlign w:val="center"/>
          </w:tcPr>
          <w:p w14:paraId="5237A2B2">
            <w:pPr>
              <w:autoSpaceDE w:val="0"/>
              <w:autoSpaceDN w:val="0"/>
              <w:adjustRightInd w:val="0"/>
              <w:spacing w:line="360" w:lineRule="exact"/>
              <w:jc w:val="center"/>
              <w:rPr>
                <w:rFonts w:hint="eastAsia" w:ascii="仿宋" w:hAnsi="仿宋" w:eastAsia="仿宋" w:cs="仿宋"/>
              </w:rPr>
            </w:pPr>
          </w:p>
        </w:tc>
        <w:tc>
          <w:tcPr>
            <w:tcW w:w="2143" w:type="dxa"/>
            <w:vMerge w:val="continue"/>
            <w:tcBorders>
              <w:top w:val="single" w:color="auto" w:sz="4" w:space="0"/>
              <w:left w:val="single" w:color="auto" w:sz="4" w:space="0"/>
              <w:bottom w:val="single" w:color="auto" w:sz="4" w:space="0"/>
              <w:right w:val="single" w:color="auto" w:sz="4" w:space="0"/>
            </w:tcBorders>
            <w:noWrap w:val="0"/>
            <w:vAlign w:val="center"/>
          </w:tcPr>
          <w:p w14:paraId="380297D4">
            <w:pPr>
              <w:adjustRightInd w:val="0"/>
              <w:snapToGrid w:val="0"/>
              <w:ind w:right="172" w:rightChars="82"/>
              <w:rPr>
                <w:rFonts w:hint="eastAsia" w:ascii="仿宋" w:hAnsi="仿宋" w:eastAsia="仿宋" w:cs="仿宋"/>
              </w:rPr>
            </w:pPr>
          </w:p>
        </w:tc>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0616E0D">
            <w:pPr>
              <w:adjustRightInd w:val="0"/>
              <w:snapToGrid w:val="0"/>
              <w:ind w:right="172" w:rightChars="82"/>
              <w:jc w:val="center"/>
              <w:rPr>
                <w:rFonts w:hint="eastAsia" w:ascii="仿宋" w:hAnsi="仿宋" w:eastAsia="仿宋" w:cs="仿宋"/>
                <w:spacing w:val="20"/>
                <w:szCs w:val="21"/>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C6D64ED">
            <w:pPr>
              <w:pStyle w:val="3"/>
              <w:jc w:val="center"/>
              <w:rPr>
                <w:rFonts w:hint="eastAsia" w:ascii="仿宋" w:hAnsi="仿宋" w:eastAsia="仿宋" w:cs="仿宋"/>
                <w:b w:val="0"/>
                <w:bCs w:val="0"/>
                <w:kern w:val="2"/>
                <w:sz w:val="24"/>
                <w:lang w:val="en-US" w:eastAsia="zh-CN"/>
              </w:rPr>
            </w:pPr>
            <w:r>
              <w:rPr>
                <w:rFonts w:hint="eastAsia" w:ascii="仿宋" w:hAnsi="仿宋" w:eastAsia="仿宋" w:cs="仿宋"/>
                <w:b w:val="0"/>
                <w:bCs w:val="0"/>
                <w:kern w:val="2"/>
                <w:sz w:val="24"/>
                <w:lang w:val="en-US" w:eastAsia="zh-CN"/>
              </w:rPr>
              <w:t>江苏如东站</w:t>
            </w:r>
          </w:p>
        </w:tc>
        <w:tc>
          <w:tcPr>
            <w:tcW w:w="2175" w:type="dxa"/>
            <w:vMerge w:val="continue"/>
            <w:tcBorders>
              <w:top w:val="single" w:color="auto" w:sz="4" w:space="0"/>
              <w:left w:val="single" w:color="auto" w:sz="4" w:space="0"/>
              <w:bottom w:val="single" w:color="auto" w:sz="4" w:space="0"/>
              <w:right w:val="single" w:color="auto" w:sz="4" w:space="0"/>
            </w:tcBorders>
            <w:noWrap w:val="0"/>
            <w:vAlign w:val="center"/>
          </w:tcPr>
          <w:p w14:paraId="395BA84E">
            <w:pPr>
              <w:pStyle w:val="3"/>
              <w:jc w:val="center"/>
              <w:rPr>
                <w:rFonts w:hint="eastAsia" w:ascii="仿宋" w:hAnsi="仿宋" w:eastAsia="仿宋" w:cs="仿宋"/>
                <w:b/>
                <w:bCs/>
                <w:color w:val="auto"/>
                <w:lang w:val="en-US" w:eastAsia="zh-CN"/>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0ACE6B43">
            <w:pPr>
              <w:autoSpaceDE w:val="0"/>
              <w:autoSpaceDN w:val="0"/>
              <w:adjustRightInd w:val="0"/>
              <w:spacing w:line="340" w:lineRule="exact"/>
              <w:rPr>
                <w:rFonts w:hint="eastAsia" w:ascii="仿宋" w:hAnsi="仿宋" w:eastAsia="仿宋" w:cs="仿宋"/>
                <w:color w:val="FF0000"/>
              </w:rPr>
            </w:pPr>
          </w:p>
        </w:tc>
      </w:tr>
      <w:tr w14:paraId="2119A9DE">
        <w:tblPrEx>
          <w:tblCellMar>
            <w:top w:w="0" w:type="dxa"/>
            <w:left w:w="108" w:type="dxa"/>
            <w:bottom w:w="0" w:type="dxa"/>
            <w:right w:w="108" w:type="dxa"/>
          </w:tblCellMar>
        </w:tblPrEx>
        <w:trPr>
          <w:trHeight w:val="877" w:hRule="atLeast"/>
          <w:jc w:val="center"/>
        </w:trPr>
        <w:tc>
          <w:tcPr>
            <w:tcW w:w="2747" w:type="dxa"/>
            <w:gridSpan w:val="2"/>
            <w:tcBorders>
              <w:top w:val="single" w:color="auto" w:sz="4" w:space="0"/>
              <w:left w:val="single" w:color="auto" w:sz="4" w:space="0"/>
              <w:bottom w:val="single" w:color="auto" w:sz="4" w:space="0"/>
              <w:right w:val="single" w:color="auto" w:sz="4" w:space="0"/>
            </w:tcBorders>
            <w:noWrap w:val="0"/>
            <w:vAlign w:val="center"/>
          </w:tcPr>
          <w:p w14:paraId="2C66BEDE">
            <w:pPr>
              <w:autoSpaceDE w:val="0"/>
              <w:autoSpaceDN w:val="0"/>
              <w:adjustRightInd w:val="0"/>
              <w:spacing w:line="360" w:lineRule="exact"/>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投标报价</w:t>
            </w:r>
          </w:p>
          <w:p w14:paraId="244DED40">
            <w:pPr>
              <w:autoSpaceDE w:val="0"/>
              <w:autoSpaceDN w:val="0"/>
              <w:adjustRightInd w:val="0"/>
              <w:spacing w:line="360" w:lineRule="exact"/>
              <w:jc w:val="center"/>
              <w:rPr>
                <w:rFonts w:hint="eastAsia" w:ascii="仿宋" w:hAnsi="仿宋" w:eastAsia="仿宋" w:cs="仿宋"/>
                <w:lang w:val="zh-CN"/>
              </w:rPr>
            </w:pP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下浮率</w:t>
            </w:r>
            <w:r>
              <w:rPr>
                <w:rFonts w:hint="eastAsia" w:ascii="仿宋" w:hAnsi="仿宋" w:eastAsia="仿宋" w:cs="仿宋"/>
                <w:color w:val="000000"/>
                <w:kern w:val="0"/>
                <w:lang w:val="zh-CN"/>
              </w:rPr>
              <w:t>）</w:t>
            </w:r>
          </w:p>
        </w:tc>
        <w:tc>
          <w:tcPr>
            <w:tcW w:w="7170" w:type="dxa"/>
            <w:gridSpan w:val="4"/>
            <w:tcBorders>
              <w:top w:val="single" w:color="auto" w:sz="4" w:space="0"/>
              <w:left w:val="single" w:color="auto" w:sz="4" w:space="0"/>
              <w:bottom w:val="single" w:color="auto" w:sz="4" w:space="0"/>
              <w:right w:val="single" w:color="auto" w:sz="4" w:space="0"/>
            </w:tcBorders>
            <w:noWrap w:val="0"/>
            <w:vAlign w:val="center"/>
          </w:tcPr>
          <w:p w14:paraId="0A27A63D">
            <w:pPr>
              <w:autoSpaceDE w:val="0"/>
              <w:autoSpaceDN w:val="0"/>
              <w:adjustRightInd w:val="0"/>
              <w:spacing w:line="360" w:lineRule="exact"/>
              <w:rPr>
                <w:rFonts w:hint="eastAsia" w:ascii="仿宋" w:hAnsi="仿宋" w:eastAsia="仿宋" w:cs="仿宋"/>
              </w:rPr>
            </w:pPr>
            <w:r>
              <w:rPr>
                <w:rFonts w:hint="eastAsia" w:ascii="仿宋" w:hAnsi="仿宋" w:eastAsia="仿宋" w:cs="仿宋"/>
                <w:szCs w:val="21"/>
              </w:rPr>
              <w:t>（大写）</w:t>
            </w:r>
            <w:r>
              <w:rPr>
                <w:rFonts w:hint="eastAsia" w:ascii="仿宋" w:hAnsi="仿宋" w:eastAsia="仿宋" w:cs="仿宋"/>
              </w:rPr>
              <w:t>百分之</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tc>
      </w:tr>
    </w:tbl>
    <w:p w14:paraId="3A24343F">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 1.报价一经涂改，应在涂改处加盖单位公章或者由法定代表人或其授权代表签字或盖章，否则其投标作无效投标处理。</w:t>
      </w:r>
    </w:p>
    <w:p w14:paraId="2FCC0CDF">
      <w:pPr>
        <w:snapToGrid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000000"/>
          <w:sz w:val="24"/>
          <w:szCs w:val="24"/>
        </w:rPr>
        <w:t>2.招标人不接受2个(含)以上的报价或方案，若</w:t>
      </w:r>
      <w:r>
        <w:rPr>
          <w:rFonts w:hint="eastAsia" w:ascii="仿宋" w:hAnsi="仿宋" w:eastAsia="仿宋" w:cs="仿宋"/>
          <w:color w:val="000000"/>
          <w:sz w:val="24"/>
          <w:szCs w:val="24"/>
          <w:lang w:val="en-US" w:eastAsia="zh-CN"/>
        </w:rPr>
        <w:t>投标人</w:t>
      </w:r>
      <w:r>
        <w:rPr>
          <w:rFonts w:hint="eastAsia" w:ascii="仿宋" w:hAnsi="仿宋" w:eastAsia="仿宋" w:cs="仿宋"/>
          <w:color w:val="000000"/>
          <w:sz w:val="24"/>
          <w:szCs w:val="24"/>
        </w:rPr>
        <w:t>在此表中有2个（含）以上的报价或方案，其投标</w:t>
      </w:r>
      <w:r>
        <w:rPr>
          <w:rFonts w:hint="eastAsia" w:ascii="仿宋" w:hAnsi="仿宋" w:eastAsia="仿宋" w:cs="仿宋"/>
          <w:color w:val="auto"/>
          <w:sz w:val="24"/>
          <w:szCs w:val="24"/>
        </w:rPr>
        <w:t>作无效投标处理。</w:t>
      </w:r>
    </w:p>
    <w:p w14:paraId="06692160">
      <w:pPr>
        <w:snapToGrid w:val="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3.有关本项目的招投标及项目实施所涉及的</w:t>
      </w:r>
      <w:r>
        <w:rPr>
          <w:rFonts w:hint="eastAsia" w:ascii="仿宋" w:hAnsi="仿宋" w:eastAsia="仿宋" w:cs="仿宋"/>
          <w:color w:val="auto"/>
          <w:kern w:val="0"/>
          <w:sz w:val="24"/>
          <w:szCs w:val="24"/>
          <w:lang w:val="en-US" w:eastAsia="zh-CN"/>
        </w:rPr>
        <w:t>液化天然气采购价格、运费、保险费、税金和服务等</w:t>
      </w:r>
      <w:r>
        <w:rPr>
          <w:rFonts w:hint="eastAsia" w:ascii="仿宋" w:hAnsi="仿宋" w:eastAsia="仿宋" w:cs="仿宋"/>
          <w:color w:val="auto"/>
          <w:kern w:val="0"/>
          <w:sz w:val="24"/>
          <w:szCs w:val="24"/>
          <w:lang w:val="zh-CN"/>
        </w:rPr>
        <w:t>一切费用均计入投标报价。</w:t>
      </w:r>
    </w:p>
    <w:p w14:paraId="5A7A44E5">
      <w:pPr>
        <w:snapToGrid w:val="0"/>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4.享受政府采购政策性规定的需要提供相关证明材料，具体详见第二章“投标人须知”、“一总则”，否则不予享受。</w:t>
      </w:r>
    </w:p>
    <w:p w14:paraId="6152C408">
      <w:pPr>
        <w:snapToGrid w:val="0"/>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5.下浮率四舍五入保留整数</w:t>
      </w:r>
      <w:r>
        <w:rPr>
          <w:rFonts w:hint="eastAsia" w:ascii="仿宋" w:hAnsi="仿宋" w:eastAsia="仿宋" w:cs="仿宋"/>
          <w:color w:val="auto"/>
          <w:kern w:val="0"/>
          <w:sz w:val="24"/>
          <w:szCs w:val="24"/>
          <w:highlight w:val="none"/>
          <w:lang w:val="en-US" w:eastAsia="zh-CN"/>
        </w:rPr>
        <w:t>，例如：10%、11%、12%。</w:t>
      </w:r>
    </w:p>
    <w:p w14:paraId="63670769">
      <w:pPr>
        <w:ind w:firstLine="482" w:firstLineChars="200"/>
        <w:rPr>
          <w:rFonts w:hint="eastAsia" w:ascii="仿宋" w:hAnsi="仿宋" w:eastAsia="仿宋" w:cs="仿宋"/>
          <w:b/>
          <w:color w:val="auto"/>
          <w:kern w:val="0"/>
          <w:sz w:val="24"/>
          <w:szCs w:val="24"/>
          <w:u w:val="single"/>
          <w:lang w:eastAsia="zh-CN"/>
        </w:rPr>
      </w:pPr>
    </w:p>
    <w:p w14:paraId="769686E2">
      <w:pPr>
        <w:spacing w:line="400" w:lineRule="exact"/>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组价说明：</w:t>
      </w:r>
    </w:p>
    <w:p w14:paraId="154DA60E">
      <w:pPr>
        <w:spacing w:line="400" w:lineRule="exact"/>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①液化天然气中标单价（元/吨）=招标人《供货通知单》发出当日的卓创资讯(https://www.sci99.com/）→LNG接收站价→华东（浙江宁波、舟山新奥、江苏如东）接收站单日价格×（1-中标下浮率）。</w:t>
      </w:r>
    </w:p>
    <w:p w14:paraId="3D7301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②结算金额=液化天然气中标单价×供货数量（供货数量按实）。</w:t>
      </w:r>
    </w:p>
    <w:p w14:paraId="0BC8F83E">
      <w:pPr>
        <w:ind w:firstLine="482" w:firstLineChars="200"/>
        <w:rPr>
          <w:rFonts w:hint="eastAsia" w:ascii="仿宋" w:hAnsi="仿宋" w:eastAsia="仿宋" w:cs="仿宋"/>
          <w:b/>
          <w:color w:val="000000"/>
          <w:kern w:val="0"/>
          <w:sz w:val="24"/>
          <w:szCs w:val="24"/>
          <w:u w:val="single"/>
          <w:lang w:eastAsia="zh-CN"/>
        </w:rPr>
      </w:pPr>
    </w:p>
    <w:p w14:paraId="145A754A">
      <w:pPr>
        <w:pStyle w:val="396"/>
        <w:spacing w:afterLines="0" w:line="440" w:lineRule="exact"/>
        <w:ind w:firstLine="480"/>
        <w:rPr>
          <w:rFonts w:hint="eastAsia" w:ascii="仿宋" w:hAnsi="仿宋" w:eastAsia="仿宋" w:cs="仿宋"/>
          <w:color w:val="000000"/>
          <w:sz w:val="24"/>
          <w:szCs w:val="24"/>
          <w:highlight w:val="none"/>
        </w:rPr>
      </w:pPr>
      <w:bookmarkStart w:id="42" w:name="_Toc64369826"/>
      <w:r>
        <w:rPr>
          <w:rFonts w:hint="eastAsia" w:ascii="仿宋" w:hAnsi="仿宋" w:eastAsia="仿宋" w:cs="仿宋"/>
          <w:color w:val="000000"/>
          <w:sz w:val="24"/>
          <w:szCs w:val="24"/>
          <w:highlight w:val="none"/>
        </w:rPr>
        <w:t>投标人(盖章)：</w:t>
      </w:r>
    </w:p>
    <w:p w14:paraId="73F622F8">
      <w:pPr>
        <w:snapToGrid w:val="0"/>
        <w:ind w:firstLine="480" w:firstLineChars="200"/>
        <w:jc w:val="left"/>
        <w:rPr>
          <w:rFonts w:hint="eastAsia" w:ascii="仿宋" w:hAnsi="仿宋" w:eastAsia="仿宋" w:cs="仿宋"/>
          <w:color w:val="000000"/>
          <w:sz w:val="24"/>
          <w:szCs w:val="24"/>
        </w:rPr>
      </w:pPr>
    </w:p>
    <w:p w14:paraId="3FE056E7">
      <w:pPr>
        <w:snapToGrid w:val="0"/>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法定代表人或其授权代表签字（或盖章）：            </w:t>
      </w:r>
      <w:bookmarkEnd w:id="42"/>
    </w:p>
    <w:p w14:paraId="6838AB75">
      <w:pPr>
        <w:spacing w:line="360" w:lineRule="auto"/>
        <w:jc w:val="left"/>
        <w:outlineLvl w:val="0"/>
        <w:rPr>
          <w:rFonts w:hint="eastAsia" w:ascii="仿宋" w:hAnsi="仿宋" w:eastAsia="仿宋" w:cs="仿宋"/>
          <w:color w:val="000000"/>
          <w:sz w:val="24"/>
          <w:szCs w:val="24"/>
        </w:rPr>
      </w:pPr>
    </w:p>
    <w:p w14:paraId="010A7985">
      <w:pPr>
        <w:snapToGrid w:val="0"/>
        <w:ind w:firstLine="480" w:firstLineChars="200"/>
        <w:jc w:val="left"/>
        <w:rPr>
          <w:rFonts w:hint="eastAsia" w:ascii="仿宋" w:hAnsi="仿宋" w:eastAsia="仿宋" w:cs="仿宋"/>
          <w:color w:val="000000"/>
          <w:sz w:val="24"/>
          <w:szCs w:val="24"/>
        </w:rPr>
      </w:pPr>
      <w:bookmarkStart w:id="43" w:name="_Toc64369827"/>
      <w:r>
        <w:rPr>
          <w:rFonts w:hint="eastAsia" w:ascii="仿宋" w:hAnsi="仿宋" w:eastAsia="仿宋" w:cs="仿宋"/>
          <w:color w:val="000000"/>
          <w:sz w:val="24"/>
          <w:szCs w:val="24"/>
        </w:rPr>
        <w:t>日期：    年   月   日</w:t>
      </w:r>
      <w:bookmarkEnd w:id="43"/>
    </w:p>
    <w:p w14:paraId="7274516F">
      <w:pPr>
        <w:spacing w:line="360" w:lineRule="auto"/>
        <w:rPr>
          <w:rFonts w:hint="eastAsia" w:ascii="宋体" w:hAnsi="宋体" w:eastAsia="宋体" w:cs="宋体"/>
          <w:color w:val="000000"/>
        </w:rPr>
      </w:pPr>
    </w:p>
    <w:p w14:paraId="7D2D90FC">
      <w:pPr>
        <w:pStyle w:val="692"/>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pgSz w:w="11906" w:h="16838"/>
          <w:pgMar w:top="1474" w:right="1814" w:bottom="1474" w:left="1814" w:header="851" w:footer="992" w:gutter="0"/>
          <w:cols w:space="720" w:num="1"/>
          <w:titlePg/>
          <w:docGrid w:linePitch="312" w:charSpace="0"/>
        </w:sectPr>
      </w:pPr>
    </w:p>
    <w:p w14:paraId="02A46725">
      <w:pPr>
        <w:pStyle w:val="5"/>
        <w:keepNext w:val="0"/>
        <w:keepLines w:val="0"/>
        <w:pageBreakBefore/>
        <w:widowControl/>
        <w:spacing w:before="100" w:beforeAutospacing="1" w:after="100" w:afterAutospacing="1" w:line="360" w:lineRule="auto"/>
        <w:ind w:left="0" w:leftChars="0" w:firstLine="0" w:firstLineChars="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bookmarkEnd w:id="41"/>
    </w:p>
    <w:p w14:paraId="6863EDCA">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58E86C1B">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546A4E64">
      <w:pPr>
        <w:snapToGrid w:val="0"/>
        <w:spacing w:before="240"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623A5D60">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14:paraId="0236848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09CB817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0741ECF2">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14:paraId="1EC7421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205B582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 邮编：</w:t>
      </w:r>
    </w:p>
    <w:p w14:paraId="49C7B3CD">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0A075512">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14:paraId="65562BA1">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14:paraId="2AA5F454">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44FF0091">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14:paraId="172C40C7">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762CB33F">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14:paraId="1E850FE3">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32EA5DDF">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215170EB">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69F09CDB">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8ACF259">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6C8B6156">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340373C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637675C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8601CC6">
      <w:pPr>
        <w:spacing w:line="360" w:lineRule="auto"/>
        <w:rPr>
          <w:rFonts w:ascii="仿宋" w:hAnsi="仿宋" w:eastAsia="仿宋" w:cs="仿宋"/>
          <w:b/>
          <w:color w:val="000000" w:themeColor="text1"/>
          <w:sz w:val="24"/>
          <w:highlight w:val="none"/>
          <w14:textFill>
            <w14:solidFill>
              <w14:schemeClr w14:val="tx1"/>
            </w14:solidFill>
          </w14:textFill>
        </w:rPr>
      </w:pPr>
    </w:p>
    <w:p w14:paraId="529D2128">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36FCECFA">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5B1F2B8B">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67789D9">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5BEF394E">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5046BFD5">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3F7532E5">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6026AA3">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14:paraId="5F91C22F">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4421578B">
      <w:pPr>
        <w:pStyle w:val="80"/>
        <w:rPr>
          <w:rFonts w:ascii="仿宋" w:hAnsi="仿宋" w:eastAsia="仿宋" w:cs="仿宋"/>
          <w:color w:val="000000" w:themeColor="text1"/>
          <w:highlight w:val="none"/>
          <w14:textFill>
            <w14:solidFill>
              <w14:schemeClr w14:val="tx1"/>
            </w14:solidFill>
          </w14:textFill>
        </w:rPr>
      </w:pPr>
    </w:p>
    <w:p w14:paraId="72EC88ED">
      <w:pPr>
        <w:pStyle w:val="81"/>
        <w:rPr>
          <w:rFonts w:ascii="仿宋" w:hAnsi="仿宋" w:eastAsia="仿宋" w:cs="仿宋"/>
          <w:color w:val="000000" w:themeColor="text1"/>
          <w:highlight w:val="none"/>
          <w14:textFill>
            <w14:solidFill>
              <w14:schemeClr w14:val="tx1"/>
            </w14:solidFill>
          </w14:textFill>
        </w:rPr>
      </w:pPr>
    </w:p>
    <w:p w14:paraId="66444ABE">
      <w:pPr>
        <w:rPr>
          <w:rFonts w:ascii="仿宋" w:hAnsi="仿宋" w:eastAsia="仿宋" w:cs="仿宋"/>
          <w:color w:val="000000" w:themeColor="text1"/>
          <w:highlight w:val="none"/>
          <w14:textFill>
            <w14:solidFill>
              <w14:schemeClr w14:val="tx1"/>
            </w14:solidFill>
          </w14:textFill>
        </w:rPr>
      </w:pPr>
    </w:p>
    <w:p w14:paraId="4538397B">
      <w:pPr>
        <w:pStyle w:val="80"/>
        <w:rPr>
          <w:rFonts w:ascii="仿宋" w:hAnsi="仿宋" w:eastAsia="仿宋" w:cs="仿宋"/>
          <w:color w:val="000000" w:themeColor="text1"/>
          <w:highlight w:val="none"/>
          <w14:textFill>
            <w14:solidFill>
              <w14:schemeClr w14:val="tx1"/>
            </w14:solidFill>
          </w14:textFill>
        </w:rPr>
      </w:pPr>
    </w:p>
    <w:p w14:paraId="6B4E1FE1">
      <w:pPr>
        <w:pStyle w:val="81"/>
        <w:rPr>
          <w:rFonts w:ascii="仿宋" w:hAnsi="仿宋" w:eastAsia="仿宋" w:cs="仿宋"/>
          <w:color w:val="000000" w:themeColor="text1"/>
          <w:highlight w:val="none"/>
          <w14:textFill>
            <w14:solidFill>
              <w14:schemeClr w14:val="tx1"/>
            </w14:solidFill>
          </w14:textFill>
        </w:rPr>
      </w:pPr>
    </w:p>
    <w:p w14:paraId="310D2847">
      <w:pPr>
        <w:rPr>
          <w:rFonts w:ascii="仿宋" w:hAnsi="仿宋" w:eastAsia="仿宋" w:cs="仿宋"/>
          <w:color w:val="000000" w:themeColor="text1"/>
          <w:highlight w:val="none"/>
          <w14:textFill>
            <w14:solidFill>
              <w14:schemeClr w14:val="tx1"/>
            </w14:solidFill>
          </w14:textFill>
        </w:rPr>
      </w:pPr>
    </w:p>
    <w:p w14:paraId="3FB26B4C">
      <w:pPr>
        <w:pStyle w:val="80"/>
        <w:rPr>
          <w:rFonts w:ascii="仿宋" w:hAnsi="仿宋" w:eastAsia="仿宋" w:cs="仿宋"/>
          <w:color w:val="000000" w:themeColor="text1"/>
          <w:highlight w:val="none"/>
          <w14:textFill>
            <w14:solidFill>
              <w14:schemeClr w14:val="tx1"/>
            </w14:solidFill>
          </w14:textFill>
        </w:rPr>
      </w:pPr>
    </w:p>
    <w:p w14:paraId="4FA68DCB">
      <w:pPr>
        <w:pStyle w:val="81"/>
        <w:rPr>
          <w:rFonts w:ascii="仿宋" w:hAnsi="仿宋" w:eastAsia="仿宋" w:cs="仿宋"/>
          <w:color w:val="000000" w:themeColor="text1"/>
          <w:highlight w:val="none"/>
          <w14:textFill>
            <w14:solidFill>
              <w14:schemeClr w14:val="tx1"/>
            </w14:solidFill>
          </w14:textFill>
        </w:rPr>
      </w:pPr>
    </w:p>
    <w:p w14:paraId="0484C102">
      <w:pPr>
        <w:rPr>
          <w:rFonts w:ascii="仿宋" w:hAnsi="仿宋" w:eastAsia="仿宋" w:cs="仿宋"/>
          <w:color w:val="000000" w:themeColor="text1"/>
          <w:highlight w:val="none"/>
          <w14:textFill>
            <w14:solidFill>
              <w14:schemeClr w14:val="tx1"/>
            </w14:solidFill>
          </w14:textFill>
        </w:rPr>
      </w:pPr>
    </w:p>
    <w:p w14:paraId="3E2B3FF1">
      <w:pPr>
        <w:pStyle w:val="80"/>
        <w:rPr>
          <w:rFonts w:ascii="仿宋" w:hAnsi="仿宋" w:eastAsia="仿宋" w:cs="仿宋"/>
          <w:color w:val="000000" w:themeColor="text1"/>
          <w:highlight w:val="none"/>
          <w14:textFill>
            <w14:solidFill>
              <w14:schemeClr w14:val="tx1"/>
            </w14:solidFill>
          </w14:textFill>
        </w:rPr>
      </w:pPr>
    </w:p>
    <w:p w14:paraId="02DB6B71">
      <w:pPr>
        <w:pStyle w:val="81"/>
        <w:rPr>
          <w:rFonts w:ascii="仿宋" w:hAnsi="仿宋" w:eastAsia="仿宋" w:cs="仿宋"/>
          <w:color w:val="000000" w:themeColor="text1"/>
          <w:highlight w:val="none"/>
          <w14:textFill>
            <w14:solidFill>
              <w14:schemeClr w14:val="tx1"/>
            </w14:solidFill>
          </w14:textFill>
        </w:rPr>
      </w:pPr>
    </w:p>
    <w:p w14:paraId="6E989FCB">
      <w:pPr>
        <w:rPr>
          <w:rFonts w:ascii="仿宋" w:hAnsi="仿宋" w:eastAsia="仿宋" w:cs="仿宋"/>
          <w:color w:val="000000" w:themeColor="text1"/>
          <w:highlight w:val="none"/>
          <w14:textFill>
            <w14:solidFill>
              <w14:schemeClr w14:val="tx1"/>
            </w14:solidFill>
          </w14:textFill>
        </w:rPr>
      </w:pPr>
    </w:p>
    <w:p w14:paraId="7931DF8C">
      <w:pPr>
        <w:pStyle w:val="80"/>
        <w:rPr>
          <w:rFonts w:ascii="仿宋" w:hAnsi="仿宋" w:eastAsia="仿宋" w:cs="仿宋"/>
          <w:color w:val="000000" w:themeColor="text1"/>
          <w:highlight w:val="none"/>
          <w14:textFill>
            <w14:solidFill>
              <w14:schemeClr w14:val="tx1"/>
            </w14:solidFill>
          </w14:textFill>
        </w:rPr>
      </w:pPr>
    </w:p>
    <w:p w14:paraId="3F73FDD9">
      <w:pPr>
        <w:pStyle w:val="81"/>
        <w:rPr>
          <w:rFonts w:ascii="仿宋" w:hAnsi="仿宋" w:eastAsia="仿宋" w:cs="仿宋"/>
          <w:color w:val="000000" w:themeColor="text1"/>
          <w:highlight w:val="none"/>
          <w14:textFill>
            <w14:solidFill>
              <w14:schemeClr w14:val="tx1"/>
            </w14:solidFill>
          </w14:textFill>
        </w:rPr>
      </w:pPr>
    </w:p>
    <w:p w14:paraId="4EE6FECA">
      <w:pPr>
        <w:rPr>
          <w:rFonts w:ascii="仿宋" w:hAnsi="仿宋" w:eastAsia="仿宋" w:cs="仿宋"/>
          <w:color w:val="000000" w:themeColor="text1"/>
          <w:highlight w:val="none"/>
          <w14:textFill>
            <w14:solidFill>
              <w14:schemeClr w14:val="tx1"/>
            </w14:solidFill>
          </w14:textFill>
        </w:rPr>
      </w:pPr>
    </w:p>
    <w:p w14:paraId="3F3D2A20">
      <w:pPr>
        <w:pStyle w:val="44"/>
        <w:rPr>
          <w:rFonts w:ascii="仿宋" w:hAnsi="仿宋" w:eastAsia="仿宋" w:cs="仿宋"/>
          <w:color w:val="000000" w:themeColor="text1"/>
          <w:highlight w:val="none"/>
          <w14:textFill>
            <w14:solidFill>
              <w14:schemeClr w14:val="tx1"/>
            </w14:solidFill>
          </w14:textFill>
        </w:rPr>
      </w:pPr>
    </w:p>
    <w:p w14:paraId="74C69B62">
      <w:pPr>
        <w:rPr>
          <w:rFonts w:ascii="仿宋" w:hAnsi="仿宋" w:eastAsia="仿宋" w:cs="仿宋"/>
          <w:color w:val="000000" w:themeColor="text1"/>
          <w:highlight w:val="none"/>
          <w14:textFill>
            <w14:solidFill>
              <w14:schemeClr w14:val="tx1"/>
            </w14:solidFill>
          </w14:textFill>
        </w:rPr>
      </w:pPr>
    </w:p>
    <w:p w14:paraId="6185313F">
      <w:pPr>
        <w:pStyle w:val="44"/>
        <w:rPr>
          <w:rFonts w:ascii="仿宋" w:hAnsi="仿宋" w:eastAsia="仿宋" w:cs="仿宋"/>
          <w:color w:val="000000" w:themeColor="text1"/>
          <w:highlight w:val="none"/>
          <w14:textFill>
            <w14:solidFill>
              <w14:schemeClr w14:val="tx1"/>
            </w14:solidFill>
          </w14:textFill>
        </w:rPr>
      </w:pPr>
    </w:p>
    <w:p w14:paraId="7D1F91DB">
      <w:pPr>
        <w:rPr>
          <w:rFonts w:ascii="仿宋" w:hAnsi="仿宋" w:eastAsia="仿宋" w:cs="仿宋"/>
          <w:color w:val="000000" w:themeColor="text1"/>
          <w:highlight w:val="none"/>
          <w14:textFill>
            <w14:solidFill>
              <w14:schemeClr w14:val="tx1"/>
            </w14:solidFill>
          </w14:textFill>
        </w:rPr>
      </w:pPr>
    </w:p>
    <w:p w14:paraId="2F9C3B08">
      <w:pPr>
        <w:pStyle w:val="44"/>
        <w:rPr>
          <w:color w:val="000000" w:themeColor="text1"/>
          <w:highlight w:val="none"/>
          <w14:textFill>
            <w14:solidFill>
              <w14:schemeClr w14:val="tx1"/>
            </w14:solidFill>
          </w14:textFill>
        </w:rPr>
      </w:pPr>
    </w:p>
    <w:p w14:paraId="47311A0B">
      <w:pPr>
        <w:pStyle w:val="81"/>
        <w:rPr>
          <w:rFonts w:ascii="仿宋" w:hAnsi="仿宋" w:eastAsia="仿宋" w:cs="仿宋"/>
          <w:color w:val="000000" w:themeColor="text1"/>
          <w:highlight w:val="none"/>
          <w14:textFill>
            <w14:solidFill>
              <w14:schemeClr w14:val="tx1"/>
            </w14:solidFill>
          </w14:textFill>
        </w:rPr>
      </w:pPr>
    </w:p>
    <w:p w14:paraId="10375AF1">
      <w:pPr>
        <w:rPr>
          <w:rFonts w:ascii="仿宋" w:hAnsi="仿宋" w:eastAsia="仿宋" w:cs="仿宋"/>
          <w:color w:val="000000" w:themeColor="text1"/>
          <w:highlight w:val="none"/>
          <w14:textFill>
            <w14:solidFill>
              <w14:schemeClr w14:val="tx1"/>
            </w14:solidFill>
          </w14:textFill>
        </w:rPr>
      </w:pPr>
    </w:p>
    <w:p w14:paraId="2EC3D709">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4582C923">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44599754">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614ABE3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1620BAA9">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14:paraId="7AD7B8C7">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23CAC67F">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14:paraId="261B3DFA">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2E8CED72">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B9ED85">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6E3DAAE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14:paraId="2F32C984">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14A8DA6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19548AA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1BD00EF8">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3948CAD">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14:paraId="3F5AB054">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2D006E44">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0022DB2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56F9A08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14:paraId="483D008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14:paraId="3453567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452C3F06">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14:paraId="43ED94DA">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45B19C4C">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14FAF5F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65CA2B07">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p>
    <w:p w14:paraId="1AE87F0C">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6AB25383">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14:paraId="1CB49B3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418F645A">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14:paraId="5684550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5CB4F3C5">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689CD15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46A60D6B">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69AE0AD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7670DA55">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CF950E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70E1C3F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7EF807AD">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559EAEE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EBB2FF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A2C9C38">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6DC9873E">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B5C6A0C">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80D72CE">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3B7082E7">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10A5178E">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0096CE62">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539BAA82">
      <w:pPr>
        <w:widowControl/>
        <w:spacing w:line="360" w:lineRule="auto"/>
        <w:ind w:firstLine="480"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32BFD6B">
      <w:pPr>
        <w:spacing w:line="360" w:lineRule="auto"/>
        <w:rPr>
          <w:rFonts w:ascii="仿宋" w:hAnsi="仿宋" w:eastAsia="仿宋" w:cs="仿宋"/>
          <w:bCs/>
          <w:color w:val="000000" w:themeColor="text1"/>
          <w:sz w:val="24"/>
          <w:highlight w:val="none"/>
          <w14:textFill>
            <w14:solidFill>
              <w14:schemeClr w14:val="tx1"/>
            </w14:solidFill>
          </w14:textFill>
        </w:rPr>
      </w:pPr>
    </w:p>
    <w:sectPr>
      <w:headerReference r:id="rId19" w:type="first"/>
      <w:footerReference r:id="rId22" w:type="first"/>
      <w:headerReference r:id="rId18" w:type="default"/>
      <w:footerReference r:id="rId20" w:type="default"/>
      <w:footerReference r:id="rId21" w:type="even"/>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DAF1">
    <w:pPr>
      <w:pStyle w:val="41"/>
      <w:framePr w:wrap="around" w:vAnchor="text" w:hAnchor="margin" w:xAlign="right" w:y="1"/>
      <w:rPr>
        <w:rStyle w:val="72"/>
      </w:rPr>
    </w:pPr>
    <w:r>
      <w:fldChar w:fldCharType="begin"/>
    </w:r>
    <w:r>
      <w:rPr>
        <w:rStyle w:val="72"/>
      </w:rPr>
      <w:instrText xml:space="preserve">PAGE  </w:instrText>
    </w:r>
    <w:r>
      <w:fldChar w:fldCharType="end"/>
    </w:r>
  </w:p>
  <w:p w14:paraId="5D977104">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6B013">
    <w:pPr>
      <w:pStyle w:val="41"/>
      <w:jc w:val="center"/>
    </w:pPr>
    <w:r>
      <w:fldChar w:fldCharType="begin"/>
    </w:r>
    <w:r>
      <w:instrText xml:space="preserve"> PAGE   \* MERGEFORMAT </w:instrText>
    </w:r>
    <w:r>
      <w:fldChar w:fldCharType="separate"/>
    </w:r>
    <w:r>
      <w:rPr>
        <w:lang w:val="zh-CN"/>
      </w:rPr>
      <w:t>84</w:t>
    </w:r>
    <w:r>
      <w:fldChar w:fldCharType="end"/>
    </w:r>
  </w:p>
  <w:p w14:paraId="60BC8D0B">
    <w:pPr>
      <w:pStyle w:val="41"/>
      <w:jc w:val="center"/>
      <w:rPr>
        <w:rFonts w:ascii="仿宋_GB2312" w:eastAsia="仿宋_GB2312"/>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CB0A">
    <w:pPr>
      <w:pStyle w:val="41"/>
      <w:framePr w:wrap="around" w:vAnchor="text" w:hAnchor="margin" w:xAlign="right" w:y="1"/>
      <w:rPr>
        <w:rStyle w:val="72"/>
      </w:rPr>
    </w:pPr>
    <w:r>
      <w:fldChar w:fldCharType="begin"/>
    </w:r>
    <w:r>
      <w:rPr>
        <w:rStyle w:val="72"/>
      </w:rPr>
      <w:instrText xml:space="preserve">PAGE  </w:instrText>
    </w:r>
    <w:r>
      <w:fldChar w:fldCharType="end"/>
    </w:r>
  </w:p>
  <w:p w14:paraId="51FEA76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8B5A">
    <w:pPr>
      <w:pStyle w:val="41"/>
      <w:jc w:val="center"/>
    </w:pPr>
    <w:r>
      <w:fldChar w:fldCharType="begin"/>
    </w:r>
    <w:r>
      <w:instrText xml:space="preserve"> PAGE   \* MERGEFORMAT </w:instrText>
    </w:r>
    <w:r>
      <w:fldChar w:fldCharType="separate"/>
    </w:r>
    <w:r>
      <w:rPr>
        <w:lang w:val="zh-CN"/>
      </w:rPr>
      <w:t>64</w:t>
    </w:r>
    <w:r>
      <w:fldChar w:fldCharType="end"/>
    </w:r>
  </w:p>
  <w:p w14:paraId="54DE24E4">
    <w:pPr>
      <w:pStyle w:val="41"/>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1"/>
    </w:sdtPr>
    <w:sdtContent>
      <w:p w14:paraId="41A61247">
        <w:pPr>
          <w:pStyle w:val="41"/>
          <w:jc w:val="center"/>
        </w:pPr>
        <w:r>
          <w:fldChar w:fldCharType="begin"/>
        </w:r>
        <w:r>
          <w:instrText xml:space="preserve"> PAGE   \* MERGEFORMAT </w:instrText>
        </w:r>
        <w:r>
          <w:fldChar w:fldCharType="separate"/>
        </w:r>
        <w:r>
          <w:rPr>
            <w:lang w:val="zh-CN"/>
          </w:rPr>
          <w:t>1</w:t>
        </w:r>
        <w:r>
          <w:fldChar w:fldCharType="end"/>
        </w:r>
      </w:p>
    </w:sdtContent>
  </w:sdt>
  <w:p w14:paraId="7B317381">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4181">
    <w:pPr>
      <w:pStyle w:val="41"/>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C1765">
    <w:pPr>
      <w:pStyle w:val="41"/>
      <w:framePr w:wrap="around" w:vAnchor="text" w:hAnchor="margin" w:xAlign="right" w:y="1"/>
      <w:rPr>
        <w:rStyle w:val="72"/>
      </w:rPr>
    </w:pPr>
    <w:r>
      <w:fldChar w:fldCharType="begin"/>
    </w:r>
    <w:r>
      <w:rPr>
        <w:rStyle w:val="72"/>
      </w:rPr>
      <w:instrText xml:space="preserve">PAGE  </w:instrText>
    </w:r>
    <w:r>
      <w:fldChar w:fldCharType="end"/>
    </w:r>
  </w:p>
  <w:p w14:paraId="3F638A6D">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2"/>
    </w:sdtPr>
    <w:sdtContent>
      <w:p w14:paraId="01DABDEA">
        <w:pPr>
          <w:pStyle w:val="41"/>
          <w:jc w:val="center"/>
        </w:pPr>
        <w:r>
          <w:fldChar w:fldCharType="begin"/>
        </w:r>
        <w:r>
          <w:instrText xml:space="preserve"> PAGE   \* MERGEFORMAT </w:instrText>
        </w:r>
        <w:r>
          <w:fldChar w:fldCharType="separate"/>
        </w:r>
        <w:r>
          <w:rPr>
            <w:lang w:val="zh-CN"/>
          </w:rPr>
          <w:t>2</w:t>
        </w:r>
        <w:r>
          <w:fldChar w:fldCharType="end"/>
        </w:r>
      </w:p>
    </w:sdtContent>
  </w:sdt>
  <w:p w14:paraId="6E0DAD98">
    <w:pPr>
      <w:pStyle w:val="41"/>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4"/>
    </w:sdtPr>
    <w:sdtContent>
      <w:p w14:paraId="127D04D2">
        <w:pPr>
          <w:pStyle w:val="41"/>
          <w:jc w:val="center"/>
        </w:pPr>
        <w:r>
          <w:fldChar w:fldCharType="begin"/>
        </w:r>
        <w:r>
          <w:instrText xml:space="preserve"> PAGE   \* MERGEFORMAT </w:instrText>
        </w:r>
        <w:r>
          <w:fldChar w:fldCharType="separate"/>
        </w:r>
        <w:r>
          <w:rPr>
            <w:lang w:val="zh-CN"/>
          </w:rPr>
          <w:t>22</w:t>
        </w:r>
        <w:r>
          <w:fldChar w:fldCharType="end"/>
        </w:r>
      </w:p>
    </w:sdtContent>
  </w:sdt>
  <w:p w14:paraId="709DC40A">
    <w:pPr>
      <w:pStyle w:val="41"/>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AF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5"/>
    </w:sdtPr>
    <w:sdtContent>
      <w:p w14:paraId="09CD139F">
        <w:pPr>
          <w:pStyle w:val="41"/>
          <w:jc w:val="center"/>
        </w:pPr>
        <w:r>
          <w:fldChar w:fldCharType="begin"/>
        </w:r>
        <w:r>
          <w:instrText xml:space="preserve"> PAGE   \* MERGEFORMAT </w:instrText>
        </w:r>
        <w:r>
          <w:fldChar w:fldCharType="separate"/>
        </w:r>
        <w:r>
          <w:rPr>
            <w:lang w:val="zh-CN"/>
          </w:rPr>
          <w:t>63</w:t>
        </w:r>
        <w:r>
          <w:fldChar w:fldCharType="end"/>
        </w:r>
      </w:p>
    </w:sdtContent>
  </w:sdt>
  <w:p w14:paraId="5ADB197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4"/>
    </w:sdtPr>
    <w:sdtContent>
      <w:p w14:paraId="7757FA1F">
        <w:pPr>
          <w:pStyle w:val="41"/>
          <w:jc w:val="center"/>
        </w:pPr>
        <w:r>
          <w:fldChar w:fldCharType="begin"/>
        </w:r>
        <w:r>
          <w:instrText xml:space="preserve"> PAGE   \* MERGEFORMAT </w:instrText>
        </w:r>
        <w:r>
          <w:fldChar w:fldCharType="separate"/>
        </w:r>
        <w:r>
          <w:rPr>
            <w:lang w:val="zh-CN"/>
          </w:rPr>
          <w:t>62</w:t>
        </w:r>
        <w:r>
          <w:fldChar w:fldCharType="end"/>
        </w:r>
      </w:p>
    </w:sdtContent>
  </w:sdt>
  <w:p w14:paraId="30877FA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800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66AA">
    <w:pPr>
      <w:pStyle w:val="42"/>
      <w:jc w:val="left"/>
      <w:rPr>
        <w:rFonts w:hint="default" w:ascii="仿宋_GB2312" w:eastAsia="仿宋"/>
        <w:i/>
        <w:u w:val="single"/>
        <w:lang w:val="en-US" w:eastAsia="zh-CN"/>
      </w:rPr>
    </w:pPr>
    <w:r>
      <w:rPr>
        <w:rFonts w:hint="eastAsia" w:eastAsia="仿宋"/>
        <w:lang w:eastAsia="zh-CN"/>
      </w:rPr>
      <w:t>浙江华耀建设咨询有限公司</w:t>
    </w:r>
    <w:r>
      <w:rPr>
        <w:rFonts w:hint="eastAsia" w:ascii="仿宋" w:hAnsi="仿宋" w:eastAsia="仿宋" w:cs="仿宋"/>
      </w:rPr>
      <w:t xml:space="preserve">（代理机构）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天投2024-SCB-</w:t>
    </w:r>
    <w:r>
      <w:rPr>
        <w:rFonts w:hint="eastAsia" w:ascii="仿宋" w:hAnsi="仿宋" w:eastAsia="仿宋" w:cs="仿宋"/>
        <w:lang w:val="en-US" w:eastAsia="zh-CN"/>
      </w:rPr>
      <w:t>014</w:t>
    </w:r>
  </w:p>
  <w:p w14:paraId="40300F9D">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C3DE3">
    <w:pPr>
      <w:pStyle w:val="42"/>
      <w:jc w:val="left"/>
      <w:rPr>
        <w:rFonts w:hint="default" w:ascii="仿宋_GB2312" w:eastAsia="仿宋"/>
        <w:i/>
        <w:color w:val="auto"/>
        <w:u w:val="single"/>
        <w:lang w:val="en-US" w:eastAsia="zh-CN"/>
      </w:rPr>
    </w:pPr>
    <w:r>
      <w:rPr>
        <w:rFonts w:hint="eastAsia"/>
        <w:lang w:eastAsia="zh-CN"/>
      </w:rPr>
      <w:t>浙江华耀建设咨询有限公司</w:t>
    </w:r>
    <w:r>
      <w:rPr>
        <w:rFonts w:hint="eastAsia" w:ascii="仿宋" w:hAnsi="仿宋" w:eastAsia="仿宋" w:cs="仿宋"/>
      </w:rPr>
      <w:t xml:space="preserve">（代理机构）                          </w:t>
    </w:r>
    <w:r>
      <w:rPr>
        <w:rFonts w:hint="eastAsia" w:ascii="仿宋" w:hAnsi="仿宋" w:eastAsia="仿宋" w:cs="仿宋"/>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文件编号: </w:t>
    </w:r>
    <w:r>
      <w:rPr>
        <w:rFonts w:hint="eastAsia" w:ascii="仿宋" w:hAnsi="仿宋" w:eastAsia="仿宋" w:cs="仿宋"/>
        <w:color w:val="auto"/>
        <w:lang w:eastAsia="zh-CN"/>
      </w:rPr>
      <w:t>天投2024-SCB-</w:t>
    </w:r>
    <w:r>
      <w:rPr>
        <w:rFonts w:hint="eastAsia" w:ascii="仿宋" w:hAnsi="仿宋" w:eastAsia="仿宋" w:cs="仿宋"/>
        <w:color w:val="auto"/>
        <w:lang w:val="en-US" w:eastAsia="zh-CN"/>
      </w:rPr>
      <w:t>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5B55">
    <w:pPr>
      <w:pStyle w:val="42"/>
      <w:ind w:firstLine="540" w:firstLineChars="300"/>
      <w:jc w:val="left"/>
      <w:rPr>
        <w:rFonts w:hint="default" w:ascii="仿宋_GB2312" w:eastAsia="仿宋"/>
        <w:i/>
        <w:u w:val="single"/>
        <w:lang w:val="en-US" w:eastAsia="zh-CN"/>
      </w:rPr>
    </w:pPr>
    <w:r>
      <w:rPr>
        <w:rFonts w:hint="eastAsia" w:eastAsia="仿宋"/>
        <w:lang w:eastAsia="zh-CN"/>
      </w:rPr>
      <w:t>浙江华耀建设咨询有限公司</w:t>
    </w:r>
    <w:r>
      <w:rPr>
        <w:rFonts w:hint="eastAsia" w:ascii="仿宋" w:hAnsi="仿宋" w:eastAsia="仿宋" w:cs="仿宋"/>
      </w:rPr>
      <w:t xml:space="preserve">（代理机构）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天投2024-SCB-</w:t>
    </w:r>
    <w:r>
      <w:rPr>
        <w:rFonts w:hint="eastAsia" w:ascii="仿宋" w:hAnsi="仿宋" w:eastAsia="仿宋" w:cs="仿宋"/>
        <w:lang w:val="en-US" w:eastAsia="zh-CN"/>
      </w:rPr>
      <w:t>014</w:t>
    </w:r>
  </w:p>
  <w:p w14:paraId="14A62B8E">
    <w:pPr>
      <w:pStyle w:val="42"/>
      <w:pBdr>
        <w:bottom w:val="none" w:color="auto" w:sz="0" w:space="0"/>
      </w:pBdr>
      <w:tabs>
        <w:tab w:val="clear" w:pos="4153"/>
        <w:tab w:val="clear" w:pos="8306"/>
      </w:tabs>
      <w:wordWrap w:val="0"/>
      <w:jc w:val="right"/>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EE0D">
    <w:pPr>
      <w:pStyle w:val="42"/>
      <w:jc w:val="left"/>
      <w:rPr>
        <w:rFonts w:hint="default" w:ascii="仿宋_GB2312" w:eastAsia="仿宋"/>
        <w:b/>
        <w:i/>
        <w:color w:val="FF0000"/>
        <w:sz w:val="18"/>
        <w:u w:val="single"/>
        <w:lang w:val="en-US" w:eastAsia="zh-CN"/>
      </w:rPr>
    </w:pPr>
    <w:r>
      <w:rPr>
        <w:rFonts w:hint="eastAsia" w:eastAsia="仿宋"/>
        <w:lang w:eastAsia="zh-CN"/>
      </w:rPr>
      <w:t>浙江华耀建设咨询有限公司</w:t>
    </w:r>
    <w:r>
      <w:rPr>
        <w:rFonts w:hint="eastAsia" w:ascii="仿宋" w:hAnsi="仿宋" w:eastAsia="仿宋" w:cs="仿宋"/>
      </w:rPr>
      <w:t xml:space="preserve">（代理机构）                  </w:t>
    </w:r>
    <w:r>
      <w:rPr>
        <w:rFonts w:hint="eastAsia" w:ascii="仿宋" w:hAnsi="仿宋" w:eastAsia="仿宋" w:cs="仿宋"/>
        <w:lang w:val="en-US" w:eastAsia="zh-CN"/>
      </w:rPr>
      <w:t xml:space="preserve">         </w:t>
    </w:r>
    <w:r>
      <w:rPr>
        <w:rFonts w:hint="eastAsia" w:ascii="仿宋" w:hAnsi="仿宋" w:eastAsia="仿宋" w:cs="仿宋"/>
        <w:color w:val="FF0000"/>
        <w:lang w:val="en-US" w:eastAsia="zh-CN"/>
      </w:rPr>
      <w:t xml:space="preserve">  </w:t>
    </w:r>
    <w:r>
      <w:rPr>
        <w:rFonts w:hint="eastAsia" w:ascii="仿宋" w:hAnsi="仿宋" w:eastAsia="仿宋" w:cs="仿宋"/>
        <w:color w:val="auto"/>
      </w:rPr>
      <w:t xml:space="preserve">文件编号: </w:t>
    </w:r>
    <w:r>
      <w:rPr>
        <w:rFonts w:hint="eastAsia" w:ascii="仿宋" w:hAnsi="仿宋" w:eastAsia="仿宋" w:cs="仿宋"/>
        <w:color w:val="auto"/>
        <w:lang w:eastAsia="zh-CN"/>
      </w:rPr>
      <w:t>天投2024-SCB-</w:t>
    </w:r>
    <w:r>
      <w:rPr>
        <w:rFonts w:hint="eastAsia" w:ascii="仿宋" w:hAnsi="仿宋" w:eastAsia="仿宋" w:cs="仿宋"/>
        <w:color w:val="auto"/>
        <w:lang w:val="en-US" w:eastAsia="zh-CN"/>
      </w:rPr>
      <w:t>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AB05">
    <w:pPr>
      <w:pStyle w:val="42"/>
      <w:ind w:firstLine="180" w:firstLineChars="100"/>
      <w:jc w:val="left"/>
      <w:rPr>
        <w:rFonts w:hint="default" w:ascii="仿宋" w:hAnsi="仿宋" w:eastAsia="仿宋" w:cs="仿宋"/>
        <w:color w:val="auto"/>
        <w:lang w:val="en-US" w:eastAsia="zh-CN"/>
      </w:rPr>
    </w:pPr>
    <w:r>
      <w:rPr>
        <w:rFonts w:hint="eastAsia" w:eastAsia="仿宋"/>
        <w:lang w:eastAsia="zh-CN"/>
      </w:rPr>
      <w:t>浙江华耀建设咨询有限公司</w:t>
    </w:r>
    <w:r>
      <w:rPr>
        <w:rFonts w:hint="eastAsia" w:ascii="仿宋" w:hAnsi="仿宋" w:eastAsia="仿宋" w:cs="仿宋"/>
      </w:rPr>
      <w:t xml:space="preserve">（代理机构）                    </w:t>
    </w:r>
    <w:r>
      <w:rPr>
        <w:rFonts w:hint="eastAsia" w:ascii="仿宋" w:hAnsi="仿宋" w:eastAsia="仿宋" w:cs="仿宋"/>
        <w:lang w:val="en-US" w:eastAsia="zh-CN"/>
      </w:rPr>
      <w:t xml:space="preserve">        </w:t>
    </w:r>
    <w:r>
      <w:rPr>
        <w:rFonts w:hint="eastAsia" w:ascii="仿宋" w:hAnsi="仿宋" w:eastAsia="仿宋" w:cs="仿宋"/>
        <w:color w:val="auto"/>
      </w:rPr>
      <w:t xml:space="preserve">文件编号: </w:t>
    </w:r>
    <w:r>
      <w:rPr>
        <w:rFonts w:hint="eastAsia" w:ascii="仿宋" w:hAnsi="仿宋" w:eastAsia="仿宋" w:cs="仿宋"/>
        <w:color w:val="auto"/>
        <w:lang w:eastAsia="zh-CN"/>
      </w:rPr>
      <w:t>天投2024-SCB-</w:t>
    </w:r>
    <w:r>
      <w:rPr>
        <w:rFonts w:hint="eastAsia" w:ascii="仿宋" w:hAnsi="仿宋" w:eastAsia="仿宋" w:cs="仿宋"/>
        <w:color w:val="auto"/>
        <w:lang w:val="en-US" w:eastAsia="zh-CN"/>
      </w:rPr>
      <w:t>014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353A">
    <w:pPr>
      <w:pStyle w:val="42"/>
      <w:ind w:firstLine="540" w:firstLineChars="300"/>
      <w:jc w:val="left"/>
      <w:rPr>
        <w:rFonts w:hint="default" w:eastAsia="仿宋"/>
        <w:lang w:val="en-US" w:eastAsia="zh-CN"/>
      </w:rPr>
    </w:pPr>
    <w:r>
      <w:rPr>
        <w:rFonts w:hint="eastAsia" w:eastAsia="仿宋"/>
        <w:lang w:eastAsia="zh-CN"/>
      </w:rPr>
      <w:t>浙江华耀建设咨询有限公司</w:t>
    </w:r>
    <w:r>
      <w:rPr>
        <w:rFonts w:hint="eastAsia" w:ascii="仿宋" w:hAnsi="仿宋" w:eastAsia="仿宋" w:cs="仿宋"/>
      </w:rPr>
      <w:t xml:space="preserve">（代理机构）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天投2024-SCB-</w:t>
    </w:r>
    <w:r>
      <w:rPr>
        <w:rFonts w:hint="eastAsia" w:ascii="仿宋" w:hAnsi="仿宋" w:eastAsia="仿宋" w:cs="仿宋"/>
        <w:lang w:val="en-US" w:eastAsia="zh-CN"/>
      </w:rPr>
      <w:t>014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392D">
    <w:pPr>
      <w:pStyle w:val="42"/>
      <w:ind w:firstLine="180" w:firstLineChars="100"/>
      <w:jc w:val="left"/>
      <w:rPr>
        <w:rFonts w:hint="default" w:ascii="仿宋" w:hAnsi="仿宋" w:eastAsia="仿宋" w:cs="仿宋"/>
        <w:color w:val="FF0000"/>
        <w:lang w:val="en-US" w:eastAsia="zh-CN"/>
      </w:rPr>
    </w:pPr>
    <w:r>
      <w:rPr>
        <w:rFonts w:hint="eastAsia" w:eastAsia="仿宋"/>
        <w:lang w:eastAsia="zh-CN"/>
      </w:rPr>
      <w:t>浙江华耀建设咨询有限公司</w:t>
    </w:r>
    <w:r>
      <w:rPr>
        <w:rFonts w:hint="eastAsia" w:ascii="仿宋" w:hAnsi="仿宋" w:eastAsia="仿宋" w:cs="仿宋"/>
      </w:rPr>
      <w:t xml:space="preserve">（代理机构）                    </w:t>
    </w:r>
    <w:r>
      <w:rPr>
        <w:rFonts w:hint="eastAsia" w:ascii="仿宋" w:hAnsi="仿宋" w:eastAsia="仿宋" w:cs="仿宋"/>
        <w:lang w:val="en-US" w:eastAsia="zh-CN"/>
      </w:rPr>
      <w:t xml:space="preserve">        </w:t>
    </w:r>
    <w:r>
      <w:rPr>
        <w:rFonts w:hint="eastAsia" w:ascii="仿宋" w:hAnsi="仿宋" w:eastAsia="仿宋" w:cs="仿宋"/>
        <w:color w:val="auto"/>
      </w:rPr>
      <w:t xml:space="preserve">文件编号: </w:t>
    </w:r>
    <w:r>
      <w:rPr>
        <w:rFonts w:hint="eastAsia" w:ascii="仿宋" w:hAnsi="仿宋" w:eastAsia="仿宋" w:cs="仿宋"/>
        <w:color w:val="auto"/>
        <w:lang w:eastAsia="zh-CN"/>
      </w:rPr>
      <w:t>天投2024-SCB-</w:t>
    </w:r>
    <w:r>
      <w:rPr>
        <w:rFonts w:hint="eastAsia" w:ascii="仿宋" w:hAnsi="仿宋" w:eastAsia="仿宋" w:cs="仿宋"/>
        <w:color w:val="auto"/>
        <w:lang w:val="en-US" w:eastAsia="zh-CN"/>
      </w:rPr>
      <w:t>014</w:t>
    </w:r>
  </w:p>
  <w:p w14:paraId="07613DBC">
    <w:pPr>
      <w:pStyle w:val="42"/>
      <w:pBdr>
        <w:bottom w:val="none" w:color="auto" w:sz="0" w:space="1"/>
      </w:pBdr>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8EC70"/>
    <w:multiLevelType w:val="singleLevel"/>
    <w:tmpl w:val="AF48EC70"/>
    <w:lvl w:ilvl="0" w:tentative="0">
      <w:start w:val="1"/>
      <w:numFmt w:val="chineseCounting"/>
      <w:suff w:val="nothing"/>
      <w:lvlText w:val="%1、"/>
      <w:lvlJc w:val="left"/>
      <w:rPr>
        <w:rFonts w:hint="eastAsia"/>
      </w:rPr>
    </w:lvl>
  </w:abstractNum>
  <w:abstractNum w:abstractNumId="1">
    <w:nsid w:val="B18FC243"/>
    <w:multiLevelType w:val="singleLevel"/>
    <w:tmpl w:val="B18FC243"/>
    <w:lvl w:ilvl="0" w:tentative="0">
      <w:start w:val="6"/>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凯">
    <w15:presenceInfo w15:providerId="WPS Office" w15:userId="8370955175"/>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TdhOWUwZDc4NjI1NThjZTA3ODZlNDU3NmZlZDQifQ=="/>
    <w:docVar w:name="KSO_WPS_MARK_KEY" w:val="cd51c002-2a75-4d74-a5d8-bc66cd9e631d"/>
  </w:docVars>
  <w:rsids>
    <w:rsidRoot w:val="00A91C81"/>
    <w:rsid w:val="00004406"/>
    <w:rsid w:val="0000631B"/>
    <w:rsid w:val="0001199A"/>
    <w:rsid w:val="00012C06"/>
    <w:rsid w:val="00020B3B"/>
    <w:rsid w:val="000233D4"/>
    <w:rsid w:val="00070649"/>
    <w:rsid w:val="000827EC"/>
    <w:rsid w:val="000A0F42"/>
    <w:rsid w:val="000A640B"/>
    <w:rsid w:val="000A7911"/>
    <w:rsid w:val="000B1B6B"/>
    <w:rsid w:val="000B417D"/>
    <w:rsid w:val="000B50A3"/>
    <w:rsid w:val="000C2561"/>
    <w:rsid w:val="000C3156"/>
    <w:rsid w:val="000E1B3E"/>
    <w:rsid w:val="00115871"/>
    <w:rsid w:val="00140D63"/>
    <w:rsid w:val="00144B86"/>
    <w:rsid w:val="001808AF"/>
    <w:rsid w:val="00181FF2"/>
    <w:rsid w:val="001A00E8"/>
    <w:rsid w:val="001B2865"/>
    <w:rsid w:val="001D2014"/>
    <w:rsid w:val="00206137"/>
    <w:rsid w:val="00237559"/>
    <w:rsid w:val="00241B3E"/>
    <w:rsid w:val="00270F01"/>
    <w:rsid w:val="002758E2"/>
    <w:rsid w:val="0028101A"/>
    <w:rsid w:val="002819E3"/>
    <w:rsid w:val="002A03F0"/>
    <w:rsid w:val="002A4CDA"/>
    <w:rsid w:val="002B5507"/>
    <w:rsid w:val="002B7353"/>
    <w:rsid w:val="002C62DF"/>
    <w:rsid w:val="002E7838"/>
    <w:rsid w:val="003373F4"/>
    <w:rsid w:val="00362093"/>
    <w:rsid w:val="003875BA"/>
    <w:rsid w:val="003A7A34"/>
    <w:rsid w:val="003B658C"/>
    <w:rsid w:val="003C64C9"/>
    <w:rsid w:val="003D028C"/>
    <w:rsid w:val="003D5F63"/>
    <w:rsid w:val="003D73FA"/>
    <w:rsid w:val="003E3B5F"/>
    <w:rsid w:val="003E766E"/>
    <w:rsid w:val="003F66E7"/>
    <w:rsid w:val="00412A0B"/>
    <w:rsid w:val="00433A5E"/>
    <w:rsid w:val="0043524A"/>
    <w:rsid w:val="00453A62"/>
    <w:rsid w:val="00482151"/>
    <w:rsid w:val="004911BC"/>
    <w:rsid w:val="004962D9"/>
    <w:rsid w:val="00497041"/>
    <w:rsid w:val="004A377A"/>
    <w:rsid w:val="004A7033"/>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D5FA9"/>
    <w:rsid w:val="006E4AF1"/>
    <w:rsid w:val="007247EB"/>
    <w:rsid w:val="007350A1"/>
    <w:rsid w:val="00753040"/>
    <w:rsid w:val="007531C0"/>
    <w:rsid w:val="0075656A"/>
    <w:rsid w:val="00770741"/>
    <w:rsid w:val="007710C9"/>
    <w:rsid w:val="00772B78"/>
    <w:rsid w:val="00781C7D"/>
    <w:rsid w:val="00783F38"/>
    <w:rsid w:val="007B724A"/>
    <w:rsid w:val="007C332E"/>
    <w:rsid w:val="007F1A8A"/>
    <w:rsid w:val="00802FC0"/>
    <w:rsid w:val="00813283"/>
    <w:rsid w:val="0081639C"/>
    <w:rsid w:val="0083481F"/>
    <w:rsid w:val="00863260"/>
    <w:rsid w:val="00873D81"/>
    <w:rsid w:val="008C21A0"/>
    <w:rsid w:val="008D3E5D"/>
    <w:rsid w:val="008F0F2F"/>
    <w:rsid w:val="00912C08"/>
    <w:rsid w:val="00916455"/>
    <w:rsid w:val="00923FF9"/>
    <w:rsid w:val="00932BB2"/>
    <w:rsid w:val="00940150"/>
    <w:rsid w:val="00945277"/>
    <w:rsid w:val="00976197"/>
    <w:rsid w:val="0099132D"/>
    <w:rsid w:val="0099313C"/>
    <w:rsid w:val="009C5EE9"/>
    <w:rsid w:val="009E4DD7"/>
    <w:rsid w:val="00A20BE9"/>
    <w:rsid w:val="00A25271"/>
    <w:rsid w:val="00A27C9B"/>
    <w:rsid w:val="00A44607"/>
    <w:rsid w:val="00A56FD7"/>
    <w:rsid w:val="00A832A6"/>
    <w:rsid w:val="00A91C81"/>
    <w:rsid w:val="00A96DD5"/>
    <w:rsid w:val="00A96F7B"/>
    <w:rsid w:val="00AA6E02"/>
    <w:rsid w:val="00AE2DF4"/>
    <w:rsid w:val="00AE7AF6"/>
    <w:rsid w:val="00AF303D"/>
    <w:rsid w:val="00AF6AFC"/>
    <w:rsid w:val="00B02219"/>
    <w:rsid w:val="00B23C8F"/>
    <w:rsid w:val="00B263FD"/>
    <w:rsid w:val="00B26AFB"/>
    <w:rsid w:val="00B2711F"/>
    <w:rsid w:val="00B62305"/>
    <w:rsid w:val="00B82447"/>
    <w:rsid w:val="00B92159"/>
    <w:rsid w:val="00BB7C2B"/>
    <w:rsid w:val="00BC5D12"/>
    <w:rsid w:val="00BD26D3"/>
    <w:rsid w:val="00BD28F3"/>
    <w:rsid w:val="00BD3B3D"/>
    <w:rsid w:val="00BD5829"/>
    <w:rsid w:val="00BE73D7"/>
    <w:rsid w:val="00BF0220"/>
    <w:rsid w:val="00BF0BFD"/>
    <w:rsid w:val="00C16734"/>
    <w:rsid w:val="00C202D9"/>
    <w:rsid w:val="00C5095E"/>
    <w:rsid w:val="00C8494E"/>
    <w:rsid w:val="00CA5593"/>
    <w:rsid w:val="00CB073E"/>
    <w:rsid w:val="00CB25BB"/>
    <w:rsid w:val="00CD4990"/>
    <w:rsid w:val="00D01FF3"/>
    <w:rsid w:val="00D10971"/>
    <w:rsid w:val="00D163E4"/>
    <w:rsid w:val="00D25EAF"/>
    <w:rsid w:val="00D3215E"/>
    <w:rsid w:val="00D3557D"/>
    <w:rsid w:val="00D502F1"/>
    <w:rsid w:val="00D563D3"/>
    <w:rsid w:val="00D61852"/>
    <w:rsid w:val="00D93067"/>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4037"/>
    <w:rsid w:val="00F21078"/>
    <w:rsid w:val="00F408CF"/>
    <w:rsid w:val="00F45F10"/>
    <w:rsid w:val="00F47484"/>
    <w:rsid w:val="00F62C11"/>
    <w:rsid w:val="00F714C4"/>
    <w:rsid w:val="00F749E4"/>
    <w:rsid w:val="00F901DA"/>
    <w:rsid w:val="00FC5095"/>
    <w:rsid w:val="01AD0E36"/>
    <w:rsid w:val="033E089E"/>
    <w:rsid w:val="03F139E0"/>
    <w:rsid w:val="05DD56E6"/>
    <w:rsid w:val="06787ED9"/>
    <w:rsid w:val="068B4AB4"/>
    <w:rsid w:val="06D74677"/>
    <w:rsid w:val="073360BD"/>
    <w:rsid w:val="079528D4"/>
    <w:rsid w:val="0895104A"/>
    <w:rsid w:val="08EF0CEA"/>
    <w:rsid w:val="0922463B"/>
    <w:rsid w:val="0983157E"/>
    <w:rsid w:val="0A1026E6"/>
    <w:rsid w:val="0A110938"/>
    <w:rsid w:val="0A5F1139"/>
    <w:rsid w:val="0BBD2D74"/>
    <w:rsid w:val="0CA63185"/>
    <w:rsid w:val="0DCD2DC7"/>
    <w:rsid w:val="0E196902"/>
    <w:rsid w:val="0F092FEA"/>
    <w:rsid w:val="0F855971"/>
    <w:rsid w:val="0F864AAC"/>
    <w:rsid w:val="0FA0239A"/>
    <w:rsid w:val="100C1D90"/>
    <w:rsid w:val="109679D2"/>
    <w:rsid w:val="12251F9D"/>
    <w:rsid w:val="14127BE9"/>
    <w:rsid w:val="153535E0"/>
    <w:rsid w:val="15477040"/>
    <w:rsid w:val="169E17AF"/>
    <w:rsid w:val="17081099"/>
    <w:rsid w:val="17F93DAF"/>
    <w:rsid w:val="19026270"/>
    <w:rsid w:val="1C162816"/>
    <w:rsid w:val="1E171E3D"/>
    <w:rsid w:val="1F297A21"/>
    <w:rsid w:val="1F4E6645"/>
    <w:rsid w:val="20301F73"/>
    <w:rsid w:val="20B120D5"/>
    <w:rsid w:val="21240AF9"/>
    <w:rsid w:val="21915A7A"/>
    <w:rsid w:val="219754F9"/>
    <w:rsid w:val="243F3C0F"/>
    <w:rsid w:val="245601AA"/>
    <w:rsid w:val="25C1149F"/>
    <w:rsid w:val="28FB4098"/>
    <w:rsid w:val="29C807B2"/>
    <w:rsid w:val="29CC3803"/>
    <w:rsid w:val="2A61691A"/>
    <w:rsid w:val="2A6760FF"/>
    <w:rsid w:val="2AAD1B40"/>
    <w:rsid w:val="2AEF20D4"/>
    <w:rsid w:val="2C4402A1"/>
    <w:rsid w:val="2CDA6E57"/>
    <w:rsid w:val="2CE90E48"/>
    <w:rsid w:val="2F666780"/>
    <w:rsid w:val="314D19A6"/>
    <w:rsid w:val="31A524D8"/>
    <w:rsid w:val="324270F1"/>
    <w:rsid w:val="32825184"/>
    <w:rsid w:val="328F70A1"/>
    <w:rsid w:val="3296737C"/>
    <w:rsid w:val="330D16FC"/>
    <w:rsid w:val="33464F05"/>
    <w:rsid w:val="335A106D"/>
    <w:rsid w:val="33994E7D"/>
    <w:rsid w:val="351B421C"/>
    <w:rsid w:val="355D12B5"/>
    <w:rsid w:val="36F31428"/>
    <w:rsid w:val="3A112275"/>
    <w:rsid w:val="3B3B342E"/>
    <w:rsid w:val="3CF278A5"/>
    <w:rsid w:val="3DA212CB"/>
    <w:rsid w:val="3EAE5CBD"/>
    <w:rsid w:val="3F0457AF"/>
    <w:rsid w:val="3F125903"/>
    <w:rsid w:val="3F326AC0"/>
    <w:rsid w:val="3FE930E4"/>
    <w:rsid w:val="3FF53C64"/>
    <w:rsid w:val="41E2176D"/>
    <w:rsid w:val="431A1904"/>
    <w:rsid w:val="431F6F1A"/>
    <w:rsid w:val="437A1FC9"/>
    <w:rsid w:val="44444B65"/>
    <w:rsid w:val="45687459"/>
    <w:rsid w:val="45FE1148"/>
    <w:rsid w:val="4621621B"/>
    <w:rsid w:val="468772B0"/>
    <w:rsid w:val="46E91D19"/>
    <w:rsid w:val="47416453"/>
    <w:rsid w:val="4CE54D31"/>
    <w:rsid w:val="4D557C99"/>
    <w:rsid w:val="4D6A0768"/>
    <w:rsid w:val="4DB0533F"/>
    <w:rsid w:val="4DE4148C"/>
    <w:rsid w:val="4DE87690"/>
    <w:rsid w:val="4E04786C"/>
    <w:rsid w:val="4EDE7C89"/>
    <w:rsid w:val="4EE11A24"/>
    <w:rsid w:val="4FAE554B"/>
    <w:rsid w:val="4FBA4253"/>
    <w:rsid w:val="501F7574"/>
    <w:rsid w:val="503719EA"/>
    <w:rsid w:val="5049258D"/>
    <w:rsid w:val="506543EA"/>
    <w:rsid w:val="50BE7D72"/>
    <w:rsid w:val="50C301CB"/>
    <w:rsid w:val="50CE4A5A"/>
    <w:rsid w:val="515661FD"/>
    <w:rsid w:val="516F72BF"/>
    <w:rsid w:val="523302EC"/>
    <w:rsid w:val="54BA2B7B"/>
    <w:rsid w:val="550D7C59"/>
    <w:rsid w:val="552E0CCC"/>
    <w:rsid w:val="55913CA7"/>
    <w:rsid w:val="57A71560"/>
    <w:rsid w:val="57B87B95"/>
    <w:rsid w:val="57DAE6E1"/>
    <w:rsid w:val="58BC103B"/>
    <w:rsid w:val="58E252BA"/>
    <w:rsid w:val="58ED77CE"/>
    <w:rsid w:val="596B11C1"/>
    <w:rsid w:val="5A12741B"/>
    <w:rsid w:val="5A845B89"/>
    <w:rsid w:val="5BE34B31"/>
    <w:rsid w:val="5C166CB5"/>
    <w:rsid w:val="5C4A4BB0"/>
    <w:rsid w:val="5CAC254D"/>
    <w:rsid w:val="5DA100D4"/>
    <w:rsid w:val="5DC856DA"/>
    <w:rsid w:val="5E59732C"/>
    <w:rsid w:val="5F665FB3"/>
    <w:rsid w:val="610E6AE8"/>
    <w:rsid w:val="622B34B6"/>
    <w:rsid w:val="642152E2"/>
    <w:rsid w:val="65077AE2"/>
    <w:rsid w:val="659A32F5"/>
    <w:rsid w:val="673B50C0"/>
    <w:rsid w:val="67BE3A6B"/>
    <w:rsid w:val="685272C6"/>
    <w:rsid w:val="68672C35"/>
    <w:rsid w:val="68AD00DD"/>
    <w:rsid w:val="68F75FCA"/>
    <w:rsid w:val="69F721E7"/>
    <w:rsid w:val="6A64688B"/>
    <w:rsid w:val="6AAA7EFC"/>
    <w:rsid w:val="6AEF1016"/>
    <w:rsid w:val="6B3D0BB6"/>
    <w:rsid w:val="6BD149A6"/>
    <w:rsid w:val="6BD61FBC"/>
    <w:rsid w:val="6BF902C7"/>
    <w:rsid w:val="6C411B2C"/>
    <w:rsid w:val="6CA976D1"/>
    <w:rsid w:val="6CF7043C"/>
    <w:rsid w:val="6E182952"/>
    <w:rsid w:val="6E7049C7"/>
    <w:rsid w:val="6EA14B04"/>
    <w:rsid w:val="6FCD4B42"/>
    <w:rsid w:val="70250543"/>
    <w:rsid w:val="70650A81"/>
    <w:rsid w:val="7077634D"/>
    <w:rsid w:val="70F3522B"/>
    <w:rsid w:val="715F4802"/>
    <w:rsid w:val="729E74BD"/>
    <w:rsid w:val="73DE006D"/>
    <w:rsid w:val="74070859"/>
    <w:rsid w:val="750162EF"/>
    <w:rsid w:val="75C953C4"/>
    <w:rsid w:val="76391AC6"/>
    <w:rsid w:val="77186DA0"/>
    <w:rsid w:val="784309DA"/>
    <w:rsid w:val="7D72126D"/>
    <w:rsid w:val="7DBD0C15"/>
    <w:rsid w:val="7E843709"/>
    <w:rsid w:val="7EB7B118"/>
    <w:rsid w:val="7F4DBC21"/>
    <w:rsid w:val="7FAA7590"/>
    <w:rsid w:val="7FB02ACC"/>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0"/>
    <w:qFormat/>
    <w:uiPriority w:val="0"/>
    <w:pPr>
      <w:ind w:firstLine="420"/>
    </w:pPr>
    <w:rPr>
      <w:rFonts w:hAnsi="Calibri" w:cs="Times New Roman"/>
      <w:snapToGrid/>
      <w:szCs w:val="20"/>
    </w:rPr>
  </w:style>
  <w:style w:type="paragraph" w:styleId="3">
    <w:name w:val="Body Text"/>
    <w:basedOn w:val="1"/>
    <w:next w:val="2"/>
    <w:link w:val="429"/>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9"/>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2"/>
    <w:autoRedefine/>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autoRedefine/>
    <w:qFormat/>
    <w:uiPriority w:val="0"/>
    <w:rPr>
      <w:b/>
      <w:bCs/>
    </w:rPr>
  </w:style>
  <w:style w:type="paragraph" w:styleId="61">
    <w:name w:val="Body Text First Indent 2"/>
    <w:basedOn w:val="26"/>
    <w:next w:val="1"/>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styleId="79">
    <w:name w:val="List Paragraph"/>
    <w:basedOn w:val="1"/>
    <w:autoRedefine/>
    <w:qFormat/>
    <w:uiPriority w:val="34"/>
    <w:pPr>
      <w:ind w:firstLine="420" w:firstLineChars="200"/>
    </w:p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3"/>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2"/>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2"/>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next w:val="34"/>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BodyText1I"/>
    <w:basedOn w:val="965"/>
    <w:next w:val="966"/>
    <w:qFormat/>
    <w:uiPriority w:val="0"/>
    <w:pPr>
      <w:ind w:firstLine="100" w:firstLineChars="100"/>
    </w:pPr>
  </w:style>
  <w:style w:type="paragraph" w:customStyle="1" w:styleId="965">
    <w:name w:val="BodyText"/>
    <w:basedOn w:val="1"/>
    <w:next w:val="964"/>
    <w:qFormat/>
    <w:uiPriority w:val="0"/>
    <w:pPr>
      <w:spacing w:after="120"/>
    </w:pPr>
  </w:style>
  <w:style w:type="paragraph" w:customStyle="1" w:styleId="966">
    <w:name w:val="TOC6"/>
    <w:basedOn w:val="1"/>
    <w:next w:val="1"/>
    <w:qFormat/>
    <w:uiPriority w:val="0"/>
    <w:pPr>
      <w:ind w:left="1050"/>
    </w:pPr>
    <w:rPr>
      <w:szCs w:val="21"/>
    </w:rPr>
  </w:style>
  <w:style w:type="character" w:customStyle="1" w:styleId="9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34653</Words>
  <Characters>36867</Characters>
  <Lines>232</Lines>
  <Paragraphs>65</Paragraphs>
  <TotalTime>2</TotalTime>
  <ScaleCrop>false</ScaleCrop>
  <LinksUpToDate>false</LinksUpToDate>
  <CharactersWithSpaces>39915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何</cp:lastModifiedBy>
  <cp:lastPrinted>2024-10-10T09:38:00Z</cp:lastPrinted>
  <dcterms:modified xsi:type="dcterms:W3CDTF">2024-10-15T06:38:32Z</dcterms:modified>
  <dc:title>杭州市市民卡扩大发卡工程</dc:title>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4A42BE703FB14517A54E7474AAAEB131_13</vt:lpwstr>
  </property>
</Properties>
</file>