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29003">
      <w:pPr>
        <w:autoSpaceDE/>
        <w:autoSpaceDN/>
        <w:spacing w:line="300" w:lineRule="auto"/>
        <w:ind w:left="420" w:hanging="420"/>
        <w:jc w:val="center"/>
        <w:rPr>
          <w:rFonts w:hint="eastAsia" w:ascii="楷体" w:hAnsi="楷体" w:eastAsia="楷体" w:cs="宋体"/>
          <w:b/>
          <w:color w:val="000000" w:themeColor="text1"/>
          <w:sz w:val="48"/>
          <w:szCs w:val="48"/>
        </w:rPr>
      </w:pPr>
      <w:bookmarkStart w:id="0" w:name="_Toc125344502"/>
      <w:r>
        <w:rPr>
          <w:rFonts w:hint="eastAsia" w:ascii="楷体" w:hAnsi="楷体" w:eastAsia="楷体" w:cs="宋体"/>
          <w:b/>
          <w:color w:val="000000" w:themeColor="text1"/>
          <w:sz w:val="48"/>
          <w:szCs w:val="48"/>
        </w:rPr>
        <w:t>诸暨市安华农贸市场委托第三方管理</w:t>
      </w:r>
    </w:p>
    <w:p w14:paraId="73DE12C9">
      <w:pPr>
        <w:autoSpaceDE/>
        <w:autoSpaceDN/>
        <w:spacing w:line="300" w:lineRule="auto"/>
        <w:ind w:left="420" w:hanging="420"/>
        <w:jc w:val="center"/>
        <w:rPr>
          <w:rFonts w:hint="eastAsia" w:ascii="楷体" w:hAnsi="楷体" w:eastAsia="楷体" w:cs="宋体"/>
          <w:b/>
          <w:color w:val="000000" w:themeColor="text1"/>
          <w:sz w:val="48"/>
          <w:szCs w:val="48"/>
          <w:lang w:eastAsia="zh-CN"/>
        </w:rPr>
      </w:pPr>
      <w:r>
        <w:rPr>
          <w:rFonts w:hint="eastAsia" w:ascii="楷体" w:hAnsi="楷体" w:eastAsia="楷体" w:cs="宋体"/>
          <w:b/>
          <w:color w:val="000000" w:themeColor="text1"/>
          <w:sz w:val="48"/>
          <w:szCs w:val="48"/>
        </w:rPr>
        <w:t>采购项目</w:t>
      </w:r>
      <w:r>
        <w:rPr>
          <w:rFonts w:hint="eastAsia" w:ascii="楷体" w:hAnsi="楷体" w:eastAsia="楷体" w:cs="宋体"/>
          <w:b/>
          <w:color w:val="000000" w:themeColor="text1"/>
          <w:sz w:val="48"/>
          <w:szCs w:val="48"/>
          <w:lang w:eastAsia="zh-CN"/>
        </w:rPr>
        <w:t>（</w:t>
      </w:r>
      <w:r>
        <w:rPr>
          <w:rFonts w:hint="eastAsia" w:ascii="楷体" w:hAnsi="楷体" w:eastAsia="楷体" w:cs="宋体"/>
          <w:b/>
          <w:color w:val="000000" w:themeColor="text1"/>
          <w:sz w:val="48"/>
          <w:szCs w:val="48"/>
          <w:lang w:val="en-US" w:eastAsia="zh-CN"/>
        </w:rPr>
        <w:t>第二次</w:t>
      </w:r>
      <w:r>
        <w:rPr>
          <w:rFonts w:hint="eastAsia" w:ascii="楷体" w:hAnsi="楷体" w:eastAsia="楷体" w:cs="宋体"/>
          <w:b/>
          <w:color w:val="000000" w:themeColor="text1"/>
          <w:sz w:val="48"/>
          <w:szCs w:val="48"/>
          <w:lang w:eastAsia="zh-CN"/>
        </w:rPr>
        <w:t>）</w:t>
      </w:r>
    </w:p>
    <w:p w14:paraId="2CCE2199">
      <w:pPr>
        <w:autoSpaceDE/>
        <w:autoSpaceDN/>
        <w:spacing w:line="300" w:lineRule="auto"/>
        <w:ind w:left="420" w:hanging="420"/>
        <w:jc w:val="center"/>
        <w:rPr>
          <w:rFonts w:hint="eastAsia" w:ascii="楷体" w:hAnsi="楷体" w:eastAsia="楷体" w:cs="黑体"/>
          <w:b/>
          <w:color w:val="000000" w:themeColor="text1"/>
          <w:sz w:val="48"/>
          <w:szCs w:val="48"/>
        </w:rPr>
      </w:pPr>
    </w:p>
    <w:p w14:paraId="36D316C8">
      <w:pPr>
        <w:autoSpaceDE/>
        <w:autoSpaceDN/>
        <w:spacing w:line="360" w:lineRule="auto"/>
        <w:ind w:left="420" w:hanging="420"/>
        <w:jc w:val="center"/>
        <w:rPr>
          <w:rFonts w:hint="eastAsia" w:ascii="仿宋" w:hAnsi="仿宋" w:eastAsia="仿宋" w:cs="黑体"/>
          <w:color w:val="000000" w:themeColor="text1"/>
          <w:sz w:val="30"/>
          <w:szCs w:val="30"/>
        </w:rPr>
      </w:pPr>
      <w:r>
        <w:rPr>
          <w:rFonts w:hint="eastAsia" w:ascii="仿宋" w:hAnsi="仿宋" w:eastAsia="仿宋" w:cs="黑体"/>
          <w:color w:val="000000" w:themeColor="text1"/>
          <w:sz w:val="30"/>
          <w:szCs w:val="30"/>
        </w:rPr>
        <w:t>（项目编号：</w:t>
      </w:r>
      <w:r>
        <w:rPr>
          <w:rFonts w:hint="eastAsia" w:ascii="仿宋" w:hAnsi="仿宋" w:eastAsia="仿宋" w:cs="黑体"/>
          <w:color w:val="000000" w:themeColor="text1"/>
          <w:sz w:val="30"/>
          <w:szCs w:val="30"/>
          <w:lang w:eastAsia="zh-CN"/>
        </w:rPr>
        <w:t>浙江新顺2024-12-0301</w:t>
      </w:r>
      <w:r>
        <w:rPr>
          <w:rFonts w:hint="eastAsia" w:ascii="仿宋" w:hAnsi="仿宋" w:eastAsia="仿宋" w:cs="黑体"/>
          <w:color w:val="000000" w:themeColor="text1"/>
          <w:sz w:val="30"/>
          <w:szCs w:val="30"/>
        </w:rPr>
        <w:t>）</w:t>
      </w:r>
    </w:p>
    <w:p w14:paraId="269F744A">
      <w:pPr>
        <w:autoSpaceDE/>
        <w:autoSpaceDN/>
        <w:spacing w:line="360" w:lineRule="auto"/>
        <w:jc w:val="center"/>
        <w:rPr>
          <w:rFonts w:hint="eastAsia" w:ascii="宋体" w:hAnsi="宋体"/>
          <w:color w:val="000000" w:themeColor="text1"/>
          <w:sz w:val="44"/>
          <w:szCs w:val="44"/>
        </w:rPr>
      </w:pPr>
    </w:p>
    <w:p w14:paraId="36523CA5">
      <w:pPr>
        <w:autoSpaceDE/>
        <w:autoSpaceDN/>
        <w:spacing w:after="240" w:afterLines="100" w:line="360" w:lineRule="auto"/>
        <w:jc w:val="center"/>
        <w:rPr>
          <w:rFonts w:hint="eastAsia" w:ascii="宋体" w:hAnsi="宋体"/>
          <w:b/>
          <w:bCs/>
          <w:color w:val="000000" w:themeColor="text1"/>
          <w:sz w:val="84"/>
          <w:szCs w:val="84"/>
        </w:rPr>
      </w:pPr>
      <w:r>
        <w:rPr>
          <w:rFonts w:hint="eastAsia" w:ascii="宋体" w:hAnsi="宋体" w:cs="宋体"/>
          <w:b/>
          <w:bCs/>
          <w:color w:val="000000" w:themeColor="text1"/>
          <w:sz w:val="84"/>
          <w:szCs w:val="84"/>
        </w:rPr>
        <w:t>招</w:t>
      </w:r>
    </w:p>
    <w:p w14:paraId="5302DDB1">
      <w:pPr>
        <w:autoSpaceDE/>
        <w:autoSpaceDN/>
        <w:spacing w:after="240" w:afterLines="100" w:line="360" w:lineRule="auto"/>
        <w:jc w:val="center"/>
        <w:rPr>
          <w:rFonts w:hint="eastAsia" w:ascii="宋体" w:hAnsi="宋体"/>
          <w:b/>
          <w:bCs/>
          <w:color w:val="000000" w:themeColor="text1"/>
          <w:sz w:val="84"/>
          <w:szCs w:val="84"/>
        </w:rPr>
      </w:pPr>
      <w:r>
        <w:rPr>
          <w:rFonts w:hint="eastAsia" w:ascii="宋体" w:hAnsi="宋体" w:cs="宋体"/>
          <w:b/>
          <w:bCs/>
          <w:color w:val="000000" w:themeColor="text1"/>
          <w:sz w:val="84"/>
          <w:szCs w:val="84"/>
        </w:rPr>
        <w:t>标</w:t>
      </w:r>
    </w:p>
    <w:p w14:paraId="38E96DA0">
      <w:pPr>
        <w:autoSpaceDE/>
        <w:autoSpaceDN/>
        <w:spacing w:after="240" w:afterLines="100" w:line="360" w:lineRule="auto"/>
        <w:jc w:val="center"/>
        <w:rPr>
          <w:rFonts w:hint="eastAsia" w:ascii="宋体" w:hAnsi="宋体"/>
          <w:b/>
          <w:bCs/>
          <w:color w:val="000000" w:themeColor="text1"/>
          <w:sz w:val="84"/>
          <w:szCs w:val="84"/>
        </w:rPr>
      </w:pPr>
      <w:r>
        <w:rPr>
          <w:rFonts w:hint="eastAsia" w:ascii="宋体" w:hAnsi="宋体" w:cs="宋体"/>
          <w:b/>
          <w:bCs/>
          <w:color w:val="000000" w:themeColor="text1"/>
          <w:sz w:val="84"/>
          <w:szCs w:val="84"/>
        </w:rPr>
        <w:t>文</w:t>
      </w:r>
    </w:p>
    <w:p w14:paraId="75BB48C8">
      <w:pPr>
        <w:autoSpaceDE/>
        <w:autoSpaceDN/>
        <w:spacing w:after="240" w:afterLines="100" w:line="360" w:lineRule="auto"/>
        <w:jc w:val="center"/>
        <w:rPr>
          <w:rFonts w:hint="eastAsia" w:ascii="宋体" w:hAnsi="宋体"/>
          <w:b/>
          <w:bCs/>
          <w:color w:val="000000" w:themeColor="text1"/>
          <w:sz w:val="84"/>
          <w:szCs w:val="84"/>
        </w:rPr>
      </w:pPr>
      <w:r>
        <w:rPr>
          <w:rFonts w:hint="eastAsia" w:ascii="宋体" w:hAnsi="宋体" w:cs="宋体"/>
          <w:b/>
          <w:bCs/>
          <w:color w:val="000000" w:themeColor="text1"/>
          <w:sz w:val="84"/>
          <w:szCs w:val="84"/>
        </w:rPr>
        <w:t>件</w:t>
      </w:r>
    </w:p>
    <w:tbl>
      <w:tblPr>
        <w:tblStyle w:val="50"/>
        <w:tblW w:w="65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98"/>
      </w:tblGrid>
      <w:tr w14:paraId="20A96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598" w:type="dxa"/>
            <w:vAlign w:val="center"/>
          </w:tcPr>
          <w:p w14:paraId="0422F7F4">
            <w:pPr>
              <w:pStyle w:val="43"/>
              <w:shd w:val="clear" w:color="auto" w:fill="FFFFFF"/>
              <w:spacing w:beforeAutospacing="0" w:afterAutospacing="0"/>
              <w:rPr>
                <w:rFonts w:hint="eastAsia" w:ascii="仿宋" w:hAnsi="仿宋" w:eastAsia="仿宋" w:cs="宋体"/>
                <w:color w:val="000000" w:themeColor="text1"/>
                <w:sz w:val="30"/>
                <w:szCs w:val="30"/>
              </w:rPr>
            </w:pPr>
            <w:r>
              <w:rPr>
                <w:rFonts w:hint="eastAsia" w:ascii="仿宋" w:hAnsi="仿宋" w:eastAsia="仿宋" w:cs="楷体_GB2312"/>
                <w:b/>
                <w:bCs/>
                <w:color w:val="000000" w:themeColor="text1"/>
                <w:spacing w:val="12"/>
                <w:w w:val="95"/>
                <w:kern w:val="0"/>
                <w:sz w:val="30"/>
                <w:szCs w:val="30"/>
              </w:rPr>
              <w:t>采购单位：</w:t>
            </w:r>
            <w:r>
              <w:rPr>
                <w:rFonts w:hint="eastAsia" w:ascii="仿宋" w:hAnsi="仿宋" w:eastAsia="仿宋" w:cs="楷体_GB2312"/>
                <w:b/>
                <w:bCs/>
                <w:color w:val="auto"/>
                <w:w w:val="95"/>
                <w:kern w:val="0"/>
                <w:sz w:val="30"/>
                <w:szCs w:val="30"/>
              </w:rPr>
              <w:t>诸暨市安华农贸市场</w:t>
            </w:r>
          </w:p>
        </w:tc>
      </w:tr>
      <w:tr w14:paraId="4F55E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6598" w:type="dxa"/>
            <w:vAlign w:val="center"/>
          </w:tcPr>
          <w:p w14:paraId="66684EBB">
            <w:pPr>
              <w:pStyle w:val="25"/>
              <w:snapToGrid w:val="0"/>
              <w:spacing w:before="120" w:after="120" w:line="360" w:lineRule="auto"/>
              <w:rPr>
                <w:rFonts w:hint="eastAsia" w:ascii="仿宋" w:hAnsi="仿宋" w:eastAsia="仿宋" w:cs="楷体_GB2312"/>
                <w:b/>
                <w:bCs/>
                <w:color w:val="000000" w:themeColor="text1"/>
                <w:w w:val="95"/>
                <w:kern w:val="0"/>
                <w:sz w:val="30"/>
                <w:szCs w:val="30"/>
              </w:rPr>
            </w:pPr>
            <w:r>
              <w:rPr>
                <w:rFonts w:hint="eastAsia" w:ascii="仿宋" w:hAnsi="仿宋" w:eastAsia="仿宋" w:cs="楷体_GB2312"/>
                <w:b/>
                <w:bCs/>
                <w:color w:val="000000" w:themeColor="text1"/>
                <w:w w:val="95"/>
                <w:kern w:val="0"/>
                <w:sz w:val="30"/>
                <w:szCs w:val="30"/>
              </w:rPr>
              <w:t>采购代理机构：浙江新顺项目管理有限公司</w:t>
            </w:r>
          </w:p>
        </w:tc>
      </w:tr>
    </w:tbl>
    <w:p w14:paraId="647515EE">
      <w:pPr>
        <w:spacing w:line="360" w:lineRule="auto"/>
        <w:jc w:val="center"/>
        <w:rPr>
          <w:rFonts w:hint="eastAsia" w:ascii="仿宋" w:hAnsi="仿宋" w:eastAsia="仿宋" w:cs="楷体_GB2312"/>
          <w:b/>
          <w:bCs/>
          <w:color w:val="000000" w:themeColor="text1"/>
          <w:w w:val="95"/>
          <w:sz w:val="30"/>
          <w:szCs w:val="30"/>
          <w:highlight w:val="none"/>
        </w:rPr>
      </w:pPr>
      <w:r>
        <w:rPr>
          <w:rFonts w:hint="eastAsia" w:ascii="仿宋" w:hAnsi="仿宋" w:eastAsia="仿宋"/>
          <w:b/>
          <w:bCs/>
          <w:color w:val="000000" w:themeColor="text1"/>
          <w:w w:val="95"/>
          <w:sz w:val="30"/>
          <w:szCs w:val="30"/>
          <w:highlight w:val="none"/>
        </w:rPr>
        <w:t>二</w:t>
      </w:r>
      <w:r>
        <w:rPr>
          <w:rFonts w:hint="eastAsia" w:ascii="仿宋" w:hAnsi="仿宋" w:eastAsia="仿宋" w:cs="宋体"/>
          <w:b/>
          <w:bCs/>
          <w:color w:val="000000" w:themeColor="text1"/>
          <w:w w:val="95"/>
          <w:sz w:val="30"/>
          <w:szCs w:val="30"/>
          <w:highlight w:val="none"/>
        </w:rPr>
        <w:t>〇</w:t>
      </w:r>
      <w:r>
        <w:rPr>
          <w:rFonts w:hint="eastAsia" w:ascii="仿宋" w:hAnsi="仿宋" w:eastAsia="仿宋" w:cs="楷体_GB2312"/>
          <w:b/>
          <w:bCs/>
          <w:color w:val="000000" w:themeColor="text1"/>
          <w:w w:val="95"/>
          <w:sz w:val="30"/>
          <w:szCs w:val="30"/>
          <w:highlight w:val="none"/>
        </w:rPr>
        <w:t>二</w:t>
      </w:r>
      <w:r>
        <w:rPr>
          <w:rFonts w:hint="eastAsia" w:ascii="仿宋" w:hAnsi="仿宋" w:eastAsia="仿宋" w:cs="楷体_GB2312"/>
          <w:b/>
          <w:bCs/>
          <w:color w:val="000000" w:themeColor="text1"/>
          <w:w w:val="95"/>
          <w:sz w:val="30"/>
          <w:szCs w:val="30"/>
          <w:highlight w:val="none"/>
          <w:lang w:val="en-US" w:eastAsia="zh-CN"/>
        </w:rPr>
        <w:t>五</w:t>
      </w:r>
      <w:r>
        <w:rPr>
          <w:rFonts w:hint="eastAsia" w:ascii="仿宋" w:hAnsi="仿宋" w:eastAsia="仿宋" w:cs="楷体_GB2312"/>
          <w:b/>
          <w:bCs/>
          <w:color w:val="000000" w:themeColor="text1"/>
          <w:w w:val="95"/>
          <w:sz w:val="30"/>
          <w:szCs w:val="30"/>
          <w:highlight w:val="none"/>
        </w:rPr>
        <w:t>年</w:t>
      </w:r>
      <w:r>
        <w:rPr>
          <w:rFonts w:hint="eastAsia" w:ascii="仿宋" w:hAnsi="仿宋" w:eastAsia="仿宋" w:cs="楷体_GB2312"/>
          <w:b/>
          <w:bCs/>
          <w:color w:val="000000" w:themeColor="text1"/>
          <w:w w:val="95"/>
          <w:sz w:val="30"/>
          <w:szCs w:val="30"/>
          <w:highlight w:val="none"/>
          <w:lang w:val="en-US" w:eastAsia="zh-CN"/>
        </w:rPr>
        <w:t>一</w:t>
      </w:r>
      <w:r>
        <w:rPr>
          <w:rFonts w:hint="eastAsia" w:ascii="仿宋" w:hAnsi="仿宋" w:eastAsia="仿宋" w:cs="楷体_GB2312"/>
          <w:b/>
          <w:bCs/>
          <w:color w:val="000000" w:themeColor="text1"/>
          <w:w w:val="95"/>
          <w:sz w:val="30"/>
          <w:szCs w:val="30"/>
          <w:highlight w:val="none"/>
        </w:rPr>
        <w:t>月</w:t>
      </w:r>
    </w:p>
    <w:p w14:paraId="47CFB874">
      <w:pPr>
        <w:spacing w:line="360" w:lineRule="auto"/>
        <w:rPr>
          <w:rFonts w:hint="eastAsia" w:ascii="宋体" w:hAnsi="宋体" w:cs="楷体_GB2312"/>
          <w:b/>
          <w:bCs/>
          <w:color w:val="000000" w:themeColor="text1"/>
          <w:w w:val="95"/>
          <w:sz w:val="30"/>
          <w:szCs w:val="30"/>
          <w:highlight w:val="none"/>
        </w:rPr>
        <w:sectPr>
          <w:headerReference r:id="rId3" w:type="default"/>
          <w:footerReference r:id="rId4" w:type="default"/>
          <w:pgSz w:w="11910" w:h="16840"/>
          <w:pgMar w:top="1600" w:right="1260" w:bottom="1700" w:left="1420" w:header="680" w:footer="1508" w:gutter="0"/>
          <w:pgNumType w:fmt="numberInDash"/>
          <w:cols w:space="720" w:num="1"/>
          <w:docGrid w:linePitch="286" w:charSpace="0"/>
        </w:sectPr>
      </w:pPr>
    </w:p>
    <w:p w14:paraId="63BC9E4C">
      <w:pPr>
        <w:spacing w:before="720" w:beforeLines="300" w:after="720" w:afterLines="300" w:line="360" w:lineRule="auto"/>
        <w:jc w:val="center"/>
        <w:rPr>
          <w:rFonts w:hint="eastAsia" w:ascii="仿宋" w:hAnsi="仿宋" w:eastAsia="仿宋"/>
          <w:b/>
          <w:color w:val="000000" w:themeColor="text1"/>
          <w:sz w:val="44"/>
          <w:szCs w:val="44"/>
        </w:rPr>
      </w:pPr>
      <w:r>
        <w:rPr>
          <w:rFonts w:hint="eastAsia" w:ascii="仿宋" w:hAnsi="仿宋" w:eastAsia="仿宋"/>
          <w:b/>
          <w:color w:val="000000" w:themeColor="text1"/>
          <w:sz w:val="44"/>
          <w:szCs w:val="44"/>
        </w:rPr>
        <w:t>目录</w:t>
      </w:r>
    </w:p>
    <w:p w14:paraId="0127C58B">
      <w:pPr>
        <w:snapToGrid w:val="0"/>
        <w:spacing w:after="240" w:afterLines="100" w:line="360" w:lineRule="auto"/>
        <w:ind w:firstLine="2168" w:firstLineChars="600"/>
        <w:jc w:val="left"/>
        <w:rPr>
          <w:rFonts w:hint="eastAsia" w:ascii="仿宋" w:hAnsi="仿宋" w:eastAsia="仿宋"/>
          <w:b/>
          <w:color w:val="000000" w:themeColor="text1"/>
          <w:sz w:val="36"/>
          <w:szCs w:val="36"/>
        </w:rPr>
      </w:pPr>
      <w:r>
        <w:rPr>
          <w:rFonts w:hint="eastAsia" w:ascii="仿宋" w:hAnsi="仿宋" w:eastAsia="仿宋"/>
          <w:b/>
          <w:color w:val="000000" w:themeColor="text1"/>
          <w:sz w:val="36"/>
          <w:szCs w:val="36"/>
        </w:rPr>
        <w:t>第一章    招标公告</w:t>
      </w:r>
    </w:p>
    <w:p w14:paraId="1A910034">
      <w:pPr>
        <w:snapToGrid w:val="0"/>
        <w:spacing w:after="240" w:afterLines="100" w:line="360" w:lineRule="auto"/>
        <w:ind w:firstLine="2168" w:firstLineChars="600"/>
        <w:jc w:val="left"/>
        <w:rPr>
          <w:rFonts w:hint="eastAsia" w:ascii="仿宋" w:hAnsi="仿宋" w:eastAsia="仿宋"/>
          <w:b/>
          <w:color w:val="000000" w:themeColor="text1"/>
          <w:sz w:val="36"/>
          <w:szCs w:val="36"/>
        </w:rPr>
      </w:pPr>
      <w:r>
        <w:rPr>
          <w:rFonts w:hint="eastAsia" w:ascii="仿宋" w:hAnsi="仿宋" w:eastAsia="仿宋"/>
          <w:b/>
          <w:color w:val="000000" w:themeColor="text1"/>
          <w:sz w:val="36"/>
          <w:szCs w:val="36"/>
        </w:rPr>
        <w:t>第二章    投标须知</w:t>
      </w:r>
    </w:p>
    <w:p w14:paraId="333D324F">
      <w:pPr>
        <w:snapToGrid w:val="0"/>
        <w:spacing w:after="240" w:afterLines="100" w:line="360" w:lineRule="auto"/>
        <w:ind w:firstLine="2168" w:firstLineChars="600"/>
        <w:jc w:val="left"/>
        <w:rPr>
          <w:rFonts w:hint="eastAsia" w:ascii="仿宋" w:hAnsi="仿宋" w:eastAsia="仿宋"/>
          <w:b/>
          <w:color w:val="000000" w:themeColor="text1"/>
          <w:sz w:val="36"/>
          <w:szCs w:val="36"/>
        </w:rPr>
      </w:pPr>
      <w:r>
        <w:rPr>
          <w:rFonts w:hint="eastAsia" w:ascii="仿宋" w:hAnsi="仿宋" w:eastAsia="仿宋"/>
          <w:b/>
          <w:color w:val="000000" w:themeColor="text1"/>
          <w:sz w:val="36"/>
          <w:szCs w:val="36"/>
        </w:rPr>
        <w:t>第三章    评标办法及评分标准</w:t>
      </w:r>
    </w:p>
    <w:p w14:paraId="153BAED0">
      <w:pPr>
        <w:snapToGrid w:val="0"/>
        <w:spacing w:after="240" w:afterLines="100" w:line="360" w:lineRule="auto"/>
        <w:ind w:firstLine="2168" w:firstLineChars="600"/>
        <w:jc w:val="left"/>
        <w:rPr>
          <w:rFonts w:hint="eastAsia" w:ascii="仿宋" w:hAnsi="仿宋" w:eastAsia="仿宋"/>
          <w:b/>
          <w:color w:val="000000" w:themeColor="text1"/>
          <w:sz w:val="36"/>
          <w:szCs w:val="36"/>
        </w:rPr>
      </w:pPr>
      <w:r>
        <w:rPr>
          <w:rFonts w:hint="eastAsia" w:ascii="仿宋" w:hAnsi="仿宋" w:eastAsia="仿宋"/>
          <w:b/>
          <w:color w:val="000000" w:themeColor="text1"/>
          <w:sz w:val="36"/>
          <w:szCs w:val="36"/>
        </w:rPr>
        <w:t>第四章    采购需求</w:t>
      </w:r>
    </w:p>
    <w:p w14:paraId="7AB7FAD9">
      <w:pPr>
        <w:snapToGrid w:val="0"/>
        <w:spacing w:after="240" w:afterLines="100" w:line="360" w:lineRule="auto"/>
        <w:ind w:firstLine="2168" w:firstLineChars="600"/>
        <w:jc w:val="left"/>
        <w:rPr>
          <w:rFonts w:hint="eastAsia" w:ascii="仿宋" w:hAnsi="仿宋" w:eastAsia="仿宋"/>
          <w:b/>
          <w:color w:val="000000" w:themeColor="text1"/>
          <w:sz w:val="36"/>
          <w:szCs w:val="36"/>
        </w:rPr>
      </w:pPr>
      <w:r>
        <w:rPr>
          <w:rFonts w:hint="eastAsia" w:ascii="仿宋" w:hAnsi="仿宋" w:eastAsia="仿宋"/>
          <w:b/>
          <w:color w:val="000000" w:themeColor="text1"/>
          <w:sz w:val="36"/>
          <w:szCs w:val="36"/>
        </w:rPr>
        <w:t>第五章    采购合同</w:t>
      </w:r>
    </w:p>
    <w:p w14:paraId="0024698A">
      <w:pPr>
        <w:snapToGrid w:val="0"/>
        <w:spacing w:after="240" w:afterLines="100" w:line="360" w:lineRule="auto"/>
        <w:ind w:firstLine="2168" w:firstLineChars="600"/>
        <w:jc w:val="left"/>
        <w:rPr>
          <w:rStyle w:val="56"/>
          <w:rFonts w:hint="eastAsia" w:ascii="仿宋" w:hAnsi="仿宋" w:eastAsia="仿宋"/>
          <w:b/>
          <w:color w:val="000000" w:themeColor="text1"/>
          <w:sz w:val="36"/>
          <w:szCs w:val="36"/>
          <w:u w:val="none"/>
        </w:rPr>
      </w:pPr>
      <w:r>
        <w:rPr>
          <w:rFonts w:hint="eastAsia" w:ascii="仿宋" w:hAnsi="仿宋" w:eastAsia="仿宋"/>
          <w:b/>
          <w:color w:val="000000" w:themeColor="text1"/>
          <w:sz w:val="36"/>
          <w:szCs w:val="36"/>
        </w:rPr>
        <w:t>第六章    投标文件格式</w:t>
      </w:r>
    </w:p>
    <w:p w14:paraId="0CC1726D">
      <w:pPr>
        <w:spacing w:line="360" w:lineRule="auto"/>
        <w:rPr>
          <w:rStyle w:val="56"/>
          <w:rFonts w:hint="eastAsia" w:ascii="宋体" w:hAnsi="宋体"/>
          <w:color w:val="000000" w:themeColor="text1"/>
          <w:sz w:val="30"/>
        </w:rPr>
        <w:sectPr>
          <w:pgSz w:w="11910" w:h="16840"/>
          <w:pgMar w:top="1600" w:right="1260" w:bottom="1700" w:left="1420" w:header="680" w:footer="1508" w:gutter="0"/>
          <w:pgNumType w:fmt="numberInDash"/>
          <w:cols w:space="720" w:num="1"/>
          <w:docGrid w:linePitch="286" w:charSpace="0"/>
        </w:sectPr>
      </w:pPr>
    </w:p>
    <w:p w14:paraId="7C70B0AC">
      <w:pPr>
        <w:pStyle w:val="2"/>
        <w:numPr>
          <w:ilvl w:val="0"/>
          <w:numId w:val="11"/>
        </w:numPr>
        <w:spacing w:before="0" w:after="156" w:afterLines="50" w:line="240" w:lineRule="auto"/>
        <w:jc w:val="center"/>
        <w:rPr>
          <w:rFonts w:hint="eastAsia"/>
        </w:rPr>
      </w:pPr>
      <w:r>
        <w:rPr>
          <w:rFonts w:hint="eastAsia" w:ascii="仿宋" w:hAnsi="仿宋" w:eastAsia="仿宋" w:cs="宋体"/>
          <w:color w:val="000000" w:themeColor="text1"/>
          <w:sz w:val="36"/>
          <w:szCs w:val="36"/>
        </w:rPr>
        <w:t xml:space="preserve"> 招标公告（非政府采购）</w:t>
      </w:r>
    </w:p>
    <w:p w14:paraId="4CD4ABC2">
      <w:pPr>
        <w:autoSpaceDE/>
        <w:autoSpaceDN/>
        <w:adjustRightInd/>
        <w:spacing w:line="360" w:lineRule="auto"/>
        <w:ind w:firstLine="482" w:firstLineChars="200"/>
        <w:jc w:val="center"/>
        <w:rPr>
          <w:rFonts w:hint="eastAsia" w:ascii="仿宋" w:hAnsi="仿宋" w:eastAsia="仿宋" w:cs="宋体"/>
          <w:b/>
          <w:bCs w:val="0"/>
          <w:color w:val="000000" w:themeColor="text1"/>
          <w:sz w:val="24"/>
          <w:szCs w:val="24"/>
        </w:rPr>
      </w:pPr>
      <w:r>
        <w:rPr>
          <w:rFonts w:hint="eastAsia" w:ascii="仿宋" w:hAnsi="仿宋" w:eastAsia="仿宋" w:cs="宋体"/>
          <w:b/>
          <w:bCs w:val="0"/>
          <w:color w:val="000000" w:themeColor="text1"/>
          <w:sz w:val="24"/>
          <w:szCs w:val="24"/>
        </w:rPr>
        <w:t>（项目编号：</w:t>
      </w:r>
      <w:r>
        <w:rPr>
          <w:rFonts w:hint="eastAsia" w:ascii="仿宋" w:hAnsi="仿宋" w:eastAsia="仿宋" w:cs="宋体"/>
          <w:b/>
          <w:bCs w:val="0"/>
          <w:color w:val="000000" w:themeColor="text1"/>
          <w:sz w:val="24"/>
          <w:szCs w:val="24"/>
          <w:lang w:eastAsia="zh-CN"/>
        </w:rPr>
        <w:t>浙江新顺2024-12-0301</w:t>
      </w:r>
      <w:r>
        <w:rPr>
          <w:rFonts w:hint="eastAsia" w:ascii="仿宋" w:hAnsi="仿宋" w:eastAsia="仿宋" w:cs="宋体"/>
          <w:b/>
          <w:bCs w:val="0"/>
          <w:color w:val="000000" w:themeColor="text1"/>
          <w:sz w:val="24"/>
          <w:szCs w:val="24"/>
        </w:rPr>
        <w:t>）</w:t>
      </w:r>
    </w:p>
    <w:p w14:paraId="6AC8EE7A">
      <w:pPr>
        <w:jc w:val="center"/>
        <w:rPr>
          <w:rFonts w:hint="eastAsia"/>
        </w:rPr>
      </w:pPr>
    </w:p>
    <w:p w14:paraId="21764B14">
      <w:pPr>
        <w:autoSpaceDE/>
        <w:autoSpaceDN/>
        <w:adjustRightInd/>
        <w:spacing w:line="360" w:lineRule="auto"/>
        <w:ind w:firstLine="480" w:firstLineChars="200"/>
        <w:rPr>
          <w:rFonts w:hint="eastAsia" w:ascii="仿宋" w:hAnsi="仿宋" w:eastAsia="仿宋" w:cs="宋体"/>
          <w:bCs/>
          <w:color w:val="000000" w:themeColor="text1"/>
          <w:sz w:val="24"/>
          <w:szCs w:val="24"/>
        </w:rPr>
      </w:pPr>
      <w:r>
        <w:rPr>
          <w:rFonts w:hint="eastAsia" w:ascii="仿宋" w:hAnsi="仿宋" w:eastAsia="仿宋" w:cs="宋体"/>
          <w:bCs/>
          <w:color w:val="000000" w:themeColor="text1"/>
          <w:sz w:val="24"/>
          <w:szCs w:val="24"/>
        </w:rPr>
        <w:t>浙江新顺项目管理有限公司受诸暨市安华农贸市场委托，对下列项目进行公开招标，欢迎国内符合条件的供应商参与投标。</w:t>
      </w:r>
    </w:p>
    <w:p w14:paraId="6BA84ED6">
      <w:pPr>
        <w:autoSpaceDE/>
        <w:autoSpaceDN/>
        <w:adjustRightInd/>
        <w:spacing w:line="360" w:lineRule="auto"/>
        <w:rPr>
          <w:rFonts w:hint="eastAsia" w:ascii="仿宋" w:hAnsi="仿宋" w:eastAsia="仿宋" w:cs="宋体"/>
          <w:b/>
          <w:bCs/>
          <w:color w:val="000000" w:themeColor="text1"/>
          <w:sz w:val="24"/>
          <w:szCs w:val="24"/>
        </w:rPr>
      </w:pPr>
      <w:r>
        <w:rPr>
          <w:rFonts w:hint="eastAsia" w:ascii="仿宋" w:hAnsi="仿宋" w:eastAsia="仿宋" w:cs="宋体"/>
          <w:b/>
          <w:bCs/>
          <w:color w:val="000000" w:themeColor="text1"/>
          <w:sz w:val="24"/>
          <w:szCs w:val="24"/>
        </w:rPr>
        <w:t>一、项目基本情况</w:t>
      </w:r>
    </w:p>
    <w:p w14:paraId="3DAA9413">
      <w:pPr>
        <w:spacing w:line="360" w:lineRule="auto"/>
        <w:ind w:firstLine="472" w:firstLineChars="196"/>
        <w:rPr>
          <w:rFonts w:hint="eastAsia" w:ascii="仿宋" w:hAnsi="仿宋" w:eastAsia="仿宋"/>
          <w:sz w:val="24"/>
          <w:szCs w:val="24"/>
          <w:lang w:eastAsia="zh-CN"/>
        </w:rPr>
      </w:pPr>
      <w:r>
        <w:rPr>
          <w:rFonts w:hint="eastAsia" w:ascii="仿宋" w:hAnsi="仿宋" w:eastAsia="仿宋" w:cs="宋体"/>
          <w:b/>
          <w:sz w:val="24"/>
          <w:szCs w:val="24"/>
        </w:rPr>
        <w:t>项目名称：</w:t>
      </w:r>
      <w:r>
        <w:rPr>
          <w:rFonts w:hint="eastAsia" w:ascii="仿宋" w:hAnsi="仿宋" w:eastAsia="仿宋" w:cs="宋体"/>
          <w:bCs/>
          <w:sz w:val="24"/>
          <w:szCs w:val="24"/>
          <w:lang w:eastAsia="zh-CN"/>
        </w:rPr>
        <w:t>诸暨市安华农贸市场委托第三方管理采购项目（第二次）</w:t>
      </w:r>
    </w:p>
    <w:p w14:paraId="28BBFB33">
      <w:pPr>
        <w:spacing w:line="360" w:lineRule="auto"/>
        <w:ind w:firstLine="470" w:firstLineChars="196"/>
        <w:rPr>
          <w:rFonts w:hint="eastAsia" w:ascii="仿宋" w:hAnsi="仿宋" w:eastAsia="仿宋"/>
          <w:sz w:val="24"/>
          <w:szCs w:val="24"/>
        </w:rPr>
      </w:pPr>
      <w:r>
        <w:rPr>
          <w:rFonts w:hint="eastAsia" w:ascii="仿宋" w:hAnsi="仿宋" w:eastAsia="仿宋"/>
          <w:sz w:val="24"/>
          <w:szCs w:val="24"/>
        </w:rPr>
        <w:t>预算</w:t>
      </w:r>
      <w:r>
        <w:rPr>
          <w:rFonts w:hint="eastAsia" w:ascii="仿宋" w:hAnsi="仿宋" w:eastAsia="仿宋" w:cs="宋体"/>
          <w:sz w:val="24"/>
          <w:szCs w:val="24"/>
        </w:rPr>
        <w:t>总</w:t>
      </w:r>
      <w:r>
        <w:rPr>
          <w:rFonts w:hint="eastAsia" w:ascii="仿宋" w:hAnsi="仿宋" w:eastAsia="仿宋"/>
          <w:sz w:val="24"/>
          <w:szCs w:val="24"/>
        </w:rPr>
        <w:t>金额</w:t>
      </w:r>
      <w:r>
        <w:rPr>
          <w:rFonts w:hint="eastAsia" w:ascii="仿宋" w:hAnsi="仿宋" w:eastAsia="仿宋" w:cs="宋体"/>
          <w:sz w:val="24"/>
          <w:szCs w:val="24"/>
        </w:rPr>
        <w:t>（两年）</w:t>
      </w:r>
      <w:r>
        <w:rPr>
          <w:rFonts w:hint="eastAsia" w:ascii="仿宋" w:hAnsi="仿宋" w:eastAsia="仿宋"/>
          <w:sz w:val="24"/>
          <w:szCs w:val="24"/>
        </w:rPr>
        <w:t>（元）：</w:t>
      </w:r>
      <w:r>
        <w:rPr>
          <w:rFonts w:hint="eastAsia" w:ascii="仿宋" w:hAnsi="仿宋" w:eastAsia="仿宋" w:cs="宋体"/>
          <w:sz w:val="24"/>
          <w:szCs w:val="24"/>
        </w:rPr>
        <w:t>700000</w:t>
      </w:r>
    </w:p>
    <w:p w14:paraId="6CAC1EAC">
      <w:pPr>
        <w:spacing w:line="360" w:lineRule="auto"/>
        <w:ind w:firstLine="470" w:firstLineChars="196"/>
        <w:rPr>
          <w:rFonts w:hint="eastAsia" w:ascii="仿宋" w:hAnsi="仿宋" w:eastAsia="仿宋" w:cs="仿宋"/>
          <w:sz w:val="28"/>
          <w:szCs w:val="28"/>
        </w:rPr>
      </w:pPr>
      <w:r>
        <w:rPr>
          <w:rFonts w:hint="eastAsia" w:ascii="仿宋" w:hAnsi="仿宋" w:eastAsia="仿宋"/>
          <w:sz w:val="24"/>
          <w:szCs w:val="24"/>
        </w:rPr>
        <w:t>最高限价</w:t>
      </w:r>
      <w:r>
        <w:rPr>
          <w:rFonts w:hint="eastAsia" w:ascii="仿宋" w:hAnsi="仿宋" w:eastAsia="仿宋" w:cs="宋体"/>
          <w:sz w:val="24"/>
          <w:szCs w:val="24"/>
        </w:rPr>
        <w:t>总金额（两年）</w:t>
      </w:r>
      <w:r>
        <w:rPr>
          <w:rFonts w:hint="eastAsia" w:ascii="仿宋" w:hAnsi="仿宋" w:eastAsia="仿宋"/>
          <w:sz w:val="24"/>
          <w:szCs w:val="24"/>
        </w:rPr>
        <w:t>（元）：</w:t>
      </w:r>
      <w:r>
        <w:rPr>
          <w:rFonts w:hint="eastAsia" w:ascii="仿宋" w:hAnsi="仿宋" w:eastAsia="仿宋" w:cs="宋体"/>
          <w:sz w:val="24"/>
          <w:szCs w:val="24"/>
        </w:rPr>
        <w:t>700000，其中：每年设最高限价为人民币叁拾伍万元整（</w:t>
      </w:r>
      <w:r>
        <w:rPr>
          <w:rFonts w:hint="eastAsia" w:ascii="宋体" w:cs="宋体"/>
          <w:sz w:val="24"/>
          <w:szCs w:val="24"/>
        </w:rPr>
        <w:t>¥</w:t>
      </w:r>
      <w:r>
        <w:rPr>
          <w:rFonts w:hint="eastAsia" w:ascii="仿宋" w:hAnsi="仿宋" w:eastAsia="仿宋" w:cs="宋体"/>
          <w:sz w:val="24"/>
          <w:szCs w:val="24"/>
        </w:rPr>
        <w:t>350000.00）。</w:t>
      </w:r>
    </w:p>
    <w:p w14:paraId="7B59A562">
      <w:pPr>
        <w:spacing w:line="360" w:lineRule="auto"/>
        <w:ind w:firstLine="480" w:firstLineChars="200"/>
        <w:rPr>
          <w:rFonts w:hint="eastAsia" w:ascii="仿宋" w:hAnsi="仿宋" w:eastAsia="仿宋"/>
          <w:sz w:val="24"/>
          <w:szCs w:val="24"/>
        </w:rPr>
      </w:pPr>
      <w:bookmarkStart w:id="1" w:name="_Hlk44574602"/>
      <w:r>
        <w:rPr>
          <w:rFonts w:hint="eastAsia" w:ascii="仿宋" w:hAnsi="仿宋" w:eastAsia="仿宋"/>
          <w:sz w:val="24"/>
          <w:szCs w:val="24"/>
        </w:rPr>
        <w:t>项目内容及规模：</w:t>
      </w:r>
      <w:r>
        <w:rPr>
          <w:rFonts w:hint="eastAsia" w:ascii="仿宋" w:hAnsi="仿宋" w:eastAsia="仿宋" w:cs="宋体"/>
          <w:sz w:val="24"/>
          <w:szCs w:val="24"/>
        </w:rPr>
        <w:t>具体工作内容及要求详见采购需求</w:t>
      </w:r>
      <w:r>
        <w:rPr>
          <w:rFonts w:ascii="仿宋" w:hAnsi="仿宋" w:eastAsia="仿宋"/>
          <w:sz w:val="24"/>
          <w:szCs w:val="24"/>
        </w:rPr>
        <w:t>。</w:t>
      </w:r>
    </w:p>
    <w:bookmarkEnd w:id="1"/>
    <w:p w14:paraId="5D150DCF">
      <w:pPr>
        <w:spacing w:line="360" w:lineRule="auto"/>
        <w:rPr>
          <w:rFonts w:hint="eastAsia" w:ascii="仿宋" w:hAnsi="仿宋" w:eastAsia="仿宋" w:cs="宋体"/>
          <w:b/>
          <w:sz w:val="24"/>
        </w:rPr>
      </w:pPr>
      <w:r>
        <w:rPr>
          <w:rFonts w:hint="eastAsia" w:ascii="仿宋" w:hAnsi="仿宋" w:eastAsia="仿宋" w:cs="宋体"/>
          <w:b/>
          <w:color w:val="000000" w:themeColor="text1"/>
          <w:sz w:val="24"/>
          <w:szCs w:val="24"/>
        </w:rPr>
        <w:t>二、</w:t>
      </w:r>
      <w:r>
        <w:rPr>
          <w:rFonts w:hint="eastAsia" w:ascii="仿宋" w:hAnsi="仿宋" w:eastAsia="仿宋" w:cs="宋体"/>
          <w:b/>
          <w:sz w:val="24"/>
        </w:rPr>
        <w:t>投标人（供应商）资格要求</w:t>
      </w:r>
    </w:p>
    <w:p w14:paraId="759E0A6C">
      <w:pPr>
        <w:snapToGrid w:val="0"/>
        <w:spacing w:line="360" w:lineRule="auto"/>
        <w:ind w:firstLine="480" w:firstLineChars="200"/>
        <w:rPr>
          <w:rFonts w:hint="eastAsia" w:ascii="仿宋" w:hAnsi="仿宋" w:eastAsia="仿宋" w:cs="宋体"/>
          <w:sz w:val="24"/>
          <w:szCs w:val="24"/>
        </w:rPr>
      </w:pPr>
      <w:bookmarkStart w:id="2" w:name="_Hlk44574667"/>
      <w:r>
        <w:rPr>
          <w:rFonts w:hint="eastAsia" w:ascii="仿宋" w:hAnsi="仿宋" w:eastAsia="仿宋" w:cs="宋体"/>
          <w:sz w:val="24"/>
          <w:szCs w:val="24"/>
        </w:rPr>
        <w:t>1、满足《中华人民共和国政府采购法》第二十二条规定；未被“信用中国”</w:t>
      </w:r>
      <w:r>
        <w:rPr>
          <w:rFonts w:hAnsi="仿宋" w:eastAsia="仿宋"/>
          <w:sz w:val="24"/>
          <w:szCs w:val="24"/>
        </w:rPr>
        <w:t>（</w:t>
      </w:r>
      <w:r>
        <w:rPr>
          <w:rFonts w:eastAsia="仿宋"/>
          <w:sz w:val="24"/>
          <w:szCs w:val="24"/>
        </w:rPr>
        <w:t>www.creditchina.gov.cn</w:t>
      </w:r>
      <w:r>
        <w:rPr>
          <w:rFonts w:hAnsi="仿宋" w:eastAsia="仿宋"/>
          <w:sz w:val="24"/>
          <w:szCs w:val="24"/>
        </w:rPr>
        <w:t>）</w:t>
      </w:r>
      <w:r>
        <w:rPr>
          <w:rFonts w:hint="eastAsia" w:ascii="仿宋" w:hAnsi="仿宋" w:eastAsia="仿宋" w:cs="宋体"/>
          <w:sz w:val="24"/>
          <w:szCs w:val="24"/>
        </w:rPr>
        <w:t>、中国政府采购网</w:t>
      </w:r>
      <w:r>
        <w:rPr>
          <w:rFonts w:hAnsi="仿宋" w:eastAsia="仿宋"/>
          <w:sz w:val="24"/>
          <w:szCs w:val="24"/>
        </w:rPr>
        <w:t>（</w:t>
      </w:r>
      <w:r>
        <w:rPr>
          <w:rFonts w:eastAsia="仿宋"/>
          <w:sz w:val="24"/>
          <w:szCs w:val="24"/>
        </w:rPr>
        <w:t>www.ccgp.gov.cn</w:t>
      </w:r>
      <w:r>
        <w:rPr>
          <w:rFonts w:hAnsi="仿宋" w:eastAsia="仿宋"/>
          <w:sz w:val="24"/>
          <w:szCs w:val="24"/>
        </w:rPr>
        <w:t>）</w:t>
      </w:r>
      <w:r>
        <w:rPr>
          <w:rFonts w:hint="eastAsia" w:ascii="仿宋" w:hAnsi="仿宋" w:eastAsia="仿宋" w:cs="宋体"/>
          <w:sz w:val="24"/>
          <w:szCs w:val="24"/>
        </w:rPr>
        <w:t>列入失信被执行人、重大税收违法案件当事人名单、政府采购严重违法失信行为记录名单；</w:t>
      </w:r>
    </w:p>
    <w:p w14:paraId="1A019D08">
      <w:pPr>
        <w:snapToGrid w:val="0"/>
        <w:spacing w:line="360" w:lineRule="auto"/>
        <w:ind w:firstLine="480" w:firstLineChars="200"/>
        <w:rPr>
          <w:rFonts w:hint="eastAsia" w:ascii="仿宋" w:hAnsi="仿宋" w:eastAsia="仿宋" w:cs="宋体"/>
          <w:sz w:val="24"/>
          <w:szCs w:val="24"/>
        </w:rPr>
      </w:pPr>
      <w:r>
        <w:rPr>
          <w:rFonts w:hint="eastAsia" w:ascii="仿宋" w:hAnsi="仿宋" w:eastAsia="仿宋" w:cs="宋体"/>
          <w:bCs/>
          <w:sz w:val="24"/>
          <w:szCs w:val="24"/>
        </w:rPr>
        <w:t>2、</w:t>
      </w:r>
      <w:r>
        <w:rPr>
          <w:rFonts w:hint="eastAsia" w:ascii="仿宋" w:hAnsi="仿宋" w:eastAsia="仿宋" w:cs="宋体"/>
          <w:sz w:val="24"/>
          <w:szCs w:val="24"/>
        </w:rPr>
        <w:t>单位负责人为同一人或者存在直接控股、管理关系的不同供应商，不得参加同一合同项下的采购活动；</w:t>
      </w:r>
    </w:p>
    <w:p w14:paraId="5F6542AF">
      <w:pPr>
        <w:snapToGrid w:val="0"/>
        <w:spacing w:line="360" w:lineRule="auto"/>
        <w:ind w:firstLine="480" w:firstLineChars="200"/>
        <w:rPr>
          <w:rFonts w:hint="eastAsia" w:ascii="仿宋" w:hAnsi="仿宋" w:eastAsia="仿宋" w:cs="宋体"/>
          <w:sz w:val="24"/>
          <w:szCs w:val="24"/>
        </w:rPr>
      </w:pPr>
      <w:r>
        <w:rPr>
          <w:rFonts w:hint="eastAsia" w:ascii="仿宋" w:hAnsi="仿宋" w:eastAsia="仿宋" w:cs="宋体"/>
          <w:sz w:val="24"/>
          <w:szCs w:val="24"/>
        </w:rPr>
        <w:t>3、本项目【不接受】联合体投标。</w:t>
      </w:r>
    </w:p>
    <w:bookmarkEnd w:id="2"/>
    <w:p w14:paraId="595B66DF">
      <w:pPr>
        <w:autoSpaceDE/>
        <w:autoSpaceDN/>
        <w:adjustRightInd/>
        <w:spacing w:line="360" w:lineRule="auto"/>
        <w:rPr>
          <w:rFonts w:hint="eastAsia" w:ascii="仿宋" w:hAnsi="仿宋" w:eastAsia="仿宋" w:cs="宋体"/>
          <w:b/>
          <w:color w:val="000000" w:themeColor="text1"/>
          <w:szCs w:val="24"/>
        </w:rPr>
      </w:pPr>
      <w:r>
        <w:rPr>
          <w:rFonts w:hint="eastAsia" w:ascii="仿宋" w:hAnsi="仿宋" w:eastAsia="仿宋" w:cs="宋体"/>
          <w:b/>
          <w:color w:val="000000" w:themeColor="text1"/>
          <w:sz w:val="24"/>
          <w:szCs w:val="24"/>
        </w:rPr>
        <w:t>三、获取招标文件</w:t>
      </w:r>
    </w:p>
    <w:p w14:paraId="45624B10">
      <w:pPr>
        <w:pStyle w:val="114"/>
        <w:widowControl w:val="0"/>
        <w:spacing w:afterLines="0" w:line="360" w:lineRule="auto"/>
        <w:ind w:firstLine="480"/>
        <w:rPr>
          <w:rFonts w:ascii="仿宋" w:hAnsi="仿宋" w:eastAsia="仿宋"/>
          <w:color w:val="auto"/>
          <w:szCs w:val="24"/>
          <w:highlight w:val="none"/>
        </w:rPr>
      </w:pPr>
      <w:r>
        <w:rPr>
          <w:rFonts w:hint="eastAsia" w:ascii="仿宋" w:hAnsi="仿宋" w:eastAsia="仿宋"/>
          <w:color w:val="auto"/>
          <w:szCs w:val="24"/>
          <w:highlight w:val="none"/>
        </w:rPr>
        <w:t>1、招标文件发布时间：</w:t>
      </w:r>
      <w:r>
        <w:rPr>
          <w:rFonts w:hint="eastAsia" w:ascii="仿宋" w:hAnsi="仿宋" w:eastAsia="仿宋"/>
          <w:color w:val="auto"/>
          <w:szCs w:val="24"/>
          <w:highlight w:val="none"/>
          <w:u w:val="single"/>
          <w:lang w:eastAsia="zh-CN"/>
        </w:rPr>
        <w:t>202</w:t>
      </w:r>
      <w:r>
        <w:rPr>
          <w:rFonts w:hint="eastAsia" w:ascii="仿宋" w:hAnsi="仿宋" w:eastAsia="仿宋"/>
          <w:color w:val="auto"/>
          <w:szCs w:val="24"/>
          <w:highlight w:val="none"/>
          <w:u w:val="single"/>
          <w:lang w:val="en-US" w:eastAsia="zh-CN"/>
        </w:rPr>
        <w:t>5</w:t>
      </w:r>
      <w:r>
        <w:rPr>
          <w:rFonts w:hint="eastAsia" w:ascii="仿宋" w:hAnsi="仿宋" w:eastAsia="仿宋"/>
          <w:color w:val="auto"/>
          <w:szCs w:val="24"/>
          <w:highlight w:val="none"/>
          <w:u w:val="single"/>
        </w:rPr>
        <w:t>年</w:t>
      </w:r>
      <w:r>
        <w:rPr>
          <w:rFonts w:hint="eastAsia" w:ascii="仿宋" w:hAnsi="仿宋" w:eastAsia="仿宋"/>
          <w:color w:val="auto"/>
          <w:szCs w:val="24"/>
          <w:highlight w:val="none"/>
          <w:u w:val="single"/>
          <w:lang w:val="en-US" w:eastAsia="zh-CN"/>
        </w:rPr>
        <w:t>01</w:t>
      </w:r>
      <w:r>
        <w:rPr>
          <w:rFonts w:hint="eastAsia" w:ascii="仿宋" w:hAnsi="仿宋" w:eastAsia="仿宋"/>
          <w:color w:val="auto"/>
          <w:szCs w:val="24"/>
          <w:highlight w:val="none"/>
          <w:u w:val="single"/>
        </w:rPr>
        <w:t>月</w:t>
      </w:r>
      <w:r>
        <w:rPr>
          <w:rFonts w:hint="eastAsia" w:ascii="仿宋" w:hAnsi="仿宋" w:eastAsia="仿宋"/>
          <w:color w:val="auto"/>
          <w:szCs w:val="24"/>
          <w:highlight w:val="none"/>
          <w:u w:val="single"/>
          <w:lang w:val="en-US" w:eastAsia="zh-CN"/>
        </w:rPr>
        <w:t>22</w:t>
      </w:r>
      <w:r>
        <w:rPr>
          <w:rFonts w:hint="eastAsia" w:ascii="仿宋" w:hAnsi="仿宋" w:eastAsia="仿宋"/>
          <w:color w:val="auto"/>
          <w:szCs w:val="24"/>
          <w:highlight w:val="none"/>
          <w:u w:val="single"/>
        </w:rPr>
        <w:t>日-</w:t>
      </w:r>
      <w:r>
        <w:rPr>
          <w:rFonts w:hint="eastAsia" w:ascii="仿宋" w:hAnsi="仿宋" w:eastAsia="仿宋"/>
          <w:color w:val="auto"/>
          <w:szCs w:val="24"/>
          <w:highlight w:val="none"/>
          <w:u w:val="single"/>
          <w:lang w:eastAsia="zh-CN"/>
        </w:rPr>
        <w:t>202</w:t>
      </w:r>
      <w:r>
        <w:rPr>
          <w:rFonts w:hint="eastAsia" w:ascii="仿宋" w:hAnsi="仿宋" w:eastAsia="仿宋"/>
          <w:color w:val="auto"/>
          <w:szCs w:val="24"/>
          <w:highlight w:val="none"/>
          <w:u w:val="single"/>
          <w:lang w:val="en-US" w:eastAsia="zh-CN"/>
        </w:rPr>
        <w:t>5</w:t>
      </w:r>
      <w:r>
        <w:rPr>
          <w:rFonts w:hint="eastAsia" w:ascii="仿宋" w:hAnsi="仿宋" w:eastAsia="仿宋"/>
          <w:color w:val="auto"/>
          <w:szCs w:val="24"/>
          <w:highlight w:val="none"/>
          <w:u w:val="single"/>
        </w:rPr>
        <w:t>年</w:t>
      </w:r>
      <w:r>
        <w:rPr>
          <w:rFonts w:hint="eastAsia" w:ascii="仿宋" w:hAnsi="仿宋" w:eastAsia="仿宋"/>
          <w:color w:val="auto"/>
          <w:szCs w:val="24"/>
          <w:highlight w:val="none"/>
          <w:u w:val="single"/>
          <w:lang w:val="en-US" w:eastAsia="zh-CN"/>
        </w:rPr>
        <w:t>02</w:t>
      </w:r>
      <w:r>
        <w:rPr>
          <w:rFonts w:hint="eastAsia" w:ascii="仿宋" w:hAnsi="仿宋" w:eastAsia="仿宋"/>
          <w:color w:val="auto"/>
          <w:szCs w:val="24"/>
          <w:highlight w:val="none"/>
          <w:u w:val="single"/>
        </w:rPr>
        <w:t>月</w:t>
      </w:r>
      <w:r>
        <w:rPr>
          <w:rFonts w:hint="eastAsia" w:ascii="仿宋" w:hAnsi="仿宋" w:eastAsia="仿宋"/>
          <w:color w:val="auto"/>
          <w:szCs w:val="24"/>
          <w:highlight w:val="none"/>
          <w:u w:val="single"/>
          <w:lang w:val="en-US" w:eastAsia="zh-CN"/>
        </w:rPr>
        <w:t>07</w:t>
      </w:r>
      <w:r>
        <w:rPr>
          <w:rFonts w:hint="eastAsia" w:ascii="仿宋" w:hAnsi="仿宋" w:eastAsia="仿宋"/>
          <w:color w:val="auto"/>
          <w:szCs w:val="24"/>
          <w:highlight w:val="none"/>
          <w:u w:val="single"/>
        </w:rPr>
        <w:t>日</w:t>
      </w:r>
      <w:r>
        <w:rPr>
          <w:rFonts w:hint="eastAsia" w:ascii="仿宋" w:hAnsi="仿宋" w:eastAsia="仿宋"/>
          <w:color w:val="auto"/>
          <w:szCs w:val="24"/>
          <w:highlight w:val="none"/>
        </w:rPr>
        <w:t>。</w:t>
      </w:r>
    </w:p>
    <w:p w14:paraId="64C64A85">
      <w:pPr>
        <w:pStyle w:val="114"/>
        <w:widowControl w:val="0"/>
        <w:spacing w:afterLines="0" w:line="360" w:lineRule="auto"/>
        <w:ind w:firstLine="480"/>
        <w:rPr>
          <w:rFonts w:ascii="仿宋" w:hAnsi="仿宋" w:eastAsia="仿宋" w:cs="宋体"/>
          <w:color w:val="auto"/>
          <w:szCs w:val="24"/>
          <w:highlight w:val="none"/>
          <w:shd w:val="clear" w:color="auto" w:fill="FFFFFF"/>
        </w:rPr>
      </w:pPr>
      <w:r>
        <w:rPr>
          <w:rFonts w:hint="eastAsia" w:ascii="仿宋" w:hAnsi="仿宋" w:eastAsia="仿宋"/>
          <w:color w:val="auto"/>
          <w:szCs w:val="24"/>
          <w:highlight w:val="none"/>
        </w:rPr>
        <w:t>2、获取方式：</w:t>
      </w:r>
      <w:r>
        <w:rPr>
          <w:rFonts w:hint="eastAsia" w:ascii="仿宋" w:hAnsi="仿宋" w:eastAsia="仿宋" w:cs="宋体"/>
          <w:color w:val="auto"/>
          <w:szCs w:val="24"/>
          <w:highlight w:val="none"/>
          <w:shd w:val="clear" w:color="auto" w:fill="FFFFFF"/>
        </w:rPr>
        <w:t>本项目无须报名，于开标当日直接参加投标。</w:t>
      </w:r>
      <w:r>
        <w:rPr>
          <w:rFonts w:hint="eastAsia" w:ascii="仿宋" w:hAnsi="仿宋" w:eastAsia="仿宋"/>
          <w:color w:val="auto"/>
          <w:szCs w:val="24"/>
          <w:highlight w:val="none"/>
        </w:rPr>
        <w:t>符合投标人资格条件的供应商请在</w:t>
      </w:r>
      <w:r>
        <w:rPr>
          <w:rFonts w:hint="eastAsia" w:ascii="仿宋" w:hAnsi="仿宋" w:eastAsia="仿宋" w:cs="宋体"/>
          <w:color w:val="auto"/>
          <w:szCs w:val="24"/>
          <w:highlight w:val="none"/>
          <w:shd w:val="clear" w:color="auto" w:fill="FFFFFF"/>
        </w:rPr>
        <w:t>诸暨市公共资源交易网</w:t>
      </w:r>
      <w:r>
        <w:rPr>
          <w:rFonts w:hAnsi="仿宋" w:eastAsia="仿宋"/>
          <w:color w:val="auto"/>
          <w:sz w:val="21"/>
          <w:szCs w:val="21"/>
          <w:highlight w:val="none"/>
          <w:shd w:val="clear" w:color="auto" w:fill="FFFFFF"/>
        </w:rPr>
        <w:t>（</w:t>
      </w:r>
      <w:r>
        <w:rPr>
          <w:rFonts w:eastAsia="仿宋"/>
          <w:color w:val="auto"/>
          <w:sz w:val="21"/>
          <w:szCs w:val="21"/>
          <w:highlight w:val="none"/>
          <w:shd w:val="clear" w:color="auto" w:fill="FFFFFF"/>
        </w:rPr>
        <w:t>http://www.zhuji.gov.cn/col/col1388385/</w:t>
      </w:r>
      <w:r>
        <w:rPr>
          <w:rFonts w:hAnsi="仿宋" w:eastAsia="仿宋"/>
          <w:color w:val="auto"/>
          <w:sz w:val="21"/>
          <w:szCs w:val="21"/>
          <w:highlight w:val="none"/>
          <w:shd w:val="clear" w:color="auto" w:fill="FFFFFF"/>
        </w:rPr>
        <w:t>）</w:t>
      </w:r>
      <w:r>
        <w:rPr>
          <w:rFonts w:ascii="仿宋" w:hAnsi="仿宋" w:eastAsia="仿宋"/>
          <w:color w:val="auto"/>
          <w:szCs w:val="24"/>
          <w:highlight w:val="none"/>
          <w:shd w:val="clear" w:color="auto" w:fill="FFFFFF"/>
        </w:rPr>
        <w:t>公告代发板块（交易公告）栏目</w:t>
      </w:r>
      <w:r>
        <w:rPr>
          <w:rFonts w:hint="eastAsia" w:ascii="仿宋" w:hAnsi="仿宋" w:eastAsia="仿宋" w:cs="宋体"/>
          <w:color w:val="auto"/>
          <w:szCs w:val="24"/>
          <w:highlight w:val="none"/>
          <w:shd w:val="clear" w:color="auto" w:fill="FFFFFF"/>
        </w:rPr>
        <w:t>中免费下载招标文件。</w:t>
      </w:r>
    </w:p>
    <w:p w14:paraId="15D575CA">
      <w:pPr>
        <w:pStyle w:val="114"/>
        <w:widowControl w:val="0"/>
        <w:spacing w:afterLines="0" w:line="360" w:lineRule="auto"/>
        <w:ind w:firstLine="480"/>
        <w:rPr>
          <w:rFonts w:ascii="仿宋" w:hAnsi="仿宋" w:eastAsia="仿宋" w:cs="宋体"/>
          <w:color w:val="auto"/>
          <w:szCs w:val="24"/>
          <w:highlight w:val="none"/>
        </w:rPr>
      </w:pPr>
      <w:r>
        <w:rPr>
          <w:rFonts w:hint="eastAsia" w:ascii="仿宋" w:hAnsi="仿宋" w:eastAsia="仿宋" w:cs="宋体"/>
          <w:color w:val="auto"/>
          <w:szCs w:val="24"/>
          <w:highlight w:val="none"/>
        </w:rPr>
        <w:t>3、招标文件发布截止时间之后有潜在供应商提出要求获取招标文件的，允许获取。</w:t>
      </w:r>
    </w:p>
    <w:p w14:paraId="5B09C505">
      <w:pPr>
        <w:autoSpaceDE/>
        <w:autoSpaceDN/>
        <w:adjustRightInd/>
        <w:spacing w:line="360" w:lineRule="auto"/>
        <w:rPr>
          <w:rFonts w:hint="eastAsia" w:ascii="仿宋" w:hAnsi="仿宋" w:eastAsia="仿宋"/>
          <w:b/>
          <w:color w:val="000000" w:themeColor="text1"/>
          <w:szCs w:val="24"/>
          <w:highlight w:val="none"/>
        </w:rPr>
      </w:pPr>
      <w:r>
        <w:rPr>
          <w:rFonts w:hint="eastAsia" w:ascii="仿宋" w:hAnsi="仿宋" w:eastAsia="仿宋" w:cs="宋体"/>
          <w:b/>
          <w:color w:val="000000" w:themeColor="text1"/>
          <w:sz w:val="24"/>
          <w:szCs w:val="24"/>
          <w:highlight w:val="none"/>
        </w:rPr>
        <w:t>四、投标保证金</w:t>
      </w:r>
    </w:p>
    <w:p w14:paraId="1D32D0FC">
      <w:pPr>
        <w:pStyle w:val="33"/>
        <w:spacing w:line="300" w:lineRule="auto"/>
        <w:ind w:firstLine="470" w:firstLineChars="196"/>
        <w:rPr>
          <w:rFonts w:hint="eastAsia" w:ascii="仿宋" w:hAnsi="仿宋" w:eastAsia="仿宋" w:cs="宋体"/>
          <w:b/>
          <w:color w:val="000000" w:themeColor="text1"/>
          <w:szCs w:val="24"/>
          <w:highlight w:val="none"/>
        </w:rPr>
      </w:pPr>
      <w:r>
        <w:rPr>
          <w:rFonts w:hint="eastAsia" w:ascii="仿宋" w:hAnsi="仿宋" w:eastAsia="仿宋" w:cs="宋体"/>
          <w:color w:val="000000" w:themeColor="text1"/>
          <w:szCs w:val="24"/>
          <w:highlight w:val="none"/>
        </w:rPr>
        <w:t>本项目无需缴纳投标保证金。</w:t>
      </w:r>
    </w:p>
    <w:p w14:paraId="7657A7B3">
      <w:pPr>
        <w:autoSpaceDE/>
        <w:autoSpaceDN/>
        <w:adjustRightInd/>
        <w:spacing w:line="360" w:lineRule="auto"/>
        <w:rPr>
          <w:rFonts w:hint="eastAsia" w:ascii="仿宋" w:hAnsi="仿宋" w:eastAsia="仿宋"/>
          <w:b/>
          <w:color w:val="000000" w:themeColor="text1"/>
          <w:szCs w:val="24"/>
          <w:highlight w:val="none"/>
        </w:rPr>
      </w:pPr>
      <w:r>
        <w:rPr>
          <w:rFonts w:hint="eastAsia" w:ascii="仿宋" w:hAnsi="仿宋" w:eastAsia="仿宋" w:cs="宋体"/>
          <w:b/>
          <w:color w:val="000000" w:themeColor="text1"/>
          <w:sz w:val="24"/>
          <w:szCs w:val="24"/>
          <w:highlight w:val="none"/>
        </w:rPr>
        <w:t>五、</w:t>
      </w:r>
      <w:r>
        <w:rPr>
          <w:rFonts w:hint="eastAsia" w:ascii="仿宋" w:hAnsi="仿宋" w:eastAsia="仿宋" w:cs="宋体"/>
          <w:b/>
          <w:bCs/>
          <w:color w:val="000000" w:themeColor="text1"/>
          <w:kern w:val="2"/>
          <w:sz w:val="24"/>
          <w:szCs w:val="24"/>
          <w:highlight w:val="none"/>
        </w:rPr>
        <w:t>提交投标文件截止时间、地点</w:t>
      </w:r>
    </w:p>
    <w:p w14:paraId="12738252">
      <w:pPr>
        <w:widowControl/>
        <w:autoSpaceDE/>
        <w:autoSpaceDN/>
        <w:adjustRightInd/>
        <w:spacing w:line="360" w:lineRule="auto"/>
        <w:ind w:firstLine="480" w:firstLineChars="200"/>
        <w:jc w:val="left"/>
        <w:rPr>
          <w:rFonts w:hint="eastAsia" w:ascii="仿宋" w:hAnsi="仿宋" w:eastAsia="仿宋" w:cs="宋体"/>
          <w:color w:val="000000" w:themeColor="text1"/>
          <w:sz w:val="24"/>
          <w:szCs w:val="24"/>
          <w:highlight w:val="none"/>
        </w:rPr>
      </w:pPr>
      <w:r>
        <w:rPr>
          <w:rFonts w:hint="eastAsia" w:ascii="仿宋" w:hAnsi="仿宋" w:eastAsia="仿宋" w:cs="宋体"/>
          <w:color w:val="000000" w:themeColor="text1"/>
          <w:sz w:val="24"/>
          <w:szCs w:val="24"/>
          <w:highlight w:val="none"/>
        </w:rPr>
        <w:t>1、提交投标文件截止时间：</w:t>
      </w:r>
      <w:r>
        <w:rPr>
          <w:rFonts w:hint="eastAsia" w:ascii="仿宋" w:hAnsi="仿宋" w:eastAsia="仿宋"/>
          <w:color w:val="000000" w:themeColor="text1"/>
          <w:sz w:val="24"/>
          <w:szCs w:val="24"/>
          <w:highlight w:val="none"/>
          <w:u w:val="single"/>
          <w:lang w:eastAsia="zh-CN"/>
        </w:rPr>
        <w:t>2025年02月17日 14:00:00</w:t>
      </w:r>
      <w:r>
        <w:rPr>
          <w:rFonts w:hint="eastAsia" w:ascii="仿宋" w:hAnsi="仿宋" w:eastAsia="仿宋"/>
          <w:color w:val="000000" w:themeColor="text1"/>
          <w:sz w:val="24"/>
          <w:szCs w:val="24"/>
          <w:highlight w:val="none"/>
        </w:rPr>
        <w:t>（北京时间）</w:t>
      </w:r>
    </w:p>
    <w:p w14:paraId="40C1CDE3">
      <w:pPr>
        <w:widowControl/>
        <w:autoSpaceDE/>
        <w:autoSpaceDN/>
        <w:adjustRightInd/>
        <w:spacing w:line="360" w:lineRule="auto"/>
        <w:ind w:left="1079" w:leftChars="228" w:hanging="600" w:hangingChars="250"/>
        <w:jc w:val="left"/>
        <w:rPr>
          <w:rFonts w:hint="eastAsia" w:ascii="仿宋" w:hAnsi="仿宋" w:eastAsia="仿宋" w:cs="宋体"/>
          <w:color w:val="000000" w:themeColor="text1"/>
          <w:sz w:val="24"/>
          <w:szCs w:val="24"/>
          <w:highlight w:val="none"/>
        </w:rPr>
      </w:pPr>
      <w:r>
        <w:rPr>
          <w:rFonts w:hint="eastAsia" w:ascii="仿宋" w:hAnsi="仿宋" w:eastAsia="仿宋" w:cs="宋体"/>
          <w:color w:val="000000" w:themeColor="text1"/>
          <w:sz w:val="24"/>
          <w:szCs w:val="24"/>
          <w:highlight w:val="none"/>
        </w:rPr>
        <w:t>2、投标地点：浙江新顺项目管理有限公司开标室（诸暨市东三路4</w:t>
      </w:r>
      <w:r>
        <w:rPr>
          <w:rFonts w:ascii="仿宋" w:hAnsi="仿宋" w:eastAsia="仿宋" w:cs="宋体"/>
          <w:color w:val="000000" w:themeColor="text1"/>
          <w:sz w:val="24"/>
          <w:szCs w:val="24"/>
          <w:highlight w:val="none"/>
        </w:rPr>
        <w:t>60</w:t>
      </w:r>
      <w:r>
        <w:rPr>
          <w:rFonts w:hint="eastAsia" w:ascii="仿宋" w:hAnsi="仿宋" w:eastAsia="仿宋" w:cs="宋体"/>
          <w:color w:val="000000" w:themeColor="text1"/>
          <w:sz w:val="24"/>
          <w:szCs w:val="24"/>
          <w:highlight w:val="none"/>
        </w:rPr>
        <w:t>弄2</w:t>
      </w:r>
      <w:r>
        <w:rPr>
          <w:rFonts w:ascii="仿宋" w:hAnsi="仿宋" w:eastAsia="仿宋" w:cs="宋体"/>
          <w:color w:val="000000" w:themeColor="text1"/>
          <w:sz w:val="24"/>
          <w:szCs w:val="24"/>
          <w:highlight w:val="none"/>
        </w:rPr>
        <w:t>1</w:t>
      </w:r>
      <w:r>
        <w:rPr>
          <w:rFonts w:hint="eastAsia" w:ascii="仿宋" w:hAnsi="仿宋" w:eastAsia="仿宋" w:cs="宋体"/>
          <w:color w:val="000000" w:themeColor="text1"/>
          <w:sz w:val="24"/>
          <w:szCs w:val="24"/>
          <w:highlight w:val="none"/>
        </w:rPr>
        <w:t>-</w:t>
      </w:r>
      <w:r>
        <w:rPr>
          <w:rFonts w:ascii="仿宋" w:hAnsi="仿宋" w:eastAsia="仿宋" w:cs="宋体"/>
          <w:color w:val="000000" w:themeColor="text1"/>
          <w:sz w:val="24"/>
          <w:szCs w:val="24"/>
          <w:highlight w:val="none"/>
        </w:rPr>
        <w:t>23</w:t>
      </w:r>
      <w:r>
        <w:rPr>
          <w:rFonts w:hint="eastAsia" w:ascii="仿宋" w:hAnsi="仿宋" w:eastAsia="仿宋" w:cs="宋体"/>
          <w:color w:val="000000" w:themeColor="text1"/>
          <w:sz w:val="24"/>
          <w:szCs w:val="24"/>
          <w:highlight w:val="none"/>
        </w:rPr>
        <w:t>号）</w:t>
      </w:r>
    </w:p>
    <w:p w14:paraId="73B152BF">
      <w:pPr>
        <w:widowControl/>
        <w:autoSpaceDE/>
        <w:autoSpaceDN/>
        <w:adjustRightInd/>
        <w:spacing w:line="300" w:lineRule="auto"/>
        <w:ind w:firstLine="480" w:firstLineChars="200"/>
        <w:jc w:val="left"/>
        <w:rPr>
          <w:rFonts w:hint="eastAsia" w:ascii="仿宋" w:hAnsi="仿宋" w:eastAsia="仿宋" w:cs="宋体"/>
          <w:color w:val="000000" w:themeColor="text1"/>
          <w:sz w:val="24"/>
          <w:szCs w:val="24"/>
          <w:highlight w:val="none"/>
        </w:rPr>
      </w:pPr>
      <w:r>
        <w:rPr>
          <w:rFonts w:hint="eastAsia" w:ascii="仿宋" w:hAnsi="仿宋" w:eastAsia="仿宋" w:cs="宋体"/>
          <w:color w:val="000000" w:themeColor="text1"/>
          <w:sz w:val="24"/>
          <w:szCs w:val="24"/>
          <w:highlight w:val="none"/>
        </w:rPr>
        <w:t>3、特别说明：</w:t>
      </w:r>
    </w:p>
    <w:p w14:paraId="2B84118C">
      <w:pPr>
        <w:widowControl/>
        <w:autoSpaceDE/>
        <w:autoSpaceDN/>
        <w:adjustRightInd/>
        <w:spacing w:line="276" w:lineRule="auto"/>
        <w:ind w:firstLine="480" w:firstLineChars="200"/>
        <w:jc w:val="left"/>
        <w:rPr>
          <w:rFonts w:hint="eastAsia" w:ascii="仿宋" w:hAnsi="仿宋" w:eastAsia="仿宋" w:cs="宋体"/>
          <w:color w:val="000000" w:themeColor="text1"/>
          <w:sz w:val="24"/>
          <w:szCs w:val="24"/>
          <w:highlight w:val="none"/>
        </w:rPr>
      </w:pPr>
      <w:r>
        <w:rPr>
          <w:rFonts w:hint="eastAsia" w:ascii="仿宋" w:hAnsi="仿宋" w:eastAsia="仿宋" w:cs="宋体"/>
          <w:color w:val="000000" w:themeColor="text1"/>
          <w:sz w:val="24"/>
          <w:szCs w:val="24"/>
          <w:highlight w:val="none"/>
        </w:rPr>
        <w:t>投标人应当在投标截止时间前将投标文件密封送达投标地点。逾期送达或未密封的投标文件，将被拒绝接收。</w:t>
      </w:r>
    </w:p>
    <w:p w14:paraId="4A5E1A59">
      <w:pPr>
        <w:widowControl/>
        <w:autoSpaceDE/>
        <w:autoSpaceDN/>
        <w:adjustRightInd/>
        <w:spacing w:line="276" w:lineRule="auto"/>
        <w:ind w:firstLine="480" w:firstLineChars="200"/>
        <w:jc w:val="left"/>
        <w:rPr>
          <w:rFonts w:hint="eastAsia" w:ascii="仿宋" w:hAnsi="仿宋" w:eastAsia="仿宋"/>
          <w:color w:val="000000" w:themeColor="text1"/>
          <w:sz w:val="24"/>
          <w:szCs w:val="24"/>
          <w:highlight w:val="none"/>
          <w:u w:val="single"/>
        </w:rPr>
      </w:pPr>
      <w:r>
        <w:rPr>
          <w:rFonts w:hint="eastAsia" w:ascii="仿宋" w:hAnsi="仿宋" w:eastAsia="仿宋" w:cs="宋体"/>
          <w:color w:val="000000" w:themeColor="text1"/>
          <w:sz w:val="24"/>
          <w:szCs w:val="24"/>
          <w:highlight w:val="none"/>
        </w:rPr>
        <w:t>（1）</w:t>
      </w:r>
      <w:r>
        <w:rPr>
          <w:rFonts w:hint="eastAsia" w:ascii="仿宋" w:hAnsi="仿宋" w:eastAsia="仿宋"/>
          <w:color w:val="000000" w:themeColor="text1"/>
          <w:sz w:val="24"/>
          <w:szCs w:val="24"/>
          <w:highlight w:val="none"/>
        </w:rPr>
        <w:t>取消投标人相关人员集中到现场参加开标的要求。投标人继续采用现场递交的，即交即走；允许投标人采用邮寄投标文件模式（建议采用EMS或顺丰邮寄方式，以代理机构工作人员签收时间为准，</w:t>
      </w:r>
      <w:r>
        <w:rPr>
          <w:rFonts w:hint="eastAsia" w:ascii="仿宋" w:hAnsi="仿宋" w:eastAsia="仿宋"/>
          <w:bCs/>
          <w:color w:val="000000" w:themeColor="text1"/>
          <w:sz w:val="24"/>
          <w:szCs w:val="24"/>
          <w:highlight w:val="none"/>
        </w:rPr>
        <w:t>拒收到付件</w:t>
      </w:r>
      <w:r>
        <w:rPr>
          <w:rFonts w:hint="eastAsia" w:ascii="仿宋" w:hAnsi="仿宋" w:eastAsia="仿宋"/>
          <w:color w:val="000000" w:themeColor="text1"/>
          <w:sz w:val="24"/>
          <w:szCs w:val="24"/>
          <w:highlight w:val="none"/>
        </w:rPr>
        <w:t>），采用邮寄的方式的请提前一天通知代理机构工作人员：</w:t>
      </w:r>
    </w:p>
    <w:p w14:paraId="574047F2">
      <w:pPr>
        <w:widowControl/>
        <w:autoSpaceDE/>
        <w:autoSpaceDN/>
        <w:adjustRightInd/>
        <w:spacing w:line="276" w:lineRule="auto"/>
        <w:ind w:firstLine="480" w:firstLineChars="200"/>
        <w:jc w:val="left"/>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邮寄地址：</w:t>
      </w:r>
      <w:r>
        <w:rPr>
          <w:rFonts w:hint="eastAsia" w:ascii="仿宋" w:hAnsi="仿宋" w:eastAsia="仿宋" w:cs="宋体"/>
          <w:color w:val="000000" w:themeColor="text1"/>
          <w:sz w:val="24"/>
          <w:szCs w:val="24"/>
          <w:highlight w:val="none"/>
        </w:rPr>
        <w:t>诸暨市东三路4</w:t>
      </w:r>
      <w:r>
        <w:rPr>
          <w:rFonts w:ascii="仿宋" w:hAnsi="仿宋" w:eastAsia="仿宋" w:cs="宋体"/>
          <w:color w:val="000000" w:themeColor="text1"/>
          <w:sz w:val="24"/>
          <w:szCs w:val="24"/>
          <w:highlight w:val="none"/>
        </w:rPr>
        <w:t>60</w:t>
      </w:r>
      <w:r>
        <w:rPr>
          <w:rFonts w:hint="eastAsia" w:ascii="仿宋" w:hAnsi="仿宋" w:eastAsia="仿宋" w:cs="宋体"/>
          <w:color w:val="000000" w:themeColor="text1"/>
          <w:sz w:val="24"/>
          <w:szCs w:val="24"/>
          <w:highlight w:val="none"/>
        </w:rPr>
        <w:t>弄2</w:t>
      </w:r>
      <w:r>
        <w:rPr>
          <w:rFonts w:ascii="仿宋" w:hAnsi="仿宋" w:eastAsia="仿宋" w:cs="宋体"/>
          <w:color w:val="000000" w:themeColor="text1"/>
          <w:sz w:val="24"/>
          <w:szCs w:val="24"/>
          <w:highlight w:val="none"/>
        </w:rPr>
        <w:t>1</w:t>
      </w:r>
      <w:r>
        <w:rPr>
          <w:rFonts w:hint="eastAsia" w:ascii="仿宋" w:hAnsi="仿宋" w:eastAsia="仿宋" w:cs="宋体"/>
          <w:color w:val="000000" w:themeColor="text1"/>
          <w:sz w:val="24"/>
          <w:szCs w:val="24"/>
          <w:highlight w:val="none"/>
        </w:rPr>
        <w:t>-</w:t>
      </w:r>
      <w:r>
        <w:rPr>
          <w:rFonts w:ascii="仿宋" w:hAnsi="仿宋" w:eastAsia="仿宋" w:cs="宋体"/>
          <w:color w:val="000000" w:themeColor="text1"/>
          <w:sz w:val="24"/>
          <w:szCs w:val="24"/>
          <w:highlight w:val="none"/>
        </w:rPr>
        <w:t>23</w:t>
      </w:r>
      <w:r>
        <w:rPr>
          <w:rFonts w:hint="eastAsia" w:ascii="仿宋" w:hAnsi="仿宋" w:eastAsia="仿宋" w:cs="宋体"/>
          <w:color w:val="000000" w:themeColor="text1"/>
          <w:sz w:val="24"/>
          <w:szCs w:val="24"/>
          <w:highlight w:val="none"/>
        </w:rPr>
        <w:t>号</w:t>
      </w:r>
      <w:r>
        <w:rPr>
          <w:rFonts w:hint="eastAsia" w:ascii="仿宋" w:hAnsi="仿宋" w:eastAsia="仿宋"/>
          <w:color w:val="000000" w:themeColor="text1"/>
          <w:sz w:val="24"/>
          <w:szCs w:val="24"/>
          <w:highlight w:val="none"/>
        </w:rPr>
        <w:t>（</w:t>
      </w:r>
      <w:r>
        <w:rPr>
          <w:rFonts w:hint="eastAsia" w:ascii="仿宋" w:hAnsi="仿宋" w:eastAsia="仿宋" w:cs="宋体"/>
          <w:color w:val="000000" w:themeColor="text1"/>
          <w:sz w:val="24"/>
          <w:szCs w:val="24"/>
          <w:highlight w:val="none"/>
        </w:rPr>
        <w:t>浙江新顺项目管理有限公司</w:t>
      </w:r>
      <w:r>
        <w:rPr>
          <w:rFonts w:hint="eastAsia" w:ascii="仿宋" w:hAnsi="仿宋" w:eastAsia="仿宋"/>
          <w:color w:val="000000" w:themeColor="text1"/>
          <w:sz w:val="24"/>
          <w:szCs w:val="24"/>
          <w:highlight w:val="none"/>
        </w:rPr>
        <w:t>）</w:t>
      </w:r>
    </w:p>
    <w:p w14:paraId="1B9D7D64">
      <w:pPr>
        <w:widowControl/>
        <w:autoSpaceDE/>
        <w:autoSpaceDN/>
        <w:adjustRightInd/>
        <w:spacing w:line="276" w:lineRule="auto"/>
        <w:ind w:firstLine="480" w:firstLineChars="200"/>
        <w:jc w:val="left"/>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 xml:space="preserve">邮件接收人：郑王莹 </w:t>
      </w:r>
    </w:p>
    <w:p w14:paraId="2175FF7E">
      <w:pPr>
        <w:widowControl/>
        <w:autoSpaceDE/>
        <w:autoSpaceDN/>
        <w:adjustRightInd/>
        <w:spacing w:line="276" w:lineRule="auto"/>
        <w:ind w:firstLine="480" w:firstLineChars="200"/>
        <w:jc w:val="left"/>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联系电话：15925856277</w:t>
      </w:r>
    </w:p>
    <w:p w14:paraId="59AF961B">
      <w:pPr>
        <w:widowControl/>
        <w:autoSpaceDE/>
        <w:autoSpaceDN/>
        <w:adjustRightInd/>
        <w:spacing w:line="276" w:lineRule="auto"/>
        <w:ind w:firstLine="480" w:firstLineChars="200"/>
        <w:jc w:val="left"/>
        <w:rPr>
          <w:rFonts w:hint="eastAsia" w:ascii="仿宋" w:hAnsi="仿宋" w:eastAsia="仿宋" w:cs="宋体"/>
          <w:color w:val="000000" w:themeColor="text1"/>
          <w:sz w:val="24"/>
          <w:szCs w:val="24"/>
          <w:highlight w:val="none"/>
        </w:rPr>
      </w:pPr>
      <w:r>
        <w:rPr>
          <w:rFonts w:hint="eastAsia" w:ascii="仿宋" w:hAnsi="仿宋" w:eastAsia="仿宋" w:cs="宋体"/>
          <w:color w:val="000000" w:themeColor="text1"/>
          <w:sz w:val="24"/>
          <w:szCs w:val="24"/>
          <w:highlight w:val="none"/>
        </w:rPr>
        <w:t>（2）</w:t>
      </w:r>
      <w:r>
        <w:rPr>
          <w:rFonts w:hint="eastAsia" w:ascii="仿宋" w:hAnsi="仿宋" w:eastAsia="仿宋" w:cs="仿宋_GB2312"/>
          <w:color w:val="000000" w:themeColor="text1"/>
          <w:sz w:val="24"/>
          <w:szCs w:val="24"/>
          <w:highlight w:val="none"/>
        </w:rPr>
        <w:t>采用邮寄投标文件方式的：①快递外包装上请注明项目名称、项目编号、标项（如有）；②邮寄过程中，投标文件发生泄露、遗失、损坏或延期送达等情况的，全部责任均由投标人自行负责，采购代理机构概不负责。</w:t>
      </w:r>
    </w:p>
    <w:p w14:paraId="080A91B0">
      <w:pPr>
        <w:autoSpaceDE/>
        <w:autoSpaceDN/>
        <w:adjustRightInd/>
        <w:spacing w:line="360" w:lineRule="auto"/>
        <w:rPr>
          <w:rFonts w:hint="eastAsia" w:ascii="仿宋" w:hAnsi="仿宋" w:eastAsia="仿宋" w:cs="宋体"/>
          <w:b/>
          <w:color w:val="000000" w:themeColor="text1"/>
          <w:sz w:val="24"/>
          <w:szCs w:val="24"/>
          <w:highlight w:val="none"/>
        </w:rPr>
      </w:pPr>
      <w:r>
        <w:rPr>
          <w:rFonts w:hint="eastAsia" w:ascii="仿宋" w:hAnsi="仿宋" w:eastAsia="仿宋" w:cs="宋体"/>
          <w:b/>
          <w:color w:val="000000" w:themeColor="text1"/>
          <w:sz w:val="24"/>
          <w:szCs w:val="24"/>
          <w:highlight w:val="none"/>
        </w:rPr>
        <w:t>六、开标时间、地点</w:t>
      </w:r>
    </w:p>
    <w:p w14:paraId="7E24FA18">
      <w:pPr>
        <w:autoSpaceDE/>
        <w:autoSpaceDN/>
        <w:adjustRightInd/>
        <w:spacing w:line="360" w:lineRule="auto"/>
        <w:ind w:firstLine="480" w:firstLineChars="200"/>
        <w:rPr>
          <w:rFonts w:hint="eastAsia" w:ascii="仿宋" w:hAnsi="仿宋" w:eastAsia="仿宋" w:cs="宋体"/>
          <w:color w:val="000000" w:themeColor="text1"/>
          <w:sz w:val="24"/>
          <w:szCs w:val="24"/>
          <w:highlight w:val="none"/>
        </w:rPr>
      </w:pPr>
      <w:r>
        <w:rPr>
          <w:rFonts w:hint="eastAsia" w:ascii="仿宋" w:hAnsi="仿宋" w:eastAsia="仿宋" w:cs="宋体"/>
          <w:color w:val="000000" w:themeColor="text1"/>
          <w:sz w:val="24"/>
          <w:szCs w:val="24"/>
          <w:highlight w:val="none"/>
        </w:rPr>
        <w:t>1、开标时间：</w:t>
      </w:r>
      <w:r>
        <w:rPr>
          <w:rFonts w:hint="eastAsia" w:ascii="仿宋" w:hAnsi="仿宋" w:eastAsia="仿宋"/>
          <w:color w:val="000000" w:themeColor="text1"/>
          <w:sz w:val="24"/>
          <w:szCs w:val="24"/>
          <w:highlight w:val="none"/>
          <w:u w:val="single"/>
          <w:lang w:eastAsia="zh-CN"/>
        </w:rPr>
        <w:t>2025年02月17日 14:00:00</w:t>
      </w:r>
      <w:r>
        <w:rPr>
          <w:rFonts w:hint="eastAsia" w:ascii="仿宋" w:hAnsi="仿宋" w:eastAsia="仿宋"/>
          <w:color w:val="000000" w:themeColor="text1"/>
          <w:sz w:val="24"/>
          <w:szCs w:val="24"/>
          <w:highlight w:val="none"/>
        </w:rPr>
        <w:t>（北京时间）</w:t>
      </w:r>
    </w:p>
    <w:p w14:paraId="6CB6D1B9">
      <w:pPr>
        <w:autoSpaceDE/>
        <w:autoSpaceDN/>
        <w:adjustRightInd/>
        <w:spacing w:line="360" w:lineRule="auto"/>
        <w:ind w:firstLine="480" w:firstLineChars="200"/>
        <w:rPr>
          <w:rFonts w:hint="eastAsia" w:ascii="仿宋" w:hAnsi="仿宋" w:eastAsia="仿宋" w:cs="宋体"/>
          <w:color w:val="000000" w:themeColor="text1"/>
          <w:sz w:val="24"/>
          <w:szCs w:val="24"/>
          <w:highlight w:val="none"/>
        </w:rPr>
      </w:pPr>
      <w:r>
        <w:rPr>
          <w:rFonts w:hint="eastAsia" w:ascii="仿宋" w:hAnsi="仿宋" w:eastAsia="仿宋" w:cs="宋体"/>
          <w:color w:val="000000" w:themeColor="text1"/>
          <w:sz w:val="24"/>
          <w:szCs w:val="24"/>
          <w:highlight w:val="none"/>
        </w:rPr>
        <w:t>2、开标地点：浙江新顺项目管理有限公司开标室（诸暨市东三路4</w:t>
      </w:r>
      <w:r>
        <w:rPr>
          <w:rFonts w:ascii="仿宋" w:hAnsi="仿宋" w:eastAsia="仿宋" w:cs="宋体"/>
          <w:color w:val="000000" w:themeColor="text1"/>
          <w:sz w:val="24"/>
          <w:szCs w:val="24"/>
          <w:highlight w:val="none"/>
        </w:rPr>
        <w:t>60</w:t>
      </w:r>
      <w:r>
        <w:rPr>
          <w:rFonts w:hint="eastAsia" w:ascii="仿宋" w:hAnsi="仿宋" w:eastAsia="仿宋" w:cs="宋体"/>
          <w:color w:val="000000" w:themeColor="text1"/>
          <w:sz w:val="24"/>
          <w:szCs w:val="24"/>
          <w:highlight w:val="none"/>
        </w:rPr>
        <w:t>弄2</w:t>
      </w:r>
      <w:r>
        <w:rPr>
          <w:rFonts w:ascii="仿宋" w:hAnsi="仿宋" w:eastAsia="仿宋" w:cs="宋体"/>
          <w:color w:val="000000" w:themeColor="text1"/>
          <w:sz w:val="24"/>
          <w:szCs w:val="24"/>
          <w:highlight w:val="none"/>
        </w:rPr>
        <w:t>1</w:t>
      </w:r>
      <w:r>
        <w:rPr>
          <w:rFonts w:hint="eastAsia" w:ascii="仿宋" w:hAnsi="仿宋" w:eastAsia="仿宋" w:cs="宋体"/>
          <w:color w:val="000000" w:themeColor="text1"/>
          <w:sz w:val="24"/>
          <w:szCs w:val="24"/>
          <w:highlight w:val="none"/>
        </w:rPr>
        <w:t>-</w:t>
      </w:r>
      <w:r>
        <w:rPr>
          <w:rFonts w:ascii="仿宋" w:hAnsi="仿宋" w:eastAsia="仿宋" w:cs="宋体"/>
          <w:color w:val="000000" w:themeColor="text1"/>
          <w:sz w:val="24"/>
          <w:szCs w:val="24"/>
          <w:highlight w:val="none"/>
        </w:rPr>
        <w:t>23</w:t>
      </w:r>
      <w:r>
        <w:rPr>
          <w:rFonts w:hint="eastAsia" w:ascii="仿宋" w:hAnsi="仿宋" w:eastAsia="仿宋" w:cs="宋体"/>
          <w:color w:val="000000" w:themeColor="text1"/>
          <w:sz w:val="24"/>
          <w:szCs w:val="24"/>
          <w:highlight w:val="none"/>
        </w:rPr>
        <w:t>号）</w:t>
      </w:r>
    </w:p>
    <w:p w14:paraId="30E40DA9">
      <w:pPr>
        <w:autoSpaceDE/>
        <w:autoSpaceDN/>
        <w:adjustRightInd/>
        <w:spacing w:line="276" w:lineRule="auto"/>
        <w:ind w:firstLine="480" w:firstLineChars="200"/>
        <w:rPr>
          <w:rFonts w:hint="eastAsia" w:ascii="仿宋" w:hAnsi="仿宋" w:eastAsia="仿宋" w:cs="宋体"/>
          <w:color w:val="000000" w:themeColor="text1"/>
          <w:sz w:val="24"/>
          <w:szCs w:val="24"/>
          <w:highlight w:val="none"/>
        </w:rPr>
      </w:pPr>
      <w:r>
        <w:rPr>
          <w:rFonts w:hint="eastAsia" w:ascii="仿宋" w:hAnsi="仿宋" w:eastAsia="仿宋" w:cs="宋体"/>
          <w:color w:val="000000" w:themeColor="text1"/>
          <w:sz w:val="24"/>
          <w:szCs w:val="24"/>
          <w:highlight w:val="none"/>
        </w:rPr>
        <w:t>特别说明：</w:t>
      </w:r>
      <w:r>
        <w:rPr>
          <w:rFonts w:hint="eastAsia" w:ascii="仿宋" w:hAnsi="仿宋" w:eastAsia="仿宋"/>
          <w:color w:val="000000" w:themeColor="text1"/>
          <w:sz w:val="24"/>
          <w:szCs w:val="24"/>
          <w:highlight w:val="none"/>
        </w:rPr>
        <w:t>取消投标人在开标现场的书面签字确认等有关操作要求；需要答辩的，通过视频、电话等方式组织答辩；要求投标人进行澄清、说明或者补正的，均通过指定的电子邮箱3354029304@qq.com作出澄清、说明或者补正。提交澄清、说明或补正的时间不少于半小时。</w:t>
      </w:r>
    </w:p>
    <w:p w14:paraId="68BC937D">
      <w:pPr>
        <w:autoSpaceDE/>
        <w:autoSpaceDN/>
        <w:adjustRightInd/>
        <w:spacing w:line="360" w:lineRule="auto"/>
        <w:rPr>
          <w:rFonts w:hint="eastAsia" w:ascii="仿宋" w:hAnsi="仿宋" w:eastAsia="仿宋" w:cs="宋体"/>
          <w:b/>
          <w:color w:val="000000" w:themeColor="text1"/>
          <w:sz w:val="24"/>
          <w:szCs w:val="24"/>
          <w:highlight w:val="none"/>
        </w:rPr>
      </w:pPr>
      <w:r>
        <w:rPr>
          <w:rFonts w:hint="eastAsia" w:ascii="仿宋" w:hAnsi="仿宋" w:eastAsia="仿宋" w:cs="宋体"/>
          <w:b/>
          <w:color w:val="000000" w:themeColor="text1"/>
          <w:sz w:val="24"/>
          <w:szCs w:val="24"/>
          <w:highlight w:val="none"/>
        </w:rPr>
        <w:t>七、项目咨询</w:t>
      </w:r>
    </w:p>
    <w:p w14:paraId="13C62F45">
      <w:pPr>
        <w:autoSpaceDE/>
        <w:autoSpaceDN/>
        <w:adjustRightInd/>
        <w:spacing w:line="300" w:lineRule="auto"/>
        <w:ind w:firstLine="480" w:firstLineChars="200"/>
        <w:rPr>
          <w:rFonts w:hint="eastAsia" w:ascii="仿宋" w:hAnsi="仿宋" w:eastAsia="仿宋" w:cs="宋体"/>
          <w:color w:val="000000" w:themeColor="text1"/>
          <w:sz w:val="24"/>
          <w:szCs w:val="24"/>
          <w:highlight w:val="none"/>
        </w:rPr>
      </w:pPr>
      <w:r>
        <w:rPr>
          <w:rFonts w:ascii="仿宋" w:hAnsi="仿宋" w:eastAsia="仿宋" w:cs="宋体"/>
          <w:color w:val="000000" w:themeColor="text1"/>
          <w:sz w:val="24"/>
          <w:szCs w:val="24"/>
          <w:highlight w:val="none"/>
        </w:rPr>
        <w:t>1.采购人信息</w:t>
      </w:r>
    </w:p>
    <w:p w14:paraId="1EDB186F">
      <w:pPr>
        <w:snapToGrid w:val="0"/>
        <w:spacing w:line="300" w:lineRule="auto"/>
        <w:ind w:firstLine="480" w:firstLineChars="200"/>
        <w:rPr>
          <w:rFonts w:hint="eastAsia" w:ascii="仿宋" w:hAnsi="仿宋" w:eastAsia="仿宋" w:cs="宋体"/>
          <w:color w:val="000000" w:themeColor="text1"/>
          <w:sz w:val="24"/>
          <w:szCs w:val="24"/>
          <w:highlight w:val="none"/>
        </w:rPr>
      </w:pPr>
      <w:r>
        <w:rPr>
          <w:rFonts w:ascii="仿宋" w:hAnsi="仿宋" w:eastAsia="仿宋" w:cs="宋体"/>
          <w:color w:val="000000" w:themeColor="text1"/>
          <w:sz w:val="24"/>
          <w:szCs w:val="24"/>
          <w:highlight w:val="none"/>
        </w:rPr>
        <w:t>名称：</w:t>
      </w:r>
      <w:r>
        <w:rPr>
          <w:rFonts w:hint="eastAsia" w:ascii="仿宋" w:hAnsi="仿宋" w:eastAsia="仿宋" w:cs="宋体"/>
          <w:color w:val="000000" w:themeColor="text1"/>
          <w:sz w:val="24"/>
          <w:szCs w:val="24"/>
          <w:highlight w:val="none"/>
        </w:rPr>
        <w:t>诸暨市安华农贸市场</w:t>
      </w:r>
    </w:p>
    <w:p w14:paraId="5A6500FB">
      <w:pPr>
        <w:snapToGrid w:val="0"/>
        <w:spacing w:line="300" w:lineRule="auto"/>
        <w:ind w:firstLine="480" w:firstLineChars="200"/>
        <w:rPr>
          <w:rFonts w:hint="eastAsia" w:ascii="仿宋" w:hAnsi="仿宋" w:eastAsia="仿宋" w:cs="宋体"/>
          <w:color w:val="000000" w:themeColor="text1"/>
          <w:sz w:val="24"/>
          <w:szCs w:val="24"/>
          <w:highlight w:val="none"/>
        </w:rPr>
      </w:pPr>
      <w:r>
        <w:rPr>
          <w:rFonts w:ascii="仿宋" w:hAnsi="仿宋" w:eastAsia="仿宋" w:cs="宋体"/>
          <w:color w:val="000000" w:themeColor="text1"/>
          <w:sz w:val="24"/>
          <w:szCs w:val="24"/>
          <w:highlight w:val="none"/>
        </w:rPr>
        <w:t>地址</w:t>
      </w:r>
      <w:r>
        <w:rPr>
          <w:rFonts w:hint="eastAsia" w:ascii="仿宋" w:hAnsi="仿宋" w:eastAsia="仿宋" w:cs="宋体"/>
          <w:color w:val="000000" w:themeColor="text1"/>
          <w:sz w:val="24"/>
          <w:szCs w:val="24"/>
          <w:highlight w:val="none"/>
        </w:rPr>
        <w:t>：诸暨市安华镇</w:t>
      </w:r>
    </w:p>
    <w:p w14:paraId="7EC0DCE8">
      <w:pPr>
        <w:snapToGrid w:val="0"/>
        <w:spacing w:line="300" w:lineRule="auto"/>
        <w:ind w:firstLine="480" w:firstLineChars="200"/>
        <w:rPr>
          <w:rFonts w:hint="eastAsia" w:ascii="仿宋" w:hAnsi="仿宋" w:eastAsia="仿宋" w:cs="宋体"/>
          <w:color w:val="000000" w:themeColor="text1"/>
          <w:sz w:val="24"/>
          <w:szCs w:val="24"/>
          <w:highlight w:val="none"/>
          <w:lang w:val="en-US" w:eastAsia="zh-CN"/>
        </w:rPr>
      </w:pPr>
      <w:r>
        <w:rPr>
          <w:rFonts w:ascii="仿宋" w:hAnsi="仿宋" w:eastAsia="仿宋" w:cs="宋体"/>
          <w:color w:val="000000" w:themeColor="text1"/>
          <w:sz w:val="24"/>
          <w:szCs w:val="24"/>
          <w:highlight w:val="none"/>
        </w:rPr>
        <w:t>项目联系</w:t>
      </w:r>
      <w:r>
        <w:rPr>
          <w:rFonts w:hint="eastAsia" w:ascii="仿宋" w:hAnsi="仿宋" w:eastAsia="仿宋" w:cs="宋体"/>
          <w:color w:val="000000" w:themeColor="text1"/>
          <w:sz w:val="24"/>
          <w:szCs w:val="24"/>
          <w:highlight w:val="none"/>
        </w:rPr>
        <w:t>人：</w:t>
      </w:r>
      <w:r>
        <w:rPr>
          <w:rFonts w:hint="eastAsia" w:ascii="仿宋" w:hAnsi="仿宋" w:eastAsia="仿宋" w:cs="宋体"/>
          <w:color w:val="000000" w:themeColor="text1"/>
          <w:sz w:val="24"/>
          <w:szCs w:val="24"/>
          <w:highlight w:val="none"/>
          <w:lang w:val="en-US" w:eastAsia="zh-CN"/>
        </w:rPr>
        <w:t>何晨飞</w:t>
      </w:r>
    </w:p>
    <w:p w14:paraId="34C49D31">
      <w:pPr>
        <w:snapToGrid w:val="0"/>
        <w:spacing w:line="300" w:lineRule="auto"/>
        <w:ind w:firstLine="480" w:firstLineChars="200"/>
        <w:rPr>
          <w:rFonts w:hint="eastAsia" w:ascii="仿宋" w:hAnsi="仿宋" w:eastAsia="仿宋" w:cs="宋体"/>
          <w:color w:val="000000" w:themeColor="text1"/>
          <w:sz w:val="24"/>
          <w:szCs w:val="24"/>
          <w:highlight w:val="none"/>
        </w:rPr>
      </w:pPr>
      <w:r>
        <w:rPr>
          <w:rFonts w:hint="eastAsia" w:ascii="仿宋" w:hAnsi="仿宋" w:eastAsia="仿宋" w:cs="宋体"/>
          <w:color w:val="000000" w:themeColor="text1"/>
          <w:sz w:val="24"/>
          <w:szCs w:val="24"/>
          <w:highlight w:val="none"/>
        </w:rPr>
        <w:t>项目联系方式：</w:t>
      </w:r>
      <w:r>
        <w:rPr>
          <w:rFonts w:hint="eastAsia" w:ascii="仿宋" w:hAnsi="仿宋" w:eastAsia="仿宋" w:cs="宋体"/>
          <w:color w:val="000000" w:themeColor="text1"/>
          <w:sz w:val="24"/>
          <w:szCs w:val="24"/>
          <w:highlight w:val="none"/>
          <w:lang w:val="en-US" w:eastAsia="zh-CN"/>
        </w:rPr>
        <w:t>0575-87041113</w:t>
      </w:r>
    </w:p>
    <w:p w14:paraId="6BFCE0DB">
      <w:pPr>
        <w:autoSpaceDE/>
        <w:autoSpaceDN/>
        <w:adjustRightInd/>
        <w:spacing w:line="300" w:lineRule="auto"/>
        <w:ind w:left="479" w:leftChars="228"/>
        <w:rPr>
          <w:rFonts w:hint="eastAsia" w:ascii="仿宋" w:hAnsi="仿宋" w:eastAsia="仿宋" w:cs="宋体"/>
          <w:color w:val="000000" w:themeColor="text1"/>
          <w:sz w:val="24"/>
          <w:szCs w:val="24"/>
          <w:highlight w:val="none"/>
        </w:rPr>
      </w:pPr>
      <w:r>
        <w:rPr>
          <w:rFonts w:ascii="仿宋" w:hAnsi="仿宋" w:eastAsia="仿宋" w:cs="宋体"/>
          <w:color w:val="000000" w:themeColor="text1"/>
          <w:sz w:val="24"/>
          <w:szCs w:val="24"/>
          <w:highlight w:val="none"/>
        </w:rPr>
        <w:t>2.采购代理机构信息</w:t>
      </w:r>
    </w:p>
    <w:p w14:paraId="205163F8">
      <w:pPr>
        <w:snapToGrid w:val="0"/>
        <w:spacing w:line="300" w:lineRule="auto"/>
        <w:ind w:firstLine="480" w:firstLineChars="200"/>
        <w:rPr>
          <w:rFonts w:hint="eastAsia" w:ascii="仿宋" w:hAnsi="仿宋" w:eastAsia="仿宋" w:cs="宋体"/>
          <w:color w:val="000000" w:themeColor="text1"/>
          <w:sz w:val="24"/>
          <w:szCs w:val="24"/>
          <w:highlight w:val="none"/>
        </w:rPr>
      </w:pPr>
      <w:r>
        <w:rPr>
          <w:rFonts w:ascii="仿宋" w:hAnsi="仿宋" w:eastAsia="仿宋" w:cs="宋体"/>
          <w:color w:val="000000" w:themeColor="text1"/>
          <w:sz w:val="24"/>
          <w:szCs w:val="24"/>
          <w:highlight w:val="none"/>
        </w:rPr>
        <w:t>名称：浙江新顺项目管理有限公司</w:t>
      </w:r>
    </w:p>
    <w:p w14:paraId="43CCAFC1">
      <w:pPr>
        <w:snapToGrid w:val="0"/>
        <w:spacing w:line="300" w:lineRule="auto"/>
        <w:ind w:firstLine="480" w:firstLineChars="200"/>
        <w:rPr>
          <w:rFonts w:hint="eastAsia" w:ascii="仿宋" w:hAnsi="仿宋" w:eastAsia="仿宋" w:cs="宋体"/>
          <w:color w:val="000000" w:themeColor="text1"/>
          <w:sz w:val="24"/>
          <w:szCs w:val="24"/>
          <w:highlight w:val="none"/>
        </w:rPr>
      </w:pPr>
      <w:r>
        <w:rPr>
          <w:rFonts w:ascii="仿宋" w:hAnsi="仿宋" w:eastAsia="仿宋" w:cs="宋体"/>
          <w:color w:val="000000" w:themeColor="text1"/>
          <w:sz w:val="24"/>
          <w:szCs w:val="24"/>
          <w:highlight w:val="none"/>
        </w:rPr>
        <w:t>地址：诸暨市东三路460弄21-23号</w:t>
      </w:r>
    </w:p>
    <w:p w14:paraId="2C303CEC">
      <w:pPr>
        <w:snapToGrid w:val="0"/>
        <w:spacing w:line="300" w:lineRule="auto"/>
        <w:ind w:firstLine="480" w:firstLineChars="200"/>
        <w:rPr>
          <w:rFonts w:hint="eastAsia" w:ascii="仿宋" w:hAnsi="仿宋" w:eastAsia="仿宋" w:cs="宋体"/>
          <w:color w:val="000000" w:themeColor="text1"/>
          <w:sz w:val="24"/>
          <w:szCs w:val="24"/>
          <w:highlight w:val="none"/>
        </w:rPr>
      </w:pPr>
      <w:r>
        <w:rPr>
          <w:rFonts w:ascii="仿宋" w:hAnsi="仿宋" w:eastAsia="仿宋" w:cs="宋体"/>
          <w:color w:val="000000" w:themeColor="text1"/>
          <w:sz w:val="24"/>
          <w:szCs w:val="24"/>
          <w:highlight w:val="none"/>
        </w:rPr>
        <w:t>项目联系人：</w:t>
      </w:r>
      <w:r>
        <w:rPr>
          <w:rFonts w:hint="eastAsia" w:ascii="仿宋" w:hAnsi="仿宋" w:eastAsia="仿宋" w:cs="宋体"/>
          <w:color w:val="000000" w:themeColor="text1"/>
          <w:sz w:val="24"/>
          <w:szCs w:val="24"/>
          <w:highlight w:val="none"/>
        </w:rPr>
        <w:t>吴金伟</w:t>
      </w:r>
    </w:p>
    <w:p w14:paraId="19A4CBA4">
      <w:pPr>
        <w:snapToGrid w:val="0"/>
        <w:spacing w:line="300" w:lineRule="auto"/>
        <w:ind w:firstLine="480" w:firstLineChars="200"/>
        <w:rPr>
          <w:rFonts w:hint="eastAsia" w:ascii="仿宋" w:hAnsi="仿宋" w:eastAsia="仿宋" w:cs="宋体"/>
          <w:color w:val="000000" w:themeColor="text1"/>
          <w:sz w:val="24"/>
          <w:szCs w:val="24"/>
          <w:highlight w:val="none"/>
        </w:rPr>
      </w:pPr>
      <w:r>
        <w:rPr>
          <w:rFonts w:ascii="仿宋" w:hAnsi="仿宋" w:eastAsia="仿宋" w:cs="宋体"/>
          <w:color w:val="000000" w:themeColor="text1"/>
          <w:sz w:val="24"/>
          <w:szCs w:val="24"/>
          <w:highlight w:val="none"/>
        </w:rPr>
        <w:t>项目联系方式：</w:t>
      </w:r>
      <w:r>
        <w:rPr>
          <w:rFonts w:hint="eastAsia" w:ascii="仿宋" w:hAnsi="仿宋" w:eastAsia="仿宋" w:cs="宋体"/>
          <w:color w:val="000000" w:themeColor="text1"/>
          <w:sz w:val="24"/>
          <w:szCs w:val="24"/>
          <w:highlight w:val="none"/>
        </w:rPr>
        <w:t>13567507571</w:t>
      </w:r>
      <w:r>
        <w:rPr>
          <w:rFonts w:ascii="仿宋" w:hAnsi="仿宋" w:eastAsia="仿宋" w:cs="宋体"/>
          <w:color w:val="000000" w:themeColor="text1"/>
          <w:sz w:val="24"/>
          <w:szCs w:val="24"/>
          <w:highlight w:val="none"/>
        </w:rPr>
        <w:t>（工作电话）</w:t>
      </w:r>
    </w:p>
    <w:p w14:paraId="30CD63FE">
      <w:pPr>
        <w:spacing w:line="276" w:lineRule="auto"/>
        <w:jc w:val="right"/>
        <w:rPr>
          <w:rFonts w:hint="eastAsia" w:ascii="仿宋" w:hAnsi="仿宋" w:eastAsia="仿宋"/>
          <w:color w:val="auto"/>
          <w:sz w:val="24"/>
          <w:szCs w:val="24"/>
          <w:highlight w:val="none"/>
          <w:shd w:val="clear" w:color="auto" w:fill="FFFFFF"/>
        </w:rPr>
      </w:pPr>
      <w:r>
        <w:rPr>
          <w:rFonts w:hint="eastAsia" w:ascii="仿宋" w:hAnsi="仿宋" w:eastAsia="仿宋" w:cs="宋体"/>
          <w:color w:val="000000" w:themeColor="text1"/>
          <w:sz w:val="24"/>
          <w:szCs w:val="24"/>
          <w:highlight w:val="none"/>
        </w:rPr>
        <w:t>诸暨市安华农贸市场</w:t>
      </w:r>
    </w:p>
    <w:p w14:paraId="15AC3E94">
      <w:pPr>
        <w:spacing w:line="276" w:lineRule="auto"/>
        <w:jc w:val="right"/>
        <w:rPr>
          <w:rFonts w:hint="eastAsia" w:ascii="仿宋" w:hAnsi="仿宋" w:eastAsia="仿宋" w:cs="宋体"/>
          <w:color w:val="000000" w:themeColor="text1"/>
          <w:sz w:val="24"/>
          <w:szCs w:val="24"/>
          <w:highlight w:val="none"/>
        </w:rPr>
      </w:pPr>
      <w:r>
        <w:rPr>
          <w:rFonts w:hint="eastAsia" w:ascii="仿宋" w:hAnsi="仿宋" w:eastAsia="仿宋" w:cs="宋体"/>
          <w:color w:val="000000" w:themeColor="text1"/>
          <w:sz w:val="24"/>
          <w:szCs w:val="24"/>
          <w:highlight w:val="none"/>
        </w:rPr>
        <w:t>浙江新顺项目管理有限公司</w:t>
      </w:r>
    </w:p>
    <w:p w14:paraId="6A8ED08D">
      <w:pPr>
        <w:spacing w:line="276" w:lineRule="auto"/>
        <w:jc w:val="right"/>
        <w:rPr>
          <w:rFonts w:hint="eastAsia" w:ascii="宋体" w:hAnsi="宋体" w:cs="宋体"/>
          <w:color w:val="000000" w:themeColor="text1"/>
          <w:sz w:val="24"/>
          <w:szCs w:val="24"/>
          <w:highlight w:val="none"/>
        </w:rPr>
      </w:pPr>
      <w:r>
        <w:rPr>
          <w:rFonts w:hint="eastAsia" w:ascii="仿宋" w:hAnsi="仿宋" w:eastAsia="仿宋" w:cs="宋体"/>
          <w:color w:val="000000" w:themeColor="text1"/>
          <w:sz w:val="24"/>
          <w:szCs w:val="24"/>
          <w:highlight w:val="none"/>
        </w:rPr>
        <w:t>　　　　　　                   二○二</w:t>
      </w:r>
      <w:r>
        <w:rPr>
          <w:rFonts w:hint="eastAsia" w:ascii="仿宋" w:hAnsi="仿宋" w:eastAsia="仿宋" w:cs="宋体"/>
          <w:color w:val="000000" w:themeColor="text1"/>
          <w:sz w:val="24"/>
          <w:szCs w:val="24"/>
          <w:highlight w:val="none"/>
          <w:lang w:val="en-US" w:eastAsia="zh-CN"/>
        </w:rPr>
        <w:t>五</w:t>
      </w:r>
      <w:r>
        <w:rPr>
          <w:rFonts w:hint="eastAsia" w:ascii="仿宋" w:hAnsi="仿宋" w:eastAsia="仿宋" w:cs="宋体"/>
          <w:color w:val="000000" w:themeColor="text1"/>
          <w:sz w:val="24"/>
          <w:szCs w:val="24"/>
          <w:highlight w:val="none"/>
        </w:rPr>
        <w:t>年</w:t>
      </w:r>
      <w:r>
        <w:rPr>
          <w:rFonts w:hint="eastAsia" w:ascii="仿宋" w:hAnsi="仿宋" w:eastAsia="仿宋" w:cs="宋体"/>
          <w:color w:val="000000" w:themeColor="text1"/>
          <w:sz w:val="24"/>
          <w:szCs w:val="24"/>
          <w:highlight w:val="none"/>
          <w:lang w:val="en-US" w:eastAsia="zh-CN"/>
        </w:rPr>
        <w:t>一</w:t>
      </w:r>
      <w:r>
        <w:rPr>
          <w:rFonts w:hint="eastAsia" w:ascii="仿宋" w:hAnsi="仿宋" w:eastAsia="仿宋" w:cs="宋体"/>
          <w:color w:val="000000" w:themeColor="text1"/>
          <w:sz w:val="24"/>
          <w:szCs w:val="24"/>
          <w:highlight w:val="none"/>
        </w:rPr>
        <w:t>月</w:t>
      </w:r>
      <w:r>
        <w:rPr>
          <w:rFonts w:hint="eastAsia" w:ascii="仿宋" w:hAnsi="仿宋" w:eastAsia="仿宋" w:cs="宋体"/>
          <w:color w:val="000000" w:themeColor="text1"/>
          <w:sz w:val="24"/>
          <w:szCs w:val="24"/>
          <w:highlight w:val="none"/>
          <w:lang w:val="en-US" w:eastAsia="zh-CN"/>
        </w:rPr>
        <w:t>二十二</w:t>
      </w:r>
      <w:r>
        <w:rPr>
          <w:rFonts w:hint="eastAsia" w:ascii="仿宋" w:hAnsi="仿宋" w:eastAsia="仿宋" w:cs="宋体"/>
          <w:color w:val="000000" w:themeColor="text1"/>
          <w:sz w:val="24"/>
          <w:szCs w:val="24"/>
          <w:highlight w:val="none"/>
        </w:rPr>
        <w:t>日</w:t>
      </w:r>
    </w:p>
    <w:p w14:paraId="7633BCD6">
      <w:pPr>
        <w:spacing w:line="360" w:lineRule="auto"/>
        <w:rPr>
          <w:rFonts w:hint="eastAsia" w:ascii="宋体" w:hAnsi="宋体"/>
          <w:color w:val="000000" w:themeColor="text1"/>
          <w:highlight w:val="none"/>
        </w:rPr>
        <w:sectPr>
          <w:headerReference r:id="rId6" w:type="first"/>
          <w:footerReference r:id="rId9" w:type="first"/>
          <w:headerReference r:id="rId5" w:type="default"/>
          <w:footerReference r:id="rId7" w:type="default"/>
          <w:footerReference r:id="rId8" w:type="even"/>
          <w:pgSz w:w="11906" w:h="16838"/>
          <w:pgMar w:top="1021" w:right="1247" w:bottom="1021" w:left="1247" w:header="567" w:footer="454" w:gutter="0"/>
          <w:pgNumType w:fmt="numberInDash" w:start="1"/>
          <w:cols w:space="720" w:num="1"/>
          <w:titlePg/>
          <w:docGrid w:type="lines" w:linePitch="312" w:charSpace="0"/>
        </w:sectPr>
      </w:pPr>
    </w:p>
    <w:bookmarkEnd w:id="0"/>
    <w:p w14:paraId="5EFEA740">
      <w:pPr>
        <w:pStyle w:val="2"/>
        <w:spacing w:before="120" w:after="156" w:line="400" w:lineRule="exact"/>
        <w:jc w:val="center"/>
        <w:rPr>
          <w:rFonts w:hint="eastAsia" w:ascii="仿宋" w:hAnsi="仿宋" w:eastAsia="仿宋"/>
          <w:color w:val="000000" w:themeColor="text1"/>
          <w:sz w:val="36"/>
          <w:szCs w:val="36"/>
          <w:highlight w:val="none"/>
        </w:rPr>
      </w:pPr>
      <w:bookmarkStart w:id="3" w:name="_Toc125344503"/>
      <w:r>
        <w:rPr>
          <w:rFonts w:hint="eastAsia" w:ascii="仿宋" w:hAnsi="仿宋" w:eastAsia="仿宋"/>
          <w:color w:val="000000" w:themeColor="text1"/>
          <w:sz w:val="36"/>
          <w:szCs w:val="36"/>
          <w:highlight w:val="none"/>
        </w:rPr>
        <w:t>第二章   投标须知</w:t>
      </w:r>
    </w:p>
    <w:p w14:paraId="61893D21">
      <w:pPr>
        <w:spacing w:before="156" w:beforeLines="50" w:after="156" w:afterLines="50" w:line="360" w:lineRule="auto"/>
        <w:jc w:val="center"/>
        <w:rPr>
          <w:rFonts w:hint="eastAsia" w:ascii="仿宋" w:hAnsi="仿宋" w:eastAsia="仿宋"/>
          <w:b/>
          <w:bCs/>
          <w:color w:val="000000" w:themeColor="text1"/>
          <w:sz w:val="32"/>
          <w:szCs w:val="32"/>
          <w:highlight w:val="none"/>
        </w:rPr>
      </w:pPr>
      <w:r>
        <w:rPr>
          <w:rFonts w:hint="eastAsia" w:ascii="仿宋" w:hAnsi="仿宋" w:eastAsia="仿宋"/>
          <w:b/>
          <w:bCs/>
          <w:color w:val="000000" w:themeColor="text1"/>
          <w:sz w:val="32"/>
          <w:szCs w:val="32"/>
          <w:highlight w:val="none"/>
        </w:rPr>
        <w:t>前  附  表</w:t>
      </w:r>
    </w:p>
    <w:tbl>
      <w:tblPr>
        <w:tblStyle w:val="49"/>
        <w:tblW w:w="1039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4"/>
        <w:gridCol w:w="2035"/>
        <w:gridCol w:w="7655"/>
      </w:tblGrid>
      <w:tr w14:paraId="1750D5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blHeader/>
          <w:jc w:val="center"/>
        </w:trPr>
        <w:tc>
          <w:tcPr>
            <w:tcW w:w="704" w:type="dxa"/>
            <w:tcBorders>
              <w:top w:val="single" w:color="auto" w:sz="12" w:space="0"/>
              <w:bottom w:val="single" w:color="auto" w:sz="6" w:space="0"/>
            </w:tcBorders>
            <w:shd w:val="clear" w:color="auto" w:fill="auto"/>
            <w:vAlign w:val="center"/>
          </w:tcPr>
          <w:p w14:paraId="6F65A590">
            <w:pPr>
              <w:pStyle w:val="25"/>
              <w:spacing w:line="400" w:lineRule="exact"/>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序号</w:t>
            </w:r>
          </w:p>
        </w:tc>
        <w:tc>
          <w:tcPr>
            <w:tcW w:w="2035" w:type="dxa"/>
            <w:tcBorders>
              <w:top w:val="single" w:color="auto" w:sz="12" w:space="0"/>
              <w:bottom w:val="single" w:color="auto" w:sz="6" w:space="0"/>
            </w:tcBorders>
            <w:shd w:val="clear" w:color="auto" w:fill="auto"/>
            <w:vAlign w:val="center"/>
          </w:tcPr>
          <w:p w14:paraId="1591D123">
            <w:pPr>
              <w:pStyle w:val="25"/>
              <w:spacing w:line="400" w:lineRule="exact"/>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内容</w:t>
            </w:r>
          </w:p>
        </w:tc>
        <w:tc>
          <w:tcPr>
            <w:tcW w:w="7655" w:type="dxa"/>
            <w:tcBorders>
              <w:top w:val="single" w:color="auto" w:sz="12" w:space="0"/>
              <w:bottom w:val="single" w:color="auto" w:sz="6" w:space="0"/>
            </w:tcBorders>
            <w:shd w:val="clear" w:color="auto" w:fill="auto"/>
            <w:vAlign w:val="center"/>
          </w:tcPr>
          <w:p w14:paraId="46DA300C">
            <w:pPr>
              <w:pStyle w:val="25"/>
              <w:spacing w:line="400" w:lineRule="exact"/>
              <w:ind w:firstLine="482"/>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本项目说明与要求</w:t>
            </w:r>
          </w:p>
        </w:tc>
      </w:tr>
      <w:tr w14:paraId="3D25F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tcBorders>
              <w:top w:val="single" w:color="auto" w:sz="6" w:space="0"/>
            </w:tcBorders>
            <w:shd w:val="clear" w:color="auto" w:fill="auto"/>
            <w:vAlign w:val="center"/>
          </w:tcPr>
          <w:p w14:paraId="3A6D430B">
            <w:pPr>
              <w:pStyle w:val="25"/>
              <w:spacing w:line="400" w:lineRule="exact"/>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1</w:t>
            </w:r>
          </w:p>
        </w:tc>
        <w:tc>
          <w:tcPr>
            <w:tcW w:w="2035" w:type="dxa"/>
            <w:tcBorders>
              <w:top w:val="single" w:color="auto" w:sz="6" w:space="0"/>
            </w:tcBorders>
            <w:shd w:val="clear" w:color="auto" w:fill="auto"/>
            <w:vAlign w:val="center"/>
          </w:tcPr>
          <w:p w14:paraId="5BD8A995">
            <w:pPr>
              <w:pStyle w:val="25"/>
              <w:spacing w:line="400" w:lineRule="exact"/>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项目名称</w:t>
            </w:r>
          </w:p>
        </w:tc>
        <w:tc>
          <w:tcPr>
            <w:tcW w:w="7655" w:type="dxa"/>
            <w:tcBorders>
              <w:top w:val="single" w:color="auto" w:sz="6" w:space="0"/>
            </w:tcBorders>
            <w:shd w:val="clear" w:color="auto" w:fill="auto"/>
            <w:vAlign w:val="center"/>
          </w:tcPr>
          <w:p w14:paraId="53CBFF3B">
            <w:pPr>
              <w:rPr>
                <w:rFonts w:hint="eastAsia" w:ascii="仿宋" w:hAnsi="仿宋" w:eastAsia="仿宋" w:cs="宋体"/>
                <w:bCs/>
                <w:color w:val="000000" w:themeColor="text1"/>
                <w:sz w:val="24"/>
                <w:szCs w:val="24"/>
                <w:highlight w:val="none"/>
              </w:rPr>
            </w:pPr>
            <w:r>
              <w:rPr>
                <w:rFonts w:hint="eastAsia" w:ascii="仿宋" w:hAnsi="仿宋" w:eastAsia="仿宋" w:cs="仿宋"/>
                <w:bCs/>
                <w:color w:val="000000" w:themeColor="text1"/>
                <w:sz w:val="24"/>
                <w:szCs w:val="24"/>
                <w:highlight w:val="none"/>
              </w:rPr>
              <w:t>详见招标文件第一章“招标公告”</w:t>
            </w:r>
          </w:p>
        </w:tc>
      </w:tr>
      <w:tr w14:paraId="2C9783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6A065617">
            <w:pPr>
              <w:pStyle w:val="25"/>
              <w:spacing w:line="400" w:lineRule="exact"/>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2</w:t>
            </w:r>
          </w:p>
        </w:tc>
        <w:tc>
          <w:tcPr>
            <w:tcW w:w="2035" w:type="dxa"/>
            <w:shd w:val="clear" w:color="auto" w:fill="auto"/>
            <w:vAlign w:val="center"/>
          </w:tcPr>
          <w:p w14:paraId="561EDB36">
            <w:pPr>
              <w:pStyle w:val="25"/>
              <w:spacing w:line="400" w:lineRule="exact"/>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采购方式</w:t>
            </w:r>
          </w:p>
        </w:tc>
        <w:tc>
          <w:tcPr>
            <w:tcW w:w="7655" w:type="dxa"/>
            <w:shd w:val="clear" w:color="auto" w:fill="auto"/>
            <w:vAlign w:val="center"/>
          </w:tcPr>
          <w:p w14:paraId="56E63066">
            <w:pPr>
              <w:pStyle w:val="25"/>
              <w:spacing w:line="400" w:lineRule="exact"/>
              <w:ind w:right="-107" w:rightChars="-51"/>
              <w:rPr>
                <w:rFonts w:hint="eastAsia" w:ascii="仿宋" w:hAnsi="仿宋" w:eastAsia="仿宋"/>
                <w:color w:val="000000" w:themeColor="text1"/>
                <w:szCs w:val="24"/>
                <w:highlight w:val="none"/>
              </w:rPr>
            </w:pPr>
            <w:r>
              <w:rPr>
                <w:rFonts w:hint="eastAsia" w:ascii="仿宋" w:hAnsi="仿宋" w:eastAsia="仿宋"/>
                <w:color w:val="000000" w:themeColor="text1"/>
                <w:szCs w:val="24"/>
                <w:highlight w:val="none"/>
              </w:rPr>
              <w:t>公开招标</w:t>
            </w:r>
          </w:p>
        </w:tc>
      </w:tr>
      <w:tr w14:paraId="32C7D3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11183E1D">
            <w:pPr>
              <w:pStyle w:val="25"/>
              <w:spacing w:line="400" w:lineRule="exact"/>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3</w:t>
            </w:r>
          </w:p>
        </w:tc>
        <w:tc>
          <w:tcPr>
            <w:tcW w:w="2035" w:type="dxa"/>
            <w:shd w:val="clear" w:color="auto" w:fill="auto"/>
            <w:vAlign w:val="center"/>
          </w:tcPr>
          <w:p w14:paraId="6EDB772D">
            <w:pPr>
              <w:pStyle w:val="25"/>
              <w:spacing w:line="400" w:lineRule="exact"/>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评标办法</w:t>
            </w:r>
          </w:p>
        </w:tc>
        <w:tc>
          <w:tcPr>
            <w:tcW w:w="7655" w:type="dxa"/>
            <w:shd w:val="clear" w:color="auto" w:fill="auto"/>
            <w:vAlign w:val="center"/>
          </w:tcPr>
          <w:p w14:paraId="19731DFD">
            <w:pPr>
              <w:pStyle w:val="25"/>
              <w:spacing w:line="400" w:lineRule="exact"/>
              <w:ind w:right="-107" w:rightChars="-51"/>
              <w:rPr>
                <w:rFonts w:hint="eastAsia" w:ascii="仿宋" w:hAnsi="仿宋" w:eastAsia="仿宋"/>
                <w:color w:val="000000" w:themeColor="text1"/>
                <w:szCs w:val="24"/>
                <w:highlight w:val="none"/>
              </w:rPr>
            </w:pPr>
            <w:r>
              <w:rPr>
                <w:rFonts w:hint="eastAsia" w:ascii="仿宋" w:hAnsi="仿宋" w:eastAsia="仿宋"/>
                <w:color w:val="000000" w:themeColor="text1"/>
                <w:szCs w:val="24"/>
                <w:highlight w:val="none"/>
              </w:rPr>
              <w:t>综合评分法</w:t>
            </w:r>
          </w:p>
        </w:tc>
      </w:tr>
      <w:tr w14:paraId="17FC44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 w:hRule="atLeast"/>
          <w:jc w:val="center"/>
        </w:trPr>
        <w:tc>
          <w:tcPr>
            <w:tcW w:w="704" w:type="dxa"/>
            <w:shd w:val="clear" w:color="auto" w:fill="auto"/>
            <w:vAlign w:val="center"/>
          </w:tcPr>
          <w:p w14:paraId="567BCB3C">
            <w:pPr>
              <w:pStyle w:val="25"/>
              <w:spacing w:line="400" w:lineRule="exact"/>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4</w:t>
            </w:r>
          </w:p>
        </w:tc>
        <w:tc>
          <w:tcPr>
            <w:tcW w:w="2035" w:type="dxa"/>
            <w:shd w:val="clear" w:color="auto" w:fill="auto"/>
            <w:vAlign w:val="center"/>
          </w:tcPr>
          <w:p w14:paraId="4742F334">
            <w:pPr>
              <w:pStyle w:val="25"/>
              <w:spacing w:line="400" w:lineRule="exact"/>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最高限价</w:t>
            </w:r>
          </w:p>
        </w:tc>
        <w:tc>
          <w:tcPr>
            <w:tcW w:w="7655" w:type="dxa"/>
            <w:shd w:val="clear" w:color="auto" w:fill="auto"/>
            <w:vAlign w:val="center"/>
          </w:tcPr>
          <w:p w14:paraId="0FEEAC30">
            <w:pPr>
              <w:pStyle w:val="147"/>
              <w:spacing w:line="300" w:lineRule="auto"/>
              <w:ind w:firstLine="0" w:firstLineChars="0"/>
              <w:rPr>
                <w:rFonts w:hint="eastAsia" w:ascii="仿宋" w:hAnsi="仿宋" w:eastAsia="仿宋"/>
                <w:bCs/>
                <w:color w:val="000000" w:themeColor="text1"/>
                <w:sz w:val="24"/>
                <w:szCs w:val="24"/>
                <w:highlight w:val="none"/>
              </w:rPr>
            </w:pPr>
            <w:r>
              <w:rPr>
                <w:rFonts w:hint="eastAsia" w:ascii="仿宋" w:hAnsi="仿宋" w:eastAsia="仿宋" w:cs="仿宋"/>
                <w:bCs/>
                <w:color w:val="000000" w:themeColor="text1"/>
                <w:sz w:val="24"/>
                <w:szCs w:val="24"/>
                <w:highlight w:val="none"/>
              </w:rPr>
              <w:t>本次采购最高限价详见招标文件第一章“招标公告”，</w:t>
            </w:r>
            <w:r>
              <w:rPr>
                <w:rFonts w:hint="eastAsia" w:ascii="仿宋" w:hAnsi="仿宋" w:eastAsia="仿宋" w:cs="仿宋_GB2312"/>
                <w:bCs/>
                <w:color w:val="000000" w:themeColor="text1"/>
                <w:sz w:val="24"/>
                <w:highlight w:val="none"/>
              </w:rPr>
              <w:t>任何超过最高限价的报价将被认定为无效报价。</w:t>
            </w:r>
          </w:p>
        </w:tc>
      </w:tr>
      <w:tr w14:paraId="2F9C82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 w:hRule="atLeast"/>
          <w:jc w:val="center"/>
        </w:trPr>
        <w:tc>
          <w:tcPr>
            <w:tcW w:w="704" w:type="dxa"/>
            <w:shd w:val="clear" w:color="auto" w:fill="auto"/>
            <w:vAlign w:val="center"/>
          </w:tcPr>
          <w:p w14:paraId="5ACDF2F2">
            <w:pPr>
              <w:pStyle w:val="25"/>
              <w:spacing w:line="400" w:lineRule="exact"/>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5</w:t>
            </w:r>
          </w:p>
        </w:tc>
        <w:tc>
          <w:tcPr>
            <w:tcW w:w="2035" w:type="dxa"/>
            <w:shd w:val="clear" w:color="auto" w:fill="auto"/>
            <w:vAlign w:val="center"/>
          </w:tcPr>
          <w:p w14:paraId="4874119A">
            <w:pPr>
              <w:pStyle w:val="25"/>
              <w:spacing w:line="400" w:lineRule="exact"/>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投标人资格要求</w:t>
            </w:r>
          </w:p>
        </w:tc>
        <w:tc>
          <w:tcPr>
            <w:tcW w:w="7655" w:type="dxa"/>
            <w:shd w:val="clear" w:color="auto" w:fill="auto"/>
            <w:vAlign w:val="center"/>
          </w:tcPr>
          <w:p w14:paraId="02DA17FD">
            <w:pPr>
              <w:pStyle w:val="147"/>
              <w:spacing w:line="300" w:lineRule="auto"/>
              <w:ind w:firstLine="0" w:firstLineChars="0"/>
              <w:rPr>
                <w:rFonts w:hint="eastAsia"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rPr>
              <w:t>详见招标文件第一章“招标公告”</w:t>
            </w:r>
          </w:p>
        </w:tc>
      </w:tr>
      <w:tr w14:paraId="2FA444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7E20A356">
            <w:pPr>
              <w:pStyle w:val="25"/>
              <w:spacing w:line="400" w:lineRule="exact"/>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6</w:t>
            </w:r>
          </w:p>
        </w:tc>
        <w:tc>
          <w:tcPr>
            <w:tcW w:w="2035" w:type="dxa"/>
            <w:shd w:val="clear" w:color="auto" w:fill="auto"/>
            <w:vAlign w:val="center"/>
          </w:tcPr>
          <w:p w14:paraId="2837A677">
            <w:pPr>
              <w:pStyle w:val="25"/>
              <w:spacing w:line="400" w:lineRule="exact"/>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联合体投标</w:t>
            </w:r>
          </w:p>
        </w:tc>
        <w:tc>
          <w:tcPr>
            <w:tcW w:w="7655" w:type="dxa"/>
            <w:shd w:val="clear" w:color="auto" w:fill="auto"/>
            <w:vAlign w:val="center"/>
          </w:tcPr>
          <w:p w14:paraId="0CAB33FA">
            <w:pPr>
              <w:pStyle w:val="25"/>
              <w:spacing w:line="400" w:lineRule="exact"/>
              <w:jc w:val="left"/>
              <w:rPr>
                <w:rFonts w:hint="eastAsia" w:ascii="仿宋" w:hAnsi="仿宋" w:eastAsia="仿宋"/>
                <w:color w:val="000000" w:themeColor="text1"/>
                <w:szCs w:val="24"/>
                <w:highlight w:val="none"/>
              </w:rPr>
            </w:pPr>
            <w:r>
              <w:rPr>
                <w:rFonts w:ascii="仿宋" w:hAnsi="仿宋" w:eastAsia="仿宋"/>
                <w:color w:val="000000" w:themeColor="text1"/>
                <w:szCs w:val="24"/>
                <w:highlight w:val="none"/>
              </w:rPr>
              <w:t>本项目</w:t>
            </w:r>
            <w:r>
              <w:rPr>
                <w:rFonts w:ascii="仿宋" w:hAnsi="仿宋" w:eastAsia="仿宋"/>
                <w:color w:val="000000" w:themeColor="text1"/>
                <w:szCs w:val="24"/>
                <w:highlight w:val="none"/>
                <w:u w:val="single"/>
              </w:rPr>
              <w:t>不</w:t>
            </w:r>
            <w:r>
              <w:rPr>
                <w:rFonts w:hint="eastAsia" w:ascii="仿宋" w:hAnsi="仿宋" w:eastAsia="仿宋" w:cs="宋体"/>
                <w:color w:val="000000" w:themeColor="text1"/>
                <w:szCs w:val="24"/>
                <w:highlight w:val="none"/>
                <w:u w:val="single"/>
              </w:rPr>
              <w:t>接受</w:t>
            </w:r>
            <w:r>
              <w:rPr>
                <w:rFonts w:hint="eastAsia" w:ascii="仿宋" w:hAnsi="仿宋" w:eastAsia="仿宋"/>
                <w:color w:val="000000" w:themeColor="text1"/>
                <w:szCs w:val="24"/>
                <w:highlight w:val="none"/>
              </w:rPr>
              <w:t>联合体投标。</w:t>
            </w:r>
          </w:p>
        </w:tc>
      </w:tr>
      <w:tr w14:paraId="6A3D65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50950201">
            <w:pPr>
              <w:pStyle w:val="25"/>
              <w:spacing w:line="400" w:lineRule="exact"/>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7</w:t>
            </w:r>
          </w:p>
        </w:tc>
        <w:tc>
          <w:tcPr>
            <w:tcW w:w="2035" w:type="dxa"/>
            <w:shd w:val="clear" w:color="auto" w:fill="auto"/>
            <w:vAlign w:val="center"/>
          </w:tcPr>
          <w:p w14:paraId="51392ED3">
            <w:pPr>
              <w:pStyle w:val="25"/>
              <w:spacing w:line="400" w:lineRule="exact"/>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标项划分</w:t>
            </w:r>
          </w:p>
        </w:tc>
        <w:tc>
          <w:tcPr>
            <w:tcW w:w="7655" w:type="dxa"/>
            <w:shd w:val="clear" w:color="auto" w:fill="auto"/>
            <w:vAlign w:val="center"/>
          </w:tcPr>
          <w:p w14:paraId="26A01933">
            <w:pPr>
              <w:spacing w:line="276" w:lineRule="auto"/>
              <w:rPr>
                <w:rFonts w:hint="eastAsia" w:ascii="仿宋" w:hAnsi="仿宋" w:eastAsia="仿宋" w:cs="宋体"/>
                <w:color w:val="000000" w:themeColor="text1"/>
                <w:sz w:val="24"/>
                <w:szCs w:val="24"/>
                <w:highlight w:val="none"/>
              </w:rPr>
            </w:pPr>
            <w:r>
              <w:rPr>
                <w:rFonts w:hint="eastAsia" w:ascii="仿宋" w:hAnsi="仿宋" w:eastAsia="仿宋"/>
                <w:color w:val="000000" w:themeColor="text1"/>
                <w:sz w:val="24"/>
                <w:szCs w:val="24"/>
                <w:highlight w:val="none"/>
              </w:rPr>
              <w:t>本次招标共</w:t>
            </w:r>
            <w:r>
              <w:rPr>
                <w:rFonts w:hint="eastAsia" w:ascii="仿宋" w:hAnsi="仿宋" w:eastAsia="仿宋"/>
                <w:b/>
                <w:bCs/>
                <w:color w:val="000000" w:themeColor="text1"/>
                <w:sz w:val="24"/>
                <w:szCs w:val="24"/>
                <w:highlight w:val="none"/>
                <w:u w:val="single"/>
              </w:rPr>
              <w:t>1</w:t>
            </w:r>
            <w:r>
              <w:rPr>
                <w:rFonts w:hint="eastAsia" w:ascii="仿宋" w:hAnsi="仿宋" w:eastAsia="仿宋"/>
                <w:color w:val="000000" w:themeColor="text1"/>
                <w:sz w:val="24"/>
                <w:szCs w:val="24"/>
                <w:highlight w:val="none"/>
              </w:rPr>
              <w:t>个标项，采购人将整体择定中标人。</w:t>
            </w:r>
          </w:p>
        </w:tc>
      </w:tr>
      <w:tr w14:paraId="1CFD70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 w:hRule="atLeast"/>
          <w:jc w:val="center"/>
        </w:trPr>
        <w:tc>
          <w:tcPr>
            <w:tcW w:w="704" w:type="dxa"/>
            <w:shd w:val="clear" w:color="auto" w:fill="auto"/>
            <w:vAlign w:val="center"/>
          </w:tcPr>
          <w:p w14:paraId="5432F965">
            <w:pPr>
              <w:pStyle w:val="25"/>
              <w:spacing w:line="400" w:lineRule="exact"/>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8</w:t>
            </w:r>
          </w:p>
        </w:tc>
        <w:tc>
          <w:tcPr>
            <w:tcW w:w="2035" w:type="dxa"/>
            <w:shd w:val="clear" w:color="auto" w:fill="auto"/>
            <w:vAlign w:val="center"/>
          </w:tcPr>
          <w:p w14:paraId="130D3832">
            <w:pPr>
              <w:pStyle w:val="25"/>
              <w:spacing w:line="400" w:lineRule="exact"/>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资格审查</w:t>
            </w:r>
          </w:p>
        </w:tc>
        <w:tc>
          <w:tcPr>
            <w:tcW w:w="7655" w:type="dxa"/>
            <w:shd w:val="clear" w:color="auto" w:fill="auto"/>
            <w:vAlign w:val="center"/>
          </w:tcPr>
          <w:p w14:paraId="5A38704E">
            <w:pPr>
              <w:pStyle w:val="147"/>
              <w:spacing w:line="300" w:lineRule="auto"/>
              <w:ind w:firstLine="0" w:firstLineChars="0"/>
              <w:rPr>
                <w:rFonts w:hint="eastAsia"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rPr>
              <w:t>资格后审</w:t>
            </w:r>
          </w:p>
        </w:tc>
      </w:tr>
      <w:tr w14:paraId="349971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 w:hRule="atLeast"/>
          <w:jc w:val="center"/>
        </w:trPr>
        <w:tc>
          <w:tcPr>
            <w:tcW w:w="704" w:type="dxa"/>
            <w:shd w:val="clear" w:color="auto" w:fill="auto"/>
            <w:vAlign w:val="center"/>
          </w:tcPr>
          <w:p w14:paraId="1FF23278">
            <w:pPr>
              <w:pStyle w:val="25"/>
              <w:spacing w:line="400" w:lineRule="exact"/>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9</w:t>
            </w:r>
          </w:p>
        </w:tc>
        <w:tc>
          <w:tcPr>
            <w:tcW w:w="2035" w:type="dxa"/>
            <w:shd w:val="clear" w:color="auto" w:fill="auto"/>
            <w:vAlign w:val="center"/>
          </w:tcPr>
          <w:p w14:paraId="3B80B06B">
            <w:pPr>
              <w:pStyle w:val="25"/>
              <w:spacing w:line="400" w:lineRule="exact"/>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招标文件获取</w:t>
            </w:r>
          </w:p>
        </w:tc>
        <w:tc>
          <w:tcPr>
            <w:tcW w:w="7655" w:type="dxa"/>
            <w:shd w:val="clear" w:color="auto" w:fill="auto"/>
            <w:vAlign w:val="center"/>
          </w:tcPr>
          <w:p w14:paraId="7BF550EF">
            <w:pPr>
              <w:pStyle w:val="147"/>
              <w:spacing w:line="300" w:lineRule="auto"/>
              <w:ind w:firstLine="0" w:firstLineChars="0"/>
              <w:rPr>
                <w:rFonts w:hint="eastAsia"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rPr>
              <w:t>详见招标文件第一章“招标公告”</w:t>
            </w:r>
          </w:p>
        </w:tc>
      </w:tr>
      <w:tr w14:paraId="7E37D9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354BC355">
            <w:pPr>
              <w:pStyle w:val="25"/>
              <w:spacing w:line="400" w:lineRule="exact"/>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10</w:t>
            </w:r>
          </w:p>
        </w:tc>
        <w:tc>
          <w:tcPr>
            <w:tcW w:w="2035" w:type="dxa"/>
            <w:shd w:val="clear" w:color="auto" w:fill="auto"/>
            <w:vAlign w:val="center"/>
          </w:tcPr>
          <w:p w14:paraId="204546ED">
            <w:pPr>
              <w:pStyle w:val="25"/>
              <w:spacing w:line="400" w:lineRule="exact"/>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投标文件组成</w:t>
            </w:r>
          </w:p>
        </w:tc>
        <w:tc>
          <w:tcPr>
            <w:tcW w:w="7655" w:type="dxa"/>
            <w:shd w:val="clear" w:color="auto" w:fill="auto"/>
            <w:vAlign w:val="center"/>
          </w:tcPr>
          <w:p w14:paraId="5C0E559C">
            <w:pPr>
              <w:pStyle w:val="25"/>
              <w:spacing w:line="400" w:lineRule="exact"/>
              <w:rPr>
                <w:rFonts w:hint="eastAsia" w:ascii="仿宋" w:hAnsi="仿宋" w:eastAsia="仿宋"/>
                <w:color w:val="000000" w:themeColor="text1"/>
                <w:szCs w:val="24"/>
                <w:highlight w:val="none"/>
              </w:rPr>
            </w:pPr>
            <w:r>
              <w:rPr>
                <w:rFonts w:hint="eastAsia" w:ascii="仿宋" w:hAnsi="仿宋" w:eastAsia="仿宋"/>
                <w:color w:val="000000" w:themeColor="text1"/>
                <w:szCs w:val="24"/>
                <w:highlight w:val="none"/>
              </w:rPr>
              <w:t>投标文件由资格文件、商务技术文件、报价文件三部分组成（具体内容要求详见招标文件第六章）。</w:t>
            </w:r>
          </w:p>
          <w:p w14:paraId="2CC99F9F">
            <w:pPr>
              <w:pStyle w:val="25"/>
              <w:rPr>
                <w:rFonts w:hint="eastAsia" w:ascii="仿宋" w:hAnsi="仿宋" w:eastAsia="仿宋"/>
                <w:i/>
                <w:color w:val="000000" w:themeColor="text1"/>
                <w:szCs w:val="24"/>
                <w:highlight w:val="none"/>
              </w:rPr>
            </w:pPr>
            <w:r>
              <w:rPr>
                <w:rFonts w:hint="eastAsia" w:ascii="仿宋" w:hAnsi="仿宋" w:eastAsia="仿宋"/>
                <w:i/>
                <w:color w:val="000000" w:themeColor="text1"/>
                <w:szCs w:val="24"/>
                <w:highlight w:val="none"/>
                <w:u w:val="single"/>
              </w:rPr>
              <w:t>注：</w:t>
            </w:r>
            <w:r>
              <w:rPr>
                <w:rFonts w:hint="eastAsia" w:ascii="仿宋" w:hAnsi="仿宋" w:eastAsia="仿宋" w:cs="Times New Roman"/>
                <w:i/>
                <w:color w:val="000000" w:themeColor="text1"/>
                <w:szCs w:val="24"/>
                <w:highlight w:val="none"/>
                <w:u w:val="single"/>
              </w:rPr>
              <w:t>投标人在编制投标文件时请按照招标文件第</w:t>
            </w:r>
            <w:r>
              <w:rPr>
                <w:rFonts w:hint="eastAsia" w:ascii="仿宋" w:hAnsi="仿宋" w:eastAsia="仿宋"/>
                <w:i/>
                <w:color w:val="000000" w:themeColor="text1"/>
                <w:szCs w:val="24"/>
                <w:highlight w:val="none"/>
                <w:u w:val="single"/>
              </w:rPr>
              <w:t>六章</w:t>
            </w:r>
            <w:r>
              <w:rPr>
                <w:rFonts w:hint="eastAsia" w:ascii="仿宋" w:hAnsi="仿宋" w:eastAsia="仿宋" w:cs="Times New Roman"/>
                <w:i/>
                <w:color w:val="000000" w:themeColor="text1"/>
                <w:szCs w:val="24"/>
                <w:highlight w:val="none"/>
                <w:u w:val="single"/>
              </w:rPr>
              <w:t>规定的格式进行。</w:t>
            </w:r>
          </w:p>
        </w:tc>
      </w:tr>
      <w:tr w14:paraId="0F9079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1755DB19">
            <w:pPr>
              <w:pStyle w:val="25"/>
              <w:spacing w:line="400" w:lineRule="exact"/>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11</w:t>
            </w:r>
          </w:p>
        </w:tc>
        <w:tc>
          <w:tcPr>
            <w:tcW w:w="2035" w:type="dxa"/>
            <w:shd w:val="clear" w:color="auto" w:fill="auto"/>
            <w:vAlign w:val="center"/>
          </w:tcPr>
          <w:p w14:paraId="3B06E80F">
            <w:pPr>
              <w:pStyle w:val="25"/>
              <w:spacing w:line="400" w:lineRule="exact"/>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现场踏勘</w:t>
            </w:r>
          </w:p>
        </w:tc>
        <w:tc>
          <w:tcPr>
            <w:tcW w:w="7655" w:type="dxa"/>
            <w:shd w:val="clear" w:color="auto" w:fill="auto"/>
            <w:vAlign w:val="center"/>
          </w:tcPr>
          <w:p w14:paraId="70CF1B8C">
            <w:pPr>
              <w:spacing w:line="276" w:lineRule="auto"/>
              <w:rPr>
                <w:rFonts w:hint="eastAsia" w:ascii="仿宋" w:hAnsi="仿宋" w:eastAsia="仿宋" w:cs="仿宋"/>
                <w:bCs/>
                <w:color w:val="0000FF"/>
                <w:sz w:val="24"/>
                <w:szCs w:val="24"/>
                <w:highlight w:val="none"/>
              </w:rPr>
            </w:pPr>
            <w:r>
              <w:rPr>
                <w:rFonts w:hint="eastAsia" w:ascii="仿宋" w:hAnsi="仿宋" w:eastAsia="仿宋" w:cs="仿宋"/>
                <w:bCs/>
                <w:color w:val="auto"/>
                <w:sz w:val="24"/>
                <w:szCs w:val="24"/>
                <w:highlight w:val="none"/>
              </w:rPr>
              <w:t>不统一组织，投标人自行踏勘。</w:t>
            </w:r>
          </w:p>
          <w:p w14:paraId="30F4E716">
            <w:pPr>
              <w:spacing w:line="276" w:lineRule="auto"/>
              <w:rPr>
                <w:rFonts w:hint="eastAsia" w:ascii="仿宋" w:hAnsi="仿宋" w:eastAsia="仿宋" w:cs="宋体"/>
                <w:color w:val="000000" w:themeColor="text1"/>
                <w:sz w:val="24"/>
                <w:szCs w:val="24"/>
                <w:highlight w:val="none"/>
              </w:rPr>
            </w:pPr>
            <w:r>
              <w:rPr>
                <w:rFonts w:hint="eastAsia" w:ascii="仿宋" w:hAnsi="仿宋" w:eastAsia="仿宋" w:cs="仿宋"/>
                <w:bCs/>
                <w:color w:val="000000" w:themeColor="text1"/>
                <w:sz w:val="24"/>
                <w:szCs w:val="24"/>
                <w:highlight w:val="none"/>
              </w:rPr>
              <w:t>备注：因现场</w:t>
            </w:r>
            <w:r>
              <w:rPr>
                <w:rFonts w:hint="eastAsia" w:ascii="仿宋" w:hAnsi="仿宋" w:eastAsia="仿宋" w:cs="宋体"/>
                <w:bCs/>
                <w:color w:val="auto"/>
                <w:sz w:val="24"/>
                <w:szCs w:val="24"/>
                <w:highlight w:val="none"/>
              </w:rPr>
              <w:t>踏勘而发生</w:t>
            </w:r>
            <w:r>
              <w:rPr>
                <w:rFonts w:ascii="仿宋" w:hAnsi="仿宋" w:eastAsia="仿宋"/>
                <w:bCs/>
                <w:color w:val="auto"/>
                <w:sz w:val="24"/>
                <w:szCs w:val="24"/>
                <w:highlight w:val="none"/>
              </w:rPr>
              <w:t>的所有费用由投标人自行承担；投标人在踏勘过程中所发生的人员伤亡和财产损失均由投标人自行负责；在踏勘现场中向投标人介绍的场地和相关的周边环境等情况，仅供投标人在编制投标文件时参考，采购人不对投标人据此作出的任何判断和决策负责。</w:t>
            </w:r>
          </w:p>
        </w:tc>
      </w:tr>
      <w:tr w14:paraId="7B4B90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3417F456">
            <w:pPr>
              <w:pStyle w:val="25"/>
              <w:spacing w:line="400" w:lineRule="exact"/>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12</w:t>
            </w:r>
          </w:p>
        </w:tc>
        <w:tc>
          <w:tcPr>
            <w:tcW w:w="2035" w:type="dxa"/>
            <w:shd w:val="clear" w:color="auto" w:fill="auto"/>
            <w:vAlign w:val="center"/>
          </w:tcPr>
          <w:p w14:paraId="5713AF45">
            <w:pPr>
              <w:pStyle w:val="25"/>
              <w:spacing w:line="400" w:lineRule="exact"/>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开标前答疑会</w:t>
            </w:r>
          </w:p>
        </w:tc>
        <w:tc>
          <w:tcPr>
            <w:tcW w:w="7655" w:type="dxa"/>
            <w:shd w:val="clear" w:color="auto" w:fill="auto"/>
            <w:vAlign w:val="center"/>
          </w:tcPr>
          <w:p w14:paraId="07E1258F">
            <w:pPr>
              <w:spacing w:line="400" w:lineRule="exact"/>
              <w:rPr>
                <w:rFonts w:hint="eastAsia" w:ascii="仿宋" w:hAnsi="仿宋" w:eastAsia="仿宋" w:cs="宋体"/>
                <w:color w:val="000000" w:themeColor="text1"/>
                <w:sz w:val="24"/>
                <w:szCs w:val="24"/>
                <w:highlight w:val="none"/>
              </w:rPr>
            </w:pPr>
            <w:r>
              <w:rPr>
                <w:rFonts w:hint="eastAsia" w:ascii="仿宋" w:hAnsi="仿宋" w:eastAsia="仿宋" w:cs="宋体"/>
                <w:color w:val="000000" w:themeColor="text1"/>
                <w:sz w:val="24"/>
                <w:szCs w:val="24"/>
                <w:highlight w:val="none"/>
              </w:rPr>
              <w:t>不组织</w:t>
            </w:r>
          </w:p>
        </w:tc>
      </w:tr>
      <w:tr w14:paraId="25726C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1C7CAA16">
            <w:pPr>
              <w:pStyle w:val="25"/>
              <w:spacing w:line="400" w:lineRule="exact"/>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13</w:t>
            </w:r>
          </w:p>
        </w:tc>
        <w:tc>
          <w:tcPr>
            <w:tcW w:w="2035" w:type="dxa"/>
            <w:shd w:val="clear" w:color="auto" w:fill="auto"/>
            <w:vAlign w:val="center"/>
          </w:tcPr>
          <w:p w14:paraId="09E65BF3">
            <w:pPr>
              <w:pStyle w:val="25"/>
              <w:spacing w:line="400" w:lineRule="exact"/>
              <w:jc w:val="center"/>
              <w:rPr>
                <w:rStyle w:val="148"/>
                <w:rFonts w:hint="eastAsia"/>
                <w:highlight w:val="none"/>
              </w:rPr>
            </w:pPr>
            <w:r>
              <w:rPr>
                <w:rFonts w:ascii="仿宋" w:hAnsi="仿宋" w:eastAsia="仿宋"/>
                <w:b/>
                <w:color w:val="000000" w:themeColor="text1"/>
                <w:szCs w:val="24"/>
                <w:highlight w:val="none"/>
              </w:rPr>
              <w:t>方案讲解演示</w:t>
            </w:r>
          </w:p>
        </w:tc>
        <w:tc>
          <w:tcPr>
            <w:tcW w:w="7655" w:type="dxa"/>
            <w:shd w:val="clear" w:color="auto" w:fill="auto"/>
            <w:vAlign w:val="center"/>
          </w:tcPr>
          <w:p w14:paraId="45E41D81">
            <w:pPr>
              <w:spacing w:line="276" w:lineRule="auto"/>
              <w:rPr>
                <w:rFonts w:hint="eastAsia" w:ascii="仿宋" w:hAnsi="仿宋" w:eastAsia="仿宋" w:cs="宋体"/>
                <w:color w:val="000000" w:themeColor="text1"/>
                <w:sz w:val="24"/>
                <w:szCs w:val="24"/>
                <w:highlight w:val="none"/>
              </w:rPr>
            </w:pPr>
            <w:r>
              <w:rPr>
                <w:rFonts w:ascii="仿宋" w:hAnsi="仿宋" w:eastAsia="仿宋" w:cs="宋体"/>
                <w:color w:val="auto"/>
                <w:sz w:val="24"/>
                <w:szCs w:val="24"/>
                <w:highlight w:val="none"/>
              </w:rPr>
              <w:t>不需要</w:t>
            </w:r>
          </w:p>
        </w:tc>
      </w:tr>
      <w:tr w14:paraId="54C04E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54D776C2">
            <w:pPr>
              <w:pStyle w:val="25"/>
              <w:spacing w:line="400" w:lineRule="exact"/>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14</w:t>
            </w:r>
          </w:p>
        </w:tc>
        <w:tc>
          <w:tcPr>
            <w:tcW w:w="2035" w:type="dxa"/>
            <w:shd w:val="clear" w:color="auto" w:fill="auto"/>
            <w:vAlign w:val="center"/>
          </w:tcPr>
          <w:p w14:paraId="3C9A6F9B">
            <w:pPr>
              <w:pStyle w:val="25"/>
              <w:spacing w:line="400" w:lineRule="exact"/>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投标样品</w:t>
            </w:r>
          </w:p>
        </w:tc>
        <w:tc>
          <w:tcPr>
            <w:tcW w:w="7655" w:type="dxa"/>
            <w:shd w:val="clear" w:color="auto" w:fill="auto"/>
            <w:vAlign w:val="center"/>
          </w:tcPr>
          <w:p w14:paraId="76EB8962">
            <w:pPr>
              <w:spacing w:line="400" w:lineRule="exact"/>
              <w:rPr>
                <w:rFonts w:hint="eastAsia" w:ascii="仿宋" w:hAnsi="仿宋" w:eastAsia="仿宋"/>
                <w:color w:val="000000" w:themeColor="text1"/>
                <w:highlight w:val="none"/>
              </w:rPr>
            </w:pPr>
            <w:r>
              <w:rPr>
                <w:rFonts w:ascii="仿宋" w:hAnsi="仿宋" w:eastAsia="仿宋" w:cs="宋体"/>
                <w:color w:val="000000" w:themeColor="text1"/>
                <w:sz w:val="24"/>
                <w:szCs w:val="24"/>
                <w:highlight w:val="none"/>
              </w:rPr>
              <w:t>不需要</w:t>
            </w:r>
          </w:p>
        </w:tc>
      </w:tr>
      <w:tr w14:paraId="120977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704" w:type="dxa"/>
            <w:shd w:val="clear" w:color="auto" w:fill="auto"/>
            <w:vAlign w:val="center"/>
          </w:tcPr>
          <w:p w14:paraId="4F4BB4FA">
            <w:pPr>
              <w:pStyle w:val="25"/>
              <w:spacing w:line="400" w:lineRule="exact"/>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15</w:t>
            </w:r>
          </w:p>
        </w:tc>
        <w:tc>
          <w:tcPr>
            <w:tcW w:w="2035" w:type="dxa"/>
            <w:shd w:val="clear" w:color="auto" w:fill="auto"/>
            <w:vAlign w:val="center"/>
          </w:tcPr>
          <w:p w14:paraId="44EBAB5B">
            <w:pPr>
              <w:pStyle w:val="25"/>
              <w:spacing w:line="240" w:lineRule="atLeast"/>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投标文件份数</w:t>
            </w:r>
          </w:p>
        </w:tc>
        <w:tc>
          <w:tcPr>
            <w:tcW w:w="7655" w:type="dxa"/>
            <w:shd w:val="clear" w:color="auto" w:fill="auto"/>
            <w:vAlign w:val="center"/>
          </w:tcPr>
          <w:p w14:paraId="77A3DA17">
            <w:pPr>
              <w:pStyle w:val="25"/>
              <w:spacing w:line="300" w:lineRule="auto"/>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资格文件（一式五份）：正本</w:t>
            </w:r>
            <w:r>
              <w:rPr>
                <w:rFonts w:hint="eastAsia" w:ascii="仿宋" w:hAnsi="仿宋" w:eastAsia="仿宋"/>
                <w:b/>
                <w:color w:val="000000" w:themeColor="text1"/>
                <w:szCs w:val="24"/>
                <w:highlight w:val="none"/>
                <w:u w:val="single"/>
              </w:rPr>
              <w:t xml:space="preserve">  1  </w:t>
            </w:r>
            <w:r>
              <w:rPr>
                <w:rFonts w:hint="eastAsia" w:ascii="仿宋" w:hAnsi="仿宋" w:eastAsia="仿宋"/>
                <w:b/>
                <w:color w:val="000000" w:themeColor="text1"/>
                <w:szCs w:val="24"/>
                <w:highlight w:val="none"/>
              </w:rPr>
              <w:t>份，副本</w:t>
            </w:r>
            <w:r>
              <w:rPr>
                <w:rFonts w:hint="eastAsia" w:ascii="仿宋" w:hAnsi="仿宋" w:eastAsia="仿宋"/>
                <w:b/>
                <w:color w:val="000000" w:themeColor="text1"/>
                <w:szCs w:val="24"/>
                <w:highlight w:val="none"/>
                <w:u w:val="single"/>
              </w:rPr>
              <w:t xml:space="preserve">  4  </w:t>
            </w:r>
            <w:r>
              <w:rPr>
                <w:rFonts w:hint="eastAsia" w:ascii="仿宋" w:hAnsi="仿宋" w:eastAsia="仿宋"/>
                <w:b/>
                <w:color w:val="000000" w:themeColor="text1"/>
                <w:szCs w:val="24"/>
                <w:highlight w:val="none"/>
              </w:rPr>
              <w:t>份；</w:t>
            </w:r>
          </w:p>
          <w:p w14:paraId="25469DD1">
            <w:pPr>
              <w:pStyle w:val="25"/>
              <w:spacing w:line="300" w:lineRule="auto"/>
              <w:rPr>
                <w:rFonts w:hint="eastAsia" w:ascii="仿宋" w:hAnsi="仿宋" w:eastAsia="仿宋"/>
                <w:color w:val="000000" w:themeColor="text1"/>
                <w:szCs w:val="24"/>
                <w:highlight w:val="none"/>
              </w:rPr>
            </w:pPr>
            <w:r>
              <w:rPr>
                <w:rFonts w:hint="eastAsia" w:ascii="仿宋" w:hAnsi="仿宋" w:eastAsia="仿宋"/>
                <w:b/>
                <w:color w:val="000000" w:themeColor="text1"/>
                <w:szCs w:val="24"/>
                <w:highlight w:val="none"/>
              </w:rPr>
              <w:t>商务技术文件（一式五份）：正本</w:t>
            </w:r>
            <w:r>
              <w:rPr>
                <w:rFonts w:hint="eastAsia" w:ascii="仿宋" w:hAnsi="仿宋" w:eastAsia="仿宋"/>
                <w:b/>
                <w:color w:val="000000" w:themeColor="text1"/>
                <w:szCs w:val="24"/>
                <w:highlight w:val="none"/>
                <w:u w:val="single"/>
              </w:rPr>
              <w:t xml:space="preserve">  1  </w:t>
            </w:r>
            <w:r>
              <w:rPr>
                <w:rFonts w:hint="eastAsia" w:ascii="仿宋" w:hAnsi="仿宋" w:eastAsia="仿宋"/>
                <w:b/>
                <w:color w:val="000000" w:themeColor="text1"/>
                <w:szCs w:val="24"/>
                <w:highlight w:val="none"/>
              </w:rPr>
              <w:t>份，副本</w:t>
            </w:r>
            <w:r>
              <w:rPr>
                <w:rFonts w:hint="eastAsia" w:ascii="仿宋" w:hAnsi="仿宋" w:eastAsia="仿宋"/>
                <w:b/>
                <w:color w:val="000000" w:themeColor="text1"/>
                <w:szCs w:val="24"/>
                <w:highlight w:val="none"/>
                <w:u w:val="single"/>
              </w:rPr>
              <w:t xml:space="preserve">  4  </w:t>
            </w:r>
            <w:r>
              <w:rPr>
                <w:rFonts w:hint="eastAsia" w:ascii="仿宋" w:hAnsi="仿宋" w:eastAsia="仿宋"/>
                <w:b/>
                <w:color w:val="000000" w:themeColor="text1"/>
                <w:szCs w:val="24"/>
                <w:highlight w:val="none"/>
              </w:rPr>
              <w:t>份；</w:t>
            </w:r>
          </w:p>
          <w:p w14:paraId="5C17D843">
            <w:pPr>
              <w:pStyle w:val="25"/>
              <w:spacing w:line="300" w:lineRule="auto"/>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报价文件（一式五份）：正本</w:t>
            </w:r>
            <w:r>
              <w:rPr>
                <w:rFonts w:hint="eastAsia" w:ascii="仿宋" w:hAnsi="仿宋" w:eastAsia="仿宋"/>
                <w:b/>
                <w:color w:val="000000" w:themeColor="text1"/>
                <w:szCs w:val="24"/>
                <w:highlight w:val="none"/>
                <w:u w:val="single"/>
              </w:rPr>
              <w:t xml:space="preserve">  1  </w:t>
            </w:r>
            <w:r>
              <w:rPr>
                <w:rFonts w:hint="eastAsia" w:ascii="仿宋" w:hAnsi="仿宋" w:eastAsia="仿宋"/>
                <w:b/>
                <w:color w:val="000000" w:themeColor="text1"/>
                <w:szCs w:val="24"/>
                <w:highlight w:val="none"/>
              </w:rPr>
              <w:t>份，副本</w:t>
            </w:r>
            <w:r>
              <w:rPr>
                <w:rFonts w:hint="eastAsia" w:ascii="仿宋" w:hAnsi="仿宋" w:eastAsia="仿宋"/>
                <w:b/>
                <w:color w:val="000000" w:themeColor="text1"/>
                <w:szCs w:val="24"/>
                <w:highlight w:val="none"/>
                <w:u w:val="single"/>
              </w:rPr>
              <w:t xml:space="preserve">  4  </w:t>
            </w:r>
            <w:r>
              <w:rPr>
                <w:rFonts w:hint="eastAsia" w:ascii="仿宋" w:hAnsi="仿宋" w:eastAsia="仿宋"/>
                <w:b/>
                <w:color w:val="000000" w:themeColor="text1"/>
                <w:szCs w:val="24"/>
                <w:highlight w:val="none"/>
              </w:rPr>
              <w:t>份。</w:t>
            </w:r>
          </w:p>
          <w:p w14:paraId="73770130">
            <w:pPr>
              <w:pStyle w:val="25"/>
              <w:rPr>
                <w:rFonts w:hint="eastAsia" w:ascii="仿宋" w:hAnsi="仿宋" w:eastAsia="仿宋"/>
                <w:i/>
                <w:color w:val="000000" w:themeColor="text1"/>
                <w:szCs w:val="24"/>
                <w:highlight w:val="none"/>
              </w:rPr>
            </w:pPr>
            <w:r>
              <w:rPr>
                <w:rFonts w:ascii="仿宋" w:hAnsi="仿宋" w:eastAsia="仿宋"/>
                <w:i/>
                <w:color w:val="000000" w:themeColor="text1"/>
                <w:szCs w:val="24"/>
                <w:highlight w:val="none"/>
                <w:u w:val="single"/>
              </w:rPr>
              <w:t>注：</w:t>
            </w:r>
            <w:r>
              <w:rPr>
                <w:rStyle w:val="246"/>
                <w:rFonts w:ascii="仿宋" w:hAnsi="仿宋" w:eastAsia="仿宋"/>
                <w:i/>
                <w:color w:val="000000" w:themeColor="text1"/>
                <w:szCs w:val="24"/>
                <w:highlight w:val="none"/>
                <w:u w:val="single"/>
              </w:rPr>
              <w:t>资格文件、商务技术文件、报价文件必须分开编制并分别装订成册，同时分开密封包装</w:t>
            </w:r>
            <w:r>
              <w:rPr>
                <w:rStyle w:val="246"/>
                <w:rFonts w:hint="eastAsia" w:ascii="仿宋" w:hAnsi="仿宋" w:eastAsia="仿宋"/>
                <w:i/>
                <w:color w:val="000000" w:themeColor="text1"/>
                <w:szCs w:val="24"/>
                <w:highlight w:val="none"/>
              </w:rPr>
              <w:t>。</w:t>
            </w:r>
          </w:p>
        </w:tc>
      </w:tr>
      <w:tr w14:paraId="020041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33A62B65">
            <w:pPr>
              <w:pStyle w:val="25"/>
              <w:spacing w:line="400" w:lineRule="exact"/>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16</w:t>
            </w:r>
          </w:p>
        </w:tc>
        <w:tc>
          <w:tcPr>
            <w:tcW w:w="2035" w:type="dxa"/>
            <w:shd w:val="clear" w:color="auto" w:fill="auto"/>
            <w:vAlign w:val="center"/>
          </w:tcPr>
          <w:p w14:paraId="337FC9E0">
            <w:pPr>
              <w:pStyle w:val="25"/>
              <w:spacing w:line="400" w:lineRule="exact"/>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投标有效期</w:t>
            </w:r>
          </w:p>
        </w:tc>
        <w:tc>
          <w:tcPr>
            <w:tcW w:w="7655" w:type="dxa"/>
            <w:shd w:val="clear" w:color="auto" w:fill="auto"/>
            <w:vAlign w:val="center"/>
          </w:tcPr>
          <w:p w14:paraId="3C6CF649">
            <w:pPr>
              <w:pStyle w:val="25"/>
              <w:spacing w:line="400" w:lineRule="exact"/>
              <w:rPr>
                <w:rFonts w:hint="eastAsia" w:ascii="仿宋" w:hAnsi="仿宋" w:eastAsia="仿宋"/>
                <w:color w:val="000000" w:themeColor="text1"/>
                <w:szCs w:val="24"/>
                <w:highlight w:val="none"/>
              </w:rPr>
            </w:pPr>
            <w:r>
              <w:rPr>
                <w:rFonts w:hint="eastAsia" w:ascii="仿宋" w:hAnsi="仿宋" w:eastAsia="仿宋" w:cs="仿宋_GB2312"/>
                <w:color w:val="000000" w:themeColor="text1"/>
                <w:highlight w:val="none"/>
              </w:rPr>
              <w:t>从提交投标文件的截止之日起90天。</w:t>
            </w:r>
          </w:p>
        </w:tc>
      </w:tr>
      <w:tr w14:paraId="64C8DE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10DE838C">
            <w:pPr>
              <w:pStyle w:val="25"/>
              <w:spacing w:line="400" w:lineRule="exact"/>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17</w:t>
            </w:r>
          </w:p>
        </w:tc>
        <w:tc>
          <w:tcPr>
            <w:tcW w:w="2035" w:type="dxa"/>
            <w:shd w:val="clear" w:color="auto" w:fill="auto"/>
            <w:vAlign w:val="center"/>
          </w:tcPr>
          <w:p w14:paraId="2E31C9B0">
            <w:pPr>
              <w:pStyle w:val="25"/>
              <w:spacing w:line="400" w:lineRule="exact"/>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签订合同时间</w:t>
            </w:r>
          </w:p>
        </w:tc>
        <w:tc>
          <w:tcPr>
            <w:tcW w:w="7655" w:type="dxa"/>
            <w:shd w:val="clear" w:color="auto" w:fill="auto"/>
            <w:vAlign w:val="center"/>
          </w:tcPr>
          <w:p w14:paraId="2B09F50D">
            <w:pPr>
              <w:pStyle w:val="25"/>
              <w:spacing w:line="400" w:lineRule="exact"/>
              <w:rPr>
                <w:rFonts w:hint="eastAsia" w:ascii="仿宋" w:hAnsi="仿宋" w:eastAsia="仿宋"/>
                <w:color w:val="000000" w:themeColor="text1"/>
                <w:szCs w:val="24"/>
                <w:highlight w:val="none"/>
              </w:rPr>
            </w:pPr>
            <w:r>
              <w:rPr>
                <w:rFonts w:hint="eastAsia" w:ascii="仿宋" w:hAnsi="仿宋" w:eastAsia="仿宋"/>
                <w:color w:val="000000" w:themeColor="text1"/>
                <w:szCs w:val="24"/>
                <w:highlight w:val="none"/>
              </w:rPr>
              <w:t>中标通知书发出后30日内。</w:t>
            </w:r>
          </w:p>
        </w:tc>
      </w:tr>
      <w:tr w14:paraId="7B6EA1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4DBC4C60">
            <w:pPr>
              <w:pStyle w:val="25"/>
              <w:spacing w:line="400" w:lineRule="exact"/>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18</w:t>
            </w:r>
          </w:p>
        </w:tc>
        <w:tc>
          <w:tcPr>
            <w:tcW w:w="2035" w:type="dxa"/>
            <w:shd w:val="clear" w:color="auto" w:fill="auto"/>
            <w:vAlign w:val="center"/>
          </w:tcPr>
          <w:p w14:paraId="6F6DBD28">
            <w:pPr>
              <w:pStyle w:val="25"/>
              <w:spacing w:line="400" w:lineRule="exact"/>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转包与分包</w:t>
            </w:r>
          </w:p>
        </w:tc>
        <w:tc>
          <w:tcPr>
            <w:tcW w:w="7655" w:type="dxa"/>
            <w:shd w:val="clear" w:color="auto" w:fill="auto"/>
            <w:vAlign w:val="center"/>
          </w:tcPr>
          <w:p w14:paraId="40B8BAA2">
            <w:pPr>
              <w:pStyle w:val="25"/>
              <w:spacing w:line="400" w:lineRule="exact"/>
              <w:rPr>
                <w:rFonts w:hint="eastAsia" w:ascii="仿宋" w:hAnsi="仿宋" w:eastAsia="仿宋"/>
                <w:color w:val="000000" w:themeColor="text1"/>
                <w:szCs w:val="24"/>
                <w:highlight w:val="none"/>
              </w:rPr>
            </w:pPr>
            <w:r>
              <w:rPr>
                <w:rFonts w:ascii="仿宋" w:hAnsi="仿宋" w:eastAsia="仿宋"/>
                <w:color w:val="000000" w:themeColor="text1"/>
                <w:szCs w:val="24"/>
                <w:highlight w:val="none"/>
              </w:rPr>
              <w:t>本项目不允许转包</w:t>
            </w:r>
            <w:r>
              <w:rPr>
                <w:rFonts w:hint="eastAsia" w:ascii="仿宋" w:hAnsi="仿宋" w:eastAsia="仿宋"/>
                <w:color w:val="000000" w:themeColor="text1"/>
                <w:szCs w:val="24"/>
                <w:highlight w:val="none"/>
              </w:rPr>
              <w:t>和</w:t>
            </w:r>
            <w:r>
              <w:rPr>
                <w:rFonts w:ascii="仿宋" w:hAnsi="仿宋" w:eastAsia="仿宋"/>
                <w:color w:val="000000" w:themeColor="text1"/>
                <w:szCs w:val="24"/>
                <w:highlight w:val="none"/>
              </w:rPr>
              <w:t>分包。</w:t>
            </w:r>
          </w:p>
        </w:tc>
      </w:tr>
      <w:tr w14:paraId="1CEDDA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 w:hRule="atLeast"/>
          <w:jc w:val="center"/>
        </w:trPr>
        <w:tc>
          <w:tcPr>
            <w:tcW w:w="704" w:type="dxa"/>
            <w:shd w:val="clear" w:color="auto" w:fill="auto"/>
            <w:vAlign w:val="center"/>
          </w:tcPr>
          <w:p w14:paraId="172F4A7F">
            <w:pPr>
              <w:pStyle w:val="25"/>
              <w:spacing w:line="400" w:lineRule="exact"/>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19</w:t>
            </w:r>
          </w:p>
        </w:tc>
        <w:tc>
          <w:tcPr>
            <w:tcW w:w="2035" w:type="dxa"/>
            <w:shd w:val="clear" w:color="auto" w:fill="auto"/>
            <w:vAlign w:val="center"/>
          </w:tcPr>
          <w:p w14:paraId="37FB4370">
            <w:pPr>
              <w:pStyle w:val="25"/>
              <w:spacing w:line="400" w:lineRule="exact"/>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保证金</w:t>
            </w:r>
          </w:p>
        </w:tc>
        <w:tc>
          <w:tcPr>
            <w:tcW w:w="7655" w:type="dxa"/>
            <w:shd w:val="clear" w:color="auto" w:fill="auto"/>
            <w:vAlign w:val="center"/>
          </w:tcPr>
          <w:p w14:paraId="19CFF057">
            <w:pPr>
              <w:spacing w:line="300" w:lineRule="auto"/>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1、投标保证金：</w:t>
            </w:r>
            <w:r>
              <w:rPr>
                <w:rFonts w:hint="eastAsia" w:ascii="仿宋" w:hAnsi="仿宋" w:eastAsia="仿宋" w:cs="宋体"/>
                <w:color w:val="000000" w:themeColor="text1"/>
                <w:sz w:val="24"/>
                <w:szCs w:val="24"/>
                <w:highlight w:val="none"/>
              </w:rPr>
              <w:t>本项目无需缴纳投标保证金。</w:t>
            </w:r>
          </w:p>
          <w:p w14:paraId="60A5E83F">
            <w:pPr>
              <w:spacing w:line="300" w:lineRule="auto"/>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2、履约保证金：</w:t>
            </w:r>
            <w:r>
              <w:rPr>
                <w:rFonts w:ascii="仿宋" w:hAnsi="仿宋" w:eastAsia="仿宋"/>
                <w:color w:val="000000" w:themeColor="text1"/>
                <w:sz w:val="24"/>
                <w:highlight w:val="none"/>
              </w:rPr>
              <w:t>详见招标文件第四章“采购需求”。</w:t>
            </w:r>
          </w:p>
          <w:p w14:paraId="227A56DF">
            <w:pPr>
              <w:rPr>
                <w:rFonts w:hint="eastAsia" w:ascii="仿宋" w:hAnsi="仿宋" w:eastAsia="仿宋"/>
                <w:i/>
                <w:color w:val="000000" w:themeColor="text1"/>
                <w:sz w:val="24"/>
                <w:highlight w:val="none"/>
                <w:u w:val="single"/>
              </w:rPr>
            </w:pPr>
            <w:r>
              <w:rPr>
                <w:rFonts w:ascii="仿宋" w:hAnsi="仿宋" w:eastAsia="仿宋"/>
                <w:i/>
                <w:color w:val="000000" w:themeColor="text1"/>
                <w:sz w:val="24"/>
                <w:highlight w:val="none"/>
                <w:u w:val="single"/>
              </w:rPr>
              <w:t>备注：采购需求</w:t>
            </w:r>
            <w:r>
              <w:rPr>
                <w:rFonts w:hint="eastAsia" w:ascii="仿宋" w:hAnsi="仿宋" w:eastAsia="仿宋"/>
                <w:i/>
                <w:color w:val="000000" w:themeColor="text1"/>
                <w:sz w:val="24"/>
                <w:highlight w:val="none"/>
                <w:u w:val="single"/>
              </w:rPr>
              <w:t>要求中标人提交履约保证金的，中标人应当以支票、汇票、本票或者金融机构、担保机构出具的保函等非现金形式提交；</w:t>
            </w:r>
            <w:r>
              <w:rPr>
                <w:rFonts w:ascii="仿宋" w:hAnsi="仿宋" w:eastAsia="仿宋"/>
                <w:i/>
                <w:color w:val="000000" w:themeColor="text1"/>
                <w:sz w:val="24"/>
                <w:highlight w:val="none"/>
                <w:u w:val="single"/>
              </w:rPr>
              <w:t>采购需求未作要求的，则表示采购项目不收取</w:t>
            </w:r>
            <w:r>
              <w:rPr>
                <w:rFonts w:hint="eastAsia" w:ascii="仿宋" w:hAnsi="仿宋" w:eastAsia="仿宋"/>
                <w:i/>
                <w:color w:val="000000" w:themeColor="text1"/>
                <w:sz w:val="24"/>
                <w:szCs w:val="24"/>
                <w:highlight w:val="none"/>
                <w:u w:val="single"/>
              </w:rPr>
              <w:t>履约保证金</w:t>
            </w:r>
            <w:r>
              <w:rPr>
                <w:rFonts w:hint="eastAsia" w:ascii="仿宋" w:hAnsi="仿宋" w:eastAsia="仿宋"/>
                <w:i/>
                <w:color w:val="000000" w:themeColor="text1"/>
                <w:sz w:val="24"/>
                <w:szCs w:val="24"/>
                <w:highlight w:val="none"/>
              </w:rPr>
              <w:t>。</w:t>
            </w:r>
          </w:p>
        </w:tc>
      </w:tr>
      <w:tr w14:paraId="7CED8C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704" w:type="dxa"/>
            <w:shd w:val="clear" w:color="auto" w:fill="auto"/>
            <w:vAlign w:val="center"/>
          </w:tcPr>
          <w:p w14:paraId="14BE2E8D">
            <w:pPr>
              <w:pStyle w:val="25"/>
              <w:spacing w:line="400" w:lineRule="exact"/>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20</w:t>
            </w:r>
          </w:p>
        </w:tc>
        <w:tc>
          <w:tcPr>
            <w:tcW w:w="2035" w:type="dxa"/>
            <w:shd w:val="clear" w:color="auto" w:fill="auto"/>
            <w:vAlign w:val="center"/>
          </w:tcPr>
          <w:p w14:paraId="08EF51C5">
            <w:pPr>
              <w:pStyle w:val="25"/>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投标文件提交截止时间、地点</w:t>
            </w:r>
          </w:p>
        </w:tc>
        <w:tc>
          <w:tcPr>
            <w:tcW w:w="7655" w:type="dxa"/>
            <w:shd w:val="clear" w:color="auto" w:fill="auto"/>
            <w:vAlign w:val="center"/>
          </w:tcPr>
          <w:p w14:paraId="5E31570C">
            <w:pPr>
              <w:pStyle w:val="147"/>
              <w:spacing w:line="300" w:lineRule="auto"/>
              <w:ind w:firstLine="0" w:firstLineChars="0"/>
              <w:rPr>
                <w:rFonts w:hint="eastAsia"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rPr>
              <w:t>详见招标文件第一章“招标公告”</w:t>
            </w:r>
          </w:p>
        </w:tc>
      </w:tr>
      <w:tr w14:paraId="482DE0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12B35AAA">
            <w:pPr>
              <w:pStyle w:val="25"/>
              <w:spacing w:line="400" w:lineRule="exact"/>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21</w:t>
            </w:r>
          </w:p>
        </w:tc>
        <w:tc>
          <w:tcPr>
            <w:tcW w:w="2035" w:type="dxa"/>
            <w:shd w:val="clear" w:color="auto" w:fill="auto"/>
            <w:vAlign w:val="center"/>
          </w:tcPr>
          <w:p w14:paraId="34D8FC68">
            <w:pPr>
              <w:pStyle w:val="25"/>
              <w:spacing w:line="400" w:lineRule="exact"/>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开标时间、地点</w:t>
            </w:r>
          </w:p>
        </w:tc>
        <w:tc>
          <w:tcPr>
            <w:tcW w:w="7655" w:type="dxa"/>
            <w:shd w:val="clear" w:color="auto" w:fill="auto"/>
            <w:vAlign w:val="center"/>
          </w:tcPr>
          <w:p w14:paraId="1A5286AF">
            <w:pPr>
              <w:pStyle w:val="147"/>
              <w:spacing w:line="300" w:lineRule="auto"/>
              <w:ind w:firstLine="0" w:firstLineChars="0"/>
              <w:rPr>
                <w:rFonts w:hint="eastAsia"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rPr>
              <w:t>详见招标文件第一章“招标公告”</w:t>
            </w:r>
          </w:p>
        </w:tc>
      </w:tr>
      <w:tr w14:paraId="3972F2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704" w:type="dxa"/>
            <w:shd w:val="clear" w:color="auto" w:fill="auto"/>
            <w:vAlign w:val="center"/>
          </w:tcPr>
          <w:p w14:paraId="3D202075">
            <w:pPr>
              <w:pStyle w:val="25"/>
              <w:spacing w:line="400" w:lineRule="exact"/>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22</w:t>
            </w:r>
          </w:p>
        </w:tc>
        <w:tc>
          <w:tcPr>
            <w:tcW w:w="2035" w:type="dxa"/>
            <w:shd w:val="clear" w:color="auto" w:fill="auto"/>
            <w:vAlign w:val="center"/>
          </w:tcPr>
          <w:p w14:paraId="658397B1">
            <w:pPr>
              <w:pStyle w:val="25"/>
              <w:spacing w:line="400" w:lineRule="exact"/>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质疑与答疑时间</w:t>
            </w:r>
          </w:p>
        </w:tc>
        <w:tc>
          <w:tcPr>
            <w:tcW w:w="7655" w:type="dxa"/>
            <w:shd w:val="clear" w:color="auto" w:fill="auto"/>
            <w:vAlign w:val="center"/>
          </w:tcPr>
          <w:p w14:paraId="478EE23E">
            <w:pPr>
              <w:pStyle w:val="25"/>
              <w:spacing w:line="276" w:lineRule="auto"/>
              <w:rPr>
                <w:rFonts w:hint="eastAsia" w:ascii="仿宋" w:hAnsi="仿宋" w:eastAsia="仿宋"/>
                <w:color w:val="000000" w:themeColor="text1"/>
                <w:highlight w:val="none"/>
              </w:rPr>
            </w:pPr>
            <w:r>
              <w:rPr>
                <w:rFonts w:hint="eastAsia" w:ascii="仿宋" w:hAnsi="仿宋" w:eastAsia="仿宋"/>
                <w:color w:val="000000" w:themeColor="text1"/>
                <w:highlight w:val="none"/>
              </w:rPr>
              <w:t>投标人应在202</w:t>
            </w:r>
            <w:r>
              <w:rPr>
                <w:rFonts w:hint="eastAsia" w:ascii="仿宋" w:hAnsi="仿宋" w:eastAsia="仿宋"/>
                <w:color w:val="000000" w:themeColor="text1"/>
                <w:highlight w:val="none"/>
                <w:lang w:val="en-US" w:eastAsia="zh-CN"/>
              </w:rPr>
              <w:t>5</w:t>
            </w:r>
            <w:r>
              <w:rPr>
                <w:rFonts w:hint="eastAsia" w:ascii="仿宋" w:hAnsi="仿宋" w:eastAsia="仿宋"/>
                <w:color w:val="000000" w:themeColor="text1"/>
                <w:highlight w:val="none"/>
              </w:rPr>
              <w:t>年</w:t>
            </w:r>
            <w:r>
              <w:rPr>
                <w:rFonts w:hint="eastAsia" w:ascii="仿宋" w:hAnsi="仿宋" w:eastAsia="仿宋"/>
                <w:color w:val="000000" w:themeColor="text1"/>
                <w:highlight w:val="none"/>
                <w:lang w:val="en-US" w:eastAsia="zh-CN"/>
              </w:rPr>
              <w:t>02</w:t>
            </w:r>
            <w:r>
              <w:rPr>
                <w:rFonts w:hint="eastAsia" w:ascii="仿宋" w:hAnsi="仿宋" w:eastAsia="仿宋"/>
                <w:color w:val="000000" w:themeColor="text1"/>
                <w:highlight w:val="none"/>
              </w:rPr>
              <w:t>月</w:t>
            </w:r>
            <w:r>
              <w:rPr>
                <w:rFonts w:hint="eastAsia" w:ascii="仿宋" w:hAnsi="仿宋" w:eastAsia="仿宋"/>
                <w:color w:val="000000" w:themeColor="text1"/>
                <w:highlight w:val="none"/>
                <w:lang w:val="en-US" w:eastAsia="zh-CN"/>
              </w:rPr>
              <w:t>10</w:t>
            </w:r>
            <w:r>
              <w:rPr>
                <w:rFonts w:hint="eastAsia" w:ascii="仿宋" w:hAnsi="仿宋" w:eastAsia="仿宋"/>
                <w:color w:val="000000" w:themeColor="text1"/>
                <w:highlight w:val="none"/>
              </w:rPr>
              <w:t>日下午17：00时前以书面形式向采购代理机构提出质疑，逾期提出的，采购代理机构不予受理、答复。采购代理机构与采购人研究后，对认为有必要回答的问题，将在202</w:t>
            </w:r>
            <w:r>
              <w:rPr>
                <w:rFonts w:hint="eastAsia" w:ascii="仿宋" w:hAnsi="仿宋" w:eastAsia="仿宋"/>
                <w:color w:val="000000" w:themeColor="text1"/>
                <w:highlight w:val="none"/>
                <w:lang w:val="en-US" w:eastAsia="zh-CN"/>
              </w:rPr>
              <w:t>5</w:t>
            </w:r>
            <w:r>
              <w:rPr>
                <w:rFonts w:hint="eastAsia" w:ascii="仿宋" w:hAnsi="仿宋" w:eastAsia="仿宋"/>
                <w:color w:val="000000" w:themeColor="text1"/>
                <w:highlight w:val="none"/>
              </w:rPr>
              <w:t>年</w:t>
            </w:r>
            <w:r>
              <w:rPr>
                <w:rFonts w:hint="eastAsia" w:ascii="仿宋" w:hAnsi="仿宋" w:eastAsia="仿宋"/>
                <w:color w:val="000000" w:themeColor="text1"/>
                <w:highlight w:val="none"/>
                <w:lang w:val="en-US" w:eastAsia="zh-CN"/>
              </w:rPr>
              <w:t>02</w:t>
            </w:r>
            <w:r>
              <w:rPr>
                <w:rFonts w:hint="eastAsia" w:ascii="仿宋" w:hAnsi="仿宋" w:eastAsia="仿宋"/>
                <w:color w:val="000000" w:themeColor="text1"/>
                <w:highlight w:val="none"/>
              </w:rPr>
              <w:t>月</w:t>
            </w:r>
            <w:r>
              <w:rPr>
                <w:rFonts w:hint="eastAsia" w:ascii="仿宋" w:hAnsi="仿宋" w:eastAsia="仿宋"/>
                <w:color w:val="000000" w:themeColor="text1"/>
                <w:highlight w:val="none"/>
                <w:lang w:val="en-US" w:eastAsia="zh-CN"/>
              </w:rPr>
              <w:t>11</w:t>
            </w:r>
            <w:r>
              <w:rPr>
                <w:rFonts w:hint="eastAsia" w:ascii="仿宋" w:hAnsi="仿宋" w:eastAsia="仿宋"/>
                <w:color w:val="000000" w:themeColor="text1"/>
                <w:highlight w:val="none"/>
              </w:rPr>
              <w:t>日下午17：00时前将答疑内容以网上发布公告或书面形式通知有关投标人，答疑内容是招标文件的组成部份。</w:t>
            </w:r>
          </w:p>
        </w:tc>
      </w:tr>
      <w:tr w14:paraId="4A9BD0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704" w:type="dxa"/>
            <w:shd w:val="clear" w:color="auto" w:fill="auto"/>
            <w:vAlign w:val="center"/>
          </w:tcPr>
          <w:p w14:paraId="70165D6B">
            <w:pPr>
              <w:pStyle w:val="25"/>
              <w:spacing w:line="400" w:lineRule="exact"/>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23</w:t>
            </w:r>
          </w:p>
        </w:tc>
        <w:tc>
          <w:tcPr>
            <w:tcW w:w="2035" w:type="dxa"/>
            <w:shd w:val="clear" w:color="auto" w:fill="auto"/>
            <w:vAlign w:val="center"/>
          </w:tcPr>
          <w:p w14:paraId="2F11B047">
            <w:pPr>
              <w:pStyle w:val="25"/>
              <w:spacing w:line="400" w:lineRule="exact"/>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信用记录</w:t>
            </w:r>
          </w:p>
        </w:tc>
        <w:tc>
          <w:tcPr>
            <w:tcW w:w="7655" w:type="dxa"/>
            <w:shd w:val="clear" w:color="auto" w:fill="auto"/>
            <w:vAlign w:val="center"/>
          </w:tcPr>
          <w:p w14:paraId="61B3D687">
            <w:pPr>
              <w:pStyle w:val="25"/>
              <w:spacing w:line="276" w:lineRule="auto"/>
              <w:rPr>
                <w:rFonts w:hint="eastAsia" w:ascii="仿宋" w:hAnsi="仿宋" w:eastAsia="仿宋"/>
                <w:color w:val="000000" w:themeColor="text1"/>
                <w:highlight w:val="none"/>
              </w:rPr>
            </w:pPr>
            <w:r>
              <w:rPr>
                <w:rFonts w:hint="eastAsia" w:ascii="仿宋" w:hAnsi="仿宋" w:eastAsia="仿宋"/>
                <w:color w:val="000000" w:themeColor="text1"/>
                <w:highlight w:val="none"/>
              </w:rPr>
              <w:t>根据财库[2016]125号文件，将在资格审查时通过“信用中国”网站</w:t>
            </w:r>
            <w:r>
              <w:rPr>
                <w:rFonts w:ascii="Times New Roman" w:hAnsi="仿宋" w:eastAsia="仿宋" w:cs="Times New Roman"/>
                <w:color w:val="000000" w:themeColor="text1"/>
                <w:sz w:val="21"/>
                <w:szCs w:val="21"/>
                <w:highlight w:val="none"/>
              </w:rPr>
              <w:t>（</w:t>
            </w:r>
            <w:r>
              <w:rPr>
                <w:rFonts w:ascii="Times New Roman" w:hAnsi="Times New Roman" w:eastAsia="仿宋" w:cs="Times New Roman"/>
                <w:color w:val="000000" w:themeColor="text1"/>
                <w:sz w:val="21"/>
                <w:szCs w:val="21"/>
                <w:highlight w:val="none"/>
              </w:rPr>
              <w:t>www.creditchina.gov.cn</w:t>
            </w:r>
            <w:r>
              <w:rPr>
                <w:rFonts w:ascii="Times New Roman" w:hAnsi="仿宋" w:eastAsia="仿宋" w:cs="Times New Roman"/>
                <w:color w:val="000000" w:themeColor="text1"/>
                <w:sz w:val="21"/>
                <w:szCs w:val="21"/>
                <w:highlight w:val="none"/>
              </w:rPr>
              <w:t>）</w:t>
            </w:r>
            <w:r>
              <w:rPr>
                <w:rFonts w:hint="eastAsia" w:ascii="仿宋" w:hAnsi="仿宋" w:eastAsia="仿宋"/>
                <w:color w:val="000000" w:themeColor="text1"/>
                <w:highlight w:val="none"/>
              </w:rPr>
              <w:t>、中国政府采购网</w:t>
            </w:r>
            <w:r>
              <w:rPr>
                <w:rFonts w:ascii="Times New Roman" w:hAnsi="仿宋" w:eastAsia="仿宋" w:cs="Times New Roman"/>
                <w:color w:val="000000" w:themeColor="text1"/>
                <w:sz w:val="21"/>
                <w:szCs w:val="21"/>
                <w:highlight w:val="none"/>
              </w:rPr>
              <w:t>（</w:t>
            </w:r>
            <w:r>
              <w:rPr>
                <w:rFonts w:ascii="Times New Roman" w:hAnsi="Times New Roman" w:eastAsia="仿宋" w:cs="Times New Roman"/>
                <w:color w:val="000000" w:themeColor="text1"/>
                <w:sz w:val="21"/>
                <w:szCs w:val="21"/>
                <w:highlight w:val="none"/>
              </w:rPr>
              <w:t>www.ccgp.gov.cn</w:t>
            </w:r>
            <w:r>
              <w:rPr>
                <w:rFonts w:ascii="Times New Roman" w:hAnsi="仿宋" w:eastAsia="仿宋" w:cs="Times New Roman"/>
                <w:color w:val="000000" w:themeColor="text1"/>
                <w:sz w:val="21"/>
                <w:szCs w:val="21"/>
                <w:highlight w:val="none"/>
              </w:rPr>
              <w:t>）</w:t>
            </w:r>
            <w:r>
              <w:rPr>
                <w:rFonts w:ascii="Times New Roman" w:hAnsi="仿宋" w:eastAsia="仿宋" w:cs="Times New Roman"/>
                <w:color w:val="000000" w:themeColor="text1"/>
                <w:szCs w:val="24"/>
                <w:highlight w:val="none"/>
              </w:rPr>
              <w:t>渠道查询</w:t>
            </w:r>
            <w:r>
              <w:rPr>
                <w:rFonts w:hint="eastAsia" w:ascii="仿宋" w:hAnsi="仿宋" w:eastAsia="仿宋"/>
                <w:color w:val="000000" w:themeColor="text1"/>
                <w:highlight w:val="none"/>
              </w:rPr>
              <w:t>投标人接受资格审查时的信用记录。经查询列入失信被执行人、重大税收违法案件当事人名单、政府采购严重违法失信行为记录名单的供应商将被拒绝参与采购活动，其投标将作无效投标处理。</w:t>
            </w:r>
          </w:p>
        </w:tc>
      </w:tr>
      <w:tr w14:paraId="412580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1" w:hRule="atLeast"/>
          <w:jc w:val="center"/>
        </w:trPr>
        <w:tc>
          <w:tcPr>
            <w:tcW w:w="704" w:type="dxa"/>
            <w:shd w:val="clear" w:color="auto" w:fill="auto"/>
            <w:vAlign w:val="center"/>
          </w:tcPr>
          <w:p w14:paraId="674DE7CF">
            <w:pPr>
              <w:pStyle w:val="25"/>
              <w:spacing w:line="400" w:lineRule="exact"/>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24</w:t>
            </w:r>
          </w:p>
        </w:tc>
        <w:tc>
          <w:tcPr>
            <w:tcW w:w="2035" w:type="dxa"/>
            <w:shd w:val="clear" w:color="auto" w:fill="auto"/>
            <w:vAlign w:val="center"/>
          </w:tcPr>
          <w:p w14:paraId="37F96FA6">
            <w:pPr>
              <w:pStyle w:val="25"/>
              <w:spacing w:line="400" w:lineRule="exact"/>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其他</w:t>
            </w:r>
          </w:p>
        </w:tc>
        <w:tc>
          <w:tcPr>
            <w:tcW w:w="7655" w:type="dxa"/>
            <w:shd w:val="clear" w:color="auto" w:fill="auto"/>
            <w:vAlign w:val="center"/>
          </w:tcPr>
          <w:p w14:paraId="11793C95">
            <w:pPr>
              <w:spacing w:line="276" w:lineRule="auto"/>
              <w:rPr>
                <w:rStyle w:val="52"/>
                <w:rFonts w:hint="eastAsia" w:ascii="仿宋" w:hAnsi="仿宋" w:eastAsia="仿宋" w:cs="宋体"/>
                <w:b w:val="0"/>
                <w:color w:val="000000" w:themeColor="text1"/>
                <w:sz w:val="24"/>
                <w:szCs w:val="24"/>
                <w:highlight w:val="none"/>
              </w:rPr>
            </w:pPr>
            <w:bookmarkStart w:id="4" w:name="_Hlk28095012"/>
            <w:r>
              <w:rPr>
                <w:rStyle w:val="52"/>
                <w:rFonts w:hint="eastAsia" w:ascii="仿宋" w:hAnsi="仿宋" w:eastAsia="仿宋" w:cs="宋体"/>
                <w:b w:val="0"/>
                <w:color w:val="000000" w:themeColor="text1"/>
                <w:sz w:val="24"/>
                <w:szCs w:val="24"/>
                <w:highlight w:val="none"/>
              </w:rPr>
              <w:t>1、招标代理服务费</w:t>
            </w:r>
            <w:bookmarkEnd w:id="4"/>
            <w:r>
              <w:rPr>
                <w:rStyle w:val="52"/>
                <w:rFonts w:hint="eastAsia" w:ascii="仿宋" w:hAnsi="仿宋" w:eastAsia="仿宋" w:cs="宋体"/>
                <w:b w:val="0"/>
                <w:color w:val="000000" w:themeColor="text1"/>
                <w:sz w:val="24"/>
                <w:szCs w:val="24"/>
                <w:highlight w:val="none"/>
              </w:rPr>
              <w:t>收费标准：</w:t>
            </w:r>
            <w:r>
              <w:rPr>
                <w:rFonts w:hint="eastAsia" w:ascii="仿宋" w:hAnsi="仿宋" w:eastAsia="仿宋" w:cs="宋体"/>
                <w:color w:val="000000" w:themeColor="text1"/>
                <w:kern w:val="2"/>
                <w:sz w:val="24"/>
                <w:szCs w:val="24"/>
                <w:highlight w:val="none"/>
              </w:rPr>
              <w:t>招标代理服务费以中标金额</w:t>
            </w:r>
            <w:r>
              <w:rPr>
                <w:rStyle w:val="52"/>
                <w:rFonts w:hint="eastAsia" w:ascii="仿宋" w:hAnsi="仿宋" w:eastAsia="仿宋" w:cs="宋体"/>
                <w:b w:val="0"/>
                <w:color w:val="000000" w:themeColor="text1"/>
                <w:sz w:val="24"/>
                <w:szCs w:val="24"/>
                <w:highlight w:val="none"/>
              </w:rPr>
              <w:t>为计算基数</w:t>
            </w:r>
            <w:r>
              <w:rPr>
                <w:rFonts w:hint="eastAsia" w:ascii="仿宋" w:hAnsi="仿宋" w:eastAsia="仿宋" w:cs="宋体"/>
                <w:b/>
                <w:color w:val="000000" w:themeColor="text1"/>
                <w:kern w:val="2"/>
                <w:sz w:val="24"/>
                <w:szCs w:val="24"/>
                <w:highlight w:val="none"/>
              </w:rPr>
              <w:t>，</w:t>
            </w:r>
            <w:r>
              <w:rPr>
                <w:rStyle w:val="52"/>
                <w:rFonts w:hint="eastAsia" w:ascii="仿宋" w:hAnsi="仿宋" w:eastAsia="仿宋" w:cs="宋体"/>
                <w:b w:val="0"/>
                <w:color w:val="000000" w:themeColor="text1"/>
                <w:sz w:val="24"/>
                <w:szCs w:val="24"/>
                <w:highlight w:val="none"/>
              </w:rPr>
              <w:t>按以下费率标准计算，计算方式采用差额定率累进法：</w:t>
            </w:r>
          </w:p>
          <w:tbl>
            <w:tblPr>
              <w:tblStyle w:val="50"/>
              <w:tblW w:w="0" w:type="auto"/>
              <w:tblInd w:w="1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1701"/>
            </w:tblGrid>
            <w:tr w14:paraId="0EBE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977" w:type="dxa"/>
                </w:tcPr>
                <w:p w14:paraId="7076381F">
                  <w:pPr>
                    <w:spacing w:line="400" w:lineRule="exact"/>
                    <w:jc w:val="center"/>
                    <w:rPr>
                      <w:rStyle w:val="52"/>
                      <w:rFonts w:hint="eastAsia" w:ascii="仿宋" w:hAnsi="仿宋" w:eastAsia="仿宋" w:cs="宋体"/>
                      <w:b w:val="0"/>
                      <w:color w:val="000000" w:themeColor="text1"/>
                      <w:sz w:val="24"/>
                      <w:szCs w:val="24"/>
                      <w:highlight w:val="none"/>
                    </w:rPr>
                  </w:pPr>
                  <w:r>
                    <w:rPr>
                      <w:rStyle w:val="52"/>
                      <w:rFonts w:hint="eastAsia" w:ascii="仿宋" w:hAnsi="仿宋" w:eastAsia="仿宋" w:cs="宋体"/>
                      <w:b w:val="0"/>
                      <w:color w:val="000000" w:themeColor="text1"/>
                      <w:sz w:val="24"/>
                      <w:szCs w:val="24"/>
                      <w:highlight w:val="none"/>
                    </w:rPr>
                    <w:t>金额（万元）</w:t>
                  </w:r>
                </w:p>
              </w:tc>
              <w:tc>
                <w:tcPr>
                  <w:tcW w:w="1701" w:type="dxa"/>
                </w:tcPr>
                <w:p w14:paraId="29FB9F52">
                  <w:pPr>
                    <w:spacing w:line="400" w:lineRule="exact"/>
                    <w:jc w:val="center"/>
                    <w:rPr>
                      <w:rStyle w:val="52"/>
                      <w:rFonts w:hint="eastAsia" w:ascii="仿宋" w:hAnsi="仿宋" w:eastAsia="仿宋" w:cs="宋体"/>
                      <w:b w:val="0"/>
                      <w:color w:val="000000" w:themeColor="text1"/>
                      <w:sz w:val="24"/>
                      <w:szCs w:val="24"/>
                      <w:highlight w:val="none"/>
                    </w:rPr>
                  </w:pPr>
                  <w:r>
                    <w:rPr>
                      <w:rStyle w:val="52"/>
                      <w:rFonts w:hint="eastAsia" w:ascii="仿宋" w:hAnsi="仿宋" w:eastAsia="仿宋" w:cs="宋体"/>
                      <w:b w:val="0"/>
                      <w:color w:val="000000" w:themeColor="text1"/>
                      <w:sz w:val="24"/>
                      <w:szCs w:val="24"/>
                      <w:highlight w:val="none"/>
                    </w:rPr>
                    <w:t>费率</w:t>
                  </w:r>
                </w:p>
              </w:tc>
            </w:tr>
            <w:tr w14:paraId="6E66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977" w:type="dxa"/>
                </w:tcPr>
                <w:p w14:paraId="1E8CDF6C">
                  <w:pPr>
                    <w:spacing w:line="400" w:lineRule="exact"/>
                    <w:jc w:val="center"/>
                    <w:rPr>
                      <w:rStyle w:val="52"/>
                      <w:rFonts w:hint="eastAsia" w:ascii="仿宋" w:hAnsi="仿宋" w:eastAsia="仿宋" w:cs="宋体"/>
                      <w:b w:val="0"/>
                      <w:color w:val="000000" w:themeColor="text1"/>
                      <w:sz w:val="24"/>
                      <w:szCs w:val="24"/>
                      <w:highlight w:val="none"/>
                    </w:rPr>
                  </w:pPr>
                  <w:r>
                    <w:rPr>
                      <w:rStyle w:val="52"/>
                      <w:rFonts w:hint="eastAsia" w:ascii="仿宋" w:hAnsi="仿宋" w:eastAsia="仿宋" w:cs="宋体"/>
                      <w:b w:val="0"/>
                      <w:color w:val="000000" w:themeColor="text1"/>
                      <w:sz w:val="24"/>
                      <w:szCs w:val="24"/>
                      <w:highlight w:val="none"/>
                    </w:rPr>
                    <w:t>100（含）以下部分</w:t>
                  </w:r>
                </w:p>
              </w:tc>
              <w:tc>
                <w:tcPr>
                  <w:tcW w:w="1701" w:type="dxa"/>
                </w:tcPr>
                <w:p w14:paraId="1C573DDE">
                  <w:pPr>
                    <w:spacing w:line="400" w:lineRule="exact"/>
                    <w:jc w:val="center"/>
                    <w:rPr>
                      <w:rStyle w:val="52"/>
                      <w:rFonts w:hint="eastAsia" w:ascii="仿宋" w:hAnsi="仿宋" w:eastAsia="仿宋" w:cs="宋体"/>
                      <w:b w:val="0"/>
                      <w:color w:val="000000" w:themeColor="text1"/>
                      <w:sz w:val="24"/>
                      <w:szCs w:val="24"/>
                      <w:highlight w:val="none"/>
                    </w:rPr>
                  </w:pPr>
                  <w:r>
                    <w:rPr>
                      <w:rStyle w:val="52"/>
                      <w:rFonts w:hint="eastAsia" w:ascii="仿宋" w:hAnsi="仿宋" w:eastAsia="仿宋" w:cs="宋体"/>
                      <w:b w:val="0"/>
                      <w:color w:val="000000" w:themeColor="text1"/>
                      <w:sz w:val="24"/>
                      <w:szCs w:val="24"/>
                      <w:highlight w:val="none"/>
                    </w:rPr>
                    <w:t>1</w:t>
                  </w:r>
                  <w:r>
                    <w:rPr>
                      <w:rStyle w:val="52"/>
                      <w:rFonts w:ascii="仿宋" w:hAnsi="仿宋" w:eastAsia="仿宋" w:cs="宋体"/>
                      <w:b w:val="0"/>
                      <w:color w:val="000000" w:themeColor="text1"/>
                      <w:sz w:val="24"/>
                      <w:szCs w:val="24"/>
                      <w:highlight w:val="none"/>
                    </w:rPr>
                    <w:t>.5</w:t>
                  </w:r>
                  <w:r>
                    <w:rPr>
                      <w:rStyle w:val="52"/>
                      <w:rFonts w:hint="eastAsia" w:ascii="仿宋" w:hAnsi="仿宋" w:eastAsia="仿宋" w:cs="宋体"/>
                      <w:b w:val="0"/>
                      <w:color w:val="000000" w:themeColor="text1"/>
                      <w:sz w:val="24"/>
                      <w:szCs w:val="24"/>
                      <w:highlight w:val="none"/>
                    </w:rPr>
                    <w:t>%</w:t>
                  </w:r>
                </w:p>
              </w:tc>
            </w:tr>
            <w:tr w14:paraId="4AA5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977" w:type="dxa"/>
                </w:tcPr>
                <w:p w14:paraId="5920C568">
                  <w:pPr>
                    <w:spacing w:line="400" w:lineRule="exact"/>
                    <w:jc w:val="center"/>
                    <w:rPr>
                      <w:rStyle w:val="52"/>
                      <w:rFonts w:hint="eastAsia" w:ascii="仿宋" w:hAnsi="仿宋" w:eastAsia="仿宋" w:cs="宋体"/>
                      <w:b w:val="0"/>
                      <w:color w:val="000000" w:themeColor="text1"/>
                      <w:sz w:val="24"/>
                      <w:szCs w:val="24"/>
                      <w:highlight w:val="none"/>
                    </w:rPr>
                  </w:pPr>
                  <w:r>
                    <w:rPr>
                      <w:rStyle w:val="52"/>
                      <w:rFonts w:hint="eastAsia" w:ascii="仿宋" w:hAnsi="仿宋" w:eastAsia="仿宋" w:cs="宋体"/>
                      <w:b w:val="0"/>
                      <w:color w:val="000000" w:themeColor="text1"/>
                      <w:sz w:val="24"/>
                      <w:szCs w:val="24"/>
                      <w:highlight w:val="none"/>
                    </w:rPr>
                    <w:t>100（不含）～500部分</w:t>
                  </w:r>
                </w:p>
              </w:tc>
              <w:tc>
                <w:tcPr>
                  <w:tcW w:w="1701" w:type="dxa"/>
                </w:tcPr>
                <w:p w14:paraId="50A2DF31">
                  <w:pPr>
                    <w:spacing w:line="400" w:lineRule="exact"/>
                    <w:jc w:val="center"/>
                    <w:rPr>
                      <w:rStyle w:val="52"/>
                      <w:rFonts w:hint="eastAsia" w:ascii="仿宋" w:hAnsi="仿宋" w:eastAsia="仿宋" w:cs="宋体"/>
                      <w:b w:val="0"/>
                      <w:color w:val="000000" w:themeColor="text1"/>
                      <w:sz w:val="24"/>
                      <w:szCs w:val="24"/>
                      <w:highlight w:val="none"/>
                    </w:rPr>
                  </w:pPr>
                  <w:r>
                    <w:rPr>
                      <w:rStyle w:val="52"/>
                      <w:rFonts w:hint="eastAsia" w:ascii="仿宋" w:hAnsi="仿宋" w:eastAsia="仿宋" w:cs="宋体"/>
                      <w:b w:val="0"/>
                      <w:color w:val="000000" w:themeColor="text1"/>
                      <w:sz w:val="24"/>
                      <w:szCs w:val="24"/>
                      <w:highlight w:val="none"/>
                    </w:rPr>
                    <w:t>0.8%</w:t>
                  </w:r>
                </w:p>
              </w:tc>
            </w:tr>
          </w:tbl>
          <w:p w14:paraId="705FDEAF">
            <w:pPr>
              <w:spacing w:line="276" w:lineRule="auto"/>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2、收取方式：本项目的招标代理服务费由中标人支付，中标人在采购结果公告发布之日起5日内一次性向采购代理机构付清。</w:t>
            </w:r>
          </w:p>
          <w:p w14:paraId="16185D2A">
            <w:pPr>
              <w:spacing w:line="276" w:lineRule="auto"/>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3、收款账户信息：浙江新顺项目管理有限公司，开户行：浙江诸暨农村商业银行股份有限公司浣东支行，账号：</w:t>
            </w:r>
            <w:r>
              <w:rPr>
                <w:rFonts w:ascii="仿宋" w:hAnsi="仿宋" w:eastAsia="仿宋"/>
                <w:color w:val="000000" w:themeColor="text1"/>
                <w:sz w:val="24"/>
                <w:szCs w:val="24"/>
                <w:highlight w:val="none"/>
              </w:rPr>
              <w:t>201000214232891</w:t>
            </w:r>
            <w:r>
              <w:rPr>
                <w:rFonts w:hint="eastAsia" w:ascii="仿宋" w:hAnsi="仿宋" w:eastAsia="仿宋"/>
                <w:color w:val="000000" w:themeColor="text1"/>
                <w:sz w:val="24"/>
                <w:szCs w:val="24"/>
                <w:highlight w:val="none"/>
              </w:rPr>
              <w:t>。</w:t>
            </w:r>
          </w:p>
        </w:tc>
      </w:tr>
      <w:tr w14:paraId="636C3A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08" w:hRule="atLeast"/>
          <w:jc w:val="center"/>
        </w:trPr>
        <w:tc>
          <w:tcPr>
            <w:tcW w:w="704" w:type="dxa"/>
            <w:shd w:val="clear" w:color="auto" w:fill="auto"/>
            <w:vAlign w:val="center"/>
          </w:tcPr>
          <w:p w14:paraId="54974864">
            <w:pPr>
              <w:pStyle w:val="25"/>
              <w:spacing w:line="400" w:lineRule="exact"/>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25</w:t>
            </w:r>
          </w:p>
        </w:tc>
        <w:tc>
          <w:tcPr>
            <w:tcW w:w="2035" w:type="dxa"/>
            <w:shd w:val="clear" w:color="auto" w:fill="auto"/>
            <w:vAlign w:val="center"/>
          </w:tcPr>
          <w:p w14:paraId="087924F1">
            <w:pPr>
              <w:pStyle w:val="25"/>
              <w:spacing w:line="400" w:lineRule="exact"/>
              <w:jc w:val="center"/>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特别提醒</w:t>
            </w:r>
          </w:p>
        </w:tc>
        <w:tc>
          <w:tcPr>
            <w:tcW w:w="7655" w:type="dxa"/>
            <w:shd w:val="clear" w:color="auto" w:fill="auto"/>
            <w:vAlign w:val="center"/>
          </w:tcPr>
          <w:p w14:paraId="78B7E8A5">
            <w:pPr>
              <w:snapToGrid w:val="0"/>
              <w:spacing w:line="276" w:lineRule="auto"/>
              <w:rPr>
                <w:rFonts w:hint="eastAsia" w:ascii="仿宋" w:hAnsi="仿宋" w:eastAsia="仿宋"/>
                <w:color w:val="000000" w:themeColor="text1"/>
                <w:sz w:val="24"/>
                <w:highlight w:val="none"/>
              </w:rPr>
            </w:pPr>
            <w:r>
              <w:rPr>
                <w:rFonts w:hint="eastAsia" w:ascii="仿宋" w:hAnsi="仿宋" w:eastAsia="仿宋"/>
                <w:color w:val="000000" w:themeColor="text1"/>
                <w:sz w:val="24"/>
                <w:szCs w:val="24"/>
                <w:highlight w:val="none"/>
              </w:rPr>
              <w:t>1、请投标人仔细阅读本招标文件，其中若带有“</w:t>
            </w:r>
            <w:r>
              <w:rPr>
                <w:rFonts w:hint="eastAsia" w:ascii="仿宋" w:hAnsi="仿宋" w:eastAsia="仿宋"/>
                <w:color w:val="auto"/>
                <w:sz w:val="24"/>
                <w:szCs w:val="24"/>
                <w:highlight w:val="none"/>
              </w:rPr>
              <w:t>★</w:t>
            </w:r>
            <w:r>
              <w:rPr>
                <w:rFonts w:hint="eastAsia" w:ascii="仿宋" w:hAnsi="仿宋" w:eastAsia="仿宋"/>
                <w:color w:val="000000" w:themeColor="text1"/>
                <w:sz w:val="24"/>
                <w:szCs w:val="24"/>
                <w:highlight w:val="none"/>
              </w:rPr>
              <w:t>”标记的条款为实质性内容及要求，投标人必须对带有“</w:t>
            </w:r>
            <w:r>
              <w:rPr>
                <w:rFonts w:hint="eastAsia" w:ascii="仿宋" w:hAnsi="仿宋" w:eastAsia="仿宋"/>
                <w:color w:val="auto"/>
                <w:sz w:val="24"/>
                <w:szCs w:val="24"/>
                <w:highlight w:val="none"/>
              </w:rPr>
              <w:t>★</w:t>
            </w:r>
            <w:r>
              <w:rPr>
                <w:rFonts w:hint="eastAsia" w:ascii="仿宋" w:hAnsi="仿宋" w:eastAsia="仿宋"/>
                <w:color w:val="000000" w:themeColor="text1"/>
                <w:sz w:val="24"/>
                <w:szCs w:val="24"/>
                <w:highlight w:val="none"/>
              </w:rPr>
              <w:t>”标记的条款作出实质性响应。</w:t>
            </w:r>
            <w:r>
              <w:rPr>
                <w:rFonts w:hint="eastAsia" w:ascii="仿宋" w:hAnsi="仿宋" w:eastAsia="仿宋"/>
                <w:color w:val="000000" w:themeColor="text1"/>
                <w:sz w:val="24"/>
                <w:highlight w:val="none"/>
              </w:rPr>
              <w:t>如任意一条打“</w:t>
            </w:r>
            <w:r>
              <w:rPr>
                <w:rFonts w:hint="eastAsia" w:ascii="仿宋" w:hAnsi="仿宋" w:eastAsia="仿宋"/>
                <w:color w:val="auto"/>
                <w:sz w:val="24"/>
                <w:szCs w:val="24"/>
                <w:highlight w:val="none"/>
              </w:rPr>
              <w:t>★</w:t>
            </w:r>
            <w:r>
              <w:rPr>
                <w:rFonts w:hint="eastAsia" w:ascii="仿宋" w:hAnsi="仿宋" w:eastAsia="仿宋"/>
                <w:color w:val="000000" w:themeColor="text1"/>
                <w:sz w:val="24"/>
                <w:highlight w:val="none"/>
              </w:rPr>
              <w:t>”的条款出现负偏离视为实质性不响应招标文件要求，作无效投标处理。</w:t>
            </w:r>
          </w:p>
          <w:p w14:paraId="68017C39">
            <w:pPr>
              <w:snapToGrid w:val="0"/>
              <w:spacing w:line="276" w:lineRule="auto"/>
              <w:rPr>
                <w:rFonts w:hint="eastAsia" w:ascii="仿宋" w:hAnsi="仿宋" w:eastAsia="仿宋"/>
                <w:color w:val="000000" w:themeColor="text1"/>
                <w:sz w:val="24"/>
                <w:szCs w:val="24"/>
                <w:highlight w:val="none"/>
              </w:rPr>
            </w:pPr>
            <w:r>
              <w:rPr>
                <w:rFonts w:hint="eastAsia" w:ascii="仿宋" w:hAnsi="仿宋" w:eastAsia="仿宋"/>
                <w:color w:val="000000" w:themeColor="text1"/>
                <w:sz w:val="24"/>
                <w:highlight w:val="none"/>
              </w:rPr>
              <w:t>2、</w:t>
            </w:r>
            <w:r>
              <w:rPr>
                <w:rFonts w:hint="eastAsia" w:ascii="仿宋" w:hAnsi="仿宋" w:eastAsia="仿宋"/>
                <w:color w:val="000000" w:themeColor="text1"/>
                <w:sz w:val="24"/>
                <w:szCs w:val="24"/>
                <w:highlight w:val="none"/>
              </w:rPr>
              <w:t>如本前附表规定与投标人须知条款的内容有不一致的，以本前附表为准。</w:t>
            </w:r>
          </w:p>
        </w:tc>
      </w:tr>
    </w:tbl>
    <w:p w14:paraId="24E1347C">
      <w:pPr>
        <w:rPr>
          <w:rFonts w:hint="eastAsia" w:ascii="宋体" w:hAnsi="宋体"/>
          <w:color w:val="000000" w:themeColor="text1"/>
          <w:highlight w:val="none"/>
        </w:rPr>
        <w:sectPr>
          <w:pgSz w:w="11906" w:h="16838"/>
          <w:pgMar w:top="1021" w:right="1247" w:bottom="1021" w:left="1247" w:header="567" w:footer="454" w:gutter="0"/>
          <w:pgNumType w:fmt="numberInDash"/>
          <w:cols w:space="720" w:num="1"/>
          <w:titlePg/>
          <w:docGrid w:type="lines" w:linePitch="312" w:charSpace="0"/>
        </w:sectPr>
      </w:pPr>
    </w:p>
    <w:bookmarkEnd w:id="3"/>
    <w:p w14:paraId="6A102AA3">
      <w:pPr>
        <w:pStyle w:val="3"/>
        <w:spacing w:before="156" w:after="156" w:line="240" w:lineRule="auto"/>
        <w:jc w:val="center"/>
        <w:rPr>
          <w:rFonts w:hint="eastAsia" w:ascii="仿宋" w:hAnsi="仿宋" w:eastAsia="仿宋"/>
          <w:color w:val="000000" w:themeColor="text1"/>
          <w:highlight w:val="none"/>
        </w:rPr>
      </w:pPr>
      <w:r>
        <w:rPr>
          <w:rFonts w:hint="eastAsia" w:ascii="仿宋" w:hAnsi="仿宋" w:eastAsia="仿宋"/>
          <w:color w:val="000000" w:themeColor="text1"/>
          <w:highlight w:val="none"/>
        </w:rPr>
        <w:t>一、总   则</w:t>
      </w:r>
    </w:p>
    <w:p w14:paraId="35ED86BD">
      <w:pPr>
        <w:spacing w:line="300" w:lineRule="auto"/>
        <w:ind w:firstLine="482" w:firstLineChars="200"/>
        <w:rPr>
          <w:rFonts w:hint="eastAsia" w:ascii="仿宋" w:hAnsi="仿宋" w:eastAsia="仿宋"/>
          <w:color w:val="000000" w:themeColor="text1"/>
          <w:highlight w:val="none"/>
        </w:rPr>
      </w:pPr>
      <w:r>
        <w:rPr>
          <w:rFonts w:hint="eastAsia" w:ascii="仿宋" w:hAnsi="仿宋" w:eastAsia="仿宋"/>
          <w:b/>
          <w:bCs/>
          <w:color w:val="000000" w:themeColor="text1"/>
          <w:sz w:val="24"/>
          <w:highlight w:val="none"/>
        </w:rPr>
        <w:t>1.</w:t>
      </w:r>
      <w:r>
        <w:rPr>
          <w:rFonts w:ascii="仿宋" w:hAnsi="仿宋" w:eastAsia="仿宋"/>
          <w:b/>
          <w:color w:val="000000" w:themeColor="text1"/>
          <w:sz w:val="24"/>
          <w:highlight w:val="none"/>
        </w:rPr>
        <w:t>适用范围</w:t>
      </w:r>
    </w:p>
    <w:p w14:paraId="63A9BCA1">
      <w:pPr>
        <w:snapToGrid w:val="0"/>
        <w:spacing w:line="300" w:lineRule="auto"/>
        <w:ind w:firstLine="480" w:firstLineChars="200"/>
        <w:jc w:val="left"/>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本招标文件适用于本次所述项目的招标。</w:t>
      </w:r>
    </w:p>
    <w:p w14:paraId="7B10B9DC">
      <w:pPr>
        <w:snapToGrid w:val="0"/>
        <w:spacing w:line="240" w:lineRule="exact"/>
        <w:ind w:firstLine="472" w:firstLineChars="196"/>
        <w:jc w:val="left"/>
        <w:outlineLvl w:val="1"/>
        <w:rPr>
          <w:rFonts w:hint="eastAsia" w:ascii="仿宋" w:hAnsi="仿宋" w:eastAsia="仿宋"/>
          <w:b/>
          <w:color w:val="000000" w:themeColor="text1"/>
          <w:sz w:val="24"/>
          <w:highlight w:val="none"/>
        </w:rPr>
      </w:pPr>
      <w:r>
        <w:rPr>
          <w:rFonts w:hint="eastAsia" w:ascii="仿宋" w:hAnsi="仿宋" w:eastAsia="仿宋"/>
          <w:b/>
          <w:color w:val="000000" w:themeColor="text1"/>
          <w:sz w:val="24"/>
          <w:highlight w:val="none"/>
        </w:rPr>
        <w:t>2.定义</w:t>
      </w:r>
    </w:p>
    <w:p w14:paraId="4BBB1A24">
      <w:pPr>
        <w:snapToGrid w:val="0"/>
        <w:spacing w:line="300" w:lineRule="auto"/>
        <w:ind w:firstLine="480" w:firstLineChars="200"/>
        <w:jc w:val="left"/>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2.1采购</w:t>
      </w:r>
      <w:r>
        <w:rPr>
          <w:rFonts w:ascii="仿宋" w:hAnsi="仿宋" w:eastAsia="仿宋"/>
          <w:color w:val="000000" w:themeColor="text1"/>
          <w:sz w:val="24"/>
          <w:highlight w:val="none"/>
        </w:rPr>
        <w:t>人：</w:t>
      </w:r>
      <w:r>
        <w:rPr>
          <w:rFonts w:hint="eastAsia" w:ascii="仿宋" w:hAnsi="仿宋" w:eastAsia="仿宋" w:cs="宋体"/>
          <w:color w:val="000000" w:themeColor="text1"/>
          <w:sz w:val="24"/>
          <w:szCs w:val="24"/>
          <w:highlight w:val="none"/>
        </w:rPr>
        <w:t>诸暨市安华农贸市场</w:t>
      </w:r>
      <w:r>
        <w:rPr>
          <w:rFonts w:ascii="仿宋" w:hAnsi="仿宋" w:eastAsia="仿宋"/>
          <w:color w:val="000000" w:themeColor="text1"/>
          <w:sz w:val="24"/>
          <w:highlight w:val="none"/>
        </w:rPr>
        <w:t>。</w:t>
      </w:r>
    </w:p>
    <w:p w14:paraId="343E4D61">
      <w:pPr>
        <w:snapToGrid w:val="0"/>
        <w:spacing w:line="300" w:lineRule="auto"/>
        <w:ind w:firstLine="480" w:firstLineChars="200"/>
        <w:jc w:val="left"/>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2.2采购代理机构：在采购人委托范围内组织招标事宜的浙江新顺项目管理有限公司。</w:t>
      </w:r>
    </w:p>
    <w:p w14:paraId="0095AC9C">
      <w:pPr>
        <w:snapToGrid w:val="0"/>
        <w:spacing w:line="300" w:lineRule="auto"/>
        <w:ind w:firstLine="480" w:firstLineChars="200"/>
        <w:jc w:val="left"/>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2.3</w:t>
      </w:r>
      <w:r>
        <w:rPr>
          <w:rFonts w:ascii="仿宋" w:hAnsi="仿宋" w:eastAsia="仿宋"/>
          <w:color w:val="000000" w:themeColor="text1"/>
          <w:sz w:val="24"/>
          <w:highlight w:val="none"/>
        </w:rPr>
        <w:t>投标人：向采购</w:t>
      </w:r>
      <w:r>
        <w:rPr>
          <w:rFonts w:hint="eastAsia" w:ascii="仿宋" w:hAnsi="仿宋" w:eastAsia="仿宋"/>
          <w:color w:val="000000" w:themeColor="text1"/>
          <w:sz w:val="24"/>
          <w:highlight w:val="none"/>
        </w:rPr>
        <w:t>人和采购代理机构</w:t>
      </w:r>
      <w:r>
        <w:rPr>
          <w:rFonts w:ascii="仿宋" w:hAnsi="仿宋" w:eastAsia="仿宋"/>
          <w:color w:val="000000" w:themeColor="text1"/>
          <w:sz w:val="24"/>
          <w:highlight w:val="none"/>
        </w:rPr>
        <w:t>提交投标文件的</w:t>
      </w:r>
      <w:r>
        <w:rPr>
          <w:rFonts w:hint="eastAsia" w:ascii="仿宋" w:hAnsi="仿宋" w:eastAsia="仿宋"/>
          <w:color w:val="000000" w:themeColor="text1"/>
          <w:sz w:val="24"/>
          <w:highlight w:val="none"/>
        </w:rPr>
        <w:t>供应商</w:t>
      </w:r>
      <w:r>
        <w:rPr>
          <w:rFonts w:ascii="仿宋" w:hAnsi="仿宋" w:eastAsia="仿宋"/>
          <w:color w:val="000000" w:themeColor="text1"/>
          <w:sz w:val="24"/>
          <w:highlight w:val="none"/>
        </w:rPr>
        <w:t>。</w:t>
      </w:r>
    </w:p>
    <w:p w14:paraId="665C8245">
      <w:pPr>
        <w:snapToGrid w:val="0"/>
        <w:spacing w:line="300" w:lineRule="auto"/>
        <w:ind w:firstLine="480" w:firstLineChars="200"/>
        <w:jc w:val="left"/>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2.4</w:t>
      </w:r>
      <w:r>
        <w:rPr>
          <w:rFonts w:ascii="仿宋" w:hAnsi="仿宋" w:eastAsia="仿宋"/>
          <w:color w:val="000000" w:themeColor="text1"/>
          <w:sz w:val="24"/>
          <w:highlight w:val="none"/>
        </w:rPr>
        <w:t>产品：指供方按招标文件规定，须向采购人提供的一切设备、保险、税金、备品备件、工具、手册及其它有关技术资料和材料。</w:t>
      </w:r>
    </w:p>
    <w:p w14:paraId="44FDECEB">
      <w:pPr>
        <w:snapToGrid w:val="0"/>
        <w:spacing w:line="300" w:lineRule="auto"/>
        <w:ind w:firstLine="480" w:firstLineChars="200"/>
        <w:jc w:val="left"/>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2.5</w:t>
      </w:r>
      <w:r>
        <w:rPr>
          <w:rFonts w:ascii="仿宋" w:hAnsi="仿宋" w:eastAsia="仿宋"/>
          <w:color w:val="000000" w:themeColor="text1"/>
          <w:sz w:val="24"/>
          <w:highlight w:val="none"/>
        </w:rPr>
        <w:t>服务：指招标文件规定投标人须承担的安装、调试、技术协助、校准、培训、技术指导以及其他类似的义务。</w:t>
      </w:r>
    </w:p>
    <w:p w14:paraId="7B9B4DB7">
      <w:pPr>
        <w:snapToGrid w:val="0"/>
        <w:spacing w:line="300" w:lineRule="auto"/>
        <w:ind w:firstLine="480" w:firstLineChars="200"/>
        <w:jc w:val="left"/>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2.6</w:t>
      </w:r>
      <w:r>
        <w:rPr>
          <w:rFonts w:ascii="仿宋" w:hAnsi="仿宋" w:eastAsia="仿宋"/>
          <w:color w:val="000000" w:themeColor="text1"/>
          <w:sz w:val="24"/>
          <w:highlight w:val="none"/>
        </w:rPr>
        <w:t>项目：指投标人按招标文件规定向采购人提供的产品、服务的需求总称。</w:t>
      </w:r>
    </w:p>
    <w:p w14:paraId="0FA7FEBA">
      <w:pPr>
        <w:snapToGrid w:val="0"/>
        <w:spacing w:line="300" w:lineRule="auto"/>
        <w:ind w:firstLine="480" w:firstLineChars="200"/>
        <w:jc w:val="left"/>
        <w:rPr>
          <w:rFonts w:hint="eastAsia" w:ascii="仿宋" w:hAnsi="仿宋" w:eastAsia="仿宋"/>
          <w:color w:val="000000" w:themeColor="text1"/>
          <w:sz w:val="24"/>
          <w:highlight w:val="none"/>
        </w:rPr>
      </w:pPr>
      <w:r>
        <w:rPr>
          <w:rFonts w:hint="eastAsia" w:ascii="仿宋" w:hAnsi="仿宋" w:eastAsia="仿宋"/>
          <w:color w:val="auto"/>
          <w:sz w:val="24"/>
          <w:highlight w:val="none"/>
        </w:rPr>
        <w:t>2.7单位负责人：指单位法定代表人或者法律、行政法规规定代表单位行使职权的主要负责人。</w:t>
      </w:r>
    </w:p>
    <w:p w14:paraId="05D5CDA8">
      <w:pPr>
        <w:snapToGrid w:val="0"/>
        <w:spacing w:line="300" w:lineRule="auto"/>
        <w:ind w:firstLine="480" w:firstLineChars="200"/>
        <w:jc w:val="left"/>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2.8</w:t>
      </w:r>
      <w:r>
        <w:rPr>
          <w:rFonts w:hint="eastAsia" w:ascii="仿宋" w:hAnsi="仿宋" w:eastAsia="仿宋"/>
          <w:bCs/>
          <w:color w:val="000000" w:themeColor="text1"/>
          <w:sz w:val="24"/>
          <w:highlight w:val="none"/>
        </w:rPr>
        <w:t>公章：指单位法定名称章。</w:t>
      </w:r>
    </w:p>
    <w:p w14:paraId="54B8ADA0">
      <w:pPr>
        <w:snapToGrid w:val="0"/>
        <w:spacing w:line="300" w:lineRule="auto"/>
        <w:ind w:firstLine="480" w:firstLineChars="200"/>
        <w:jc w:val="left"/>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2.9</w:t>
      </w:r>
      <w:r>
        <w:rPr>
          <w:rFonts w:ascii="仿宋" w:hAnsi="仿宋" w:eastAsia="仿宋"/>
          <w:color w:val="000000" w:themeColor="text1"/>
          <w:sz w:val="24"/>
          <w:highlight w:val="none"/>
        </w:rPr>
        <w:t>书面形式：包括信函、传真、电报等。</w:t>
      </w:r>
    </w:p>
    <w:p w14:paraId="2E3D252C">
      <w:pPr>
        <w:snapToGrid w:val="0"/>
        <w:spacing w:line="300" w:lineRule="auto"/>
        <w:ind w:firstLine="480" w:firstLineChars="200"/>
        <w:jc w:val="left"/>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2.10招标文件所述设备品牌、型号是结合实际现有情况的推荐性参考方案，投标方也可根据招标文件得要求参考性能相当或高于、服务条款相等或高于、符合招标方实际业务需求其他同档次优质品牌的产品，进行方案优化。所投产品不在参考品牌范围内的，是否符合招标文件要求由评标小组在投标文件评审时集体讨论决定。</w:t>
      </w:r>
    </w:p>
    <w:p w14:paraId="4A77D891">
      <w:pPr>
        <w:snapToGrid w:val="0"/>
        <w:spacing w:line="300" w:lineRule="auto"/>
        <w:ind w:firstLine="482" w:firstLineChars="200"/>
        <w:jc w:val="left"/>
        <w:rPr>
          <w:rFonts w:hint="eastAsia" w:ascii="仿宋" w:hAnsi="仿宋" w:eastAsia="仿宋"/>
          <w:b/>
          <w:color w:val="000000" w:themeColor="text1"/>
          <w:sz w:val="24"/>
          <w:highlight w:val="none"/>
        </w:rPr>
      </w:pPr>
      <w:r>
        <w:rPr>
          <w:rFonts w:hint="eastAsia" w:ascii="仿宋" w:hAnsi="仿宋" w:eastAsia="仿宋"/>
          <w:b/>
          <w:color w:val="000000" w:themeColor="text1"/>
          <w:sz w:val="24"/>
          <w:highlight w:val="none"/>
        </w:rPr>
        <w:t>3.采购方式</w:t>
      </w:r>
    </w:p>
    <w:p w14:paraId="355DD450">
      <w:pPr>
        <w:snapToGrid w:val="0"/>
        <w:spacing w:line="300" w:lineRule="auto"/>
        <w:ind w:firstLine="480" w:firstLineChars="200"/>
        <w:jc w:val="left"/>
        <w:rPr>
          <w:rFonts w:hint="eastAsia" w:ascii="仿宋" w:hAnsi="仿宋" w:eastAsia="仿宋"/>
          <w:color w:val="000000" w:themeColor="text1"/>
          <w:sz w:val="24"/>
          <w:highlight w:val="none"/>
        </w:rPr>
      </w:pPr>
      <w:r>
        <w:rPr>
          <w:rFonts w:ascii="仿宋" w:hAnsi="仿宋" w:eastAsia="仿宋"/>
          <w:color w:val="000000" w:themeColor="text1"/>
          <w:sz w:val="24"/>
          <w:highlight w:val="none"/>
        </w:rPr>
        <w:t>本次</w:t>
      </w:r>
      <w:r>
        <w:rPr>
          <w:rFonts w:hint="eastAsia" w:ascii="仿宋" w:hAnsi="仿宋" w:eastAsia="仿宋"/>
          <w:color w:val="000000" w:themeColor="text1"/>
          <w:sz w:val="24"/>
          <w:highlight w:val="none"/>
        </w:rPr>
        <w:t>采购</w:t>
      </w:r>
      <w:r>
        <w:rPr>
          <w:rFonts w:ascii="仿宋" w:hAnsi="仿宋" w:eastAsia="仿宋"/>
          <w:color w:val="000000" w:themeColor="text1"/>
          <w:sz w:val="24"/>
          <w:highlight w:val="none"/>
        </w:rPr>
        <w:t>采用公开招标方式进行。</w:t>
      </w:r>
    </w:p>
    <w:p w14:paraId="6672B418">
      <w:pPr>
        <w:snapToGrid w:val="0"/>
        <w:spacing w:line="300" w:lineRule="auto"/>
        <w:ind w:firstLine="472" w:firstLineChars="196"/>
        <w:jc w:val="left"/>
        <w:outlineLvl w:val="1"/>
        <w:rPr>
          <w:rFonts w:hint="eastAsia" w:ascii="仿宋" w:hAnsi="仿宋" w:eastAsia="仿宋"/>
          <w:b/>
          <w:color w:val="000000" w:themeColor="text1"/>
          <w:sz w:val="24"/>
          <w:highlight w:val="none"/>
        </w:rPr>
      </w:pPr>
      <w:r>
        <w:rPr>
          <w:rFonts w:hint="eastAsia" w:ascii="仿宋" w:hAnsi="仿宋" w:eastAsia="仿宋"/>
          <w:b/>
          <w:color w:val="000000" w:themeColor="text1"/>
          <w:sz w:val="24"/>
          <w:highlight w:val="none"/>
        </w:rPr>
        <w:t>4.投标委托</w:t>
      </w:r>
    </w:p>
    <w:p w14:paraId="6640A362">
      <w:pPr>
        <w:snapToGrid w:val="0"/>
        <w:spacing w:line="300" w:lineRule="auto"/>
        <w:ind w:firstLine="480" w:firstLineChars="200"/>
        <w:jc w:val="left"/>
        <w:rPr>
          <w:rFonts w:hint="eastAsia" w:ascii="仿宋" w:hAnsi="仿宋" w:eastAsia="仿宋"/>
          <w:color w:val="000000" w:themeColor="text1"/>
          <w:sz w:val="24"/>
          <w:highlight w:val="none"/>
        </w:rPr>
      </w:pPr>
      <w:r>
        <w:rPr>
          <w:rFonts w:ascii="仿宋" w:hAnsi="仿宋" w:eastAsia="仿宋"/>
          <w:color w:val="000000" w:themeColor="text1"/>
          <w:sz w:val="24"/>
          <w:highlight w:val="none"/>
        </w:rPr>
        <w:t>投标人代表不是法定代表人或单位负责人，投标文件中应当按招标文件要求提供授权委托书。投标人代表是</w:t>
      </w:r>
      <w:r>
        <w:rPr>
          <w:rFonts w:hint="eastAsia" w:ascii="仿宋" w:hAnsi="仿宋" w:eastAsia="仿宋"/>
          <w:color w:val="000000" w:themeColor="text1"/>
          <w:sz w:val="24"/>
          <w:highlight w:val="none"/>
        </w:rPr>
        <w:t>法定代表人或单位负责人的，投标文件中只需提供法定代表人或单位负责人本人身份证件复印件并加盖单位公章。</w:t>
      </w:r>
    </w:p>
    <w:p w14:paraId="63118A02">
      <w:pPr>
        <w:snapToGrid w:val="0"/>
        <w:spacing w:line="300" w:lineRule="auto"/>
        <w:ind w:firstLine="472" w:firstLineChars="196"/>
        <w:jc w:val="left"/>
        <w:outlineLvl w:val="1"/>
        <w:rPr>
          <w:rFonts w:hint="eastAsia" w:ascii="仿宋" w:hAnsi="仿宋" w:eastAsia="仿宋"/>
          <w:b/>
          <w:color w:val="000000" w:themeColor="text1"/>
          <w:sz w:val="24"/>
          <w:highlight w:val="none"/>
        </w:rPr>
      </w:pPr>
      <w:r>
        <w:rPr>
          <w:rFonts w:hint="eastAsia" w:ascii="仿宋" w:hAnsi="仿宋" w:eastAsia="仿宋"/>
          <w:b/>
          <w:color w:val="000000" w:themeColor="text1"/>
          <w:sz w:val="24"/>
          <w:highlight w:val="none"/>
        </w:rPr>
        <w:t>5.投标费用</w:t>
      </w:r>
    </w:p>
    <w:p w14:paraId="0C061203">
      <w:pPr>
        <w:snapToGrid w:val="0"/>
        <w:spacing w:line="300" w:lineRule="auto"/>
        <w:ind w:firstLine="480" w:firstLineChars="200"/>
        <w:jc w:val="left"/>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投标人应自行承担获得招标文件和编制、提交投标文件所涉及的一切费用。不论投标结果如何，投标人均应自行承担所有与投标有关的全部费用。对中标人收取招标代理服务费。</w:t>
      </w:r>
    </w:p>
    <w:p w14:paraId="7D0DAEAB">
      <w:pPr>
        <w:snapToGrid w:val="0"/>
        <w:spacing w:line="300" w:lineRule="auto"/>
        <w:ind w:firstLine="472" w:firstLineChars="196"/>
        <w:jc w:val="left"/>
        <w:outlineLvl w:val="1"/>
        <w:rPr>
          <w:rFonts w:hint="eastAsia" w:ascii="仿宋" w:hAnsi="仿宋" w:eastAsia="仿宋"/>
          <w:b/>
          <w:color w:val="000000" w:themeColor="text1"/>
          <w:sz w:val="24"/>
          <w:highlight w:val="none"/>
        </w:rPr>
      </w:pPr>
      <w:r>
        <w:rPr>
          <w:rFonts w:hint="eastAsia" w:ascii="仿宋" w:hAnsi="仿宋" w:eastAsia="仿宋"/>
          <w:b/>
          <w:color w:val="000000" w:themeColor="text1"/>
          <w:sz w:val="24"/>
          <w:highlight w:val="none"/>
        </w:rPr>
        <w:t>6.特别说明：</w:t>
      </w:r>
    </w:p>
    <w:p w14:paraId="63FF3F4A">
      <w:pPr>
        <w:pStyle w:val="25"/>
        <w:snapToGrid w:val="0"/>
        <w:spacing w:line="300" w:lineRule="auto"/>
        <w:ind w:firstLine="480" w:firstLineChars="200"/>
        <w:jc w:val="left"/>
        <w:rPr>
          <w:rFonts w:hint="eastAsia" w:ascii="仿宋" w:hAnsi="仿宋" w:eastAsia="仿宋" w:cs="Times New Roman"/>
          <w:color w:val="000000" w:themeColor="text1"/>
          <w:highlight w:val="none"/>
        </w:rPr>
      </w:pPr>
      <w:r>
        <w:rPr>
          <w:rFonts w:hint="eastAsia" w:ascii="仿宋" w:hAnsi="仿宋" w:eastAsia="仿宋" w:cs="Times New Roman"/>
          <w:color w:val="000000" w:themeColor="text1"/>
          <w:highlight w:val="none"/>
        </w:rPr>
        <w:t>6.1</w:t>
      </w:r>
      <w:r>
        <w:rPr>
          <w:rFonts w:ascii="仿宋" w:hAnsi="仿宋" w:eastAsia="仿宋" w:cs="Times New Roman"/>
          <w:color w:val="000000" w:themeColor="text1"/>
          <w:highlight w:val="none"/>
        </w:rPr>
        <w:t>投标人应仔细阅读招标文件的所有内容，按照招标文件的要求提交投标文件，并对所提供的全部资料的真实性承担法律责任。</w:t>
      </w:r>
    </w:p>
    <w:p w14:paraId="0F441D8E">
      <w:pPr>
        <w:pStyle w:val="25"/>
        <w:snapToGrid w:val="0"/>
        <w:spacing w:line="300" w:lineRule="auto"/>
        <w:ind w:left="2" w:leftChars="1" w:firstLine="480" w:firstLineChars="200"/>
        <w:rPr>
          <w:rFonts w:hint="eastAsia" w:ascii="仿宋" w:hAnsi="仿宋" w:eastAsia="仿宋" w:cs="Times New Roman"/>
          <w:color w:val="000000" w:themeColor="text1"/>
          <w:highlight w:val="none"/>
        </w:rPr>
      </w:pPr>
      <w:r>
        <w:rPr>
          <w:rFonts w:hint="eastAsia" w:ascii="仿宋" w:hAnsi="仿宋" w:eastAsia="仿宋" w:cs="Times New Roman"/>
          <w:color w:val="000000" w:themeColor="text1"/>
          <w:highlight w:val="none"/>
        </w:rPr>
        <w:t>6.2</w:t>
      </w:r>
      <w:r>
        <w:rPr>
          <w:rFonts w:ascii="仿宋" w:hAnsi="仿宋" w:eastAsia="仿宋" w:cs="Times New Roman"/>
          <w:color w:val="000000" w:themeColor="text1"/>
          <w:highlight w:val="none"/>
        </w:rPr>
        <w:t>投标人在投标活动中提供任何虚假材料,其投标无效，并报监管部门查处。</w:t>
      </w:r>
    </w:p>
    <w:p w14:paraId="349B5597">
      <w:pPr>
        <w:pStyle w:val="25"/>
        <w:snapToGrid w:val="0"/>
        <w:spacing w:line="300" w:lineRule="auto"/>
        <w:ind w:left="2" w:leftChars="1" w:firstLine="480" w:firstLineChars="200"/>
        <w:rPr>
          <w:rFonts w:hint="eastAsia" w:ascii="仿宋" w:hAnsi="仿宋" w:eastAsia="仿宋" w:cs="Times New Roman"/>
          <w:color w:val="000000" w:themeColor="text1"/>
          <w:highlight w:val="none"/>
        </w:rPr>
      </w:pPr>
      <w:r>
        <w:rPr>
          <w:rFonts w:hint="eastAsia" w:ascii="仿宋" w:hAnsi="仿宋" w:eastAsia="仿宋" w:cs="Times New Roman"/>
          <w:color w:val="000000" w:themeColor="text1"/>
          <w:highlight w:val="none"/>
        </w:rPr>
        <w:t>6.3单位负责人为同一人或者存在直接控股、管理关系的不同供应商，不得参加同一合同项下的采购活动；</w:t>
      </w:r>
      <w:r>
        <w:rPr>
          <w:rFonts w:hint="eastAsia" w:ascii="仿宋" w:hAnsi="仿宋" w:eastAsia="仿宋" w:cs="Times New Roman"/>
          <w:color w:val="000000"/>
          <w:highlight w:val="none"/>
        </w:rPr>
        <w:t>为采购项目提供整体设计、规范编制或者项目管理、监理、检测等服务后不得再参加该采购项目的其他采购活动。</w:t>
      </w:r>
    </w:p>
    <w:p w14:paraId="23576719">
      <w:pPr>
        <w:pStyle w:val="25"/>
        <w:snapToGrid w:val="0"/>
        <w:spacing w:line="300" w:lineRule="auto"/>
        <w:ind w:left="2" w:leftChars="1" w:firstLine="480" w:firstLineChars="200"/>
        <w:rPr>
          <w:rFonts w:hint="eastAsia" w:ascii="仿宋" w:hAnsi="仿宋" w:eastAsia="仿宋" w:cs="Times New Roman"/>
          <w:color w:val="000000" w:themeColor="text1"/>
          <w:highlight w:val="none"/>
        </w:rPr>
      </w:pPr>
      <w:r>
        <w:rPr>
          <w:rFonts w:hint="eastAsia" w:ascii="仿宋" w:hAnsi="仿宋" w:eastAsia="仿宋" w:cs="Times New Roman"/>
          <w:color w:val="000000" w:themeColor="text1"/>
          <w:highlight w:val="none"/>
        </w:rPr>
        <w:t>6.4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14:paraId="15B2402D">
      <w:pPr>
        <w:snapToGrid w:val="0"/>
        <w:spacing w:line="300" w:lineRule="auto"/>
        <w:ind w:firstLine="472" w:firstLineChars="196"/>
        <w:jc w:val="left"/>
        <w:outlineLvl w:val="1"/>
        <w:rPr>
          <w:rFonts w:hint="eastAsia" w:ascii="仿宋" w:hAnsi="仿宋" w:eastAsia="仿宋"/>
          <w:b/>
          <w:color w:val="000000" w:themeColor="text1"/>
          <w:sz w:val="24"/>
          <w:highlight w:val="none"/>
        </w:rPr>
      </w:pPr>
      <w:r>
        <w:rPr>
          <w:rFonts w:hint="eastAsia" w:ascii="仿宋" w:hAnsi="仿宋" w:eastAsia="仿宋"/>
          <w:b/>
          <w:color w:val="000000" w:themeColor="text1"/>
          <w:sz w:val="24"/>
          <w:highlight w:val="none"/>
        </w:rPr>
        <w:t>7.</w:t>
      </w:r>
      <w:r>
        <w:rPr>
          <w:rFonts w:ascii="仿宋" w:hAnsi="仿宋" w:eastAsia="仿宋"/>
          <w:b/>
          <w:color w:val="000000" w:themeColor="text1"/>
          <w:sz w:val="24"/>
          <w:highlight w:val="none"/>
        </w:rPr>
        <w:t>质疑和投诉</w:t>
      </w:r>
    </w:p>
    <w:p w14:paraId="6F2F7D04">
      <w:pPr>
        <w:pStyle w:val="25"/>
        <w:snapToGrid w:val="0"/>
        <w:spacing w:line="300" w:lineRule="auto"/>
        <w:ind w:left="1" w:firstLine="480" w:firstLineChars="200"/>
        <w:rPr>
          <w:rFonts w:hint="eastAsia" w:ascii="仿宋" w:hAnsi="仿宋" w:eastAsia="仿宋" w:cs="Times New Roman"/>
          <w:color w:val="000000" w:themeColor="text1"/>
          <w:szCs w:val="24"/>
          <w:highlight w:val="none"/>
        </w:rPr>
      </w:pPr>
      <w:r>
        <w:rPr>
          <w:rFonts w:hint="eastAsia" w:ascii="仿宋" w:hAnsi="仿宋" w:eastAsia="仿宋" w:cs="Times New Roman"/>
          <w:bCs/>
          <w:color w:val="000000" w:themeColor="text1"/>
          <w:highlight w:val="none"/>
        </w:rPr>
        <w:t>7.</w:t>
      </w:r>
      <w:r>
        <w:rPr>
          <w:rFonts w:ascii="仿宋" w:hAnsi="仿宋" w:eastAsia="仿宋" w:cs="Times New Roman"/>
          <w:bCs/>
          <w:color w:val="000000" w:themeColor="text1"/>
          <w:highlight w:val="none"/>
        </w:rPr>
        <w:t>1投标人认为招标文件、招标过程和中标结果使自己的合法权益受到损害的，应当在知道或者应知其权益受到损害之日起七个工作日内，以书面形式向采购人或采购代理机构提出质疑。</w:t>
      </w:r>
      <w:r>
        <w:rPr>
          <w:rFonts w:ascii="仿宋" w:hAnsi="仿宋" w:eastAsia="仿宋" w:cs="Times New Roman"/>
          <w:color w:val="000000" w:themeColor="text1"/>
          <w:highlight w:val="none"/>
        </w:rPr>
        <w:t>投标人对采购人或采购代理机构的质疑答复不满意或者采购人、采购代理机构未在规定时间内作出答复的，可以在答复期满后十五个工作日内向同级采购监管部门投诉。</w:t>
      </w:r>
      <w:r>
        <w:rPr>
          <w:rFonts w:hint="eastAsia" w:ascii="仿宋" w:hAnsi="仿宋" w:eastAsia="仿宋" w:cs="Times New Roman"/>
          <w:color w:val="000000" w:themeColor="text1"/>
          <w:szCs w:val="24"/>
          <w:highlight w:val="none"/>
        </w:rPr>
        <w:t>逾期提出的，采购人及采购代理机构不予受理、答复。</w:t>
      </w:r>
    </w:p>
    <w:p w14:paraId="3D85B564">
      <w:pPr>
        <w:pStyle w:val="25"/>
        <w:snapToGrid w:val="0"/>
        <w:spacing w:line="300" w:lineRule="auto"/>
        <w:ind w:left="1" w:firstLine="480" w:firstLineChars="200"/>
        <w:rPr>
          <w:rFonts w:hint="eastAsia" w:ascii="仿宋" w:hAnsi="仿宋" w:eastAsia="仿宋" w:cs="Times New Roman"/>
          <w:color w:val="000000" w:themeColor="text1"/>
          <w:highlight w:val="none"/>
        </w:rPr>
      </w:pPr>
      <w:r>
        <w:rPr>
          <w:rFonts w:hint="eastAsia" w:ascii="仿宋" w:hAnsi="仿宋" w:eastAsia="仿宋" w:cs="Times New Roman"/>
          <w:bCs/>
          <w:color w:val="000000" w:themeColor="text1"/>
          <w:highlight w:val="none"/>
        </w:rPr>
        <w:t>7.2</w:t>
      </w:r>
      <w:r>
        <w:rPr>
          <w:rFonts w:ascii="仿宋" w:hAnsi="仿宋" w:eastAsia="仿宋" w:cs="Times New Roman"/>
          <w:bCs/>
          <w:color w:val="000000" w:themeColor="text1"/>
          <w:highlight w:val="none"/>
        </w:rPr>
        <w:t>质疑、投诉应当采用书面形式，质疑书、投诉书均应明确阐述招标文件、招标过程和中标结果中使自己合法权益受到损害的实质性内容，提供相关事实、依据和证据及</w:t>
      </w:r>
      <w:r>
        <w:rPr>
          <w:rFonts w:ascii="仿宋" w:hAnsi="仿宋" w:eastAsia="仿宋" w:cs="Times New Roman"/>
          <w:color w:val="000000" w:themeColor="text1"/>
          <w:highlight w:val="none"/>
        </w:rPr>
        <w:t>其来源或线索，便于有关单位调查、答复和处理</w:t>
      </w:r>
      <w:r>
        <w:rPr>
          <w:rFonts w:hint="eastAsia" w:ascii="仿宋" w:hAnsi="仿宋" w:eastAsia="仿宋" w:cs="Times New Roman"/>
          <w:color w:val="000000" w:themeColor="text1"/>
          <w:highlight w:val="none"/>
        </w:rPr>
        <w:t>。</w:t>
      </w:r>
    </w:p>
    <w:p w14:paraId="42FAED77">
      <w:pPr>
        <w:pStyle w:val="25"/>
        <w:snapToGrid w:val="0"/>
        <w:spacing w:line="300" w:lineRule="auto"/>
        <w:ind w:left="1" w:firstLine="480" w:firstLineChars="200"/>
        <w:rPr>
          <w:rFonts w:hint="eastAsia" w:ascii="仿宋" w:hAnsi="仿宋" w:eastAsia="仿宋" w:cs="Times New Roman"/>
          <w:color w:val="000000" w:themeColor="text1"/>
          <w:szCs w:val="24"/>
          <w:highlight w:val="none"/>
        </w:rPr>
      </w:pPr>
      <w:bookmarkStart w:id="5" w:name="_Toc125344504"/>
      <w:r>
        <w:rPr>
          <w:rFonts w:hint="eastAsia" w:ascii="仿宋" w:hAnsi="仿宋" w:eastAsia="仿宋" w:cs="Times New Roman"/>
          <w:color w:val="000000" w:themeColor="text1"/>
          <w:highlight w:val="none"/>
        </w:rPr>
        <w:t>7.3</w:t>
      </w:r>
      <w:r>
        <w:rPr>
          <w:rFonts w:hint="eastAsia" w:ascii="仿宋" w:hAnsi="仿宋" w:eastAsia="仿宋" w:cs="Times New Roman"/>
          <w:color w:val="000000" w:themeColor="text1"/>
          <w:szCs w:val="24"/>
          <w:highlight w:val="none"/>
        </w:rPr>
        <w:t>采购代理机构与采购人研究后，对认为有必要回答的问题，采购人或采购代理机构将答疑内容以网上发布公告的形式通知所有投标人，答疑内容是招标文件的组成部份。</w:t>
      </w:r>
    </w:p>
    <w:p w14:paraId="43B456FF">
      <w:pPr>
        <w:pStyle w:val="25"/>
        <w:snapToGrid w:val="0"/>
        <w:spacing w:line="300" w:lineRule="auto"/>
        <w:ind w:left="1" w:firstLine="480" w:firstLineChars="200"/>
        <w:rPr>
          <w:rFonts w:hint="eastAsia" w:ascii="仿宋" w:hAnsi="仿宋" w:eastAsia="仿宋" w:cs="Times New Roman"/>
          <w:color w:val="000000" w:themeColor="text1"/>
          <w:highlight w:val="none"/>
        </w:rPr>
      </w:pPr>
      <w:r>
        <w:rPr>
          <w:rFonts w:hint="eastAsia" w:ascii="仿宋" w:hAnsi="仿宋" w:eastAsia="仿宋" w:cs="Times New Roman"/>
          <w:color w:val="000000" w:themeColor="text1"/>
          <w:highlight w:val="none"/>
        </w:rPr>
        <w:t>7.4投标人一旦参与本次招标活动，即被视为接受了本招标文件的所有内容，如有任何异议，均须在答疑截止时间前提出。</w:t>
      </w:r>
    </w:p>
    <w:p w14:paraId="4A3C72CB">
      <w:pPr>
        <w:pStyle w:val="3"/>
        <w:spacing w:before="156" w:beforeLines="50" w:after="156" w:afterLines="50" w:line="240" w:lineRule="exact"/>
        <w:jc w:val="center"/>
        <w:rPr>
          <w:rFonts w:hint="eastAsia" w:ascii="仿宋" w:hAnsi="仿宋" w:eastAsia="仿宋"/>
          <w:color w:val="000000" w:themeColor="text1"/>
          <w:highlight w:val="none"/>
        </w:rPr>
      </w:pPr>
      <w:r>
        <w:rPr>
          <w:rFonts w:hint="eastAsia" w:ascii="仿宋" w:hAnsi="仿宋" w:eastAsia="仿宋"/>
          <w:color w:val="000000" w:themeColor="text1"/>
          <w:highlight w:val="none"/>
        </w:rPr>
        <w:t>二、招标文件</w:t>
      </w:r>
      <w:bookmarkEnd w:id="5"/>
    </w:p>
    <w:p w14:paraId="7166573B">
      <w:pPr>
        <w:snapToGrid w:val="0"/>
        <w:spacing w:before="156" w:beforeLines="50" w:line="300" w:lineRule="auto"/>
        <w:ind w:firstLine="472" w:firstLineChars="196"/>
        <w:jc w:val="left"/>
        <w:rPr>
          <w:rFonts w:hint="eastAsia" w:ascii="仿宋" w:hAnsi="仿宋" w:eastAsia="仿宋"/>
          <w:b/>
          <w:color w:val="000000" w:themeColor="text1"/>
          <w:sz w:val="24"/>
          <w:highlight w:val="none"/>
        </w:rPr>
      </w:pPr>
      <w:r>
        <w:rPr>
          <w:rFonts w:hint="eastAsia" w:ascii="仿宋" w:hAnsi="仿宋" w:eastAsia="仿宋"/>
          <w:b/>
          <w:color w:val="000000" w:themeColor="text1"/>
          <w:sz w:val="24"/>
          <w:highlight w:val="none"/>
        </w:rPr>
        <w:t>8.招标文件的构成</w:t>
      </w:r>
    </w:p>
    <w:p w14:paraId="5840B6FC">
      <w:pPr>
        <w:snapToGrid w:val="0"/>
        <w:spacing w:line="300" w:lineRule="auto"/>
        <w:ind w:firstLine="480" w:firstLineChars="200"/>
        <w:jc w:val="left"/>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本招标文件由以下部份组成：</w:t>
      </w:r>
    </w:p>
    <w:p w14:paraId="7CBF203E">
      <w:pPr>
        <w:snapToGrid w:val="0"/>
        <w:spacing w:line="300" w:lineRule="auto"/>
        <w:ind w:firstLine="480" w:firstLineChars="200"/>
        <w:jc w:val="left"/>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8.</w:t>
      </w:r>
      <w:r>
        <w:rPr>
          <w:rFonts w:ascii="仿宋" w:hAnsi="仿宋" w:eastAsia="仿宋"/>
          <w:color w:val="000000" w:themeColor="text1"/>
          <w:sz w:val="24"/>
          <w:highlight w:val="none"/>
        </w:rPr>
        <w:t>1招标公告</w:t>
      </w:r>
      <w:r>
        <w:rPr>
          <w:rFonts w:hint="eastAsia" w:ascii="仿宋" w:hAnsi="仿宋" w:eastAsia="仿宋"/>
          <w:color w:val="000000" w:themeColor="text1"/>
          <w:sz w:val="24"/>
          <w:highlight w:val="none"/>
        </w:rPr>
        <w:t>；</w:t>
      </w:r>
    </w:p>
    <w:p w14:paraId="588AB6A3">
      <w:pPr>
        <w:snapToGrid w:val="0"/>
        <w:spacing w:line="300" w:lineRule="auto"/>
        <w:ind w:firstLine="480" w:firstLineChars="200"/>
        <w:jc w:val="left"/>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8.2投标须知；</w:t>
      </w:r>
    </w:p>
    <w:p w14:paraId="52554000">
      <w:pPr>
        <w:snapToGrid w:val="0"/>
        <w:spacing w:line="300" w:lineRule="auto"/>
        <w:ind w:firstLine="480" w:firstLineChars="200"/>
        <w:jc w:val="left"/>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8.3评标办法及评分标准；</w:t>
      </w:r>
    </w:p>
    <w:p w14:paraId="4A6202F4">
      <w:pPr>
        <w:snapToGrid w:val="0"/>
        <w:spacing w:line="300" w:lineRule="auto"/>
        <w:ind w:firstLine="480" w:firstLineChars="200"/>
        <w:jc w:val="left"/>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8.4采购需求；</w:t>
      </w:r>
    </w:p>
    <w:p w14:paraId="678C0524">
      <w:pPr>
        <w:snapToGrid w:val="0"/>
        <w:spacing w:line="300" w:lineRule="auto"/>
        <w:ind w:firstLine="480" w:firstLineChars="200"/>
        <w:jc w:val="left"/>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8.5投标文件格式；</w:t>
      </w:r>
    </w:p>
    <w:p w14:paraId="4E5589FA">
      <w:pPr>
        <w:snapToGrid w:val="0"/>
        <w:spacing w:line="300" w:lineRule="auto"/>
        <w:ind w:firstLine="480" w:firstLineChars="200"/>
        <w:jc w:val="left"/>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8.6本项目</w:t>
      </w:r>
      <w:r>
        <w:rPr>
          <w:rFonts w:ascii="仿宋" w:hAnsi="仿宋" w:eastAsia="仿宋"/>
          <w:color w:val="000000" w:themeColor="text1"/>
          <w:sz w:val="24"/>
          <w:highlight w:val="none"/>
        </w:rPr>
        <w:t>招标文件</w:t>
      </w:r>
      <w:r>
        <w:rPr>
          <w:rFonts w:hint="eastAsia" w:ascii="仿宋" w:hAnsi="仿宋" w:eastAsia="仿宋"/>
          <w:color w:val="000000" w:themeColor="text1"/>
          <w:sz w:val="24"/>
          <w:highlight w:val="none"/>
        </w:rPr>
        <w:t>的</w:t>
      </w:r>
      <w:r>
        <w:rPr>
          <w:rFonts w:ascii="仿宋" w:hAnsi="仿宋" w:eastAsia="仿宋"/>
          <w:color w:val="000000" w:themeColor="text1"/>
          <w:sz w:val="24"/>
          <w:highlight w:val="none"/>
        </w:rPr>
        <w:t>澄清、答复、修改、补充的内容（如有）</w:t>
      </w:r>
      <w:r>
        <w:rPr>
          <w:rFonts w:hint="eastAsia" w:ascii="仿宋" w:hAnsi="仿宋" w:eastAsia="仿宋"/>
          <w:color w:val="000000" w:themeColor="text1"/>
          <w:sz w:val="24"/>
          <w:highlight w:val="none"/>
        </w:rPr>
        <w:t>。</w:t>
      </w:r>
    </w:p>
    <w:p w14:paraId="66136801">
      <w:pPr>
        <w:snapToGrid w:val="0"/>
        <w:spacing w:line="300" w:lineRule="auto"/>
        <w:ind w:firstLine="472" w:firstLineChars="196"/>
        <w:jc w:val="left"/>
        <w:outlineLvl w:val="1"/>
        <w:rPr>
          <w:rFonts w:hint="eastAsia" w:ascii="仿宋" w:hAnsi="仿宋" w:eastAsia="仿宋"/>
          <w:b/>
          <w:color w:val="000000" w:themeColor="text1"/>
          <w:sz w:val="24"/>
          <w:highlight w:val="none"/>
        </w:rPr>
      </w:pPr>
      <w:r>
        <w:rPr>
          <w:rFonts w:hint="eastAsia" w:ascii="仿宋" w:hAnsi="仿宋" w:eastAsia="仿宋"/>
          <w:b/>
          <w:color w:val="000000" w:themeColor="text1"/>
          <w:sz w:val="24"/>
          <w:highlight w:val="none"/>
        </w:rPr>
        <w:t>9.投标人的风险</w:t>
      </w:r>
    </w:p>
    <w:p w14:paraId="754833B7">
      <w:pPr>
        <w:snapToGrid w:val="0"/>
        <w:spacing w:line="300" w:lineRule="auto"/>
        <w:ind w:firstLine="480" w:firstLineChars="200"/>
        <w:jc w:val="left"/>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9.1投标人应仔细阅读招标文件的所有内容，并按照招标文件的要求提交投标文件。投标人没有按照招标文件要求提供全部资料，或者投标人没有对招标文件在各方面作出实质性响应是投标人的风险，并可能导致其投标被拒绝。</w:t>
      </w:r>
    </w:p>
    <w:p w14:paraId="391174D1">
      <w:pPr>
        <w:snapToGrid w:val="0"/>
        <w:spacing w:line="300" w:lineRule="auto"/>
        <w:ind w:firstLine="480" w:firstLineChars="200"/>
        <w:jc w:val="left"/>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9.2任何人或任何组织向投标人提交的任何书面或口头资料，未经采购代理机构在网上发布或书面通知，均作无效处理，不得作为招标文件的组成部分。投标人由此而做出的推论、理解和结论，</w:t>
      </w:r>
      <w:r>
        <w:rPr>
          <w:rFonts w:hint="eastAsia" w:ascii="仿宋" w:hAnsi="仿宋" w:eastAsia="仿宋" w:cs="仿宋_GB2312"/>
          <w:color w:val="000000" w:themeColor="text1"/>
          <w:sz w:val="24"/>
          <w:szCs w:val="24"/>
          <w:highlight w:val="none"/>
        </w:rPr>
        <w:t>全部责任均由投标人自行负责，采购代理机构概不负责</w:t>
      </w:r>
      <w:r>
        <w:rPr>
          <w:rFonts w:hint="eastAsia" w:ascii="仿宋" w:hAnsi="仿宋" w:eastAsia="仿宋"/>
          <w:color w:val="000000" w:themeColor="text1"/>
          <w:sz w:val="24"/>
          <w:highlight w:val="none"/>
        </w:rPr>
        <w:t>。</w:t>
      </w:r>
    </w:p>
    <w:p w14:paraId="4365633B">
      <w:pPr>
        <w:snapToGrid w:val="0"/>
        <w:spacing w:line="300" w:lineRule="auto"/>
        <w:ind w:firstLine="472" w:firstLineChars="196"/>
        <w:jc w:val="left"/>
        <w:outlineLvl w:val="1"/>
        <w:rPr>
          <w:rFonts w:hint="eastAsia" w:ascii="仿宋" w:hAnsi="仿宋" w:eastAsia="仿宋"/>
          <w:b/>
          <w:color w:val="000000" w:themeColor="text1"/>
          <w:sz w:val="24"/>
          <w:highlight w:val="none"/>
        </w:rPr>
      </w:pPr>
      <w:r>
        <w:rPr>
          <w:rFonts w:hint="eastAsia" w:ascii="仿宋" w:hAnsi="仿宋" w:eastAsia="仿宋"/>
          <w:b/>
          <w:color w:val="000000" w:themeColor="text1"/>
          <w:sz w:val="24"/>
          <w:highlight w:val="none"/>
        </w:rPr>
        <w:t>10.招标文件的澄清与修改</w:t>
      </w:r>
    </w:p>
    <w:p w14:paraId="3CD20ECE">
      <w:pPr>
        <w:pStyle w:val="25"/>
        <w:snapToGrid w:val="0"/>
        <w:spacing w:line="300" w:lineRule="auto"/>
        <w:ind w:firstLine="480" w:firstLineChars="200"/>
        <w:rPr>
          <w:rFonts w:hint="eastAsia" w:ascii="仿宋" w:hAnsi="仿宋" w:eastAsia="仿宋" w:cs="Times New Roman"/>
          <w:color w:val="000000" w:themeColor="text1"/>
          <w:szCs w:val="24"/>
          <w:highlight w:val="none"/>
        </w:rPr>
      </w:pPr>
      <w:r>
        <w:rPr>
          <w:rFonts w:hint="eastAsia" w:ascii="仿宋" w:hAnsi="仿宋" w:eastAsia="仿宋" w:cs="Times New Roman"/>
          <w:color w:val="000000" w:themeColor="text1"/>
          <w:highlight w:val="none"/>
        </w:rPr>
        <w:t>10.1</w:t>
      </w:r>
      <w:r>
        <w:rPr>
          <w:rFonts w:ascii="仿宋" w:hAnsi="仿宋" w:eastAsia="仿宋" w:cs="Times New Roman"/>
          <w:bCs/>
          <w:color w:val="000000" w:themeColor="text1"/>
          <w:highlight w:val="none"/>
        </w:rPr>
        <w:t>投标人应认真阅读本招标文件，发现其中有误或有不合理要求的，投标人必须</w:t>
      </w:r>
      <w:r>
        <w:rPr>
          <w:rFonts w:hint="eastAsia" w:ascii="仿宋" w:hAnsi="仿宋" w:eastAsia="仿宋" w:cs="Times New Roman"/>
          <w:bCs/>
          <w:color w:val="000000" w:themeColor="text1"/>
          <w:highlight w:val="none"/>
        </w:rPr>
        <w:t>按前附表规定的时间</w:t>
      </w:r>
      <w:r>
        <w:rPr>
          <w:rFonts w:ascii="仿宋" w:hAnsi="仿宋" w:eastAsia="仿宋" w:cs="Times New Roman"/>
          <w:bCs/>
          <w:color w:val="000000" w:themeColor="text1"/>
          <w:highlight w:val="none"/>
        </w:rPr>
        <w:t>前以书面形</w:t>
      </w:r>
      <w:r>
        <w:rPr>
          <w:rFonts w:hint="eastAsia" w:ascii="仿宋" w:hAnsi="仿宋" w:eastAsia="仿宋" w:cs="Times New Roman"/>
          <w:bCs/>
          <w:color w:val="000000" w:themeColor="text1"/>
          <w:highlight w:val="none"/>
        </w:rPr>
        <w:t>式</w:t>
      </w:r>
      <w:r>
        <w:rPr>
          <w:rFonts w:hint="eastAsia" w:ascii="仿宋" w:hAnsi="仿宋" w:eastAsia="仿宋" w:cs="Times New Roman"/>
          <w:color w:val="000000" w:themeColor="text1"/>
          <w:highlight w:val="none"/>
        </w:rPr>
        <w:t>(包括书面文字、传真等)要求采购人或采购代理机构澄清。逾期提出的，采购人及采购代理机构将不予受理。</w:t>
      </w:r>
      <w:r>
        <w:rPr>
          <w:rFonts w:hint="eastAsia" w:ascii="仿宋" w:hAnsi="仿宋" w:eastAsia="仿宋" w:cs="Times New Roman"/>
          <w:color w:val="000000" w:themeColor="text1"/>
          <w:szCs w:val="24"/>
          <w:highlight w:val="none"/>
        </w:rPr>
        <w:t>采购代理机构与采购人研究后，对认为有必要回答的问题，将答疑内容以网上发布公告的形式通知所有投标人，答疑内容是招标文件的组成部份。投标人可以通过诸暨市公共资源交易网或浙江政府采购网自行下载，以确认已阅知该澄清或修改内容，否则，由此导致的风险由投标人自行承担，采购人及采购代理机构不承担任何责任。</w:t>
      </w:r>
    </w:p>
    <w:p w14:paraId="7756A74F">
      <w:pPr>
        <w:pStyle w:val="25"/>
        <w:snapToGrid w:val="0"/>
        <w:spacing w:line="300" w:lineRule="auto"/>
        <w:ind w:firstLine="480" w:firstLineChars="200"/>
        <w:rPr>
          <w:rFonts w:hint="eastAsia" w:ascii="仿宋" w:hAnsi="仿宋" w:eastAsia="仿宋" w:cs="Times New Roman"/>
          <w:color w:val="000000" w:themeColor="text1"/>
          <w:highlight w:val="none"/>
        </w:rPr>
      </w:pPr>
      <w:r>
        <w:rPr>
          <w:rFonts w:hint="eastAsia" w:ascii="仿宋" w:hAnsi="仿宋" w:eastAsia="仿宋" w:cs="Times New Roman"/>
          <w:color w:val="000000" w:themeColor="text1"/>
          <w:highlight w:val="none"/>
        </w:rPr>
        <w:t>10.2</w:t>
      </w:r>
      <w:r>
        <w:rPr>
          <w:rFonts w:ascii="仿宋" w:hAnsi="仿宋" w:eastAsia="仿宋" w:cs="Times New Roman"/>
          <w:color w:val="000000" w:themeColor="text1"/>
          <w:highlight w:val="none"/>
        </w:rPr>
        <w:t>招标文件澄清、答复、修改、补充的内容为招标文件的组成部分。当招标文件与招标文件的答复、澄清、修改、补充就同一内容的表述不一致时，以最后发出的文件</w:t>
      </w:r>
      <w:r>
        <w:rPr>
          <w:rFonts w:hint="eastAsia" w:ascii="仿宋" w:hAnsi="仿宋" w:eastAsia="仿宋" w:cs="Times New Roman"/>
          <w:color w:val="000000" w:themeColor="text1"/>
          <w:highlight w:val="none"/>
        </w:rPr>
        <w:t>或公告或通知</w:t>
      </w:r>
      <w:r>
        <w:rPr>
          <w:rFonts w:ascii="仿宋" w:hAnsi="仿宋" w:eastAsia="仿宋" w:cs="Times New Roman"/>
          <w:color w:val="000000" w:themeColor="text1"/>
          <w:highlight w:val="none"/>
        </w:rPr>
        <w:t>为准。</w:t>
      </w:r>
    </w:p>
    <w:p w14:paraId="261BF299">
      <w:pPr>
        <w:pStyle w:val="25"/>
        <w:snapToGrid w:val="0"/>
        <w:spacing w:line="300" w:lineRule="auto"/>
        <w:ind w:firstLine="480" w:firstLineChars="200"/>
        <w:rPr>
          <w:rFonts w:hint="eastAsia" w:ascii="仿宋" w:hAnsi="仿宋" w:eastAsia="仿宋" w:cs="Times New Roman"/>
          <w:color w:val="000000" w:themeColor="text1"/>
          <w:highlight w:val="none"/>
        </w:rPr>
      </w:pPr>
      <w:r>
        <w:rPr>
          <w:rFonts w:hint="eastAsia" w:ascii="仿宋" w:hAnsi="仿宋" w:eastAsia="仿宋" w:cs="Times New Roman"/>
          <w:color w:val="000000" w:themeColor="text1"/>
          <w:highlight w:val="none"/>
        </w:rPr>
        <w:t>10.3在投标截止时间前，采购人有权修改招标文件，并以网站发布</w:t>
      </w:r>
      <w:r>
        <w:rPr>
          <w:rFonts w:hint="eastAsia" w:ascii="仿宋" w:hAnsi="仿宋" w:eastAsia="仿宋" w:cs="Times New Roman"/>
          <w:color w:val="000000" w:themeColor="text1"/>
          <w:szCs w:val="24"/>
          <w:highlight w:val="none"/>
        </w:rPr>
        <w:t>补充（更正）</w:t>
      </w:r>
      <w:r>
        <w:rPr>
          <w:rFonts w:hint="eastAsia" w:ascii="仿宋" w:hAnsi="仿宋" w:eastAsia="仿宋" w:cs="Times New Roman"/>
          <w:color w:val="000000" w:themeColor="text1"/>
          <w:highlight w:val="none"/>
        </w:rPr>
        <w:t>公告的形式通知所有投标人，通知中没有注明更改投标截止时间的视为截止时间不变。修改的内容作为招标文件的补充和组成部分，对所有投标人均有约束力。</w:t>
      </w:r>
    </w:p>
    <w:p w14:paraId="1D595F0E">
      <w:pPr>
        <w:pStyle w:val="3"/>
        <w:spacing w:before="156" w:beforeLines="50" w:after="156" w:afterLines="50" w:line="240" w:lineRule="exact"/>
        <w:jc w:val="center"/>
        <w:rPr>
          <w:rFonts w:hint="eastAsia" w:ascii="仿宋" w:hAnsi="仿宋" w:eastAsia="仿宋"/>
          <w:color w:val="000000" w:themeColor="text1"/>
          <w:highlight w:val="none"/>
        </w:rPr>
      </w:pPr>
      <w:bookmarkStart w:id="6" w:name="_Toc125344505"/>
      <w:r>
        <w:rPr>
          <w:rFonts w:hint="eastAsia" w:ascii="仿宋" w:hAnsi="仿宋" w:eastAsia="仿宋"/>
          <w:color w:val="000000" w:themeColor="text1"/>
          <w:highlight w:val="none"/>
        </w:rPr>
        <w:t>三、投标文件编制</w:t>
      </w:r>
      <w:bookmarkEnd w:id="6"/>
      <w:r>
        <w:rPr>
          <w:rFonts w:hint="eastAsia" w:ascii="仿宋" w:hAnsi="仿宋" w:eastAsia="仿宋"/>
          <w:color w:val="000000" w:themeColor="text1"/>
          <w:highlight w:val="none"/>
        </w:rPr>
        <w:t>和提交</w:t>
      </w:r>
    </w:p>
    <w:p w14:paraId="5740AF8D">
      <w:pPr>
        <w:snapToGrid w:val="0"/>
        <w:spacing w:before="156" w:beforeLines="50" w:line="300" w:lineRule="auto"/>
        <w:ind w:firstLine="472" w:firstLineChars="196"/>
        <w:jc w:val="left"/>
        <w:outlineLvl w:val="0"/>
        <w:rPr>
          <w:rFonts w:hint="eastAsia" w:ascii="仿宋" w:hAnsi="仿宋" w:eastAsia="仿宋"/>
          <w:b/>
          <w:color w:val="000000" w:themeColor="text1"/>
          <w:sz w:val="24"/>
          <w:highlight w:val="none"/>
        </w:rPr>
      </w:pPr>
      <w:r>
        <w:rPr>
          <w:rFonts w:hint="eastAsia" w:ascii="仿宋" w:hAnsi="仿宋" w:eastAsia="仿宋"/>
          <w:b/>
          <w:color w:val="000000" w:themeColor="text1"/>
          <w:sz w:val="24"/>
          <w:highlight w:val="none"/>
        </w:rPr>
        <w:t>11.投标文件的组成</w:t>
      </w:r>
    </w:p>
    <w:p w14:paraId="534228DF">
      <w:pPr>
        <w:snapToGrid w:val="0"/>
        <w:ind w:firstLine="480" w:firstLineChars="200"/>
        <w:jc w:val="left"/>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投标文件由资格文件、商务技术文件、报价文件三部分组成，详见招标文件第六章。</w:t>
      </w:r>
    </w:p>
    <w:p w14:paraId="5BEA950C">
      <w:pPr>
        <w:snapToGrid w:val="0"/>
        <w:spacing w:line="300" w:lineRule="auto"/>
        <w:ind w:firstLine="472" w:firstLineChars="196"/>
        <w:outlineLvl w:val="0"/>
        <w:rPr>
          <w:rFonts w:hint="eastAsia" w:ascii="仿宋" w:hAnsi="仿宋" w:eastAsia="仿宋"/>
          <w:b/>
          <w:color w:val="000000" w:themeColor="text1"/>
          <w:sz w:val="24"/>
          <w:highlight w:val="none"/>
        </w:rPr>
      </w:pPr>
      <w:r>
        <w:rPr>
          <w:rFonts w:hint="eastAsia" w:ascii="仿宋" w:hAnsi="仿宋" w:eastAsia="仿宋"/>
          <w:b/>
          <w:color w:val="000000" w:themeColor="text1"/>
          <w:sz w:val="24"/>
          <w:highlight w:val="none"/>
        </w:rPr>
        <w:t>12.投标文件的语言及计量</w:t>
      </w:r>
    </w:p>
    <w:p w14:paraId="2DB1111C">
      <w:pPr>
        <w:pStyle w:val="25"/>
        <w:snapToGrid w:val="0"/>
        <w:spacing w:line="300" w:lineRule="auto"/>
        <w:ind w:firstLine="480" w:firstLineChars="200"/>
        <w:rPr>
          <w:rFonts w:hint="eastAsia" w:ascii="仿宋" w:hAnsi="仿宋" w:eastAsia="仿宋" w:cs="Times New Roman"/>
          <w:color w:val="000000" w:themeColor="text1"/>
          <w:highlight w:val="none"/>
        </w:rPr>
      </w:pPr>
      <w:r>
        <w:rPr>
          <w:rFonts w:hint="eastAsia" w:ascii="仿宋" w:hAnsi="仿宋" w:eastAsia="仿宋" w:cs="Times New Roman"/>
          <w:color w:val="000000" w:themeColor="text1"/>
          <w:highlight w:val="none"/>
        </w:rPr>
        <w:t>12.1</w:t>
      </w:r>
      <w:r>
        <w:rPr>
          <w:rFonts w:hint="eastAsia" w:ascii="仿宋" w:hAnsi="仿宋" w:eastAsia="仿宋"/>
          <w:color w:val="000000" w:themeColor="text1"/>
          <w:szCs w:val="24"/>
          <w:highlight w:val="none"/>
        </w:rPr>
        <w:t>除专业术语、签名、盖章、专用名称等特殊情形外，投标文件及投标供应商与本次采购活动有关的来往通知、函件和文件均应使用中文。专业术语、专业名称等特殊情形应附有中文注释，仅以中文以外的文字表述的材料或文件均视同未提供。对不同文字文本的解释发生异议的，以中文文本为准。</w:t>
      </w:r>
    </w:p>
    <w:p w14:paraId="27FC21C7">
      <w:pPr>
        <w:pStyle w:val="25"/>
        <w:snapToGrid w:val="0"/>
        <w:spacing w:line="300" w:lineRule="auto"/>
        <w:ind w:firstLine="480" w:firstLineChars="200"/>
        <w:rPr>
          <w:rFonts w:hint="eastAsia" w:ascii="仿宋" w:hAnsi="仿宋" w:eastAsia="仿宋" w:cs="Times New Roman"/>
          <w:color w:val="000000" w:themeColor="text1"/>
          <w:highlight w:val="none"/>
        </w:rPr>
      </w:pPr>
      <w:r>
        <w:rPr>
          <w:rFonts w:hint="eastAsia" w:ascii="仿宋" w:hAnsi="仿宋" w:eastAsia="仿宋" w:cs="Times New Roman"/>
          <w:color w:val="000000" w:themeColor="text1"/>
          <w:highlight w:val="none"/>
        </w:rPr>
        <w:t>12.2</w:t>
      </w:r>
      <w:r>
        <w:rPr>
          <w:rFonts w:ascii="仿宋" w:hAnsi="仿宋" w:eastAsia="仿宋" w:cs="Times New Roman"/>
          <w:color w:val="000000" w:themeColor="text1"/>
          <w:highlight w:val="none"/>
        </w:rPr>
        <w:t>投标计量单位，招标文件已有明确规定的，使用招标文件规定的计量单位；招标文件没有规定的，应采用中华人民共和国法定计量单位（货币单位：人民币元），否则视同未响应。</w:t>
      </w:r>
    </w:p>
    <w:p w14:paraId="10E3E7EF">
      <w:pPr>
        <w:snapToGrid w:val="0"/>
        <w:spacing w:line="300" w:lineRule="auto"/>
        <w:ind w:firstLine="472" w:firstLineChars="196"/>
        <w:jc w:val="left"/>
        <w:outlineLvl w:val="0"/>
        <w:rPr>
          <w:rFonts w:hint="eastAsia" w:ascii="仿宋" w:hAnsi="仿宋" w:eastAsia="仿宋"/>
          <w:b/>
          <w:color w:val="000000" w:themeColor="text1"/>
          <w:sz w:val="24"/>
          <w:highlight w:val="none"/>
        </w:rPr>
      </w:pPr>
      <w:r>
        <w:rPr>
          <w:rFonts w:hint="eastAsia" w:ascii="仿宋" w:hAnsi="仿宋" w:eastAsia="仿宋"/>
          <w:b/>
          <w:color w:val="000000" w:themeColor="text1"/>
          <w:sz w:val="24"/>
          <w:highlight w:val="none"/>
        </w:rPr>
        <w:t>13.投标报价</w:t>
      </w:r>
    </w:p>
    <w:p w14:paraId="7FE36E0C">
      <w:pPr>
        <w:pStyle w:val="25"/>
        <w:snapToGrid w:val="0"/>
        <w:spacing w:line="300" w:lineRule="auto"/>
        <w:ind w:firstLine="480" w:firstLineChars="200"/>
        <w:rPr>
          <w:rFonts w:hint="eastAsia" w:ascii="仿宋" w:hAnsi="仿宋" w:eastAsia="仿宋" w:cs="Times New Roman"/>
          <w:color w:val="000000" w:themeColor="text1"/>
          <w:highlight w:val="none"/>
        </w:rPr>
      </w:pPr>
      <w:r>
        <w:rPr>
          <w:rFonts w:hint="eastAsia" w:ascii="仿宋" w:hAnsi="仿宋" w:eastAsia="仿宋" w:cs="Times New Roman"/>
          <w:color w:val="000000" w:themeColor="text1"/>
          <w:highlight w:val="none"/>
        </w:rPr>
        <w:t>13.1</w:t>
      </w:r>
      <w:r>
        <w:rPr>
          <w:rFonts w:ascii="仿宋" w:hAnsi="仿宋" w:eastAsia="仿宋" w:cs="Times New Roman"/>
          <w:color w:val="000000" w:themeColor="text1"/>
          <w:highlight w:val="none"/>
        </w:rPr>
        <w:t>投标报价应按招标文件第六章中相关附表格式填写。</w:t>
      </w:r>
    </w:p>
    <w:p w14:paraId="2F466642">
      <w:pPr>
        <w:pStyle w:val="25"/>
        <w:snapToGrid w:val="0"/>
        <w:spacing w:line="300" w:lineRule="auto"/>
        <w:ind w:firstLine="480" w:firstLineChars="200"/>
        <w:rPr>
          <w:rFonts w:hint="eastAsia" w:ascii="仿宋" w:hAnsi="仿宋" w:eastAsia="仿宋" w:cs="Times New Roman"/>
          <w:color w:val="000000" w:themeColor="text1"/>
          <w:highlight w:val="none"/>
        </w:rPr>
      </w:pPr>
      <w:r>
        <w:rPr>
          <w:rFonts w:hint="eastAsia" w:ascii="仿宋" w:hAnsi="仿宋" w:eastAsia="仿宋" w:cs="Times New Roman"/>
          <w:color w:val="000000" w:themeColor="text1"/>
          <w:highlight w:val="none"/>
        </w:rPr>
        <w:t>13.2</w:t>
      </w:r>
      <w:r>
        <w:rPr>
          <w:rFonts w:hint="eastAsia" w:ascii="仿宋" w:hAnsi="仿宋" w:eastAsia="仿宋" w:cs="仿宋_GB2312"/>
          <w:color w:val="000000" w:themeColor="text1"/>
          <w:highlight w:val="none"/>
        </w:rPr>
        <w:t>有关本项目实施所需的所有费用（含税费）均计入报价。开标一览表是报价的唯一载体。投标文件中价格全部采用人民币报价（招标文件另有报价格式要求的按要求执行）。</w:t>
      </w:r>
    </w:p>
    <w:p w14:paraId="2C540601">
      <w:pPr>
        <w:pStyle w:val="25"/>
        <w:snapToGrid w:val="0"/>
        <w:spacing w:line="300" w:lineRule="auto"/>
        <w:ind w:firstLine="480" w:firstLineChars="200"/>
        <w:rPr>
          <w:rFonts w:hint="eastAsia" w:ascii="仿宋" w:hAnsi="仿宋" w:eastAsia="仿宋" w:cs="Times New Roman"/>
          <w:color w:val="000000" w:themeColor="text1"/>
          <w:highlight w:val="none"/>
        </w:rPr>
      </w:pPr>
      <w:r>
        <w:rPr>
          <w:rFonts w:hint="eastAsia" w:ascii="仿宋" w:hAnsi="仿宋" w:eastAsia="仿宋" w:cs="Times New Roman"/>
          <w:color w:val="000000" w:themeColor="text1"/>
          <w:highlight w:val="none"/>
        </w:rPr>
        <w:t>13.3</w:t>
      </w:r>
      <w:r>
        <w:rPr>
          <w:rFonts w:ascii="仿宋" w:hAnsi="仿宋" w:eastAsia="仿宋" w:cs="Times New Roman"/>
          <w:color w:val="000000" w:themeColor="text1"/>
          <w:highlight w:val="none"/>
        </w:rPr>
        <w:t>投标文件只允许有一个报价，有选择的</w:t>
      </w:r>
      <w:r>
        <w:rPr>
          <w:rFonts w:hint="eastAsia" w:ascii="仿宋" w:hAnsi="仿宋" w:eastAsia="仿宋" w:cs="Times New Roman"/>
          <w:color w:val="000000" w:themeColor="text1"/>
          <w:highlight w:val="none"/>
        </w:rPr>
        <w:t>或有条件的</w:t>
      </w:r>
      <w:r>
        <w:rPr>
          <w:rFonts w:ascii="仿宋" w:hAnsi="仿宋" w:eastAsia="仿宋" w:cs="Times New Roman"/>
          <w:color w:val="000000" w:themeColor="text1"/>
          <w:highlight w:val="none"/>
        </w:rPr>
        <w:t>报价将不予接受（按无效投标处理）。</w:t>
      </w:r>
    </w:p>
    <w:p w14:paraId="65B80140">
      <w:pPr>
        <w:pStyle w:val="25"/>
        <w:snapToGrid w:val="0"/>
        <w:spacing w:line="300" w:lineRule="auto"/>
        <w:ind w:firstLine="480" w:firstLineChars="200"/>
        <w:rPr>
          <w:rFonts w:hint="eastAsia" w:ascii="仿宋" w:hAnsi="仿宋" w:eastAsia="仿宋" w:cs="Times New Roman"/>
          <w:color w:val="000000" w:themeColor="text1"/>
          <w:highlight w:val="none"/>
        </w:rPr>
      </w:pPr>
      <w:r>
        <w:rPr>
          <w:rFonts w:hint="eastAsia" w:ascii="仿宋" w:hAnsi="仿宋" w:eastAsia="仿宋" w:cs="Times New Roman"/>
          <w:color w:val="000000" w:themeColor="text1"/>
          <w:highlight w:val="none"/>
        </w:rPr>
        <w:t>13.4招标文件未列明，而投标人认为必需的费用也需列入报价。</w:t>
      </w:r>
    </w:p>
    <w:p w14:paraId="2775AAAA">
      <w:pPr>
        <w:pStyle w:val="25"/>
        <w:snapToGrid w:val="0"/>
        <w:spacing w:line="300" w:lineRule="auto"/>
        <w:ind w:firstLine="480" w:firstLineChars="200"/>
        <w:rPr>
          <w:rFonts w:hint="eastAsia" w:ascii="仿宋" w:hAnsi="仿宋" w:eastAsia="仿宋" w:cs="Times New Roman"/>
          <w:color w:val="000000" w:themeColor="text1"/>
          <w:highlight w:val="none"/>
        </w:rPr>
      </w:pPr>
      <w:r>
        <w:rPr>
          <w:rFonts w:hint="eastAsia" w:ascii="仿宋" w:hAnsi="仿宋" w:eastAsia="仿宋" w:cs="Times New Roman"/>
          <w:color w:val="000000" w:themeColor="text1"/>
          <w:highlight w:val="none"/>
        </w:rPr>
        <w:t>13.5</w:t>
      </w:r>
      <w:r>
        <w:rPr>
          <w:rFonts w:hint="eastAsia" w:ascii="仿宋" w:hAnsi="仿宋" w:eastAsia="仿宋"/>
          <w:color w:val="000000" w:themeColor="text1"/>
          <w:szCs w:val="24"/>
          <w:highlight w:val="none"/>
        </w:rPr>
        <w:t>中标后，中标人的投标报价</w:t>
      </w:r>
      <w:r>
        <w:rPr>
          <w:rFonts w:ascii="仿宋" w:hAnsi="仿宋" w:eastAsia="仿宋" w:cs="Times New Roman"/>
          <w:color w:val="000000" w:themeColor="text1"/>
          <w:szCs w:val="24"/>
          <w:highlight w:val="none"/>
        </w:rPr>
        <w:t>是履行合同的最终价格，</w:t>
      </w:r>
      <w:r>
        <w:rPr>
          <w:rFonts w:hint="eastAsia" w:ascii="仿宋" w:hAnsi="仿宋" w:eastAsia="仿宋"/>
          <w:color w:val="000000" w:themeColor="text1"/>
          <w:szCs w:val="24"/>
          <w:highlight w:val="none"/>
        </w:rPr>
        <w:t>在合同实施期间不因市场变化因素而变动，投标人在计算报价时应考虑一定的风险系数。</w:t>
      </w:r>
    </w:p>
    <w:p w14:paraId="2E3FF115">
      <w:pPr>
        <w:pStyle w:val="14"/>
        <w:widowControl w:val="0"/>
        <w:numPr>
          <w:ilvl w:val="0"/>
          <w:numId w:val="0"/>
        </w:numPr>
        <w:snapToGrid w:val="0"/>
        <w:spacing w:afterLines="0" w:line="300" w:lineRule="auto"/>
        <w:ind w:firstLine="472" w:firstLineChars="196"/>
        <w:rPr>
          <w:rFonts w:hint="eastAsia" w:ascii="仿宋" w:hAnsi="仿宋" w:eastAsia="仿宋"/>
          <w:b/>
          <w:color w:val="000000" w:themeColor="text1"/>
          <w:szCs w:val="24"/>
          <w:highlight w:val="none"/>
        </w:rPr>
      </w:pPr>
      <w:r>
        <w:rPr>
          <w:rFonts w:hint="eastAsia" w:ascii="仿宋" w:hAnsi="仿宋" w:eastAsia="仿宋"/>
          <w:b/>
          <w:color w:val="000000" w:themeColor="text1"/>
          <w:szCs w:val="24"/>
          <w:highlight w:val="none"/>
        </w:rPr>
        <w:t>14.投标文件的有效期</w:t>
      </w:r>
    </w:p>
    <w:p w14:paraId="19138468">
      <w:pPr>
        <w:pStyle w:val="25"/>
        <w:snapToGrid w:val="0"/>
        <w:spacing w:line="300" w:lineRule="auto"/>
        <w:ind w:firstLine="480" w:firstLineChars="200"/>
        <w:rPr>
          <w:rFonts w:hint="eastAsia" w:ascii="仿宋" w:hAnsi="仿宋" w:eastAsia="仿宋" w:cs="Times New Roman"/>
          <w:color w:val="000000" w:themeColor="text1"/>
          <w:highlight w:val="none"/>
        </w:rPr>
      </w:pPr>
      <w:r>
        <w:rPr>
          <w:rFonts w:hint="eastAsia" w:ascii="仿宋" w:hAnsi="仿宋" w:eastAsia="仿宋" w:cs="Times New Roman"/>
          <w:color w:val="000000" w:themeColor="text1"/>
          <w:highlight w:val="none"/>
        </w:rPr>
        <w:t>14.1</w:t>
      </w:r>
      <w:r>
        <w:rPr>
          <w:rFonts w:hint="eastAsia" w:ascii="仿宋" w:hAnsi="仿宋" w:eastAsia="仿宋"/>
          <w:color w:val="000000" w:themeColor="text1"/>
          <w:szCs w:val="24"/>
          <w:highlight w:val="none"/>
        </w:rPr>
        <w:t>投标有效期为从提交投标文件的截止之日起90天。</w:t>
      </w:r>
      <w:r>
        <w:rPr>
          <w:rFonts w:hint="eastAsia" w:ascii="仿宋" w:hAnsi="仿宋" w:eastAsia="仿宋"/>
          <w:b/>
          <w:color w:val="000000" w:themeColor="text1"/>
          <w:szCs w:val="24"/>
          <w:highlight w:val="none"/>
        </w:rPr>
        <w:t>投标人的投标文件中承诺的投标有效期少于招标文件中载明的投标有效期的，投标无效</w:t>
      </w:r>
      <w:r>
        <w:rPr>
          <w:rFonts w:hint="eastAsia" w:ascii="仿宋" w:hAnsi="仿宋" w:eastAsia="仿宋"/>
          <w:color w:val="000000" w:themeColor="text1"/>
          <w:szCs w:val="24"/>
          <w:highlight w:val="none"/>
        </w:rPr>
        <w:t>。</w:t>
      </w:r>
    </w:p>
    <w:p w14:paraId="195A5A53">
      <w:pPr>
        <w:pStyle w:val="25"/>
        <w:snapToGrid w:val="0"/>
        <w:spacing w:line="300" w:lineRule="auto"/>
        <w:ind w:firstLine="480" w:firstLineChars="200"/>
        <w:rPr>
          <w:rFonts w:hint="eastAsia" w:ascii="仿宋" w:hAnsi="仿宋" w:eastAsia="仿宋" w:cs="Times New Roman"/>
          <w:color w:val="000000" w:themeColor="text1"/>
          <w:highlight w:val="none"/>
        </w:rPr>
      </w:pPr>
      <w:r>
        <w:rPr>
          <w:rFonts w:hint="eastAsia" w:ascii="仿宋" w:hAnsi="仿宋" w:eastAsia="仿宋" w:cs="Times New Roman"/>
          <w:color w:val="000000" w:themeColor="text1"/>
          <w:highlight w:val="none"/>
        </w:rPr>
        <w:t>14.2</w:t>
      </w:r>
      <w:r>
        <w:rPr>
          <w:rFonts w:ascii="仿宋" w:hAnsi="仿宋" w:eastAsia="仿宋"/>
          <w:color w:val="000000" w:themeColor="text1"/>
          <w:szCs w:val="24"/>
          <w:highlight w:val="none"/>
        </w:rPr>
        <w:t>在原定投标有效期满之前，如果出现特殊情况，采购代理机构可以以书面形式通知投标人延长投标有效期。投标人同意延长的，不得要求或被允许修改其投标文件；投标人拒绝延长的，其投标无效。</w:t>
      </w:r>
    </w:p>
    <w:p w14:paraId="0903D5AA">
      <w:pPr>
        <w:pStyle w:val="25"/>
        <w:snapToGrid w:val="0"/>
        <w:spacing w:line="300" w:lineRule="auto"/>
        <w:ind w:firstLine="480" w:firstLineChars="200"/>
        <w:rPr>
          <w:rFonts w:hint="eastAsia" w:ascii="仿宋" w:hAnsi="仿宋" w:eastAsia="仿宋" w:cs="Times New Roman"/>
          <w:color w:val="000000" w:themeColor="text1"/>
          <w:highlight w:val="none"/>
        </w:rPr>
      </w:pPr>
      <w:r>
        <w:rPr>
          <w:rFonts w:hint="eastAsia" w:ascii="仿宋" w:hAnsi="仿宋" w:eastAsia="仿宋" w:cs="Times New Roman"/>
          <w:color w:val="000000" w:themeColor="text1"/>
          <w:highlight w:val="none"/>
        </w:rPr>
        <w:t>14.3</w:t>
      </w:r>
      <w:r>
        <w:rPr>
          <w:rFonts w:ascii="仿宋" w:hAnsi="仿宋" w:eastAsia="仿宋" w:cs="Times New Roman"/>
          <w:color w:val="000000" w:themeColor="text1"/>
          <w:highlight w:val="none"/>
        </w:rPr>
        <w:t>中标人的投标文件自开标之日起至合同履行完毕止均应保持有效。</w:t>
      </w:r>
    </w:p>
    <w:p w14:paraId="2E81A62E">
      <w:pPr>
        <w:pStyle w:val="14"/>
        <w:widowControl w:val="0"/>
        <w:numPr>
          <w:ilvl w:val="0"/>
          <w:numId w:val="0"/>
        </w:numPr>
        <w:snapToGrid w:val="0"/>
        <w:spacing w:afterLines="0" w:line="300" w:lineRule="auto"/>
        <w:ind w:firstLine="472" w:firstLineChars="196"/>
        <w:rPr>
          <w:rFonts w:hint="eastAsia" w:ascii="仿宋" w:hAnsi="仿宋" w:eastAsia="仿宋"/>
          <w:b/>
          <w:color w:val="000000" w:themeColor="text1"/>
          <w:highlight w:val="none"/>
        </w:rPr>
      </w:pPr>
      <w:r>
        <w:rPr>
          <w:rFonts w:hint="eastAsia" w:ascii="仿宋" w:hAnsi="仿宋" w:eastAsia="仿宋"/>
          <w:b/>
          <w:color w:val="000000" w:themeColor="text1"/>
          <w:szCs w:val="24"/>
          <w:highlight w:val="none"/>
        </w:rPr>
        <w:t>15.投标保证金</w:t>
      </w:r>
    </w:p>
    <w:p w14:paraId="4996C78A">
      <w:pPr>
        <w:pStyle w:val="25"/>
        <w:snapToGrid w:val="0"/>
        <w:spacing w:line="300" w:lineRule="auto"/>
        <w:ind w:firstLine="480" w:firstLineChars="200"/>
        <w:rPr>
          <w:rFonts w:hint="eastAsia" w:ascii="仿宋" w:hAnsi="仿宋" w:eastAsia="仿宋" w:cs="宋体"/>
          <w:color w:val="000000" w:themeColor="text1"/>
          <w:szCs w:val="24"/>
          <w:highlight w:val="none"/>
        </w:rPr>
      </w:pPr>
      <w:r>
        <w:rPr>
          <w:rFonts w:hint="eastAsia" w:ascii="仿宋" w:hAnsi="仿宋" w:eastAsia="仿宋"/>
          <w:color w:val="000000" w:themeColor="text1"/>
          <w:szCs w:val="24"/>
          <w:highlight w:val="none"/>
        </w:rPr>
        <w:t>本项目无需缴纳投标保证金。</w:t>
      </w:r>
    </w:p>
    <w:p w14:paraId="2CDC3640">
      <w:pPr>
        <w:snapToGrid w:val="0"/>
        <w:spacing w:line="300" w:lineRule="auto"/>
        <w:ind w:firstLine="472" w:firstLineChars="196"/>
        <w:jc w:val="left"/>
        <w:outlineLvl w:val="0"/>
        <w:rPr>
          <w:rFonts w:hint="eastAsia" w:ascii="仿宋" w:hAnsi="仿宋" w:eastAsia="仿宋"/>
          <w:b/>
          <w:color w:val="000000" w:themeColor="text1"/>
          <w:sz w:val="24"/>
          <w:szCs w:val="24"/>
          <w:highlight w:val="none"/>
        </w:rPr>
      </w:pPr>
      <w:r>
        <w:rPr>
          <w:rFonts w:hint="eastAsia" w:ascii="仿宋" w:hAnsi="仿宋" w:eastAsia="仿宋"/>
          <w:b/>
          <w:color w:val="000000" w:themeColor="text1"/>
          <w:sz w:val="24"/>
          <w:szCs w:val="24"/>
          <w:highlight w:val="none"/>
        </w:rPr>
        <w:t>16.投标文件的签署和份数</w:t>
      </w:r>
    </w:p>
    <w:p w14:paraId="62FC59A0">
      <w:pPr>
        <w:snapToGrid w:val="0"/>
        <w:spacing w:line="300" w:lineRule="auto"/>
        <w:ind w:firstLine="480" w:firstLineChars="200"/>
        <w:jc w:val="left"/>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16.1投标人应</w:t>
      </w:r>
      <w:r>
        <w:rPr>
          <w:rFonts w:ascii="仿宋" w:hAnsi="仿宋" w:eastAsia="仿宋"/>
          <w:color w:val="000000" w:themeColor="text1"/>
          <w:sz w:val="24"/>
          <w:szCs w:val="24"/>
          <w:highlight w:val="none"/>
        </w:rPr>
        <w:t>按照招标文件第六章规定的内容要求及格式编制、装订投标文件</w:t>
      </w:r>
      <w:r>
        <w:rPr>
          <w:rFonts w:hint="eastAsia" w:ascii="仿宋" w:hAnsi="仿宋" w:eastAsia="仿宋"/>
          <w:color w:val="000000" w:themeColor="text1"/>
          <w:sz w:val="24"/>
          <w:szCs w:val="24"/>
          <w:highlight w:val="none"/>
        </w:rPr>
        <w:t>并标注页码</w:t>
      </w:r>
      <w:r>
        <w:rPr>
          <w:rFonts w:ascii="仿宋" w:hAnsi="仿宋" w:eastAsia="仿宋"/>
          <w:color w:val="000000" w:themeColor="text1"/>
          <w:sz w:val="24"/>
          <w:szCs w:val="24"/>
          <w:highlight w:val="none"/>
        </w:rPr>
        <w:t>，投标文件内容不完整、编排混乱导致投标文件被误读、漏读或者查找不到相关内容的，是投标人的责任。</w:t>
      </w:r>
      <w:r>
        <w:rPr>
          <w:rFonts w:hint="eastAsia" w:ascii="仿宋" w:hAnsi="仿宋" w:eastAsia="仿宋" w:cs="仿宋"/>
          <w:color w:val="000000" w:themeColor="text1"/>
          <w:sz w:val="24"/>
          <w:highlight w:val="none"/>
        </w:rPr>
        <w:t>其中资格文件和商务技术文件中不得出现投标报价，如因投标人原因提前泄露投标报价的，是投标人的责任。</w:t>
      </w:r>
    </w:p>
    <w:p w14:paraId="385BEC1B">
      <w:pPr>
        <w:snapToGrid w:val="0"/>
        <w:spacing w:line="300" w:lineRule="auto"/>
        <w:ind w:firstLine="480" w:firstLineChars="200"/>
        <w:jc w:val="left"/>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16.2投标文件的份数：详见招标文件第二章“前附表”。投标文件的资格文件、商务技术文件、报价文件应当分开编制并分别装订成册（不得采用活页装订），并在封面上标明“正本”和“副本”。投标文件“正本”除招标文件第六章中规定的可提供复印件外均须提供原件，“副本”可以是“正本”加盖公章后的复印件。投标文件“正本”和“副本”如有不一致之处，以“正本”为准。</w:t>
      </w:r>
      <w:r>
        <w:rPr>
          <w:rFonts w:hint="eastAsia" w:ascii="仿宋" w:hAnsi="仿宋" w:eastAsia="仿宋"/>
          <w:b/>
          <w:color w:val="000000" w:themeColor="text1"/>
          <w:sz w:val="24"/>
          <w:szCs w:val="24"/>
          <w:highlight w:val="none"/>
        </w:rPr>
        <w:t>当投标文件未注明“正本”和“副本”且出现不一致时，评标委员会可以认定投标人出现选择性投标而认定其为无效投标。</w:t>
      </w:r>
    </w:p>
    <w:p w14:paraId="2066936B">
      <w:pPr>
        <w:snapToGrid w:val="0"/>
        <w:spacing w:line="300" w:lineRule="auto"/>
        <w:ind w:firstLine="480" w:firstLineChars="200"/>
        <w:jc w:val="left"/>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16.3</w:t>
      </w:r>
      <w:r>
        <w:rPr>
          <w:rFonts w:ascii="仿宋" w:hAnsi="仿宋" w:eastAsia="仿宋"/>
          <w:color w:val="000000" w:themeColor="text1"/>
          <w:sz w:val="24"/>
          <w:szCs w:val="24"/>
          <w:highlight w:val="none"/>
        </w:rPr>
        <w:t>投标文件应按照招标文件第六章格式要求进行签署、盖章。</w:t>
      </w:r>
      <w:r>
        <w:rPr>
          <w:rFonts w:hint="eastAsia" w:ascii="仿宋" w:hAnsi="仿宋" w:eastAsia="仿宋"/>
          <w:b/>
          <w:color w:val="000000" w:themeColor="text1"/>
          <w:sz w:val="24"/>
          <w:szCs w:val="24"/>
          <w:highlight w:val="none"/>
        </w:rPr>
        <w:t>投标文件中所涉及的公章必须是投标人全称的公章，不得使用投标专用章、合同章等类似图章代替。</w:t>
      </w:r>
    </w:p>
    <w:p w14:paraId="0EA1F475">
      <w:pPr>
        <w:snapToGrid w:val="0"/>
        <w:spacing w:line="300" w:lineRule="auto"/>
        <w:ind w:firstLine="480" w:firstLineChars="200"/>
        <w:jc w:val="left"/>
        <w:rPr>
          <w:rFonts w:hint="eastAsia" w:ascii="仿宋" w:hAnsi="仿宋" w:eastAsia="仿宋"/>
          <w:b/>
          <w:color w:val="000000" w:themeColor="text1"/>
          <w:sz w:val="24"/>
          <w:szCs w:val="24"/>
          <w:highlight w:val="none"/>
        </w:rPr>
      </w:pPr>
      <w:r>
        <w:rPr>
          <w:rFonts w:hint="eastAsia" w:ascii="仿宋" w:hAnsi="仿宋" w:eastAsia="仿宋"/>
          <w:color w:val="000000" w:themeColor="text1"/>
          <w:sz w:val="24"/>
          <w:szCs w:val="24"/>
          <w:highlight w:val="none"/>
        </w:rPr>
        <w:t>16.4</w:t>
      </w:r>
      <w:r>
        <w:rPr>
          <w:rFonts w:ascii="仿宋" w:hAnsi="仿宋" w:eastAsia="仿宋"/>
          <w:color w:val="000000" w:themeColor="text1"/>
          <w:sz w:val="24"/>
          <w:szCs w:val="24"/>
          <w:highlight w:val="none"/>
        </w:rPr>
        <w:t>投标文件不得涂改，若有修改错漏处，须加盖单位公章或者法定代表人（单位负责人）或授权代表签字或盖章。否则，投标文件因表达不清所引起的后果由投标人负责。</w:t>
      </w:r>
    </w:p>
    <w:p w14:paraId="1D1B6543">
      <w:pPr>
        <w:snapToGrid w:val="0"/>
        <w:spacing w:line="300" w:lineRule="auto"/>
        <w:ind w:firstLine="480" w:firstLineChars="200"/>
        <w:jc w:val="left"/>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16.5投标人应使用招标文件中提供的文本格式，如表格不够用，可以按同样格式扩展。</w:t>
      </w:r>
    </w:p>
    <w:p w14:paraId="7D3AF385">
      <w:pPr>
        <w:snapToGrid w:val="0"/>
        <w:spacing w:line="300" w:lineRule="auto"/>
        <w:ind w:firstLine="480" w:firstLineChars="200"/>
        <w:jc w:val="left"/>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16.6投标文件必须统一用</w:t>
      </w:r>
      <w:r>
        <w:rPr>
          <w:rFonts w:ascii="仿宋" w:hAnsi="仿宋" w:eastAsia="仿宋"/>
          <w:color w:val="000000" w:themeColor="text1"/>
          <w:sz w:val="24"/>
          <w:szCs w:val="24"/>
          <w:highlight w:val="none"/>
        </w:rPr>
        <w:t>A4</w:t>
      </w:r>
      <w:r>
        <w:rPr>
          <w:rFonts w:hint="eastAsia" w:ascii="仿宋" w:hAnsi="仿宋" w:eastAsia="仿宋"/>
          <w:color w:val="000000" w:themeColor="text1"/>
          <w:sz w:val="24"/>
          <w:szCs w:val="24"/>
          <w:highlight w:val="none"/>
        </w:rPr>
        <w:t>纸(除特殊项目外)，文件内容均要求打印（除注明要求签字或提供复印件外）。</w:t>
      </w:r>
    </w:p>
    <w:p w14:paraId="38F16678">
      <w:pPr>
        <w:snapToGrid w:val="0"/>
        <w:spacing w:line="300" w:lineRule="auto"/>
        <w:ind w:firstLine="480" w:firstLineChars="200"/>
        <w:jc w:val="left"/>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16.7投标人应认真阅读招标文件中所有的内容。</w:t>
      </w:r>
      <w:r>
        <w:rPr>
          <w:rFonts w:hint="eastAsia" w:ascii="仿宋" w:hAnsi="仿宋" w:eastAsia="仿宋"/>
          <w:b/>
          <w:color w:val="000000" w:themeColor="text1"/>
          <w:sz w:val="24"/>
          <w:szCs w:val="24"/>
          <w:highlight w:val="none"/>
        </w:rPr>
        <w:t>如果投标人编制的投标文件实质上不响应招标文件的要求或开标一览表中报价进行手写的，投标无效。</w:t>
      </w:r>
    </w:p>
    <w:p w14:paraId="7D82958E">
      <w:pPr>
        <w:snapToGrid w:val="0"/>
        <w:spacing w:line="300" w:lineRule="auto"/>
        <w:ind w:firstLine="472" w:firstLineChars="196"/>
        <w:jc w:val="left"/>
        <w:rPr>
          <w:rFonts w:hint="eastAsia" w:ascii="仿宋" w:hAnsi="仿宋" w:eastAsia="仿宋"/>
          <w:b/>
          <w:color w:val="000000" w:themeColor="text1"/>
          <w:sz w:val="24"/>
          <w:szCs w:val="24"/>
          <w:highlight w:val="none"/>
        </w:rPr>
      </w:pPr>
      <w:r>
        <w:rPr>
          <w:rFonts w:hint="eastAsia" w:ascii="仿宋" w:hAnsi="仿宋" w:eastAsia="仿宋"/>
          <w:b/>
          <w:color w:val="000000" w:themeColor="text1"/>
          <w:sz w:val="24"/>
          <w:szCs w:val="24"/>
          <w:highlight w:val="none"/>
        </w:rPr>
        <w:t>17.投标文件的包装、递交、修改和撤回</w:t>
      </w:r>
    </w:p>
    <w:p w14:paraId="4A407AED">
      <w:pPr>
        <w:pStyle w:val="8"/>
        <w:snapToGrid w:val="0"/>
        <w:spacing w:line="300" w:lineRule="auto"/>
        <w:ind w:firstLine="480" w:firstLineChars="200"/>
        <w:rPr>
          <w:rFonts w:hint="eastAsia" w:ascii="仿宋" w:hAnsi="仿宋" w:eastAsia="仿宋" w:cs="Times New Roman"/>
          <w:color w:val="000000" w:themeColor="text1"/>
          <w:sz w:val="24"/>
          <w:szCs w:val="24"/>
          <w:highlight w:val="none"/>
        </w:rPr>
      </w:pPr>
      <w:r>
        <w:rPr>
          <w:rFonts w:hint="eastAsia" w:ascii="仿宋" w:hAnsi="仿宋" w:eastAsia="仿宋" w:cs="Times New Roman"/>
          <w:color w:val="000000" w:themeColor="text1"/>
          <w:sz w:val="24"/>
          <w:szCs w:val="24"/>
          <w:highlight w:val="none"/>
        </w:rPr>
        <w:t>17.1投标人应将投标文件的资格文件、</w:t>
      </w:r>
      <w:r>
        <w:rPr>
          <w:rFonts w:hint="eastAsia" w:ascii="仿宋" w:hAnsi="仿宋" w:eastAsia="仿宋" w:cs="宋体"/>
          <w:color w:val="000000" w:themeColor="text1"/>
          <w:sz w:val="24"/>
          <w:szCs w:val="24"/>
          <w:highlight w:val="none"/>
        </w:rPr>
        <w:t>商务</w:t>
      </w:r>
      <w:r>
        <w:rPr>
          <w:rFonts w:hint="eastAsia" w:ascii="仿宋" w:hAnsi="仿宋" w:eastAsia="仿宋" w:cs="Times New Roman"/>
          <w:color w:val="000000" w:themeColor="text1"/>
          <w:sz w:val="24"/>
          <w:szCs w:val="24"/>
          <w:highlight w:val="none"/>
        </w:rPr>
        <w:t>技术文件、报价文件分开包装密封。同时在外包装封面上注明投标项目名称、项目编号、标项（如有）、投标人名称（写全称）、资格文件或商务技术文件或报价文件，并由投标人盖章。</w:t>
      </w:r>
      <w:r>
        <w:rPr>
          <w:rFonts w:hint="eastAsia" w:ascii="仿宋" w:hAnsi="仿宋" w:eastAsia="仿宋" w:cs="Times New Roman"/>
          <w:b/>
          <w:color w:val="000000" w:themeColor="text1"/>
          <w:sz w:val="24"/>
          <w:szCs w:val="24"/>
          <w:highlight w:val="none"/>
        </w:rPr>
        <w:t>如投标文件的资格文件、商务技术文件与报价文件未分开制作与包装或未密封，将被视作无效投标处理。如投标文件的资格文件或商务技术文件含有本项目投标报价，将被视作无效投标处理。</w:t>
      </w:r>
    </w:p>
    <w:p w14:paraId="26A0A237">
      <w:pPr>
        <w:pStyle w:val="8"/>
        <w:snapToGrid w:val="0"/>
        <w:spacing w:line="300" w:lineRule="auto"/>
        <w:ind w:firstLine="480" w:firstLineChars="200"/>
        <w:rPr>
          <w:rFonts w:hint="eastAsia" w:ascii="仿宋" w:hAnsi="仿宋" w:eastAsia="仿宋" w:cs="Times New Roman"/>
          <w:color w:val="000000" w:themeColor="text1"/>
          <w:sz w:val="24"/>
          <w:szCs w:val="24"/>
          <w:highlight w:val="none"/>
        </w:rPr>
      </w:pPr>
      <w:r>
        <w:rPr>
          <w:rFonts w:hint="eastAsia" w:ascii="仿宋" w:hAnsi="仿宋" w:eastAsia="仿宋" w:cs="Times New Roman"/>
          <w:color w:val="000000" w:themeColor="text1"/>
          <w:sz w:val="24"/>
          <w:szCs w:val="24"/>
          <w:highlight w:val="none"/>
        </w:rPr>
        <w:t>17.2未按规定密封包装或标记的投标文件将被拒绝，由此造成投标文件被误投或提前拆封等风险由投标人自行承担。</w:t>
      </w:r>
    </w:p>
    <w:p w14:paraId="6C0EC738">
      <w:pPr>
        <w:pStyle w:val="8"/>
        <w:snapToGrid w:val="0"/>
        <w:spacing w:line="300" w:lineRule="auto"/>
        <w:ind w:firstLine="480" w:firstLineChars="200"/>
        <w:rPr>
          <w:rFonts w:hint="eastAsia" w:ascii="仿宋" w:hAnsi="仿宋" w:eastAsia="仿宋" w:cs="Times New Roman"/>
          <w:color w:val="000000" w:themeColor="text1"/>
          <w:sz w:val="24"/>
          <w:szCs w:val="24"/>
          <w:highlight w:val="none"/>
        </w:rPr>
      </w:pPr>
      <w:r>
        <w:rPr>
          <w:rFonts w:hint="eastAsia" w:ascii="仿宋" w:hAnsi="仿宋" w:eastAsia="仿宋" w:cs="Times New Roman"/>
          <w:color w:val="000000" w:themeColor="text1"/>
          <w:sz w:val="24"/>
          <w:szCs w:val="24"/>
          <w:highlight w:val="none"/>
        </w:rPr>
        <w:t>17.3</w:t>
      </w:r>
      <w:r>
        <w:rPr>
          <w:rFonts w:ascii="仿宋" w:hAnsi="仿宋" w:eastAsia="仿宋" w:cs="Times New Roman"/>
          <w:color w:val="000000" w:themeColor="text1"/>
          <w:sz w:val="24"/>
          <w:szCs w:val="24"/>
          <w:highlight w:val="none"/>
        </w:rPr>
        <w:t>投标</w:t>
      </w:r>
      <w:r>
        <w:rPr>
          <w:rFonts w:hint="eastAsia" w:ascii="仿宋" w:hAnsi="仿宋" w:eastAsia="仿宋" w:cs="Times New Roman"/>
          <w:color w:val="000000" w:themeColor="text1"/>
          <w:sz w:val="24"/>
          <w:szCs w:val="24"/>
          <w:highlight w:val="none"/>
        </w:rPr>
        <w:t>人应按前附表规定的时间、地点将投标文件递交给采购代理机构</w:t>
      </w:r>
      <w:r>
        <w:rPr>
          <w:rFonts w:ascii="仿宋" w:hAnsi="仿宋" w:eastAsia="仿宋" w:cs="Times New Roman"/>
          <w:color w:val="000000" w:themeColor="text1"/>
          <w:sz w:val="24"/>
          <w:szCs w:val="24"/>
          <w:highlight w:val="none"/>
        </w:rPr>
        <w:t>，</w:t>
      </w:r>
      <w:r>
        <w:rPr>
          <w:rFonts w:hint="eastAsia" w:ascii="仿宋" w:hAnsi="仿宋" w:eastAsia="仿宋" w:cs="Times New Roman"/>
          <w:color w:val="000000" w:themeColor="text1"/>
          <w:sz w:val="24"/>
          <w:szCs w:val="24"/>
          <w:highlight w:val="none"/>
        </w:rPr>
        <w:t>采购代理机构将拒绝接受</w:t>
      </w:r>
      <w:r>
        <w:rPr>
          <w:rFonts w:ascii="仿宋" w:hAnsi="仿宋" w:eastAsia="仿宋" w:cs="Times New Roman"/>
          <w:color w:val="000000" w:themeColor="text1"/>
          <w:sz w:val="24"/>
          <w:szCs w:val="24"/>
          <w:highlight w:val="none"/>
        </w:rPr>
        <w:t>逾期</w:t>
      </w:r>
      <w:r>
        <w:rPr>
          <w:rFonts w:hint="eastAsia" w:ascii="仿宋" w:hAnsi="仿宋" w:eastAsia="仿宋" w:cs="Times New Roman"/>
          <w:color w:val="000000" w:themeColor="text1"/>
          <w:sz w:val="24"/>
          <w:szCs w:val="24"/>
          <w:highlight w:val="none"/>
        </w:rPr>
        <w:t>送达的</w:t>
      </w:r>
      <w:r>
        <w:rPr>
          <w:rFonts w:ascii="仿宋" w:hAnsi="仿宋" w:eastAsia="仿宋" w:cs="Times New Roman"/>
          <w:color w:val="000000" w:themeColor="text1"/>
          <w:sz w:val="24"/>
          <w:szCs w:val="24"/>
          <w:highlight w:val="none"/>
        </w:rPr>
        <w:t>投标</w:t>
      </w:r>
      <w:r>
        <w:rPr>
          <w:rFonts w:hint="eastAsia" w:ascii="仿宋" w:hAnsi="仿宋" w:eastAsia="仿宋" w:cs="Times New Roman"/>
          <w:color w:val="000000" w:themeColor="text1"/>
          <w:sz w:val="24"/>
          <w:szCs w:val="24"/>
          <w:highlight w:val="none"/>
        </w:rPr>
        <w:t>文件</w:t>
      </w:r>
      <w:r>
        <w:rPr>
          <w:rFonts w:ascii="仿宋" w:hAnsi="仿宋" w:eastAsia="仿宋" w:cs="Times New Roman"/>
          <w:color w:val="000000" w:themeColor="text1"/>
          <w:sz w:val="24"/>
          <w:szCs w:val="24"/>
          <w:highlight w:val="none"/>
        </w:rPr>
        <w:t>。</w:t>
      </w:r>
      <w:r>
        <w:rPr>
          <w:rFonts w:hint="eastAsia" w:ascii="仿宋" w:hAnsi="仿宋" w:eastAsia="仿宋" w:cs="Times New Roman"/>
          <w:color w:val="000000" w:themeColor="text1"/>
          <w:sz w:val="24"/>
          <w:szCs w:val="24"/>
          <w:highlight w:val="none"/>
        </w:rPr>
        <w:t>采购代理机构可以按本须知“招标文件的澄清与修改”规定，酌情推迟递交投标文件的截止时间。在上述情况下，采购代理机构与投标人以前在投标截止期方面的全部权利、责任和义务，将适用于延长至新的投标截止期。</w:t>
      </w:r>
    </w:p>
    <w:p w14:paraId="154C0509">
      <w:pPr>
        <w:pStyle w:val="8"/>
        <w:snapToGrid w:val="0"/>
        <w:spacing w:line="300" w:lineRule="auto"/>
        <w:ind w:firstLine="480" w:firstLineChars="200"/>
        <w:rPr>
          <w:rFonts w:hint="eastAsia" w:ascii="仿宋" w:hAnsi="仿宋" w:eastAsia="仿宋" w:cs="Times New Roman"/>
          <w:color w:val="000000" w:themeColor="text1"/>
          <w:sz w:val="24"/>
          <w:szCs w:val="24"/>
          <w:highlight w:val="none"/>
        </w:rPr>
      </w:pPr>
      <w:r>
        <w:rPr>
          <w:rFonts w:hint="eastAsia" w:ascii="仿宋" w:hAnsi="仿宋" w:eastAsia="仿宋" w:cs="Times New Roman"/>
          <w:color w:val="000000" w:themeColor="text1"/>
          <w:sz w:val="24"/>
          <w:szCs w:val="24"/>
          <w:highlight w:val="none"/>
        </w:rPr>
        <w:t>17.4投标人在投标截止时间之前，可以对已提交的投标文件进行修改或撤回，并书面通知采购人或采购代理机构。修改后重新递交的投标文件应当按本招标文件的要求签署、盖章和密封。</w:t>
      </w:r>
    </w:p>
    <w:p w14:paraId="64FD100F">
      <w:pPr>
        <w:pStyle w:val="8"/>
        <w:snapToGrid w:val="0"/>
        <w:spacing w:line="300" w:lineRule="auto"/>
        <w:ind w:firstLine="480" w:firstLineChars="200"/>
        <w:rPr>
          <w:rFonts w:hint="eastAsia" w:ascii="仿宋" w:hAnsi="仿宋" w:eastAsia="仿宋" w:cs="Times New Roman"/>
          <w:color w:val="000000" w:themeColor="text1"/>
          <w:sz w:val="24"/>
          <w:szCs w:val="24"/>
          <w:highlight w:val="none"/>
        </w:rPr>
      </w:pPr>
      <w:r>
        <w:rPr>
          <w:rFonts w:hint="eastAsia" w:ascii="仿宋" w:hAnsi="仿宋" w:eastAsia="仿宋" w:cs="Times New Roman"/>
          <w:color w:val="000000" w:themeColor="text1"/>
          <w:sz w:val="24"/>
          <w:szCs w:val="24"/>
          <w:highlight w:val="none"/>
        </w:rPr>
        <w:t>17.5投标截止时间后，投标人不得撤回、修改投标文件。</w:t>
      </w:r>
    </w:p>
    <w:p w14:paraId="617F515F">
      <w:pPr>
        <w:pStyle w:val="8"/>
        <w:snapToGrid w:val="0"/>
        <w:spacing w:line="300" w:lineRule="auto"/>
        <w:ind w:firstLine="480" w:firstLineChars="200"/>
        <w:rPr>
          <w:rFonts w:hint="eastAsia" w:ascii="仿宋" w:hAnsi="仿宋" w:eastAsia="仿宋" w:cs="Times New Roman"/>
          <w:color w:val="000000" w:themeColor="text1"/>
          <w:sz w:val="24"/>
          <w:szCs w:val="24"/>
          <w:highlight w:val="none"/>
        </w:rPr>
      </w:pPr>
      <w:r>
        <w:rPr>
          <w:rFonts w:hint="eastAsia" w:ascii="仿宋" w:hAnsi="仿宋" w:eastAsia="仿宋" w:cs="Times New Roman"/>
          <w:color w:val="000000" w:themeColor="text1"/>
          <w:sz w:val="24"/>
          <w:szCs w:val="24"/>
          <w:highlight w:val="none"/>
        </w:rPr>
        <w:t>17.6不论投标人中标与否，投标文件均不退回。</w:t>
      </w:r>
    </w:p>
    <w:p w14:paraId="1074656A">
      <w:pPr>
        <w:snapToGrid w:val="0"/>
        <w:spacing w:line="300" w:lineRule="auto"/>
        <w:ind w:firstLine="472" w:firstLineChars="196"/>
        <w:jc w:val="left"/>
        <w:rPr>
          <w:rFonts w:hint="eastAsia" w:ascii="仿宋" w:hAnsi="仿宋" w:eastAsia="仿宋"/>
          <w:b/>
          <w:color w:val="000000" w:themeColor="text1"/>
          <w:sz w:val="24"/>
          <w:szCs w:val="24"/>
          <w:highlight w:val="none"/>
        </w:rPr>
      </w:pPr>
      <w:r>
        <w:rPr>
          <w:rFonts w:hint="eastAsia" w:ascii="仿宋" w:hAnsi="仿宋" w:eastAsia="仿宋"/>
          <w:b/>
          <w:color w:val="000000" w:themeColor="text1"/>
          <w:sz w:val="24"/>
          <w:szCs w:val="24"/>
          <w:highlight w:val="none"/>
        </w:rPr>
        <w:t>18.投标无效的情形</w:t>
      </w:r>
    </w:p>
    <w:p w14:paraId="0549A84A">
      <w:pPr>
        <w:pStyle w:val="21"/>
        <w:snapToGrid w:val="0"/>
        <w:spacing w:after="0" w:line="300" w:lineRule="auto"/>
        <w:ind w:left="0" w:leftChars="0" w:firstLine="470" w:firstLineChars="196"/>
        <w:rPr>
          <w:rFonts w:hint="eastAsia" w:ascii="仿宋" w:hAnsi="仿宋" w:eastAsia="仿宋"/>
          <w:b/>
          <w:bCs/>
          <w:color w:val="000000" w:themeColor="text1"/>
          <w:sz w:val="24"/>
          <w:szCs w:val="24"/>
          <w:highlight w:val="none"/>
        </w:rPr>
      </w:pPr>
      <w:r>
        <w:rPr>
          <w:rFonts w:hint="eastAsia" w:ascii="仿宋" w:hAnsi="仿宋" w:eastAsia="仿宋"/>
          <w:bCs/>
          <w:color w:val="000000" w:themeColor="text1"/>
          <w:sz w:val="24"/>
          <w:szCs w:val="24"/>
          <w:highlight w:val="none"/>
        </w:rPr>
        <w:t>18.1</w:t>
      </w:r>
      <w:r>
        <w:rPr>
          <w:rFonts w:ascii="仿宋" w:hAnsi="仿宋" w:eastAsia="仿宋"/>
          <w:bCs/>
          <w:color w:val="000000" w:themeColor="text1"/>
          <w:sz w:val="24"/>
          <w:szCs w:val="24"/>
          <w:highlight w:val="none"/>
        </w:rPr>
        <w:t>在</w:t>
      </w:r>
      <w:r>
        <w:rPr>
          <w:rFonts w:hint="eastAsia" w:ascii="仿宋" w:hAnsi="仿宋" w:eastAsia="仿宋"/>
          <w:bCs/>
          <w:color w:val="000000" w:themeColor="text1"/>
          <w:sz w:val="24"/>
          <w:szCs w:val="24"/>
          <w:highlight w:val="none"/>
        </w:rPr>
        <w:t>资格性审查和</w:t>
      </w:r>
      <w:r>
        <w:rPr>
          <w:rFonts w:ascii="仿宋" w:hAnsi="仿宋" w:eastAsia="仿宋"/>
          <w:bCs/>
          <w:color w:val="000000" w:themeColor="text1"/>
          <w:sz w:val="24"/>
          <w:szCs w:val="24"/>
          <w:highlight w:val="none"/>
        </w:rPr>
        <w:t>符合性审查时，如发现下列情形之一的，投标文件将被视为无效投标：</w:t>
      </w:r>
    </w:p>
    <w:p w14:paraId="61457BAC">
      <w:pPr>
        <w:snapToGrid w:val="0"/>
        <w:spacing w:line="300" w:lineRule="auto"/>
        <w:ind w:firstLine="470" w:firstLineChars="196"/>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18.1.1</w:t>
      </w:r>
      <w:r>
        <w:rPr>
          <w:rFonts w:ascii="仿宋" w:hAnsi="仿宋" w:eastAsia="仿宋"/>
          <w:color w:val="000000" w:themeColor="text1"/>
          <w:sz w:val="24"/>
          <w:szCs w:val="24"/>
          <w:highlight w:val="none"/>
        </w:rPr>
        <w:t>投标人不具备招标文件中规定的资格要求的（投标人未按招标文件要求提供有效的资格文件的，视为投标人不具备招标文件中规定的资格要求）；</w:t>
      </w:r>
    </w:p>
    <w:p w14:paraId="4946AB5C">
      <w:pPr>
        <w:snapToGrid w:val="0"/>
        <w:spacing w:line="300" w:lineRule="auto"/>
        <w:ind w:firstLine="470" w:firstLineChars="196"/>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18.1.2投标文件未按照招标文件要求签署、盖章的；</w:t>
      </w:r>
    </w:p>
    <w:p w14:paraId="77CF04C0">
      <w:pPr>
        <w:snapToGrid w:val="0"/>
        <w:spacing w:line="300" w:lineRule="auto"/>
        <w:ind w:firstLine="470" w:firstLineChars="196"/>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18.1.3</w:t>
      </w:r>
      <w:r>
        <w:rPr>
          <w:rFonts w:ascii="仿宋" w:hAnsi="仿宋" w:eastAsia="仿宋"/>
          <w:color w:val="000000" w:themeColor="text1"/>
          <w:sz w:val="24"/>
          <w:szCs w:val="24"/>
          <w:highlight w:val="none"/>
        </w:rPr>
        <w:t>投标文件项目不齐全或者内容虚假的；</w:t>
      </w:r>
    </w:p>
    <w:p w14:paraId="3E3E0441">
      <w:pPr>
        <w:snapToGrid w:val="0"/>
        <w:spacing w:line="300" w:lineRule="auto"/>
        <w:ind w:firstLine="470" w:firstLineChars="196"/>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18.1.4</w:t>
      </w:r>
      <w:r>
        <w:rPr>
          <w:rFonts w:ascii="仿宋" w:hAnsi="仿宋" w:eastAsia="仿宋"/>
          <w:color w:val="000000" w:themeColor="text1"/>
          <w:sz w:val="24"/>
          <w:szCs w:val="24"/>
          <w:highlight w:val="none"/>
        </w:rPr>
        <w:t>投标文件的实质性内容未使用中文表述、意思表述不明确、前后矛盾或者使用计量单位不符合招标文件要求的</w:t>
      </w:r>
      <w:r>
        <w:rPr>
          <w:rFonts w:hint="eastAsia" w:ascii="仿宋" w:hAnsi="仿宋" w:eastAsia="仿宋"/>
          <w:color w:val="000000" w:themeColor="text1"/>
          <w:sz w:val="24"/>
          <w:szCs w:val="24"/>
          <w:highlight w:val="none"/>
        </w:rPr>
        <w:t>（经评标委员会认定并允许其当场更正的笔误除外）；</w:t>
      </w:r>
    </w:p>
    <w:p w14:paraId="538349E7">
      <w:pPr>
        <w:snapToGrid w:val="0"/>
        <w:spacing w:line="300" w:lineRule="auto"/>
        <w:ind w:firstLine="470" w:firstLineChars="196"/>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18.1.5委托授权代表参加</w:t>
      </w:r>
      <w:r>
        <w:rPr>
          <w:rFonts w:ascii="仿宋" w:hAnsi="仿宋" w:eastAsia="仿宋"/>
          <w:color w:val="000000" w:themeColor="text1"/>
          <w:sz w:val="24"/>
          <w:szCs w:val="24"/>
          <w:highlight w:val="none"/>
        </w:rPr>
        <w:t>投</w:t>
      </w:r>
      <w:r>
        <w:rPr>
          <w:rFonts w:hint="eastAsia" w:ascii="仿宋" w:hAnsi="仿宋" w:eastAsia="仿宋"/>
          <w:color w:val="000000" w:themeColor="text1"/>
          <w:sz w:val="24"/>
          <w:szCs w:val="24"/>
          <w:highlight w:val="none"/>
        </w:rPr>
        <w:t>标但未按要求提供授权委托书的；</w:t>
      </w:r>
    </w:p>
    <w:p w14:paraId="0C83F1B7">
      <w:pPr>
        <w:snapToGrid w:val="0"/>
        <w:spacing w:line="300" w:lineRule="auto"/>
        <w:ind w:firstLine="470" w:firstLineChars="196"/>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18.1.6未按要求提供投标函或投标函</w:t>
      </w:r>
      <w:r>
        <w:rPr>
          <w:rFonts w:ascii="仿宋" w:hAnsi="仿宋" w:eastAsia="仿宋"/>
          <w:color w:val="000000" w:themeColor="text1"/>
          <w:sz w:val="24"/>
          <w:szCs w:val="24"/>
          <w:highlight w:val="none"/>
        </w:rPr>
        <w:t>承诺的投标有效期少于招标文件中载明的投标有效期的；</w:t>
      </w:r>
    </w:p>
    <w:p w14:paraId="46EC597B">
      <w:pPr>
        <w:snapToGrid w:val="0"/>
        <w:spacing w:line="300" w:lineRule="auto"/>
        <w:ind w:firstLine="470" w:firstLineChars="196"/>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18.1.7未按照招标文件规定要求密封、装订或投标文件正、副本份数不足的；</w:t>
      </w:r>
    </w:p>
    <w:p w14:paraId="70DFAB32">
      <w:pPr>
        <w:snapToGrid w:val="0"/>
        <w:spacing w:line="300" w:lineRule="auto"/>
        <w:ind w:firstLine="470" w:firstLineChars="196"/>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18.1.8投标文件的资格文件内或</w:t>
      </w:r>
      <w:r>
        <w:rPr>
          <w:rFonts w:hint="eastAsia" w:ascii="仿宋" w:hAnsi="仿宋" w:eastAsia="仿宋" w:cs="宋体"/>
          <w:color w:val="000000" w:themeColor="text1"/>
          <w:sz w:val="24"/>
          <w:szCs w:val="24"/>
          <w:highlight w:val="none"/>
        </w:rPr>
        <w:t>商务</w:t>
      </w:r>
      <w:r>
        <w:rPr>
          <w:rFonts w:hint="eastAsia" w:ascii="仿宋" w:hAnsi="仿宋" w:eastAsia="仿宋"/>
          <w:color w:val="000000" w:themeColor="text1"/>
          <w:sz w:val="24"/>
          <w:szCs w:val="24"/>
          <w:highlight w:val="none"/>
        </w:rPr>
        <w:t>技术文件内含有投标报价的；</w:t>
      </w:r>
    </w:p>
    <w:p w14:paraId="0614A36E">
      <w:pPr>
        <w:snapToGrid w:val="0"/>
        <w:spacing w:line="300" w:lineRule="auto"/>
        <w:ind w:firstLine="470" w:firstLineChars="196"/>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18.1.9</w:t>
      </w:r>
      <w:r>
        <w:rPr>
          <w:rFonts w:ascii="仿宋" w:hAnsi="仿宋" w:eastAsia="仿宋"/>
          <w:color w:val="000000" w:themeColor="text1"/>
          <w:sz w:val="24"/>
          <w:szCs w:val="24"/>
          <w:highlight w:val="none"/>
        </w:rPr>
        <w:t>投标文件含有采购人不能接受的附加条件的；</w:t>
      </w:r>
    </w:p>
    <w:p w14:paraId="244C8891">
      <w:pPr>
        <w:snapToGrid w:val="0"/>
        <w:spacing w:line="300" w:lineRule="auto"/>
        <w:ind w:firstLine="470" w:firstLineChars="196"/>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18.1.10不符合法律、法规或投标文件不满足招标文件的其它实质性要求的。</w:t>
      </w:r>
    </w:p>
    <w:p w14:paraId="68F99628">
      <w:pPr>
        <w:pStyle w:val="21"/>
        <w:snapToGrid w:val="0"/>
        <w:spacing w:after="0" w:line="300" w:lineRule="auto"/>
        <w:ind w:left="0" w:leftChars="0" w:firstLine="470" w:firstLineChars="196"/>
        <w:rPr>
          <w:rFonts w:hint="eastAsia" w:ascii="仿宋" w:hAnsi="仿宋" w:eastAsia="仿宋"/>
          <w:b/>
          <w:bCs/>
          <w:color w:val="000000" w:themeColor="text1"/>
          <w:sz w:val="24"/>
          <w:szCs w:val="24"/>
          <w:highlight w:val="none"/>
        </w:rPr>
      </w:pPr>
      <w:r>
        <w:rPr>
          <w:rFonts w:hint="eastAsia" w:ascii="仿宋" w:hAnsi="仿宋" w:eastAsia="仿宋"/>
          <w:bCs/>
          <w:color w:val="000000" w:themeColor="text1"/>
          <w:sz w:val="24"/>
          <w:szCs w:val="24"/>
          <w:highlight w:val="none"/>
        </w:rPr>
        <w:t>18.2</w:t>
      </w:r>
      <w:r>
        <w:rPr>
          <w:rFonts w:ascii="仿宋" w:hAnsi="仿宋" w:eastAsia="仿宋"/>
          <w:bCs/>
          <w:color w:val="000000" w:themeColor="text1"/>
          <w:sz w:val="24"/>
          <w:szCs w:val="24"/>
          <w:highlight w:val="none"/>
        </w:rPr>
        <w:t>在商务技术评审时，如发现下列情形之一的，投标文件将被视为无效：</w:t>
      </w:r>
    </w:p>
    <w:p w14:paraId="0DDE902B">
      <w:pPr>
        <w:snapToGrid w:val="0"/>
        <w:spacing w:line="300" w:lineRule="auto"/>
        <w:ind w:firstLine="470" w:firstLineChars="196"/>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18.2.1</w:t>
      </w:r>
      <w:r>
        <w:rPr>
          <w:rFonts w:ascii="仿宋" w:hAnsi="仿宋" w:eastAsia="仿宋"/>
          <w:color w:val="000000" w:themeColor="text1"/>
          <w:sz w:val="24"/>
          <w:szCs w:val="24"/>
          <w:highlight w:val="none"/>
        </w:rPr>
        <w:t>投标文件标明的响应或偏离与事实不符或虚假投标的；</w:t>
      </w:r>
    </w:p>
    <w:p w14:paraId="2C0F5705">
      <w:pPr>
        <w:snapToGrid w:val="0"/>
        <w:spacing w:line="300" w:lineRule="auto"/>
        <w:ind w:firstLine="470" w:firstLineChars="196"/>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18.2.2</w:t>
      </w:r>
      <w:r>
        <w:rPr>
          <w:rFonts w:ascii="仿宋" w:hAnsi="仿宋" w:eastAsia="仿宋"/>
          <w:color w:val="000000" w:themeColor="text1"/>
          <w:sz w:val="24"/>
          <w:szCs w:val="24"/>
          <w:highlight w:val="none"/>
        </w:rPr>
        <w:t>明显不符合招标文件要求的规格型号、质量标准，或者与招标文件中标“</w:t>
      </w:r>
      <w:r>
        <w:rPr>
          <w:rFonts w:hint="eastAsia" w:ascii="仿宋" w:hAnsi="仿宋" w:eastAsia="仿宋"/>
          <w:color w:val="000000" w:themeColor="text1"/>
          <w:sz w:val="24"/>
          <w:szCs w:val="24"/>
          <w:highlight w:val="none"/>
        </w:rPr>
        <w:t>★</w:t>
      </w:r>
      <w:r>
        <w:rPr>
          <w:rFonts w:ascii="仿宋" w:hAnsi="仿宋" w:eastAsia="仿宋"/>
          <w:color w:val="000000" w:themeColor="text1"/>
          <w:sz w:val="24"/>
          <w:szCs w:val="24"/>
          <w:highlight w:val="none"/>
        </w:rPr>
        <w:t>”的技术指标、主要功能项目或其它条款发生实质性偏离（负偏离）的；</w:t>
      </w:r>
    </w:p>
    <w:p w14:paraId="7A6C06A1">
      <w:pPr>
        <w:snapToGrid w:val="0"/>
        <w:spacing w:line="300" w:lineRule="auto"/>
        <w:ind w:firstLine="470" w:firstLineChars="196"/>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18.2.3</w:t>
      </w:r>
      <w:r>
        <w:rPr>
          <w:rFonts w:ascii="仿宋" w:hAnsi="仿宋" w:eastAsia="仿宋"/>
          <w:color w:val="000000" w:themeColor="text1"/>
          <w:sz w:val="24"/>
          <w:szCs w:val="24"/>
          <w:highlight w:val="none"/>
        </w:rPr>
        <w:t>允许偏离的技术</w:t>
      </w:r>
      <w:r>
        <w:rPr>
          <w:rFonts w:hint="eastAsia" w:ascii="仿宋" w:hAnsi="仿宋" w:eastAsia="仿宋"/>
          <w:color w:val="000000" w:themeColor="text1"/>
          <w:sz w:val="24"/>
          <w:szCs w:val="24"/>
          <w:highlight w:val="none"/>
        </w:rPr>
        <w:t>/服务条款要求</w:t>
      </w:r>
      <w:r>
        <w:rPr>
          <w:rFonts w:ascii="仿宋" w:hAnsi="仿宋" w:eastAsia="仿宋"/>
          <w:color w:val="000000" w:themeColor="text1"/>
          <w:sz w:val="24"/>
          <w:szCs w:val="24"/>
          <w:highlight w:val="none"/>
        </w:rPr>
        <w:t>发生负偏离达到招标文件规定数目（如有）的；</w:t>
      </w:r>
    </w:p>
    <w:p w14:paraId="7DD0F1B0">
      <w:pPr>
        <w:snapToGrid w:val="0"/>
        <w:spacing w:line="300" w:lineRule="auto"/>
        <w:ind w:firstLine="470" w:firstLineChars="196"/>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18.2.4</w:t>
      </w:r>
      <w:r>
        <w:rPr>
          <w:rFonts w:ascii="仿宋" w:hAnsi="仿宋" w:eastAsia="仿宋"/>
          <w:color w:val="000000" w:themeColor="text1"/>
          <w:sz w:val="24"/>
          <w:szCs w:val="24"/>
          <w:highlight w:val="none"/>
        </w:rPr>
        <w:t>投标技术方案不明确，存在一个或一个以上备选（替代）投标方案的；</w:t>
      </w:r>
    </w:p>
    <w:p w14:paraId="0D508F8D">
      <w:pPr>
        <w:snapToGrid w:val="0"/>
        <w:spacing w:line="300" w:lineRule="auto"/>
        <w:ind w:firstLine="470" w:firstLineChars="196"/>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18.2.5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14:paraId="1A24F3E6">
      <w:pPr>
        <w:pStyle w:val="21"/>
        <w:snapToGrid w:val="0"/>
        <w:spacing w:after="0" w:line="300" w:lineRule="auto"/>
        <w:rPr>
          <w:rFonts w:hint="eastAsia" w:ascii="仿宋" w:hAnsi="仿宋" w:eastAsia="仿宋"/>
          <w:b/>
          <w:bCs/>
          <w:color w:val="000000" w:themeColor="text1"/>
          <w:sz w:val="24"/>
          <w:szCs w:val="24"/>
          <w:highlight w:val="none"/>
        </w:rPr>
      </w:pPr>
      <w:r>
        <w:rPr>
          <w:rFonts w:hint="eastAsia" w:ascii="仿宋" w:hAnsi="仿宋" w:eastAsia="仿宋"/>
          <w:bCs/>
          <w:color w:val="000000" w:themeColor="text1"/>
          <w:sz w:val="24"/>
          <w:szCs w:val="24"/>
          <w:highlight w:val="none"/>
        </w:rPr>
        <w:t>18.3</w:t>
      </w:r>
      <w:r>
        <w:rPr>
          <w:rFonts w:ascii="仿宋" w:hAnsi="仿宋" w:eastAsia="仿宋"/>
          <w:bCs/>
          <w:color w:val="000000" w:themeColor="text1"/>
          <w:sz w:val="24"/>
          <w:szCs w:val="24"/>
          <w:highlight w:val="none"/>
        </w:rPr>
        <w:t>在报价评审时，如发现下列情形之一的，投标文件将被视为无效：</w:t>
      </w:r>
    </w:p>
    <w:p w14:paraId="506592FD">
      <w:pPr>
        <w:snapToGrid w:val="0"/>
        <w:spacing w:line="300" w:lineRule="auto"/>
        <w:ind w:firstLine="470" w:firstLineChars="196"/>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18.3.1</w:t>
      </w:r>
      <w:r>
        <w:rPr>
          <w:rFonts w:ascii="仿宋" w:hAnsi="仿宋" w:eastAsia="仿宋"/>
          <w:color w:val="000000" w:themeColor="text1"/>
          <w:sz w:val="24"/>
          <w:szCs w:val="24"/>
          <w:highlight w:val="none"/>
        </w:rPr>
        <w:t>未采用人民币报价或者未按照招标文件要求的报价方式报价的；</w:t>
      </w:r>
    </w:p>
    <w:p w14:paraId="4ADF0510">
      <w:pPr>
        <w:snapToGrid w:val="0"/>
        <w:spacing w:line="300" w:lineRule="auto"/>
        <w:ind w:firstLine="470" w:firstLineChars="196"/>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18.3.2投标</w:t>
      </w:r>
      <w:r>
        <w:rPr>
          <w:rFonts w:ascii="仿宋" w:hAnsi="仿宋" w:eastAsia="仿宋"/>
          <w:color w:val="000000" w:themeColor="text1"/>
          <w:sz w:val="24"/>
          <w:szCs w:val="24"/>
          <w:highlight w:val="none"/>
        </w:rPr>
        <w:t>报价超出最高限价的；</w:t>
      </w:r>
    </w:p>
    <w:p w14:paraId="5E0C1EBA">
      <w:pPr>
        <w:snapToGrid w:val="0"/>
        <w:spacing w:line="300" w:lineRule="auto"/>
        <w:ind w:firstLine="470" w:firstLineChars="196"/>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18.3.3评标委员会认为投标人的报价明显低于其他通过符合性审查投标人的报价，有可能影响产品质量或者不能诚信履约，且投标人不能证明其报价合理性的；</w:t>
      </w:r>
    </w:p>
    <w:p w14:paraId="6FA61E5A">
      <w:pPr>
        <w:snapToGrid w:val="0"/>
        <w:spacing w:line="300" w:lineRule="auto"/>
        <w:ind w:firstLine="470" w:firstLineChars="196"/>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18.3.4投标人不接受修正后的报价的；</w:t>
      </w:r>
    </w:p>
    <w:p w14:paraId="7480009D">
      <w:pPr>
        <w:snapToGrid w:val="0"/>
        <w:spacing w:line="300" w:lineRule="auto"/>
        <w:ind w:firstLine="470" w:firstLineChars="196"/>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18.3.5</w:t>
      </w:r>
      <w:r>
        <w:rPr>
          <w:rFonts w:ascii="仿宋" w:hAnsi="仿宋" w:eastAsia="仿宋"/>
          <w:color w:val="000000" w:themeColor="text1"/>
          <w:sz w:val="24"/>
          <w:szCs w:val="24"/>
          <w:highlight w:val="none"/>
        </w:rPr>
        <w:t>投标报价具有选择性</w:t>
      </w:r>
      <w:r>
        <w:rPr>
          <w:rFonts w:hint="eastAsia" w:ascii="仿宋" w:hAnsi="仿宋" w:eastAsia="仿宋"/>
          <w:color w:val="000000" w:themeColor="text1"/>
          <w:sz w:val="24"/>
          <w:szCs w:val="24"/>
          <w:highlight w:val="none"/>
        </w:rPr>
        <w:t>。</w:t>
      </w:r>
    </w:p>
    <w:p w14:paraId="5B76E0CD">
      <w:pPr>
        <w:snapToGrid w:val="0"/>
        <w:spacing w:line="300" w:lineRule="auto"/>
        <w:ind w:firstLine="470" w:firstLineChars="196"/>
        <w:rPr>
          <w:rFonts w:hint="eastAsia" w:ascii="仿宋" w:hAnsi="仿宋" w:eastAsia="仿宋"/>
          <w:color w:val="000000" w:themeColor="text1"/>
          <w:sz w:val="24"/>
          <w:highlight w:val="none"/>
        </w:rPr>
      </w:pPr>
      <w:r>
        <w:rPr>
          <w:rFonts w:hint="eastAsia" w:ascii="仿宋" w:hAnsi="仿宋" w:eastAsia="仿宋"/>
          <w:color w:val="000000" w:themeColor="text1"/>
          <w:sz w:val="24"/>
          <w:szCs w:val="24"/>
          <w:highlight w:val="none"/>
        </w:rPr>
        <w:t>18.4有下列情形之一的，视为投标人串通投标，其投标无效</w:t>
      </w:r>
      <w:r>
        <w:rPr>
          <w:rFonts w:hint="eastAsia" w:ascii="仿宋" w:hAnsi="仿宋" w:eastAsia="仿宋"/>
          <w:color w:val="000000" w:themeColor="text1"/>
          <w:sz w:val="24"/>
          <w:highlight w:val="none"/>
        </w:rPr>
        <w:t>：</w:t>
      </w:r>
    </w:p>
    <w:p w14:paraId="50291F07">
      <w:pPr>
        <w:spacing w:line="300" w:lineRule="auto"/>
        <w:ind w:firstLine="477" w:firstLineChars="199"/>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18.4.1</w:t>
      </w:r>
      <w:r>
        <w:rPr>
          <w:rFonts w:ascii="仿宋" w:hAnsi="仿宋" w:eastAsia="仿宋"/>
          <w:color w:val="000000" w:themeColor="text1"/>
          <w:sz w:val="24"/>
          <w:szCs w:val="24"/>
          <w:highlight w:val="none"/>
        </w:rPr>
        <w:t>不同投标人的投标</w:t>
      </w:r>
      <w:r>
        <w:rPr>
          <w:rFonts w:hint="eastAsia" w:ascii="仿宋" w:hAnsi="仿宋" w:eastAsia="仿宋"/>
          <w:color w:val="000000" w:themeColor="text1"/>
          <w:sz w:val="24"/>
          <w:szCs w:val="24"/>
          <w:highlight w:val="none"/>
        </w:rPr>
        <w:t>文件</w:t>
      </w:r>
      <w:r>
        <w:rPr>
          <w:rFonts w:ascii="仿宋" w:hAnsi="仿宋" w:eastAsia="仿宋"/>
          <w:color w:val="000000" w:themeColor="text1"/>
          <w:sz w:val="24"/>
          <w:szCs w:val="24"/>
          <w:highlight w:val="none"/>
        </w:rPr>
        <w:t xml:space="preserve">由同一单位或者个人编制； </w:t>
      </w:r>
    </w:p>
    <w:p w14:paraId="127604F9">
      <w:pPr>
        <w:snapToGrid w:val="0"/>
        <w:spacing w:line="300" w:lineRule="auto"/>
        <w:ind w:firstLine="480" w:firstLineChars="200"/>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18.4.2</w:t>
      </w:r>
      <w:r>
        <w:rPr>
          <w:rFonts w:ascii="仿宋" w:hAnsi="仿宋" w:eastAsia="仿宋"/>
          <w:color w:val="000000" w:themeColor="text1"/>
          <w:sz w:val="24"/>
          <w:szCs w:val="24"/>
          <w:highlight w:val="none"/>
        </w:rPr>
        <w:t>不同投标人委托同一单位或者个人办理投标事宜；</w:t>
      </w:r>
    </w:p>
    <w:p w14:paraId="050EC766">
      <w:pPr>
        <w:snapToGrid w:val="0"/>
        <w:spacing w:line="300" w:lineRule="auto"/>
        <w:ind w:firstLine="480" w:firstLineChars="200"/>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18.4.3</w:t>
      </w:r>
      <w:r>
        <w:rPr>
          <w:rFonts w:ascii="仿宋" w:hAnsi="仿宋" w:eastAsia="仿宋"/>
          <w:color w:val="000000" w:themeColor="text1"/>
          <w:sz w:val="24"/>
          <w:szCs w:val="24"/>
          <w:highlight w:val="none"/>
        </w:rPr>
        <w:t>不同投标人的投标</w:t>
      </w:r>
      <w:r>
        <w:rPr>
          <w:rFonts w:hint="eastAsia" w:ascii="仿宋" w:hAnsi="仿宋" w:eastAsia="仿宋"/>
          <w:color w:val="000000" w:themeColor="text1"/>
          <w:sz w:val="24"/>
          <w:szCs w:val="24"/>
          <w:highlight w:val="none"/>
        </w:rPr>
        <w:t>文件</w:t>
      </w:r>
      <w:r>
        <w:rPr>
          <w:rFonts w:ascii="仿宋" w:hAnsi="仿宋" w:eastAsia="仿宋"/>
          <w:color w:val="000000" w:themeColor="text1"/>
          <w:sz w:val="24"/>
          <w:szCs w:val="24"/>
          <w:highlight w:val="none"/>
        </w:rPr>
        <w:t>载明的项目管理成员或者联系人员为同一人；</w:t>
      </w:r>
    </w:p>
    <w:p w14:paraId="1B510306">
      <w:pPr>
        <w:snapToGrid w:val="0"/>
        <w:spacing w:line="300" w:lineRule="auto"/>
        <w:ind w:firstLine="480" w:firstLineChars="200"/>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18.4.4</w:t>
      </w:r>
      <w:r>
        <w:rPr>
          <w:rFonts w:ascii="仿宋" w:hAnsi="仿宋" w:eastAsia="仿宋"/>
          <w:color w:val="000000" w:themeColor="text1"/>
          <w:sz w:val="24"/>
          <w:szCs w:val="24"/>
          <w:highlight w:val="none"/>
        </w:rPr>
        <w:t xml:space="preserve">不同投标人的投标文件异常一致或者投标报价呈现规律性差异； </w:t>
      </w:r>
    </w:p>
    <w:p w14:paraId="7B33708B">
      <w:pPr>
        <w:snapToGrid w:val="0"/>
        <w:spacing w:line="300" w:lineRule="auto"/>
        <w:ind w:firstLine="480" w:firstLineChars="200"/>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18.4.5</w:t>
      </w:r>
      <w:r>
        <w:rPr>
          <w:rFonts w:ascii="仿宋" w:hAnsi="仿宋" w:eastAsia="仿宋"/>
          <w:color w:val="000000" w:themeColor="text1"/>
          <w:sz w:val="24"/>
          <w:szCs w:val="24"/>
          <w:highlight w:val="none"/>
        </w:rPr>
        <w:t>不同投标人的投标</w:t>
      </w:r>
      <w:r>
        <w:rPr>
          <w:rFonts w:hint="eastAsia" w:ascii="仿宋" w:hAnsi="仿宋" w:eastAsia="仿宋"/>
          <w:color w:val="000000" w:themeColor="text1"/>
          <w:sz w:val="24"/>
          <w:szCs w:val="24"/>
          <w:highlight w:val="none"/>
        </w:rPr>
        <w:t>文件</w:t>
      </w:r>
      <w:r>
        <w:rPr>
          <w:rFonts w:ascii="仿宋" w:hAnsi="仿宋" w:eastAsia="仿宋"/>
          <w:color w:val="000000" w:themeColor="text1"/>
          <w:sz w:val="24"/>
          <w:szCs w:val="24"/>
          <w:highlight w:val="none"/>
        </w:rPr>
        <w:t>相互混装，或在一个投标</w:t>
      </w:r>
      <w:r>
        <w:rPr>
          <w:rFonts w:hint="eastAsia" w:ascii="仿宋" w:hAnsi="仿宋" w:eastAsia="仿宋"/>
          <w:color w:val="000000" w:themeColor="text1"/>
          <w:sz w:val="24"/>
          <w:szCs w:val="24"/>
          <w:highlight w:val="none"/>
        </w:rPr>
        <w:t>人</w:t>
      </w:r>
      <w:r>
        <w:rPr>
          <w:rFonts w:ascii="仿宋" w:hAnsi="仿宋" w:eastAsia="仿宋"/>
          <w:color w:val="000000" w:themeColor="text1"/>
          <w:sz w:val="24"/>
          <w:szCs w:val="24"/>
          <w:highlight w:val="none"/>
        </w:rPr>
        <w:t>的投标</w:t>
      </w:r>
      <w:r>
        <w:rPr>
          <w:rFonts w:hint="eastAsia" w:ascii="仿宋" w:hAnsi="仿宋" w:eastAsia="仿宋"/>
          <w:color w:val="000000" w:themeColor="text1"/>
          <w:sz w:val="24"/>
          <w:szCs w:val="24"/>
          <w:highlight w:val="none"/>
        </w:rPr>
        <w:t>文件</w:t>
      </w:r>
      <w:r>
        <w:rPr>
          <w:rFonts w:ascii="仿宋" w:hAnsi="仿宋" w:eastAsia="仿宋"/>
          <w:color w:val="000000" w:themeColor="text1"/>
          <w:sz w:val="24"/>
          <w:szCs w:val="24"/>
          <w:highlight w:val="none"/>
        </w:rPr>
        <w:t>内遗留有其他投标</w:t>
      </w:r>
      <w:r>
        <w:rPr>
          <w:rFonts w:hint="eastAsia" w:ascii="仿宋" w:hAnsi="仿宋" w:eastAsia="仿宋"/>
          <w:color w:val="000000" w:themeColor="text1"/>
          <w:sz w:val="24"/>
          <w:szCs w:val="24"/>
          <w:highlight w:val="none"/>
        </w:rPr>
        <w:t>人</w:t>
      </w:r>
      <w:r>
        <w:rPr>
          <w:rFonts w:ascii="仿宋" w:hAnsi="仿宋" w:eastAsia="仿宋"/>
          <w:color w:val="000000" w:themeColor="text1"/>
          <w:sz w:val="24"/>
          <w:szCs w:val="24"/>
          <w:highlight w:val="none"/>
        </w:rPr>
        <w:t>的签名、盖章等不属于本投标</w:t>
      </w:r>
      <w:r>
        <w:rPr>
          <w:rFonts w:hint="eastAsia" w:ascii="仿宋" w:hAnsi="仿宋" w:eastAsia="仿宋"/>
          <w:color w:val="000000" w:themeColor="text1"/>
          <w:sz w:val="24"/>
          <w:szCs w:val="24"/>
          <w:highlight w:val="none"/>
        </w:rPr>
        <w:t>人</w:t>
      </w:r>
      <w:r>
        <w:rPr>
          <w:rFonts w:ascii="仿宋" w:hAnsi="仿宋" w:eastAsia="仿宋"/>
          <w:color w:val="000000" w:themeColor="text1"/>
          <w:sz w:val="24"/>
          <w:szCs w:val="24"/>
          <w:highlight w:val="none"/>
        </w:rPr>
        <w:t>参加投标必需的信息资料的；</w:t>
      </w:r>
    </w:p>
    <w:p w14:paraId="49383E7F">
      <w:pPr>
        <w:snapToGrid w:val="0"/>
        <w:spacing w:line="300" w:lineRule="auto"/>
        <w:ind w:firstLine="480" w:firstLineChars="200"/>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18.4.6</w:t>
      </w:r>
      <w:r>
        <w:rPr>
          <w:rFonts w:ascii="仿宋" w:hAnsi="仿宋" w:eastAsia="仿宋"/>
          <w:color w:val="000000" w:themeColor="text1"/>
          <w:sz w:val="24"/>
          <w:szCs w:val="24"/>
          <w:highlight w:val="none"/>
        </w:rPr>
        <w:t>不同投标人的投标保证金从同一单位或者个人的账户转出；</w:t>
      </w:r>
    </w:p>
    <w:p w14:paraId="165F2FC6">
      <w:pPr>
        <w:snapToGrid w:val="0"/>
        <w:spacing w:line="300" w:lineRule="auto"/>
        <w:ind w:firstLine="470" w:firstLineChars="196"/>
        <w:rPr>
          <w:rFonts w:hint="eastAsia" w:ascii="仿宋" w:hAnsi="仿宋" w:eastAsia="仿宋"/>
          <w:b/>
          <w:color w:val="000000" w:themeColor="text1"/>
          <w:sz w:val="24"/>
          <w:szCs w:val="24"/>
          <w:highlight w:val="none"/>
        </w:rPr>
      </w:pPr>
      <w:r>
        <w:rPr>
          <w:rFonts w:hint="eastAsia" w:ascii="仿宋" w:hAnsi="仿宋" w:eastAsia="仿宋"/>
          <w:color w:val="000000" w:themeColor="text1"/>
          <w:sz w:val="24"/>
          <w:szCs w:val="24"/>
          <w:highlight w:val="none"/>
        </w:rPr>
        <w:t>18.4.7相关法律、法规、规章及其它规范性文件规定的串通行为</w:t>
      </w:r>
      <w:r>
        <w:rPr>
          <w:rFonts w:ascii="仿宋" w:hAnsi="仿宋" w:eastAsia="仿宋"/>
          <w:color w:val="000000" w:themeColor="text1"/>
          <w:sz w:val="24"/>
          <w:szCs w:val="24"/>
          <w:highlight w:val="none"/>
        </w:rPr>
        <w:t>。</w:t>
      </w:r>
    </w:p>
    <w:p w14:paraId="3955567C">
      <w:pPr>
        <w:spacing w:line="300" w:lineRule="auto"/>
        <w:ind w:firstLine="480" w:firstLineChars="200"/>
        <w:rPr>
          <w:rFonts w:hint="eastAsia" w:ascii="仿宋" w:hAnsi="仿宋" w:eastAsia="仿宋"/>
          <w:b/>
          <w:bCs/>
          <w:color w:val="000000" w:themeColor="text1"/>
          <w:sz w:val="24"/>
          <w:szCs w:val="24"/>
          <w:highlight w:val="none"/>
        </w:rPr>
      </w:pPr>
      <w:r>
        <w:rPr>
          <w:rFonts w:hint="eastAsia" w:ascii="仿宋" w:hAnsi="仿宋" w:eastAsia="仿宋"/>
          <w:color w:val="000000" w:themeColor="text1"/>
          <w:sz w:val="24"/>
          <w:highlight w:val="none"/>
        </w:rPr>
        <w:t>18.5</w:t>
      </w:r>
      <w:r>
        <w:rPr>
          <w:rFonts w:ascii="仿宋" w:hAnsi="仿宋" w:eastAsia="仿宋"/>
          <w:color w:val="000000" w:themeColor="text1"/>
          <w:sz w:val="24"/>
          <w:highlight w:val="none"/>
        </w:rPr>
        <w:t>符合招标文件明确规定的其他无效投标条款的。</w:t>
      </w:r>
    </w:p>
    <w:p w14:paraId="694D053A">
      <w:pPr>
        <w:pStyle w:val="3"/>
        <w:spacing w:before="156" w:beforeLines="50" w:after="156" w:afterLines="50" w:line="240" w:lineRule="exact"/>
        <w:jc w:val="center"/>
        <w:rPr>
          <w:rFonts w:hint="eastAsia" w:ascii="仿宋" w:hAnsi="仿宋" w:eastAsia="仿宋"/>
          <w:color w:val="000000" w:themeColor="text1"/>
          <w:highlight w:val="none"/>
        </w:rPr>
      </w:pPr>
      <w:bookmarkStart w:id="7" w:name="_Toc125344507"/>
      <w:r>
        <w:rPr>
          <w:rFonts w:hint="eastAsia" w:ascii="仿宋" w:hAnsi="仿宋" w:eastAsia="仿宋"/>
          <w:color w:val="000000" w:themeColor="text1"/>
          <w:highlight w:val="none"/>
        </w:rPr>
        <w:t>四、开  标</w:t>
      </w:r>
      <w:bookmarkEnd w:id="7"/>
    </w:p>
    <w:p w14:paraId="758859CD">
      <w:pPr>
        <w:spacing w:line="300" w:lineRule="auto"/>
        <w:ind w:firstLine="482" w:firstLineChars="200"/>
        <w:rPr>
          <w:rFonts w:hint="eastAsia" w:ascii="仿宋" w:hAnsi="仿宋" w:eastAsia="仿宋"/>
          <w:b/>
          <w:color w:val="000000" w:themeColor="text1"/>
          <w:sz w:val="24"/>
          <w:highlight w:val="none"/>
        </w:rPr>
      </w:pPr>
      <w:r>
        <w:rPr>
          <w:rFonts w:hint="eastAsia" w:ascii="仿宋" w:hAnsi="仿宋" w:eastAsia="仿宋"/>
          <w:b/>
          <w:color w:val="000000" w:themeColor="text1"/>
          <w:sz w:val="24"/>
          <w:highlight w:val="none"/>
        </w:rPr>
        <w:t>19.开标准备</w:t>
      </w:r>
    </w:p>
    <w:p w14:paraId="07A75D64">
      <w:pPr>
        <w:spacing w:line="300" w:lineRule="auto"/>
        <w:ind w:firstLine="480" w:firstLineChars="200"/>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19.1采购代理机构将在前附表规定的时间、地点进行开标。</w:t>
      </w:r>
    </w:p>
    <w:p w14:paraId="7BC04D9A">
      <w:pPr>
        <w:spacing w:line="300" w:lineRule="auto"/>
        <w:ind w:firstLine="480" w:firstLineChars="200"/>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19.2投标人逾期提交（邮寄）投标文件的，事后不得对采购相关人员、开标过程和开标结果提出异议。</w:t>
      </w:r>
    </w:p>
    <w:p w14:paraId="0FD9A7EF">
      <w:pPr>
        <w:spacing w:line="300" w:lineRule="auto"/>
        <w:ind w:firstLine="480" w:firstLineChars="200"/>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19.3开标会由代理机构工作人员进行主持。</w:t>
      </w:r>
    </w:p>
    <w:p w14:paraId="556B78C6">
      <w:pPr>
        <w:spacing w:line="300" w:lineRule="auto"/>
        <w:ind w:firstLine="480" w:firstLineChars="200"/>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19.4本项目开标采用先启封、评审资格文件和</w:t>
      </w:r>
      <w:r>
        <w:rPr>
          <w:rFonts w:hint="eastAsia" w:ascii="仿宋" w:hAnsi="仿宋" w:eastAsia="仿宋" w:cs="宋体"/>
          <w:color w:val="000000" w:themeColor="text1"/>
          <w:sz w:val="24"/>
          <w:szCs w:val="24"/>
          <w:highlight w:val="none"/>
        </w:rPr>
        <w:t>商务</w:t>
      </w:r>
      <w:r>
        <w:rPr>
          <w:rFonts w:hint="eastAsia" w:ascii="仿宋" w:hAnsi="仿宋" w:eastAsia="仿宋"/>
          <w:color w:val="000000" w:themeColor="text1"/>
          <w:sz w:val="24"/>
          <w:highlight w:val="none"/>
        </w:rPr>
        <w:t>技术文件，后启封、评审报价文件的方式进行。</w:t>
      </w:r>
    </w:p>
    <w:p w14:paraId="7D2AB4A4">
      <w:pPr>
        <w:spacing w:line="300" w:lineRule="auto"/>
        <w:ind w:firstLine="482" w:firstLineChars="200"/>
        <w:rPr>
          <w:rFonts w:hint="eastAsia" w:ascii="仿宋" w:hAnsi="仿宋" w:eastAsia="仿宋"/>
          <w:b/>
          <w:color w:val="000000" w:themeColor="text1"/>
          <w:sz w:val="24"/>
          <w:highlight w:val="none"/>
        </w:rPr>
      </w:pPr>
      <w:r>
        <w:rPr>
          <w:rFonts w:hint="eastAsia" w:ascii="仿宋" w:hAnsi="仿宋" w:eastAsia="仿宋"/>
          <w:b/>
          <w:color w:val="000000" w:themeColor="text1"/>
          <w:sz w:val="24"/>
          <w:highlight w:val="none"/>
        </w:rPr>
        <w:t>20.开标程序</w:t>
      </w:r>
    </w:p>
    <w:p w14:paraId="013F7069">
      <w:pPr>
        <w:spacing w:line="300" w:lineRule="auto"/>
        <w:ind w:firstLine="480" w:firstLineChars="200"/>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20.1主持人宣布开标大会开始。</w:t>
      </w:r>
    </w:p>
    <w:p w14:paraId="44C71F81">
      <w:pPr>
        <w:spacing w:line="300" w:lineRule="auto"/>
        <w:ind w:firstLine="480" w:firstLineChars="200"/>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20.2主持人清点投标文件，宣读参与本项目投标的供应商名称。</w:t>
      </w:r>
    </w:p>
    <w:p w14:paraId="5BA89335">
      <w:pPr>
        <w:spacing w:line="300" w:lineRule="auto"/>
        <w:ind w:firstLine="480" w:firstLineChars="200"/>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20.3主持人检查投标文件密封的完整性并签字确认。</w:t>
      </w:r>
    </w:p>
    <w:p w14:paraId="1C96A2CB">
      <w:pPr>
        <w:spacing w:line="300" w:lineRule="auto"/>
        <w:ind w:firstLine="480" w:firstLineChars="200"/>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20.4主持人统一启封资格文件和</w:t>
      </w:r>
      <w:r>
        <w:rPr>
          <w:rFonts w:hint="eastAsia" w:ascii="仿宋" w:hAnsi="仿宋" w:eastAsia="仿宋" w:cs="宋体"/>
          <w:color w:val="000000" w:themeColor="text1"/>
          <w:sz w:val="24"/>
          <w:szCs w:val="24"/>
          <w:highlight w:val="none"/>
        </w:rPr>
        <w:t>商务</w:t>
      </w:r>
      <w:r>
        <w:rPr>
          <w:rFonts w:hint="eastAsia" w:ascii="仿宋" w:hAnsi="仿宋" w:eastAsia="仿宋"/>
          <w:color w:val="000000" w:themeColor="text1"/>
          <w:sz w:val="24"/>
          <w:highlight w:val="none"/>
        </w:rPr>
        <w:t>技术文件，将密封的报价文件现场集中封存保管等候启封。</w:t>
      </w:r>
    </w:p>
    <w:p w14:paraId="5FE10DB1">
      <w:pPr>
        <w:spacing w:line="300" w:lineRule="auto"/>
        <w:ind w:firstLine="480" w:firstLineChars="200"/>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20.5工作人员将资格文件和</w:t>
      </w:r>
      <w:r>
        <w:rPr>
          <w:rFonts w:hint="eastAsia" w:ascii="仿宋" w:hAnsi="仿宋" w:eastAsia="仿宋" w:cs="宋体"/>
          <w:color w:val="000000" w:themeColor="text1"/>
          <w:sz w:val="24"/>
          <w:szCs w:val="24"/>
          <w:highlight w:val="none"/>
        </w:rPr>
        <w:t>商务</w:t>
      </w:r>
      <w:r>
        <w:rPr>
          <w:rFonts w:hint="eastAsia" w:ascii="仿宋" w:hAnsi="仿宋" w:eastAsia="仿宋"/>
          <w:color w:val="000000" w:themeColor="text1"/>
          <w:sz w:val="24"/>
          <w:highlight w:val="none"/>
        </w:rPr>
        <w:t>技术文件送达评标室，交评标委员会评审。</w:t>
      </w:r>
    </w:p>
    <w:p w14:paraId="1464DD7A">
      <w:pPr>
        <w:spacing w:line="300" w:lineRule="auto"/>
        <w:ind w:firstLine="480" w:firstLineChars="200"/>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20.6资格审查结束后，由主持人当场宣读资格审查结果（由于本项目采用不见面开标方式，对未通过资格审查的投标人，主持人将通过电子邮箱发送或电话告知其未通过的原因）。</w:t>
      </w:r>
    </w:p>
    <w:p w14:paraId="32D95626">
      <w:pPr>
        <w:spacing w:line="300" w:lineRule="auto"/>
        <w:ind w:firstLine="480" w:firstLineChars="200"/>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20.7商务技术文件评审结束后，由主持人当场宣读有效投标人的商务技术评审结果（由于本项目采用不见面开标方式，因此主持人将通过电子邮箱发送或电话告知评审无效投标人名称及理由）。</w:t>
      </w:r>
    </w:p>
    <w:p w14:paraId="2EB1E19A">
      <w:pPr>
        <w:spacing w:line="300" w:lineRule="auto"/>
        <w:ind w:firstLine="480" w:firstLineChars="200"/>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20.8主持人统一启封报价文件，同时当场宣读开标一览表中的投标报价。</w:t>
      </w:r>
    </w:p>
    <w:p w14:paraId="201320F2">
      <w:pPr>
        <w:spacing w:line="300" w:lineRule="auto"/>
        <w:ind w:firstLine="480" w:firstLineChars="200"/>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20.9工作人员将报价文件送达评标室，评标委员会对商务技术文件评审有效的投标人进行投标报价评审。</w:t>
      </w:r>
    </w:p>
    <w:p w14:paraId="27A78445">
      <w:pPr>
        <w:spacing w:line="300" w:lineRule="auto"/>
        <w:ind w:firstLine="480" w:firstLineChars="200"/>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20.10评标委员会汇总商务技术分、报价分，根据得分排序确定中标候选人。</w:t>
      </w:r>
    </w:p>
    <w:p w14:paraId="443C5DCB">
      <w:pPr>
        <w:spacing w:line="300" w:lineRule="auto"/>
        <w:ind w:firstLine="480" w:firstLineChars="200"/>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20.11主持人向投标单位公布评标结果（由于本项目采用不见面开标方式，因此主持人将通过电子邮箱发送或电话告知评审结果的方式进行公布）。</w:t>
      </w:r>
    </w:p>
    <w:p w14:paraId="7A10DD11">
      <w:pPr>
        <w:spacing w:line="300" w:lineRule="auto"/>
        <w:ind w:firstLine="480" w:firstLineChars="200"/>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20.12</w:t>
      </w:r>
      <w:r>
        <w:rPr>
          <w:rFonts w:ascii="仿宋" w:hAnsi="仿宋" w:eastAsia="仿宋"/>
          <w:color w:val="000000" w:themeColor="text1"/>
          <w:sz w:val="24"/>
          <w:highlight w:val="none"/>
        </w:rPr>
        <w:t>开标会议结束。</w:t>
      </w:r>
    </w:p>
    <w:p w14:paraId="06C280FD">
      <w:pPr>
        <w:pStyle w:val="3"/>
        <w:spacing w:before="156" w:beforeLines="50" w:after="156" w:afterLines="50" w:line="360" w:lineRule="exact"/>
        <w:jc w:val="center"/>
        <w:rPr>
          <w:rFonts w:hint="eastAsia" w:ascii="仿宋" w:hAnsi="仿宋" w:eastAsia="仿宋"/>
          <w:color w:val="000000" w:themeColor="text1"/>
          <w:highlight w:val="none"/>
        </w:rPr>
      </w:pPr>
      <w:bookmarkStart w:id="8" w:name="_Toc125344508"/>
      <w:r>
        <w:rPr>
          <w:rFonts w:hint="eastAsia" w:ascii="仿宋" w:hAnsi="仿宋" w:eastAsia="仿宋"/>
          <w:color w:val="000000" w:themeColor="text1"/>
          <w:highlight w:val="none"/>
        </w:rPr>
        <w:t>五、评　标</w:t>
      </w:r>
      <w:bookmarkEnd w:id="8"/>
    </w:p>
    <w:p w14:paraId="4C3B95BF">
      <w:pPr>
        <w:spacing w:before="156" w:beforeLines="50" w:line="300" w:lineRule="auto"/>
        <w:ind w:firstLine="482" w:firstLineChars="200"/>
        <w:rPr>
          <w:rFonts w:hint="eastAsia" w:ascii="仿宋" w:hAnsi="仿宋" w:eastAsia="仿宋"/>
          <w:b/>
          <w:color w:val="000000" w:themeColor="text1"/>
          <w:sz w:val="24"/>
          <w:highlight w:val="none"/>
        </w:rPr>
      </w:pPr>
      <w:r>
        <w:rPr>
          <w:rFonts w:hint="eastAsia" w:ascii="仿宋" w:hAnsi="仿宋" w:eastAsia="仿宋"/>
          <w:b/>
          <w:color w:val="000000" w:themeColor="text1"/>
          <w:sz w:val="24"/>
          <w:highlight w:val="none"/>
        </w:rPr>
        <w:t>21. 组建评标委员会</w:t>
      </w:r>
    </w:p>
    <w:p w14:paraId="41DB3D1A">
      <w:pPr>
        <w:spacing w:line="300" w:lineRule="auto"/>
        <w:ind w:firstLine="480" w:firstLineChars="200"/>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评标委员会按照有关规定组建。</w:t>
      </w:r>
    </w:p>
    <w:p w14:paraId="13913B6F">
      <w:pPr>
        <w:spacing w:line="300" w:lineRule="auto"/>
        <w:ind w:firstLine="482" w:firstLineChars="200"/>
        <w:rPr>
          <w:rFonts w:hint="eastAsia" w:ascii="仿宋" w:hAnsi="仿宋" w:eastAsia="仿宋"/>
          <w:b/>
          <w:color w:val="000000" w:themeColor="text1"/>
          <w:sz w:val="24"/>
          <w:highlight w:val="none"/>
        </w:rPr>
      </w:pPr>
      <w:r>
        <w:rPr>
          <w:rFonts w:hint="eastAsia" w:ascii="仿宋" w:hAnsi="仿宋" w:eastAsia="仿宋"/>
          <w:b/>
          <w:color w:val="000000" w:themeColor="text1"/>
          <w:sz w:val="24"/>
          <w:highlight w:val="none"/>
        </w:rPr>
        <w:t>22.评标原则</w:t>
      </w:r>
    </w:p>
    <w:p w14:paraId="52290267">
      <w:pPr>
        <w:pStyle w:val="37"/>
        <w:spacing w:line="300" w:lineRule="auto"/>
        <w:ind w:firstLine="480" w:firstLineChars="200"/>
        <w:rPr>
          <w:rFonts w:hint="eastAsia" w:ascii="仿宋" w:hAnsi="仿宋" w:eastAsia="仿宋" w:cs="Times New Roman"/>
          <w:color w:val="000000" w:themeColor="text1"/>
          <w:sz w:val="24"/>
          <w:highlight w:val="none"/>
        </w:rPr>
      </w:pPr>
      <w:r>
        <w:rPr>
          <w:rFonts w:hint="eastAsia" w:ascii="仿宋" w:hAnsi="仿宋" w:eastAsia="仿宋" w:cs="Times New Roman"/>
          <w:color w:val="000000" w:themeColor="text1"/>
          <w:sz w:val="24"/>
          <w:highlight w:val="none"/>
        </w:rPr>
        <w:t>评标委员会必须公平、公正、客观，不带任何倾向性和启发性；不得向外界透露任何与评标有关的内容；任何单位和个人不得干扰、影响评标的正常进行；评标委员会及有关工作人员不得私下与投标人接触。</w:t>
      </w:r>
    </w:p>
    <w:p w14:paraId="7C6DD9AE">
      <w:pPr>
        <w:spacing w:line="300" w:lineRule="auto"/>
        <w:ind w:firstLine="482" w:firstLineChars="200"/>
        <w:rPr>
          <w:rFonts w:hint="eastAsia" w:ascii="仿宋" w:hAnsi="仿宋" w:eastAsia="仿宋"/>
          <w:b/>
          <w:color w:val="000000" w:themeColor="text1"/>
          <w:sz w:val="24"/>
          <w:highlight w:val="none"/>
        </w:rPr>
      </w:pPr>
      <w:r>
        <w:rPr>
          <w:rFonts w:hint="eastAsia" w:ascii="仿宋" w:hAnsi="仿宋" w:eastAsia="仿宋"/>
          <w:b/>
          <w:color w:val="000000" w:themeColor="text1"/>
          <w:sz w:val="24"/>
          <w:highlight w:val="none"/>
        </w:rPr>
        <w:t>23.评标程序</w:t>
      </w:r>
    </w:p>
    <w:p w14:paraId="79A99E03">
      <w:pPr>
        <w:snapToGrid w:val="0"/>
        <w:spacing w:line="300" w:lineRule="auto"/>
        <w:ind w:firstLine="472" w:firstLineChars="196"/>
        <w:rPr>
          <w:rFonts w:hint="eastAsia" w:ascii="仿宋" w:hAnsi="仿宋" w:eastAsia="仿宋"/>
          <w:b/>
          <w:bCs/>
          <w:color w:val="000000" w:themeColor="text1"/>
          <w:sz w:val="24"/>
          <w:szCs w:val="20"/>
          <w:highlight w:val="none"/>
        </w:rPr>
      </w:pPr>
      <w:r>
        <w:rPr>
          <w:rFonts w:hint="eastAsia" w:ascii="仿宋" w:hAnsi="仿宋" w:eastAsia="仿宋"/>
          <w:b/>
          <w:bCs/>
          <w:color w:val="000000" w:themeColor="text1"/>
          <w:sz w:val="24"/>
          <w:highlight w:val="none"/>
        </w:rPr>
        <w:t>23.1</w:t>
      </w:r>
      <w:r>
        <w:rPr>
          <w:rFonts w:ascii="仿宋" w:hAnsi="仿宋" w:eastAsia="仿宋"/>
          <w:b/>
          <w:bCs/>
          <w:color w:val="000000" w:themeColor="text1"/>
          <w:sz w:val="24"/>
          <w:highlight w:val="none"/>
        </w:rPr>
        <w:t>形式审查</w:t>
      </w:r>
    </w:p>
    <w:p w14:paraId="1F5A4752">
      <w:pPr>
        <w:spacing w:line="300" w:lineRule="auto"/>
        <w:ind w:firstLine="480" w:firstLineChars="200"/>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评标委员会对投标人的资格</w:t>
      </w:r>
      <w:r>
        <w:rPr>
          <w:rFonts w:ascii="仿宋" w:hAnsi="仿宋" w:eastAsia="仿宋"/>
          <w:color w:val="000000" w:themeColor="text1"/>
          <w:sz w:val="24"/>
          <w:highlight w:val="none"/>
        </w:rPr>
        <w:t>和投标文件的完整性、合法性等进行审查。</w:t>
      </w:r>
    </w:p>
    <w:p w14:paraId="0BD0CBF2">
      <w:pPr>
        <w:snapToGrid w:val="0"/>
        <w:spacing w:line="300" w:lineRule="auto"/>
        <w:ind w:firstLine="472" w:firstLineChars="196"/>
        <w:rPr>
          <w:rFonts w:hint="eastAsia" w:ascii="仿宋" w:hAnsi="仿宋" w:eastAsia="仿宋"/>
          <w:b/>
          <w:bCs/>
          <w:color w:val="000000" w:themeColor="text1"/>
          <w:sz w:val="24"/>
          <w:szCs w:val="20"/>
          <w:highlight w:val="none"/>
        </w:rPr>
      </w:pPr>
      <w:r>
        <w:rPr>
          <w:rFonts w:hint="eastAsia" w:ascii="仿宋" w:hAnsi="仿宋" w:eastAsia="仿宋"/>
          <w:b/>
          <w:bCs/>
          <w:color w:val="000000" w:themeColor="text1"/>
          <w:sz w:val="24"/>
          <w:highlight w:val="none"/>
        </w:rPr>
        <w:t>23.2</w:t>
      </w:r>
      <w:r>
        <w:rPr>
          <w:rFonts w:ascii="仿宋" w:hAnsi="仿宋" w:eastAsia="仿宋"/>
          <w:b/>
          <w:bCs/>
          <w:color w:val="000000" w:themeColor="text1"/>
          <w:sz w:val="24"/>
          <w:highlight w:val="none"/>
        </w:rPr>
        <w:t>实质审查与比较</w:t>
      </w:r>
    </w:p>
    <w:p w14:paraId="129D53B9">
      <w:pPr>
        <w:pStyle w:val="37"/>
        <w:spacing w:line="300" w:lineRule="auto"/>
        <w:ind w:firstLine="480" w:firstLineChars="200"/>
        <w:rPr>
          <w:rFonts w:hint="eastAsia" w:ascii="仿宋" w:hAnsi="仿宋" w:eastAsia="仿宋" w:cs="Times New Roman"/>
          <w:color w:val="000000" w:themeColor="text1"/>
          <w:sz w:val="24"/>
          <w:highlight w:val="none"/>
        </w:rPr>
      </w:pPr>
      <w:r>
        <w:rPr>
          <w:rFonts w:hint="eastAsia" w:ascii="仿宋" w:hAnsi="仿宋" w:eastAsia="仿宋" w:cs="Times New Roman"/>
          <w:color w:val="000000" w:themeColor="text1"/>
          <w:sz w:val="24"/>
          <w:highlight w:val="none"/>
        </w:rPr>
        <w:t>23.2.1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平的影响。</w:t>
      </w:r>
    </w:p>
    <w:p w14:paraId="7C4BEEC3">
      <w:pPr>
        <w:pStyle w:val="37"/>
        <w:spacing w:line="300" w:lineRule="auto"/>
        <w:ind w:firstLine="480" w:firstLineChars="200"/>
        <w:rPr>
          <w:rFonts w:hint="eastAsia" w:ascii="仿宋" w:hAnsi="仿宋" w:eastAsia="仿宋" w:cs="Times New Roman"/>
          <w:color w:val="000000" w:themeColor="text1"/>
          <w:sz w:val="24"/>
          <w:highlight w:val="none"/>
        </w:rPr>
      </w:pPr>
      <w:r>
        <w:rPr>
          <w:rFonts w:hint="eastAsia" w:ascii="仿宋" w:hAnsi="仿宋" w:eastAsia="仿宋" w:cs="Times New Roman"/>
          <w:color w:val="000000" w:themeColor="text1"/>
          <w:sz w:val="24"/>
          <w:highlight w:val="none"/>
        </w:rPr>
        <w:t>23.2.2</w:t>
      </w:r>
      <w:r>
        <w:rPr>
          <w:rFonts w:ascii="仿宋" w:hAnsi="仿宋" w:eastAsia="仿宋" w:cs="Times New Roman"/>
          <w:color w:val="000000" w:themeColor="text1"/>
          <w:sz w:val="24"/>
          <w:highlight w:val="none"/>
        </w:rPr>
        <w:t>评标委员会将根据投标人的投标文件进行审查、核对,如有疑问,将对投标人进行询标,投标人要向评标委员会澄清有关问题,并最终以书面形式进行答复。</w:t>
      </w:r>
      <w:r>
        <w:rPr>
          <w:rFonts w:hint="eastAsia" w:ascii="仿宋" w:hAnsi="仿宋" w:eastAsia="仿宋" w:cs="Times New Roman"/>
          <w:color w:val="000000" w:themeColor="text1"/>
          <w:sz w:val="24"/>
          <w:highlight w:val="none"/>
        </w:rPr>
        <w:t>投标人代表未到场或者拒绝澄清或者澄清的内容改变了投标文件的实质性内容的，评标委员会有权对该投标文件作出不利于投标人的评判。</w:t>
      </w:r>
    </w:p>
    <w:p w14:paraId="02EAA044">
      <w:pPr>
        <w:pStyle w:val="37"/>
        <w:spacing w:line="300" w:lineRule="auto"/>
        <w:ind w:firstLine="480" w:firstLineChars="200"/>
        <w:rPr>
          <w:rFonts w:hint="eastAsia" w:ascii="仿宋" w:hAnsi="仿宋" w:eastAsia="仿宋" w:cs="Times New Roman"/>
          <w:color w:val="000000" w:themeColor="text1"/>
          <w:sz w:val="24"/>
          <w:highlight w:val="none"/>
        </w:rPr>
      </w:pPr>
      <w:r>
        <w:rPr>
          <w:rFonts w:hint="eastAsia" w:ascii="仿宋" w:hAnsi="仿宋" w:eastAsia="仿宋" w:cs="Times New Roman"/>
          <w:color w:val="000000" w:themeColor="text1"/>
          <w:sz w:val="24"/>
          <w:highlight w:val="none"/>
        </w:rPr>
        <w:t>23.2.3如果投标文件实质不响应招标文件的各项要求，评标委员会将予以拒绝，并且不允许投标人通过修改或撤销其不符合要求的差异或保留，使之成为具有响应性的投标。</w:t>
      </w:r>
    </w:p>
    <w:p w14:paraId="386CEBFC">
      <w:pPr>
        <w:pStyle w:val="37"/>
        <w:spacing w:line="300" w:lineRule="auto"/>
        <w:ind w:firstLine="480" w:firstLineChars="200"/>
        <w:rPr>
          <w:rFonts w:hint="eastAsia" w:ascii="仿宋" w:hAnsi="仿宋" w:eastAsia="仿宋" w:cs="Times New Roman"/>
          <w:color w:val="000000" w:themeColor="text1"/>
          <w:sz w:val="24"/>
          <w:highlight w:val="none"/>
        </w:rPr>
      </w:pPr>
      <w:r>
        <w:rPr>
          <w:rFonts w:hint="eastAsia" w:ascii="仿宋" w:hAnsi="仿宋" w:eastAsia="仿宋" w:cs="Times New Roman"/>
          <w:color w:val="000000" w:themeColor="text1"/>
          <w:sz w:val="24"/>
          <w:highlight w:val="none"/>
        </w:rPr>
        <w:t>23.2.4</w:t>
      </w:r>
      <w:r>
        <w:rPr>
          <w:rFonts w:ascii="仿宋" w:hAnsi="仿宋" w:eastAsia="仿宋" w:cs="Times New Roman"/>
          <w:color w:val="000000" w:themeColor="text1"/>
          <w:sz w:val="24"/>
          <w:highlight w:val="none"/>
        </w:rPr>
        <w:t>各投标人的商务技术得分为所有评委的有效评分的算术平均数。</w:t>
      </w:r>
    </w:p>
    <w:p w14:paraId="4630539C">
      <w:pPr>
        <w:pStyle w:val="37"/>
        <w:spacing w:line="300" w:lineRule="auto"/>
        <w:ind w:firstLine="480" w:firstLineChars="200"/>
        <w:rPr>
          <w:rFonts w:hint="eastAsia" w:ascii="仿宋" w:hAnsi="仿宋" w:eastAsia="仿宋" w:cs="Times New Roman"/>
          <w:color w:val="000000" w:themeColor="text1"/>
          <w:sz w:val="24"/>
          <w:highlight w:val="none"/>
        </w:rPr>
      </w:pPr>
      <w:r>
        <w:rPr>
          <w:rFonts w:hint="eastAsia" w:ascii="仿宋" w:hAnsi="仿宋" w:eastAsia="仿宋" w:cs="Times New Roman"/>
          <w:color w:val="000000" w:themeColor="text1"/>
          <w:sz w:val="24"/>
          <w:highlight w:val="none"/>
        </w:rPr>
        <w:t>23.2.5</w:t>
      </w:r>
      <w:r>
        <w:rPr>
          <w:rFonts w:ascii="仿宋" w:hAnsi="仿宋" w:eastAsia="仿宋" w:cs="Times New Roman"/>
          <w:color w:val="000000" w:themeColor="text1"/>
          <w:sz w:val="24"/>
          <w:highlight w:val="none"/>
        </w:rPr>
        <w:t>评标委员会完成评标后,评委对各部分得分汇总,</w:t>
      </w:r>
      <w:r>
        <w:rPr>
          <w:rFonts w:hint="eastAsia" w:ascii="仿宋" w:hAnsi="仿宋" w:eastAsia="仿宋" w:cs="Times New Roman"/>
          <w:color w:val="000000" w:themeColor="text1"/>
          <w:sz w:val="24"/>
          <w:highlight w:val="none"/>
        </w:rPr>
        <w:t>计算</w:t>
      </w:r>
      <w:r>
        <w:rPr>
          <w:rFonts w:ascii="仿宋" w:hAnsi="仿宋" w:eastAsia="仿宋" w:cs="Times New Roman"/>
          <w:color w:val="000000" w:themeColor="text1"/>
          <w:sz w:val="24"/>
          <w:highlight w:val="none"/>
        </w:rPr>
        <w:t>出本项目</w:t>
      </w:r>
      <w:r>
        <w:rPr>
          <w:rFonts w:hint="eastAsia" w:ascii="仿宋" w:hAnsi="仿宋" w:eastAsia="仿宋" w:cs="Times New Roman"/>
          <w:color w:val="000000" w:themeColor="text1"/>
          <w:sz w:val="24"/>
          <w:highlight w:val="none"/>
        </w:rPr>
        <w:t>最终得分</w:t>
      </w:r>
      <w:r>
        <w:rPr>
          <w:rFonts w:ascii="仿宋" w:hAnsi="仿宋" w:eastAsia="仿宋" w:cs="Times New Roman"/>
          <w:color w:val="000000" w:themeColor="text1"/>
          <w:sz w:val="24"/>
          <w:highlight w:val="none"/>
        </w:rPr>
        <w:t>。评标委员会按评标原则推荐中标候选人，同时起草评标报告。</w:t>
      </w:r>
    </w:p>
    <w:p w14:paraId="6581E482">
      <w:pPr>
        <w:pStyle w:val="37"/>
        <w:spacing w:line="300" w:lineRule="auto"/>
        <w:ind w:firstLine="480" w:firstLineChars="200"/>
        <w:rPr>
          <w:rFonts w:hint="eastAsia" w:ascii="仿宋" w:hAnsi="仿宋" w:eastAsia="仿宋" w:cs="Times New Roman"/>
          <w:color w:val="000000" w:themeColor="text1"/>
          <w:sz w:val="24"/>
          <w:highlight w:val="none"/>
        </w:rPr>
      </w:pPr>
      <w:r>
        <w:rPr>
          <w:rFonts w:hint="eastAsia" w:ascii="仿宋" w:hAnsi="仿宋" w:eastAsia="仿宋" w:cs="Times New Roman"/>
          <w:color w:val="000000" w:themeColor="text1"/>
          <w:sz w:val="24"/>
          <w:highlight w:val="none"/>
        </w:rPr>
        <w:t>23.2.6评标委员会成员对需要共同认定的事项存在争议的，应当按照少数服从多数的原则作出结论。持不同意见的评标委员会成员应当在评标报告上签署不同意见及理由，否则视为同意评标报告。</w:t>
      </w:r>
    </w:p>
    <w:p w14:paraId="6B584A5A">
      <w:pPr>
        <w:spacing w:line="300" w:lineRule="auto"/>
        <w:ind w:firstLine="482" w:firstLineChars="200"/>
        <w:rPr>
          <w:rFonts w:hint="eastAsia" w:ascii="仿宋" w:hAnsi="仿宋" w:eastAsia="仿宋"/>
          <w:b/>
          <w:color w:val="000000" w:themeColor="text1"/>
          <w:sz w:val="24"/>
          <w:szCs w:val="24"/>
          <w:highlight w:val="none"/>
        </w:rPr>
      </w:pPr>
      <w:r>
        <w:rPr>
          <w:rFonts w:hint="eastAsia" w:ascii="仿宋" w:hAnsi="仿宋" w:eastAsia="仿宋"/>
          <w:b/>
          <w:color w:val="000000" w:themeColor="text1"/>
          <w:sz w:val="24"/>
          <w:szCs w:val="24"/>
          <w:highlight w:val="none"/>
        </w:rPr>
        <w:t>24.投标文件的澄清</w:t>
      </w:r>
    </w:p>
    <w:p w14:paraId="144EDE9F">
      <w:pPr>
        <w:pStyle w:val="37"/>
        <w:spacing w:line="300" w:lineRule="auto"/>
        <w:ind w:firstLine="480" w:firstLineChars="200"/>
        <w:rPr>
          <w:rFonts w:hint="eastAsia" w:ascii="仿宋" w:hAnsi="仿宋" w:eastAsia="仿宋" w:cs="Times New Roman"/>
          <w:color w:val="000000" w:themeColor="text1"/>
          <w:sz w:val="24"/>
          <w:highlight w:val="none"/>
        </w:rPr>
      </w:pPr>
      <w:r>
        <w:rPr>
          <w:rFonts w:hint="eastAsia" w:ascii="仿宋" w:hAnsi="仿宋" w:eastAsia="仿宋" w:cs="Times New Roman"/>
          <w:color w:val="000000" w:themeColor="text1"/>
          <w:sz w:val="24"/>
          <w:highlight w:val="none"/>
        </w:rPr>
        <w:t>24.1对投标文件中含义不明确、同类问题表述不一致或者有明显文字错误的内容，评标委员会可以要求投标人作出必要的澄清、说明或者补正。投标人的澄清、说明或者补正应当采用书面形式，由其授权代表签字或盖章确认，并不得超出投标文件的范围或者改变投标文件的实质性内容。但属于评标委员会在评标中发现的计算错误并进行核实的修改不在此列。投标人的澄清文件是其投标文件的组成部分。</w:t>
      </w:r>
    </w:p>
    <w:p w14:paraId="69E4A6DE">
      <w:pPr>
        <w:pStyle w:val="37"/>
        <w:spacing w:line="300" w:lineRule="auto"/>
        <w:ind w:firstLine="480" w:firstLineChars="200"/>
        <w:rPr>
          <w:rFonts w:hint="eastAsia" w:ascii="仿宋" w:hAnsi="仿宋" w:eastAsia="仿宋"/>
          <w:color w:val="000000" w:themeColor="text1"/>
          <w:sz w:val="24"/>
          <w:highlight w:val="none"/>
        </w:rPr>
      </w:pPr>
      <w:r>
        <w:rPr>
          <w:rFonts w:hint="eastAsia" w:ascii="仿宋" w:hAnsi="仿宋" w:eastAsia="仿宋" w:cs="Times New Roman"/>
          <w:color w:val="000000" w:themeColor="text1"/>
          <w:sz w:val="24"/>
          <w:highlight w:val="none"/>
        </w:rPr>
        <w:t>24.2评标委员会认为投标人的报价明显低于其他通过符合性审查投标人的报价，有可能</w:t>
      </w:r>
      <w:r>
        <w:rPr>
          <w:rFonts w:hint="eastAsia" w:ascii="仿宋" w:hAnsi="仿宋" w:eastAsia="仿宋"/>
          <w:color w:val="000000" w:themeColor="text1"/>
          <w:sz w:val="24"/>
          <w:highlight w:val="none"/>
        </w:rPr>
        <w:t>影响产品质量或者不能诚信履约的，评标委员会有权通知该投标人限期内提供书面说明进行解释，必要时提交相关证明材料。如投标人未在规定期限内提供书面说明，或所作解释不能证明其报价合理性的，评标委员会应当将其作为无效投标处理。</w:t>
      </w:r>
    </w:p>
    <w:p w14:paraId="7B9489AF">
      <w:pPr>
        <w:pStyle w:val="37"/>
        <w:spacing w:line="300" w:lineRule="auto"/>
        <w:ind w:firstLine="480" w:firstLineChars="200"/>
        <w:rPr>
          <w:rFonts w:hint="eastAsia" w:ascii="仿宋" w:hAnsi="仿宋" w:eastAsia="仿宋"/>
          <w:color w:val="000000" w:themeColor="text1"/>
          <w:sz w:val="24"/>
          <w:highlight w:val="none"/>
        </w:rPr>
      </w:pPr>
      <w:r>
        <w:rPr>
          <w:rFonts w:hint="eastAsia" w:ascii="仿宋" w:hAnsi="仿宋" w:eastAsia="仿宋" w:cs="Times New Roman"/>
          <w:color w:val="000000" w:themeColor="text1"/>
          <w:sz w:val="24"/>
          <w:highlight w:val="none"/>
        </w:rPr>
        <w:t>备注：本项目澄清说明采用扫描件形式发送至电子邮箱</w:t>
      </w:r>
      <w:r>
        <w:rPr>
          <w:rFonts w:hint="eastAsia" w:ascii="仿宋" w:hAnsi="仿宋" w:eastAsia="仿宋"/>
          <w:color w:val="000000" w:themeColor="text1"/>
          <w:sz w:val="24"/>
          <w:highlight w:val="none"/>
        </w:rPr>
        <w:t>（邮箱：3354029304</w:t>
      </w:r>
      <w:r>
        <w:rPr>
          <w:rFonts w:ascii="仿宋" w:hAnsi="仿宋" w:eastAsia="仿宋"/>
          <w:color w:val="000000" w:themeColor="text1"/>
          <w:sz w:val="24"/>
          <w:highlight w:val="none"/>
        </w:rPr>
        <w:t>@qq.com</w:t>
      </w:r>
      <w:r>
        <w:rPr>
          <w:rFonts w:hint="eastAsia" w:ascii="仿宋" w:hAnsi="仿宋" w:eastAsia="仿宋"/>
          <w:color w:val="000000" w:themeColor="text1"/>
          <w:sz w:val="24"/>
          <w:highlight w:val="none"/>
        </w:rPr>
        <w:t>）。</w:t>
      </w:r>
    </w:p>
    <w:p w14:paraId="2DFD4983">
      <w:pPr>
        <w:pStyle w:val="25"/>
        <w:snapToGrid w:val="0"/>
        <w:spacing w:line="300" w:lineRule="auto"/>
        <w:ind w:left="720" w:leftChars="228" w:hanging="241" w:hangingChars="100"/>
        <w:rPr>
          <w:rFonts w:hint="eastAsia" w:ascii="仿宋" w:hAnsi="仿宋" w:eastAsia="仿宋" w:cs="Times New Roman"/>
          <w:b/>
          <w:color w:val="000000" w:themeColor="text1"/>
          <w:highlight w:val="none"/>
        </w:rPr>
      </w:pPr>
      <w:r>
        <w:rPr>
          <w:rFonts w:hint="eastAsia" w:ascii="仿宋" w:hAnsi="仿宋" w:eastAsia="仿宋" w:cs="Times New Roman"/>
          <w:b/>
          <w:color w:val="000000" w:themeColor="text1"/>
          <w:highlight w:val="none"/>
        </w:rPr>
        <w:t>25.</w:t>
      </w:r>
      <w:r>
        <w:rPr>
          <w:rFonts w:ascii="仿宋" w:hAnsi="仿宋" w:eastAsia="仿宋" w:cs="Times New Roman"/>
          <w:b/>
          <w:color w:val="000000" w:themeColor="text1"/>
          <w:highlight w:val="none"/>
        </w:rPr>
        <w:t>错误修正</w:t>
      </w:r>
    </w:p>
    <w:p w14:paraId="5BA84C29">
      <w:pPr>
        <w:spacing w:line="300" w:lineRule="auto"/>
        <w:ind w:firstLine="480" w:firstLineChars="200"/>
        <w:rPr>
          <w:rFonts w:hint="eastAsia" w:ascii="仿宋" w:hAnsi="仿宋" w:eastAsia="仿宋" w:cs="宋体"/>
          <w:color w:val="000000" w:themeColor="text1"/>
          <w:sz w:val="24"/>
          <w:szCs w:val="24"/>
          <w:highlight w:val="none"/>
        </w:rPr>
      </w:pPr>
      <w:r>
        <w:rPr>
          <w:rFonts w:hint="eastAsia" w:ascii="仿宋" w:hAnsi="仿宋" w:eastAsia="仿宋" w:cs="宋体"/>
          <w:color w:val="000000" w:themeColor="text1"/>
          <w:sz w:val="24"/>
          <w:szCs w:val="24"/>
          <w:highlight w:val="none"/>
        </w:rPr>
        <w:t>投标文件报价出现前后不一致的，按照下列规定修正：</w:t>
      </w:r>
    </w:p>
    <w:p w14:paraId="0DC3A0D5">
      <w:pPr>
        <w:spacing w:line="300" w:lineRule="auto"/>
        <w:ind w:firstLine="480" w:firstLineChars="200"/>
        <w:rPr>
          <w:rFonts w:hint="eastAsia" w:ascii="仿宋" w:hAnsi="仿宋" w:eastAsia="仿宋" w:cs="宋体"/>
          <w:color w:val="000000" w:themeColor="text1"/>
          <w:sz w:val="24"/>
          <w:szCs w:val="24"/>
          <w:highlight w:val="none"/>
        </w:rPr>
      </w:pPr>
      <w:r>
        <w:rPr>
          <w:rFonts w:hint="eastAsia" w:ascii="仿宋" w:hAnsi="仿宋" w:eastAsia="仿宋" w:cs="宋体"/>
          <w:color w:val="000000" w:themeColor="text1"/>
          <w:sz w:val="24"/>
          <w:szCs w:val="24"/>
          <w:highlight w:val="none"/>
        </w:rPr>
        <w:t>25.1投标文件中开标一览表（报价表）内容与投标文件中相应内容不一致的，以开标一览表（报价表）为准。</w:t>
      </w:r>
    </w:p>
    <w:p w14:paraId="5C893ABD">
      <w:pPr>
        <w:spacing w:line="300" w:lineRule="auto"/>
        <w:ind w:firstLine="480" w:firstLineChars="200"/>
        <w:rPr>
          <w:rFonts w:hint="eastAsia" w:ascii="仿宋" w:hAnsi="仿宋" w:eastAsia="仿宋" w:cs="宋体"/>
          <w:color w:val="000000" w:themeColor="text1"/>
          <w:sz w:val="24"/>
          <w:szCs w:val="24"/>
          <w:highlight w:val="none"/>
        </w:rPr>
      </w:pPr>
      <w:r>
        <w:rPr>
          <w:rFonts w:hint="eastAsia" w:ascii="仿宋" w:hAnsi="仿宋" w:eastAsia="仿宋" w:cs="宋体"/>
          <w:color w:val="000000" w:themeColor="text1"/>
          <w:sz w:val="24"/>
          <w:szCs w:val="24"/>
          <w:highlight w:val="none"/>
        </w:rPr>
        <w:t>25.2大写金额和小写金额不一致的，以大写金额为准。</w:t>
      </w:r>
    </w:p>
    <w:p w14:paraId="36A231B8">
      <w:pPr>
        <w:spacing w:line="300" w:lineRule="auto"/>
        <w:ind w:firstLine="480" w:firstLineChars="200"/>
        <w:rPr>
          <w:rFonts w:hint="eastAsia" w:ascii="仿宋" w:hAnsi="仿宋" w:eastAsia="仿宋" w:cs="宋体"/>
          <w:color w:val="000000" w:themeColor="text1"/>
          <w:sz w:val="24"/>
          <w:szCs w:val="24"/>
          <w:highlight w:val="none"/>
        </w:rPr>
      </w:pPr>
      <w:r>
        <w:rPr>
          <w:rFonts w:hint="eastAsia" w:ascii="仿宋" w:hAnsi="仿宋" w:eastAsia="仿宋" w:cs="宋体"/>
          <w:color w:val="000000" w:themeColor="text1"/>
          <w:sz w:val="24"/>
          <w:szCs w:val="24"/>
          <w:highlight w:val="none"/>
        </w:rPr>
        <w:t>25.3单价金额小数点或者百分比有明显错位的，以开标一览表的总价为准，并修改单价。</w:t>
      </w:r>
    </w:p>
    <w:p w14:paraId="1E47ADAB">
      <w:pPr>
        <w:spacing w:line="300" w:lineRule="auto"/>
        <w:ind w:firstLine="480" w:firstLineChars="200"/>
        <w:rPr>
          <w:rFonts w:hint="eastAsia" w:ascii="仿宋" w:hAnsi="仿宋" w:eastAsia="仿宋" w:cs="宋体"/>
          <w:color w:val="000000" w:themeColor="text1"/>
          <w:sz w:val="24"/>
          <w:szCs w:val="24"/>
          <w:highlight w:val="none"/>
        </w:rPr>
      </w:pPr>
      <w:r>
        <w:rPr>
          <w:rFonts w:hint="eastAsia" w:ascii="仿宋" w:hAnsi="仿宋" w:eastAsia="仿宋" w:cs="宋体"/>
          <w:color w:val="000000" w:themeColor="text1"/>
          <w:sz w:val="24"/>
          <w:szCs w:val="24"/>
          <w:highlight w:val="none"/>
        </w:rPr>
        <w:t>25.4总价金额与按单价汇总金额不一致的，以单价金额计算结果为准。</w:t>
      </w:r>
    </w:p>
    <w:p w14:paraId="11FE6DFE">
      <w:pPr>
        <w:spacing w:line="300" w:lineRule="auto"/>
        <w:ind w:firstLine="480" w:firstLineChars="200"/>
        <w:rPr>
          <w:rFonts w:hint="eastAsia" w:ascii="仿宋" w:hAnsi="仿宋" w:eastAsia="仿宋" w:cs="宋体"/>
          <w:color w:val="000000" w:themeColor="text1"/>
          <w:sz w:val="24"/>
          <w:szCs w:val="24"/>
          <w:highlight w:val="none"/>
        </w:rPr>
      </w:pPr>
      <w:r>
        <w:rPr>
          <w:rFonts w:hint="eastAsia" w:ascii="仿宋" w:hAnsi="仿宋" w:eastAsia="仿宋" w:cs="宋体"/>
          <w:color w:val="000000" w:themeColor="text1"/>
          <w:sz w:val="24"/>
          <w:szCs w:val="24"/>
          <w:highlight w:val="none"/>
        </w:rPr>
        <w:t>同时出现两种以上不一致的，按照上述规定的顺序修正。</w:t>
      </w:r>
    </w:p>
    <w:p w14:paraId="1EDB8C8B">
      <w:pPr>
        <w:spacing w:line="300" w:lineRule="auto"/>
        <w:ind w:firstLine="480" w:firstLineChars="200"/>
        <w:rPr>
          <w:rFonts w:hint="eastAsia" w:ascii="仿宋" w:hAnsi="仿宋" w:eastAsia="仿宋" w:cs="宋体"/>
          <w:color w:val="000000" w:themeColor="text1"/>
          <w:sz w:val="24"/>
          <w:szCs w:val="24"/>
          <w:highlight w:val="none"/>
        </w:rPr>
      </w:pPr>
      <w:r>
        <w:rPr>
          <w:rFonts w:hint="eastAsia" w:ascii="仿宋" w:hAnsi="仿宋" w:eastAsia="仿宋" w:cs="宋体"/>
          <w:color w:val="000000" w:themeColor="text1"/>
          <w:sz w:val="24"/>
          <w:szCs w:val="24"/>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14:paraId="0F394289">
      <w:pPr>
        <w:pStyle w:val="37"/>
        <w:spacing w:line="300" w:lineRule="auto"/>
        <w:ind w:firstLine="482" w:firstLineChars="200"/>
        <w:rPr>
          <w:rFonts w:hint="eastAsia" w:ascii="仿宋" w:hAnsi="仿宋" w:eastAsia="仿宋" w:cs="Times New Roman"/>
          <w:b/>
          <w:color w:val="000000" w:themeColor="text1"/>
          <w:sz w:val="24"/>
          <w:highlight w:val="none"/>
        </w:rPr>
      </w:pPr>
      <w:r>
        <w:rPr>
          <w:rFonts w:hint="eastAsia" w:ascii="仿宋" w:hAnsi="仿宋" w:eastAsia="仿宋" w:cs="Times New Roman"/>
          <w:b/>
          <w:color w:val="000000" w:themeColor="text1"/>
          <w:sz w:val="24"/>
          <w:highlight w:val="none"/>
        </w:rPr>
        <w:t>26.评标办法</w:t>
      </w:r>
    </w:p>
    <w:p w14:paraId="0EDFA6F0">
      <w:pPr>
        <w:pStyle w:val="37"/>
        <w:spacing w:line="300" w:lineRule="auto"/>
        <w:ind w:firstLine="480" w:firstLineChars="200"/>
        <w:rPr>
          <w:rFonts w:hint="eastAsia" w:ascii="仿宋" w:hAnsi="仿宋" w:eastAsia="仿宋" w:cs="Times New Roman"/>
          <w:color w:val="000000" w:themeColor="text1"/>
          <w:sz w:val="24"/>
          <w:highlight w:val="none"/>
        </w:rPr>
      </w:pPr>
      <w:r>
        <w:rPr>
          <w:rFonts w:hint="eastAsia" w:ascii="仿宋" w:hAnsi="仿宋" w:eastAsia="仿宋" w:cs="Times New Roman"/>
          <w:color w:val="000000" w:themeColor="text1"/>
          <w:sz w:val="24"/>
          <w:highlight w:val="none"/>
        </w:rPr>
        <w:t>本项目评标办法是综合评分法，具体评标内容及评分标准等详见《第三章：评标办法及评分标准》。</w:t>
      </w:r>
    </w:p>
    <w:p w14:paraId="51BEFA4E">
      <w:pPr>
        <w:spacing w:line="300" w:lineRule="auto"/>
        <w:ind w:firstLine="482" w:firstLineChars="200"/>
        <w:rPr>
          <w:rFonts w:hint="eastAsia" w:ascii="仿宋" w:hAnsi="仿宋" w:eastAsia="仿宋"/>
          <w:b/>
          <w:color w:val="000000" w:themeColor="text1"/>
          <w:sz w:val="24"/>
          <w:highlight w:val="none"/>
        </w:rPr>
      </w:pPr>
      <w:r>
        <w:rPr>
          <w:rFonts w:hint="eastAsia" w:ascii="仿宋" w:hAnsi="仿宋" w:eastAsia="仿宋"/>
          <w:b/>
          <w:color w:val="000000" w:themeColor="text1"/>
          <w:sz w:val="24"/>
          <w:highlight w:val="none"/>
        </w:rPr>
        <w:t>27.</w:t>
      </w:r>
      <w:r>
        <w:rPr>
          <w:rFonts w:hint="eastAsia" w:ascii="仿宋" w:hAnsi="仿宋" w:eastAsia="仿宋"/>
          <w:b/>
          <w:bCs/>
          <w:color w:val="000000" w:themeColor="text1"/>
          <w:sz w:val="24"/>
          <w:highlight w:val="none"/>
        </w:rPr>
        <w:t>评标过程的保密</w:t>
      </w:r>
    </w:p>
    <w:p w14:paraId="6E52A133">
      <w:pPr>
        <w:pStyle w:val="37"/>
        <w:spacing w:line="300" w:lineRule="auto"/>
        <w:ind w:firstLine="480" w:firstLineChars="200"/>
        <w:rPr>
          <w:rFonts w:hint="eastAsia" w:ascii="仿宋" w:hAnsi="仿宋" w:eastAsia="仿宋" w:cs="Times New Roman"/>
          <w:color w:val="000000" w:themeColor="text1"/>
          <w:sz w:val="24"/>
          <w:highlight w:val="none"/>
        </w:rPr>
      </w:pPr>
      <w:r>
        <w:rPr>
          <w:rFonts w:hint="eastAsia" w:ascii="仿宋" w:hAnsi="仿宋" w:eastAsia="仿宋" w:cs="Times New Roman"/>
          <w:color w:val="000000" w:themeColor="text1"/>
          <w:sz w:val="24"/>
          <w:highlight w:val="none"/>
        </w:rPr>
        <w:t>27.1开标后，直到宣布授予中标人合同为止，凡属于审查、澄清、评价和比较投标文件的有关资料和授予合同的信息，采购人、评标委员会成员都不应向投标人或与该过程无关的其他人员泄露。</w:t>
      </w:r>
    </w:p>
    <w:p w14:paraId="4E7A31CB">
      <w:pPr>
        <w:pStyle w:val="37"/>
        <w:spacing w:line="300" w:lineRule="auto"/>
        <w:ind w:firstLine="480" w:firstLineChars="200"/>
        <w:rPr>
          <w:rFonts w:hint="eastAsia" w:ascii="仿宋" w:hAnsi="仿宋" w:eastAsia="仿宋" w:cs="Times New Roman"/>
          <w:color w:val="000000" w:themeColor="text1"/>
          <w:sz w:val="24"/>
          <w:highlight w:val="none"/>
        </w:rPr>
      </w:pPr>
      <w:r>
        <w:rPr>
          <w:rFonts w:hint="eastAsia" w:ascii="仿宋" w:hAnsi="仿宋" w:eastAsia="仿宋" w:cs="Times New Roman"/>
          <w:color w:val="000000" w:themeColor="text1"/>
          <w:sz w:val="24"/>
          <w:highlight w:val="none"/>
        </w:rPr>
        <w:t>27.2任何单位和个人都不得干扰、影响评标活动的正常进行。投标人在评标过程中所进行的试图影响评标结果的一切不符合法律或招标规定的活动，都可能导致其被取消投标资格，并由其承担相应的法律责任。</w:t>
      </w:r>
    </w:p>
    <w:p w14:paraId="30EF1EA9">
      <w:pPr>
        <w:pStyle w:val="37"/>
        <w:spacing w:line="300" w:lineRule="auto"/>
        <w:ind w:firstLine="480" w:firstLineChars="200"/>
        <w:rPr>
          <w:rFonts w:hint="eastAsia" w:ascii="仿宋" w:hAnsi="仿宋" w:eastAsia="仿宋" w:cs="Times New Roman"/>
          <w:color w:val="000000" w:themeColor="text1"/>
          <w:sz w:val="24"/>
          <w:highlight w:val="none"/>
        </w:rPr>
      </w:pPr>
      <w:r>
        <w:rPr>
          <w:rFonts w:hint="eastAsia" w:ascii="仿宋" w:hAnsi="仿宋" w:eastAsia="仿宋" w:cs="Times New Roman"/>
          <w:color w:val="000000" w:themeColor="text1"/>
          <w:sz w:val="24"/>
          <w:highlight w:val="none"/>
        </w:rPr>
        <w:t>27.3中标人确定后，采购人不对未中标人就评标过程以及未能中标原因作出任何解释。未中标人不得向评标委员会或其他有关人员索问评标过程的情况和材料。</w:t>
      </w:r>
    </w:p>
    <w:p w14:paraId="4FBA0EF7">
      <w:pPr>
        <w:pStyle w:val="3"/>
        <w:spacing w:before="156" w:beforeLines="50" w:after="156" w:afterLines="50" w:line="360" w:lineRule="exact"/>
        <w:jc w:val="center"/>
        <w:rPr>
          <w:rFonts w:hint="eastAsia" w:ascii="仿宋" w:hAnsi="仿宋" w:eastAsia="仿宋"/>
          <w:color w:val="000000" w:themeColor="text1"/>
          <w:highlight w:val="none"/>
        </w:rPr>
      </w:pPr>
      <w:bookmarkStart w:id="9" w:name="_Toc125344509"/>
      <w:r>
        <w:rPr>
          <w:rFonts w:hint="eastAsia" w:ascii="仿宋" w:hAnsi="仿宋" w:eastAsia="仿宋"/>
          <w:color w:val="000000" w:themeColor="text1"/>
          <w:highlight w:val="none"/>
        </w:rPr>
        <w:t>六、</w:t>
      </w:r>
      <w:bookmarkEnd w:id="9"/>
      <w:r>
        <w:rPr>
          <w:rFonts w:hint="eastAsia" w:ascii="仿宋" w:hAnsi="仿宋" w:eastAsia="仿宋"/>
          <w:color w:val="000000" w:themeColor="text1"/>
          <w:highlight w:val="none"/>
        </w:rPr>
        <w:t>定标</w:t>
      </w:r>
    </w:p>
    <w:p w14:paraId="6795B7E6">
      <w:pPr>
        <w:pStyle w:val="37"/>
        <w:spacing w:before="156" w:beforeLines="50" w:line="300" w:lineRule="auto"/>
        <w:ind w:firstLine="482" w:firstLineChars="200"/>
        <w:rPr>
          <w:rFonts w:hint="eastAsia" w:ascii="仿宋" w:hAnsi="仿宋" w:eastAsia="仿宋" w:cs="Times New Roman"/>
          <w:color w:val="000000" w:themeColor="text1"/>
          <w:sz w:val="24"/>
          <w:highlight w:val="none"/>
        </w:rPr>
      </w:pPr>
      <w:r>
        <w:rPr>
          <w:rFonts w:hint="eastAsia" w:ascii="仿宋" w:hAnsi="仿宋" w:eastAsia="仿宋" w:cs="Times New Roman"/>
          <w:b/>
          <w:bCs/>
          <w:color w:val="000000" w:themeColor="text1"/>
          <w:sz w:val="24"/>
          <w:highlight w:val="none"/>
        </w:rPr>
        <w:t>28.确定中标人。本项目由采购人确定中标人。</w:t>
      </w:r>
    </w:p>
    <w:p w14:paraId="47C9ECAB">
      <w:pPr>
        <w:spacing w:line="300" w:lineRule="auto"/>
        <w:ind w:firstLine="480" w:firstLineChars="200"/>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28.1中标结果实行中标公示制度，接受社会监督。采购人应当在发布招标公告的网站上或信息公告栏上予以公示，公示期限为三个工作日。</w:t>
      </w:r>
    </w:p>
    <w:p w14:paraId="392830B5">
      <w:pPr>
        <w:spacing w:line="300" w:lineRule="auto"/>
        <w:ind w:firstLine="480" w:firstLineChars="200"/>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28.2第一名中标候选人无正当理由放弃中标或被取消中标资格的，</w:t>
      </w:r>
      <w:r>
        <w:rPr>
          <w:rFonts w:hint="eastAsia" w:ascii="仿宋" w:hAnsi="仿宋" w:eastAsia="仿宋" w:cs="宋体"/>
          <w:color w:val="000000" w:themeColor="text1"/>
          <w:sz w:val="24"/>
          <w:szCs w:val="24"/>
          <w:highlight w:val="none"/>
        </w:rPr>
        <w:t>将</w:t>
      </w:r>
      <w:r>
        <w:rPr>
          <w:rFonts w:hint="eastAsia" w:ascii="仿宋" w:hAnsi="仿宋" w:eastAsia="仿宋"/>
          <w:color w:val="000000" w:themeColor="text1"/>
          <w:sz w:val="24"/>
          <w:highlight w:val="none"/>
        </w:rPr>
        <w:t>上报采购单位招投标管理部门，按有关法律、法规、制度进行处理。</w:t>
      </w:r>
    </w:p>
    <w:p w14:paraId="6241B16A">
      <w:pPr>
        <w:pStyle w:val="37"/>
        <w:spacing w:line="300" w:lineRule="auto"/>
        <w:ind w:firstLine="482" w:firstLineChars="200"/>
        <w:rPr>
          <w:rFonts w:hint="eastAsia" w:ascii="仿宋" w:hAnsi="仿宋" w:eastAsia="仿宋" w:cs="Times New Roman"/>
          <w:b/>
          <w:bCs/>
          <w:color w:val="000000" w:themeColor="text1"/>
          <w:sz w:val="24"/>
          <w:highlight w:val="none"/>
        </w:rPr>
      </w:pPr>
      <w:r>
        <w:rPr>
          <w:rFonts w:hint="eastAsia" w:ascii="仿宋" w:hAnsi="仿宋" w:eastAsia="仿宋" w:cs="Times New Roman"/>
          <w:b/>
          <w:bCs/>
          <w:color w:val="000000" w:themeColor="text1"/>
          <w:sz w:val="24"/>
          <w:highlight w:val="none"/>
        </w:rPr>
        <w:t>29.中标通知</w:t>
      </w:r>
    </w:p>
    <w:p w14:paraId="116A3D2B">
      <w:pPr>
        <w:spacing w:line="300" w:lineRule="auto"/>
        <w:ind w:firstLine="480" w:firstLineChars="200"/>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29.1 中标公示期满后，无异议的，采购人确认中标结果，浙江新顺项目管理有限公司核发《中标通知书》。</w:t>
      </w:r>
      <w:r>
        <w:rPr>
          <w:rFonts w:ascii="仿宋" w:hAnsi="仿宋" w:eastAsia="仿宋"/>
          <w:color w:val="000000" w:themeColor="text1"/>
          <w:sz w:val="24"/>
          <w:highlight w:val="none"/>
        </w:rPr>
        <w:t>《中标通知书》一经发出即发生法律效力</w:t>
      </w:r>
      <w:r>
        <w:rPr>
          <w:rFonts w:hint="eastAsia" w:ascii="仿宋" w:hAnsi="仿宋" w:eastAsia="仿宋"/>
          <w:color w:val="000000" w:themeColor="text1"/>
          <w:sz w:val="24"/>
          <w:highlight w:val="none"/>
        </w:rPr>
        <w:t>。</w:t>
      </w:r>
    </w:p>
    <w:p w14:paraId="07012BA1">
      <w:pPr>
        <w:spacing w:line="300" w:lineRule="auto"/>
        <w:ind w:firstLine="480" w:firstLineChars="200"/>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29.2</w:t>
      </w:r>
      <w:r>
        <w:rPr>
          <w:rFonts w:ascii="仿宋" w:hAnsi="仿宋" w:eastAsia="仿宋"/>
          <w:color w:val="000000" w:themeColor="text1"/>
          <w:sz w:val="24"/>
          <w:highlight w:val="none"/>
        </w:rPr>
        <w:t>中标</w:t>
      </w:r>
      <w:r>
        <w:rPr>
          <w:rFonts w:hint="eastAsia" w:ascii="仿宋" w:hAnsi="仿宋" w:eastAsia="仿宋"/>
          <w:color w:val="000000" w:themeColor="text1"/>
          <w:sz w:val="24"/>
          <w:highlight w:val="none"/>
        </w:rPr>
        <w:t>结果将于公示期满后在相关网站以中标公告形式发布，中标人须在中标公告发布后到浙江新顺项目管理有限公司领取书面通知。</w:t>
      </w:r>
    </w:p>
    <w:p w14:paraId="0DE58D7A">
      <w:pPr>
        <w:spacing w:line="300" w:lineRule="auto"/>
        <w:ind w:firstLine="480" w:firstLineChars="200"/>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29.3采购人对中标结果不作任何说明和解释，也不回答任何提问。</w:t>
      </w:r>
    </w:p>
    <w:p w14:paraId="0D3C655E">
      <w:pPr>
        <w:snapToGrid w:val="0"/>
        <w:spacing w:line="300" w:lineRule="auto"/>
        <w:ind w:firstLine="472" w:firstLineChars="196"/>
        <w:rPr>
          <w:rFonts w:hint="eastAsia" w:ascii="仿宋" w:hAnsi="仿宋" w:eastAsia="仿宋"/>
          <w:b/>
          <w:bCs/>
          <w:color w:val="000000" w:themeColor="text1"/>
          <w:sz w:val="24"/>
          <w:highlight w:val="none"/>
        </w:rPr>
      </w:pPr>
      <w:r>
        <w:rPr>
          <w:rFonts w:hint="eastAsia" w:ascii="仿宋" w:hAnsi="仿宋" w:eastAsia="仿宋"/>
          <w:b/>
          <w:bCs/>
          <w:color w:val="000000" w:themeColor="text1"/>
          <w:sz w:val="24"/>
          <w:highlight w:val="none"/>
        </w:rPr>
        <w:t>30. 中标无效情形</w:t>
      </w:r>
    </w:p>
    <w:p w14:paraId="07C9F9D8">
      <w:pPr>
        <w:pStyle w:val="37"/>
        <w:spacing w:line="300" w:lineRule="auto"/>
        <w:ind w:firstLine="480" w:firstLineChars="200"/>
        <w:rPr>
          <w:rFonts w:hint="eastAsia" w:ascii="仿宋" w:hAnsi="仿宋" w:eastAsia="仿宋" w:cs="Times New Roman"/>
          <w:color w:val="000000" w:themeColor="text1"/>
          <w:sz w:val="24"/>
          <w:highlight w:val="none"/>
        </w:rPr>
      </w:pPr>
      <w:r>
        <w:rPr>
          <w:rFonts w:hint="eastAsia" w:ascii="仿宋" w:hAnsi="仿宋" w:eastAsia="仿宋" w:cs="Times New Roman"/>
          <w:color w:val="000000" w:themeColor="text1"/>
          <w:sz w:val="24"/>
          <w:highlight w:val="none"/>
        </w:rPr>
        <w:t>中标人存在下列情形之一的，中标无效：</w:t>
      </w:r>
    </w:p>
    <w:p w14:paraId="279E3071">
      <w:pPr>
        <w:pStyle w:val="37"/>
        <w:spacing w:line="300" w:lineRule="auto"/>
        <w:ind w:firstLine="480" w:firstLineChars="200"/>
        <w:rPr>
          <w:rFonts w:hint="eastAsia" w:ascii="仿宋" w:hAnsi="仿宋" w:eastAsia="仿宋" w:cs="Times New Roman"/>
          <w:color w:val="000000" w:themeColor="text1"/>
          <w:sz w:val="24"/>
          <w:highlight w:val="none"/>
        </w:rPr>
      </w:pPr>
      <w:r>
        <w:rPr>
          <w:rFonts w:hint="eastAsia" w:ascii="仿宋" w:hAnsi="仿宋" w:eastAsia="仿宋" w:cs="Times New Roman"/>
          <w:color w:val="000000" w:themeColor="text1"/>
          <w:sz w:val="24"/>
          <w:highlight w:val="none"/>
        </w:rPr>
        <w:t>30.1提供虚假材料谋取中标的；</w:t>
      </w:r>
    </w:p>
    <w:p w14:paraId="78C9C8E6">
      <w:pPr>
        <w:pStyle w:val="37"/>
        <w:spacing w:line="300" w:lineRule="auto"/>
        <w:ind w:firstLine="480" w:firstLineChars="200"/>
        <w:rPr>
          <w:rFonts w:hint="eastAsia" w:ascii="仿宋" w:hAnsi="仿宋" w:eastAsia="仿宋" w:cs="Times New Roman"/>
          <w:color w:val="000000" w:themeColor="text1"/>
          <w:sz w:val="24"/>
          <w:highlight w:val="none"/>
        </w:rPr>
      </w:pPr>
      <w:r>
        <w:rPr>
          <w:rFonts w:hint="eastAsia" w:ascii="仿宋" w:hAnsi="仿宋" w:eastAsia="仿宋" w:cs="Times New Roman"/>
          <w:color w:val="000000" w:themeColor="text1"/>
          <w:sz w:val="24"/>
          <w:highlight w:val="none"/>
        </w:rPr>
        <w:t>30.2采取不正当手段诋毁、排挤其他投标人的；</w:t>
      </w:r>
    </w:p>
    <w:p w14:paraId="0D9EA0FF">
      <w:pPr>
        <w:pStyle w:val="37"/>
        <w:spacing w:line="300" w:lineRule="auto"/>
        <w:ind w:firstLine="480" w:firstLineChars="200"/>
        <w:rPr>
          <w:rFonts w:hint="eastAsia" w:ascii="仿宋" w:hAnsi="仿宋" w:eastAsia="仿宋" w:cs="Times New Roman"/>
          <w:color w:val="000000" w:themeColor="text1"/>
          <w:sz w:val="24"/>
          <w:highlight w:val="none"/>
        </w:rPr>
      </w:pPr>
      <w:r>
        <w:rPr>
          <w:rFonts w:hint="eastAsia" w:ascii="仿宋" w:hAnsi="仿宋" w:eastAsia="仿宋" w:cs="Times New Roman"/>
          <w:color w:val="000000" w:themeColor="text1"/>
          <w:sz w:val="24"/>
          <w:highlight w:val="none"/>
        </w:rPr>
        <w:t>30.3与采购单位、其他投标人恶意串通的；</w:t>
      </w:r>
    </w:p>
    <w:p w14:paraId="3D5903F1">
      <w:pPr>
        <w:pStyle w:val="37"/>
        <w:spacing w:line="300" w:lineRule="auto"/>
        <w:ind w:firstLine="480" w:firstLineChars="200"/>
        <w:rPr>
          <w:rFonts w:hint="eastAsia" w:ascii="仿宋" w:hAnsi="仿宋" w:eastAsia="仿宋" w:cs="Times New Roman"/>
          <w:color w:val="000000" w:themeColor="text1"/>
          <w:sz w:val="24"/>
          <w:highlight w:val="none"/>
        </w:rPr>
      </w:pPr>
      <w:r>
        <w:rPr>
          <w:rFonts w:hint="eastAsia" w:ascii="仿宋" w:hAnsi="仿宋" w:eastAsia="仿宋" w:cs="Times New Roman"/>
          <w:color w:val="000000" w:themeColor="text1"/>
          <w:sz w:val="24"/>
          <w:highlight w:val="none"/>
        </w:rPr>
        <w:t>30.4向采购单位行贿或者提供其他不正当利益的；</w:t>
      </w:r>
    </w:p>
    <w:p w14:paraId="62568E7E">
      <w:pPr>
        <w:pStyle w:val="37"/>
        <w:spacing w:line="300" w:lineRule="auto"/>
        <w:ind w:firstLine="480" w:firstLineChars="200"/>
        <w:rPr>
          <w:rFonts w:hint="eastAsia" w:ascii="仿宋" w:hAnsi="仿宋" w:eastAsia="仿宋" w:cs="Times New Roman"/>
          <w:color w:val="000000" w:themeColor="text1"/>
          <w:sz w:val="24"/>
          <w:highlight w:val="none"/>
        </w:rPr>
      </w:pPr>
      <w:r>
        <w:rPr>
          <w:rFonts w:hint="eastAsia" w:ascii="仿宋" w:hAnsi="仿宋" w:eastAsia="仿宋" w:cs="Times New Roman"/>
          <w:color w:val="000000" w:themeColor="text1"/>
          <w:sz w:val="24"/>
          <w:highlight w:val="none"/>
        </w:rPr>
        <w:t>30.5在招标过程中与采购单位进行协商谈判、不按照招标文件和中标供应商的投标文件订立合同，或者与采购人另行订立背离合同实质性内容的协议的；</w:t>
      </w:r>
    </w:p>
    <w:p w14:paraId="6AA2BFE9">
      <w:pPr>
        <w:spacing w:line="300" w:lineRule="auto"/>
        <w:ind w:firstLine="480" w:firstLineChars="200"/>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30.6存在法律、法规规定的其它损害采购人或用户单位利益或社会公共利益的情形的。</w:t>
      </w:r>
    </w:p>
    <w:p w14:paraId="63D05174">
      <w:pPr>
        <w:snapToGrid w:val="0"/>
        <w:spacing w:line="300" w:lineRule="auto"/>
        <w:ind w:firstLine="472" w:firstLineChars="196"/>
        <w:rPr>
          <w:rFonts w:hint="eastAsia" w:ascii="仿宋" w:hAnsi="仿宋" w:eastAsia="仿宋"/>
          <w:b/>
          <w:bCs/>
          <w:color w:val="000000" w:themeColor="text1"/>
          <w:sz w:val="24"/>
          <w:highlight w:val="none"/>
        </w:rPr>
      </w:pPr>
      <w:r>
        <w:rPr>
          <w:rFonts w:hint="eastAsia" w:ascii="仿宋" w:hAnsi="仿宋" w:eastAsia="仿宋"/>
          <w:b/>
          <w:bCs/>
          <w:color w:val="000000" w:themeColor="text1"/>
          <w:sz w:val="24"/>
          <w:highlight w:val="none"/>
        </w:rPr>
        <w:t>31.重新招标</w:t>
      </w:r>
    </w:p>
    <w:p w14:paraId="6B5B6297">
      <w:pPr>
        <w:snapToGrid w:val="0"/>
        <w:spacing w:line="300" w:lineRule="auto"/>
        <w:ind w:firstLine="470" w:firstLineChars="196"/>
        <w:rPr>
          <w:rFonts w:hint="eastAsia" w:ascii="仿宋" w:hAnsi="仿宋" w:eastAsia="仿宋"/>
          <w:b/>
          <w:bCs/>
          <w:color w:val="000000" w:themeColor="text1"/>
          <w:sz w:val="24"/>
          <w:highlight w:val="none"/>
        </w:rPr>
      </w:pPr>
      <w:r>
        <w:rPr>
          <w:rFonts w:hint="eastAsia" w:ascii="仿宋" w:hAnsi="仿宋" w:eastAsia="仿宋" w:cs="宋体"/>
          <w:color w:val="000000" w:themeColor="text1"/>
          <w:sz w:val="24"/>
          <w:szCs w:val="24"/>
          <w:highlight w:val="none"/>
        </w:rPr>
        <w:t>投标截止后投标人不足3家或者通过资格审查的合格投标人不足3家或者评审期间出现合格投标人不足3家的，重新组织采购。</w:t>
      </w:r>
    </w:p>
    <w:p w14:paraId="37183E72">
      <w:pPr>
        <w:pStyle w:val="3"/>
        <w:spacing w:before="156" w:beforeLines="50" w:after="156" w:afterLines="50" w:line="240" w:lineRule="exact"/>
        <w:jc w:val="center"/>
        <w:rPr>
          <w:rFonts w:hint="eastAsia" w:ascii="仿宋" w:hAnsi="仿宋" w:eastAsia="仿宋"/>
          <w:color w:val="000000" w:themeColor="text1"/>
          <w:highlight w:val="none"/>
        </w:rPr>
      </w:pPr>
      <w:r>
        <w:rPr>
          <w:rFonts w:hint="eastAsia" w:ascii="仿宋" w:hAnsi="仿宋" w:eastAsia="仿宋"/>
          <w:color w:val="000000" w:themeColor="text1"/>
          <w:highlight w:val="none"/>
        </w:rPr>
        <w:t>七、授予合同</w:t>
      </w:r>
    </w:p>
    <w:p w14:paraId="38A4E7BB">
      <w:pPr>
        <w:snapToGrid w:val="0"/>
        <w:spacing w:before="156" w:beforeLines="50" w:line="300" w:lineRule="auto"/>
        <w:ind w:firstLine="472" w:firstLineChars="196"/>
        <w:rPr>
          <w:rFonts w:hint="eastAsia" w:ascii="仿宋" w:hAnsi="仿宋" w:eastAsia="仿宋"/>
          <w:b/>
          <w:bCs/>
          <w:color w:val="000000" w:themeColor="text1"/>
          <w:sz w:val="24"/>
          <w:highlight w:val="none"/>
        </w:rPr>
      </w:pPr>
      <w:r>
        <w:rPr>
          <w:rFonts w:hint="eastAsia" w:ascii="仿宋" w:hAnsi="仿宋" w:eastAsia="仿宋"/>
          <w:b/>
          <w:bCs/>
          <w:color w:val="000000" w:themeColor="text1"/>
          <w:sz w:val="24"/>
          <w:highlight w:val="none"/>
        </w:rPr>
        <w:t>32.签订合同</w:t>
      </w:r>
    </w:p>
    <w:p w14:paraId="0E2A5B62">
      <w:pPr>
        <w:spacing w:line="300" w:lineRule="auto"/>
        <w:ind w:firstLine="480" w:firstLineChars="200"/>
        <w:rPr>
          <w:rFonts w:hint="eastAsia" w:ascii="仿宋" w:hAnsi="仿宋" w:eastAsia="仿宋" w:cs="宋体"/>
          <w:color w:val="000000" w:themeColor="text1"/>
          <w:sz w:val="24"/>
          <w:szCs w:val="24"/>
          <w:highlight w:val="none"/>
        </w:rPr>
      </w:pPr>
      <w:r>
        <w:rPr>
          <w:rFonts w:hint="eastAsia" w:ascii="仿宋" w:hAnsi="仿宋" w:eastAsia="仿宋" w:cs="宋体"/>
          <w:color w:val="000000" w:themeColor="text1"/>
          <w:sz w:val="24"/>
          <w:szCs w:val="24"/>
          <w:highlight w:val="none"/>
        </w:rPr>
        <w:t>32.1</w:t>
      </w:r>
      <w:r>
        <w:rPr>
          <w:rFonts w:hint="eastAsia" w:ascii="仿宋" w:hAnsi="仿宋" w:eastAsia="仿宋" w:cs="仿宋_GB2312"/>
          <w:color w:val="000000" w:themeColor="text1"/>
          <w:sz w:val="24"/>
          <w:highlight w:val="none"/>
        </w:rPr>
        <w:t>中标人应当在中标通知书发出之日起30日内</w:t>
      </w:r>
      <w:r>
        <w:rPr>
          <w:rFonts w:hint="eastAsia" w:ascii="仿宋" w:hAnsi="仿宋" w:eastAsia="仿宋" w:cs="宋体"/>
          <w:color w:val="000000" w:themeColor="text1"/>
          <w:sz w:val="24"/>
          <w:szCs w:val="24"/>
          <w:highlight w:val="none"/>
        </w:rPr>
        <w:t>，根据《中华人民共和国民法典》、《中华人民共和国政府采购法》等有关规定，依据招标文件和投标文件的有关条款上门与相关用户单位（即采购单位）签订合同。</w:t>
      </w:r>
    </w:p>
    <w:p w14:paraId="73F3C695">
      <w:pPr>
        <w:spacing w:line="300" w:lineRule="auto"/>
        <w:ind w:firstLine="436" w:firstLineChars="200"/>
        <w:rPr>
          <w:rFonts w:hint="eastAsia" w:ascii="仿宋" w:hAnsi="仿宋" w:eastAsia="仿宋" w:cs="宋体"/>
          <w:color w:val="000000" w:themeColor="text1"/>
          <w:spacing w:val="-11"/>
          <w:sz w:val="24"/>
          <w:szCs w:val="24"/>
          <w:highlight w:val="none"/>
        </w:rPr>
      </w:pPr>
      <w:r>
        <w:rPr>
          <w:rFonts w:hint="eastAsia" w:ascii="仿宋" w:hAnsi="仿宋" w:eastAsia="仿宋" w:cs="宋体"/>
          <w:color w:val="000000" w:themeColor="text1"/>
          <w:spacing w:val="-11"/>
          <w:sz w:val="24"/>
          <w:szCs w:val="24"/>
          <w:highlight w:val="none"/>
        </w:rPr>
        <w:t>32.2 招标文件、投标文件和《中标通知书》作为合同签订的依据和主要附件。合同签订时中标人须提供相应的</w:t>
      </w:r>
      <w:r>
        <w:rPr>
          <w:rFonts w:hint="eastAsia" w:ascii="仿宋" w:hAnsi="仿宋" w:eastAsia="仿宋" w:cs="宋体"/>
          <w:bCs/>
          <w:color w:val="000000" w:themeColor="text1"/>
          <w:spacing w:val="-11"/>
          <w:sz w:val="24"/>
          <w:szCs w:val="24"/>
          <w:highlight w:val="none"/>
        </w:rPr>
        <w:t>《中标通知书》复印件和售后服务承诺</w:t>
      </w:r>
      <w:r>
        <w:rPr>
          <w:rFonts w:hint="eastAsia" w:ascii="仿宋" w:hAnsi="仿宋" w:eastAsia="仿宋" w:cs="宋体"/>
          <w:color w:val="000000" w:themeColor="text1"/>
          <w:spacing w:val="-11"/>
          <w:sz w:val="24"/>
          <w:szCs w:val="24"/>
          <w:highlight w:val="none"/>
        </w:rPr>
        <w:t>给用户单位，以方便验收货物（或工程）。</w:t>
      </w:r>
    </w:p>
    <w:p w14:paraId="23A557ED">
      <w:pPr>
        <w:spacing w:line="300" w:lineRule="auto"/>
        <w:ind w:firstLine="480" w:firstLineChars="200"/>
        <w:rPr>
          <w:rFonts w:hint="eastAsia" w:ascii="仿宋" w:hAnsi="仿宋" w:eastAsia="仿宋" w:cs="宋体"/>
          <w:color w:val="000000" w:themeColor="text1"/>
          <w:sz w:val="24"/>
          <w:szCs w:val="24"/>
          <w:highlight w:val="none"/>
        </w:rPr>
      </w:pPr>
      <w:r>
        <w:rPr>
          <w:rFonts w:hint="eastAsia" w:ascii="仿宋" w:hAnsi="仿宋" w:eastAsia="仿宋" w:cs="宋体"/>
          <w:color w:val="000000" w:themeColor="text1"/>
          <w:sz w:val="24"/>
          <w:szCs w:val="24"/>
          <w:highlight w:val="none"/>
        </w:rPr>
        <w:t>32.3合同一式四份，用户单位和中标人各执一份、代理机构和招标办各备案一份。</w:t>
      </w:r>
    </w:p>
    <w:p w14:paraId="377170DD">
      <w:pPr>
        <w:spacing w:line="300" w:lineRule="auto"/>
        <w:ind w:firstLine="480" w:firstLineChars="200"/>
        <w:rPr>
          <w:rFonts w:hint="eastAsia" w:ascii="仿宋" w:hAnsi="仿宋" w:eastAsia="仿宋" w:cs="宋体"/>
          <w:color w:val="000000" w:themeColor="text1"/>
          <w:sz w:val="24"/>
          <w:szCs w:val="24"/>
          <w:highlight w:val="none"/>
        </w:rPr>
      </w:pPr>
      <w:r>
        <w:rPr>
          <w:rFonts w:hint="eastAsia" w:ascii="仿宋" w:hAnsi="仿宋" w:eastAsia="仿宋" w:cs="宋体"/>
          <w:color w:val="000000" w:themeColor="text1"/>
          <w:sz w:val="24"/>
          <w:szCs w:val="24"/>
          <w:highlight w:val="none"/>
        </w:rPr>
        <w:t>32.4 中标人和用户单位不得擅自变更、中止或者终止合同，不得另外订立背离合同实质性内容的其它协议。</w:t>
      </w:r>
    </w:p>
    <w:p w14:paraId="1B5A7FA4">
      <w:pPr>
        <w:snapToGrid w:val="0"/>
        <w:spacing w:line="300" w:lineRule="auto"/>
        <w:ind w:firstLine="472" w:firstLineChars="196"/>
        <w:rPr>
          <w:rFonts w:hint="eastAsia" w:ascii="仿宋" w:hAnsi="仿宋" w:eastAsia="仿宋"/>
          <w:b/>
          <w:bCs/>
          <w:color w:val="000000" w:themeColor="text1"/>
          <w:sz w:val="24"/>
          <w:highlight w:val="none"/>
        </w:rPr>
      </w:pPr>
      <w:r>
        <w:rPr>
          <w:rFonts w:hint="eastAsia" w:ascii="仿宋" w:hAnsi="仿宋" w:eastAsia="仿宋"/>
          <w:b/>
          <w:bCs/>
          <w:color w:val="000000" w:themeColor="text1"/>
          <w:sz w:val="24"/>
          <w:highlight w:val="none"/>
        </w:rPr>
        <w:t>33.</w:t>
      </w:r>
      <w:r>
        <w:rPr>
          <w:rFonts w:ascii="仿宋" w:hAnsi="仿宋" w:eastAsia="仿宋"/>
          <w:b/>
          <w:bCs/>
          <w:color w:val="000000" w:themeColor="text1"/>
          <w:sz w:val="24"/>
          <w:highlight w:val="none"/>
        </w:rPr>
        <w:t>履约保证金</w:t>
      </w:r>
    </w:p>
    <w:p w14:paraId="40072528">
      <w:pPr>
        <w:spacing w:line="300" w:lineRule="auto"/>
        <w:ind w:firstLine="480" w:firstLineChars="200"/>
        <w:rPr>
          <w:rFonts w:hint="eastAsia" w:ascii="仿宋" w:hAnsi="仿宋" w:eastAsia="仿宋" w:cs="宋体"/>
          <w:color w:val="000000" w:themeColor="text1"/>
          <w:sz w:val="24"/>
          <w:szCs w:val="24"/>
          <w:highlight w:val="none"/>
        </w:rPr>
      </w:pPr>
      <w:r>
        <w:rPr>
          <w:rFonts w:hint="eastAsia" w:ascii="仿宋" w:hAnsi="仿宋" w:eastAsia="仿宋" w:cs="宋体"/>
          <w:color w:val="000000" w:themeColor="text1"/>
          <w:sz w:val="24"/>
          <w:szCs w:val="24"/>
          <w:highlight w:val="none"/>
        </w:rPr>
        <w:t>33.1</w:t>
      </w:r>
      <w:r>
        <w:rPr>
          <w:rFonts w:hint="eastAsia" w:ascii="仿宋" w:hAnsi="仿宋" w:eastAsia="仿宋"/>
          <w:color w:val="000000" w:themeColor="text1"/>
          <w:sz w:val="24"/>
          <w:highlight w:val="none"/>
        </w:rPr>
        <w:t>招标文件要求中标人提交履约保证金的，中标人</w:t>
      </w:r>
      <w:r>
        <w:rPr>
          <w:rFonts w:hint="eastAsia" w:ascii="仿宋" w:hAnsi="仿宋" w:eastAsia="仿宋" w:cs="宋体"/>
          <w:color w:val="000000" w:themeColor="text1"/>
          <w:sz w:val="24"/>
          <w:szCs w:val="24"/>
          <w:highlight w:val="none"/>
        </w:rPr>
        <w:t>应按招标文件要求向采购人提交履约保证金，履约保证金作为中标人在履行合同和服务承诺的保证。</w:t>
      </w:r>
    </w:p>
    <w:p w14:paraId="6F7FE458">
      <w:pPr>
        <w:spacing w:line="300" w:lineRule="auto"/>
        <w:ind w:firstLine="480" w:firstLineChars="200"/>
        <w:rPr>
          <w:rFonts w:hint="eastAsia" w:ascii="仿宋" w:hAnsi="仿宋" w:eastAsia="仿宋" w:cs="宋体"/>
          <w:color w:val="000000" w:themeColor="text1"/>
          <w:sz w:val="24"/>
          <w:szCs w:val="24"/>
          <w:highlight w:val="none"/>
        </w:rPr>
      </w:pPr>
      <w:r>
        <w:rPr>
          <w:rFonts w:hint="eastAsia" w:ascii="仿宋" w:hAnsi="仿宋" w:eastAsia="仿宋" w:cs="宋体"/>
          <w:color w:val="000000" w:themeColor="text1"/>
          <w:sz w:val="24"/>
          <w:szCs w:val="24"/>
          <w:highlight w:val="none"/>
        </w:rPr>
        <w:t>33.2</w:t>
      </w:r>
      <w:r>
        <w:rPr>
          <w:rFonts w:hint="eastAsia" w:ascii="仿宋" w:hAnsi="仿宋" w:eastAsia="仿宋"/>
          <w:color w:val="000000" w:themeColor="text1"/>
          <w:sz w:val="24"/>
          <w:highlight w:val="none"/>
        </w:rPr>
        <w:t>中标人应当以支票、汇票、本票或者金融机构、担保机构出具的保函等非现金形式提交。中标人在履行完合同约定事项后，采购人应及时退还履约保证金。履约保证金不计息。</w:t>
      </w:r>
    </w:p>
    <w:p w14:paraId="63489FC7">
      <w:pPr>
        <w:spacing w:line="300" w:lineRule="auto"/>
        <w:ind w:firstLine="480" w:firstLineChars="200"/>
        <w:rPr>
          <w:rFonts w:hint="eastAsia" w:ascii="仿宋" w:hAnsi="仿宋" w:eastAsia="仿宋"/>
          <w:color w:val="000000" w:themeColor="text1"/>
          <w:sz w:val="24"/>
          <w:highlight w:val="none"/>
        </w:rPr>
      </w:pPr>
      <w:r>
        <w:rPr>
          <w:rFonts w:hint="eastAsia" w:ascii="仿宋" w:hAnsi="仿宋" w:eastAsia="仿宋" w:cs="宋体"/>
          <w:color w:val="000000" w:themeColor="text1"/>
          <w:sz w:val="24"/>
          <w:szCs w:val="24"/>
          <w:highlight w:val="none"/>
        </w:rPr>
        <w:t>33.3签订合同后，如中标人不按双方合同约定履约，则没收其全部履约保证金，履约保证金不足以赔偿损失的，按实际损失赔偿</w:t>
      </w:r>
      <w:r>
        <w:rPr>
          <w:rFonts w:hint="eastAsia" w:ascii="仿宋" w:hAnsi="仿宋" w:eastAsia="仿宋"/>
          <w:color w:val="000000" w:themeColor="text1"/>
          <w:sz w:val="24"/>
          <w:highlight w:val="none"/>
        </w:rPr>
        <w:t>。</w:t>
      </w:r>
    </w:p>
    <w:p w14:paraId="7E51606D">
      <w:pPr>
        <w:snapToGrid w:val="0"/>
        <w:spacing w:line="300" w:lineRule="auto"/>
        <w:ind w:firstLine="472" w:firstLineChars="196"/>
        <w:rPr>
          <w:rFonts w:hint="eastAsia" w:ascii="仿宋" w:hAnsi="仿宋" w:eastAsia="仿宋"/>
          <w:b/>
          <w:bCs/>
          <w:color w:val="000000" w:themeColor="text1"/>
          <w:sz w:val="24"/>
          <w:highlight w:val="none"/>
        </w:rPr>
      </w:pPr>
      <w:r>
        <w:rPr>
          <w:rFonts w:hint="eastAsia" w:ascii="仿宋" w:hAnsi="仿宋" w:eastAsia="仿宋"/>
          <w:b/>
          <w:bCs/>
          <w:color w:val="000000" w:themeColor="text1"/>
          <w:sz w:val="24"/>
          <w:highlight w:val="none"/>
        </w:rPr>
        <w:t>34.合同备案</w:t>
      </w:r>
    </w:p>
    <w:p w14:paraId="5E1B49CB">
      <w:pPr>
        <w:spacing w:line="300" w:lineRule="auto"/>
        <w:ind w:firstLine="480" w:firstLineChars="200"/>
        <w:rPr>
          <w:rFonts w:hint="eastAsia" w:ascii="仿宋" w:hAnsi="仿宋" w:eastAsia="仿宋"/>
          <w:color w:val="000000" w:themeColor="text1"/>
          <w:sz w:val="24"/>
          <w:highlight w:val="none"/>
        </w:rPr>
      </w:pPr>
      <w:r>
        <w:rPr>
          <w:rFonts w:hint="eastAsia" w:ascii="仿宋" w:hAnsi="仿宋" w:eastAsia="仿宋" w:cs="宋体"/>
          <w:color w:val="000000" w:themeColor="text1"/>
          <w:sz w:val="24"/>
          <w:szCs w:val="24"/>
          <w:highlight w:val="none"/>
        </w:rPr>
        <w:t>采购单位应当自采购合同签订之日起七个工作日内，按照有关规定将采购合同送至采购代理机构进行备案。</w:t>
      </w:r>
    </w:p>
    <w:p w14:paraId="36C18850">
      <w:pPr>
        <w:pStyle w:val="3"/>
        <w:spacing w:before="156" w:beforeLines="50" w:after="156" w:afterLines="50" w:line="360" w:lineRule="exact"/>
        <w:jc w:val="center"/>
        <w:rPr>
          <w:rFonts w:hint="eastAsia" w:ascii="仿宋" w:hAnsi="仿宋" w:eastAsia="仿宋"/>
          <w:color w:val="000000" w:themeColor="text1"/>
          <w:highlight w:val="none"/>
        </w:rPr>
      </w:pPr>
      <w:bookmarkStart w:id="10" w:name="_Toc339459646"/>
      <w:bookmarkStart w:id="11" w:name="_Toc352165696"/>
      <w:bookmarkStart w:id="12" w:name="_Toc125344511"/>
      <w:r>
        <w:rPr>
          <w:rFonts w:hint="eastAsia" w:ascii="仿宋" w:hAnsi="仿宋" w:eastAsia="仿宋"/>
          <w:color w:val="000000" w:themeColor="text1"/>
          <w:highlight w:val="none"/>
        </w:rPr>
        <w:t>八、不良行为记录</w:t>
      </w:r>
      <w:bookmarkEnd w:id="10"/>
      <w:bookmarkEnd w:id="11"/>
    </w:p>
    <w:p w14:paraId="20E93417">
      <w:pPr>
        <w:spacing w:line="300" w:lineRule="auto"/>
        <w:ind w:firstLine="480" w:firstLineChars="200"/>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投标人在采购活动中出现下列违规行为的将记入采购单位招投标管理部门采购不良行为记录，并在记录时限内暂停其在采购单位的采购交易资格，同时不良行为在</w:t>
      </w:r>
      <w:r>
        <w:rPr>
          <w:rFonts w:hint="eastAsia" w:ascii="仿宋" w:hAnsi="仿宋" w:eastAsia="仿宋"/>
          <w:color w:val="auto"/>
          <w:sz w:val="24"/>
          <w:highlight w:val="none"/>
        </w:rPr>
        <w:t>诸暨市公共资源交易中心网站</w:t>
      </w:r>
      <w:r>
        <w:rPr>
          <w:rFonts w:hint="eastAsia" w:ascii="仿宋" w:hAnsi="仿宋" w:eastAsia="仿宋"/>
          <w:color w:val="000000" w:themeColor="text1"/>
          <w:sz w:val="24"/>
          <w:highlight w:val="none"/>
        </w:rPr>
        <w:t>公示。</w:t>
      </w:r>
    </w:p>
    <w:tbl>
      <w:tblPr>
        <w:tblStyle w:val="49"/>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7796"/>
        <w:gridCol w:w="1260"/>
      </w:tblGrid>
      <w:tr w14:paraId="0923F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97" w:type="dxa"/>
            <w:vAlign w:val="center"/>
          </w:tcPr>
          <w:p w14:paraId="6B6E8AEF">
            <w:pPr>
              <w:jc w:val="center"/>
              <w:rPr>
                <w:rFonts w:hint="eastAsia" w:ascii="仿宋" w:hAnsi="仿宋" w:eastAsia="仿宋"/>
                <w:b/>
                <w:bCs/>
                <w:color w:val="000000" w:themeColor="text1"/>
                <w:sz w:val="24"/>
                <w:highlight w:val="none"/>
              </w:rPr>
            </w:pPr>
            <w:r>
              <w:rPr>
                <w:rFonts w:hint="eastAsia" w:ascii="仿宋" w:hAnsi="仿宋" w:eastAsia="仿宋"/>
                <w:b/>
                <w:bCs/>
                <w:color w:val="000000" w:themeColor="text1"/>
                <w:sz w:val="24"/>
                <w:highlight w:val="none"/>
              </w:rPr>
              <w:t>序号</w:t>
            </w:r>
          </w:p>
        </w:tc>
        <w:tc>
          <w:tcPr>
            <w:tcW w:w="7796" w:type="dxa"/>
            <w:vAlign w:val="center"/>
          </w:tcPr>
          <w:p w14:paraId="50D4A92A">
            <w:pPr>
              <w:jc w:val="center"/>
              <w:rPr>
                <w:rFonts w:hint="eastAsia" w:ascii="仿宋" w:hAnsi="仿宋" w:eastAsia="仿宋"/>
                <w:b/>
                <w:bCs/>
                <w:color w:val="000000" w:themeColor="text1"/>
                <w:sz w:val="24"/>
                <w:highlight w:val="none"/>
              </w:rPr>
            </w:pPr>
            <w:r>
              <w:rPr>
                <w:rFonts w:hint="eastAsia" w:ascii="仿宋" w:hAnsi="仿宋" w:eastAsia="仿宋"/>
                <w:b/>
                <w:bCs/>
                <w:color w:val="000000" w:themeColor="text1"/>
                <w:sz w:val="24"/>
                <w:highlight w:val="none"/>
              </w:rPr>
              <w:t>不良行为</w:t>
            </w:r>
          </w:p>
        </w:tc>
        <w:tc>
          <w:tcPr>
            <w:tcW w:w="1260" w:type="dxa"/>
            <w:vAlign w:val="center"/>
          </w:tcPr>
          <w:p w14:paraId="40D12157">
            <w:pPr>
              <w:jc w:val="center"/>
              <w:rPr>
                <w:rFonts w:hint="eastAsia" w:ascii="仿宋" w:hAnsi="仿宋" w:eastAsia="仿宋"/>
                <w:b/>
                <w:bCs/>
                <w:color w:val="000000" w:themeColor="text1"/>
                <w:sz w:val="24"/>
                <w:highlight w:val="none"/>
              </w:rPr>
            </w:pPr>
            <w:r>
              <w:rPr>
                <w:rFonts w:hint="eastAsia" w:ascii="仿宋" w:hAnsi="仿宋" w:eastAsia="仿宋"/>
                <w:b/>
                <w:bCs/>
                <w:color w:val="000000" w:themeColor="text1"/>
                <w:sz w:val="24"/>
                <w:highlight w:val="none"/>
              </w:rPr>
              <w:t>记录时限</w:t>
            </w:r>
          </w:p>
        </w:tc>
      </w:tr>
      <w:tr w14:paraId="69405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7" w:type="dxa"/>
            <w:vAlign w:val="center"/>
          </w:tcPr>
          <w:p w14:paraId="063E7335">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1</w:t>
            </w:r>
          </w:p>
        </w:tc>
        <w:tc>
          <w:tcPr>
            <w:tcW w:w="7796" w:type="dxa"/>
            <w:vAlign w:val="center"/>
          </w:tcPr>
          <w:p w14:paraId="0918EFBD">
            <w:pPr>
              <w:autoSpaceDE/>
              <w:autoSpaceDN/>
              <w:adjustRightInd/>
              <w:spacing w:line="300" w:lineRule="auto"/>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在招标采购过程中，与采购人进行协商谈判的</w:t>
            </w:r>
          </w:p>
        </w:tc>
        <w:tc>
          <w:tcPr>
            <w:tcW w:w="1260" w:type="dxa"/>
            <w:vAlign w:val="center"/>
          </w:tcPr>
          <w:p w14:paraId="2A034936">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6个月</w:t>
            </w:r>
          </w:p>
        </w:tc>
      </w:tr>
      <w:tr w14:paraId="51AA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7" w:type="dxa"/>
            <w:vAlign w:val="center"/>
          </w:tcPr>
          <w:p w14:paraId="5856EBC9">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2</w:t>
            </w:r>
          </w:p>
        </w:tc>
        <w:tc>
          <w:tcPr>
            <w:tcW w:w="7796" w:type="dxa"/>
            <w:vAlign w:val="center"/>
          </w:tcPr>
          <w:p w14:paraId="7428B058">
            <w:pPr>
              <w:autoSpaceDE/>
              <w:autoSpaceDN/>
              <w:adjustRightInd/>
              <w:spacing w:line="300" w:lineRule="auto"/>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投标有效期内撤回其投标文件的</w:t>
            </w:r>
          </w:p>
        </w:tc>
        <w:tc>
          <w:tcPr>
            <w:tcW w:w="1260" w:type="dxa"/>
            <w:vAlign w:val="center"/>
          </w:tcPr>
          <w:p w14:paraId="00CF525E">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6个月</w:t>
            </w:r>
          </w:p>
        </w:tc>
      </w:tr>
      <w:tr w14:paraId="68EDF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7" w:type="dxa"/>
            <w:vAlign w:val="center"/>
          </w:tcPr>
          <w:p w14:paraId="601B4F19">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3</w:t>
            </w:r>
          </w:p>
        </w:tc>
        <w:tc>
          <w:tcPr>
            <w:tcW w:w="7796" w:type="dxa"/>
            <w:vAlign w:val="center"/>
          </w:tcPr>
          <w:p w14:paraId="68F64A4C">
            <w:pPr>
              <w:autoSpaceDE/>
              <w:autoSpaceDN/>
              <w:adjustRightInd/>
              <w:spacing w:line="300" w:lineRule="auto"/>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拒绝有关部门监督检查的</w:t>
            </w:r>
          </w:p>
        </w:tc>
        <w:tc>
          <w:tcPr>
            <w:tcW w:w="1260" w:type="dxa"/>
            <w:vAlign w:val="center"/>
          </w:tcPr>
          <w:p w14:paraId="2AC48E10">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6个月</w:t>
            </w:r>
          </w:p>
        </w:tc>
      </w:tr>
      <w:tr w14:paraId="108EE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7" w:type="dxa"/>
            <w:vAlign w:val="center"/>
          </w:tcPr>
          <w:p w14:paraId="1B585A3B">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4</w:t>
            </w:r>
          </w:p>
        </w:tc>
        <w:tc>
          <w:tcPr>
            <w:tcW w:w="7796" w:type="dxa"/>
            <w:vAlign w:val="center"/>
          </w:tcPr>
          <w:p w14:paraId="0A84A284">
            <w:pPr>
              <w:autoSpaceDE/>
              <w:autoSpaceDN/>
              <w:adjustRightInd/>
              <w:spacing w:line="300" w:lineRule="auto"/>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不积极配合采购人做好标的验收工作的</w:t>
            </w:r>
          </w:p>
        </w:tc>
        <w:tc>
          <w:tcPr>
            <w:tcW w:w="1260" w:type="dxa"/>
            <w:vAlign w:val="center"/>
          </w:tcPr>
          <w:p w14:paraId="53E9DEEA">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6个月</w:t>
            </w:r>
          </w:p>
        </w:tc>
      </w:tr>
      <w:tr w14:paraId="163D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7" w:type="dxa"/>
            <w:vAlign w:val="center"/>
          </w:tcPr>
          <w:p w14:paraId="15D7E05C">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5</w:t>
            </w:r>
          </w:p>
        </w:tc>
        <w:tc>
          <w:tcPr>
            <w:tcW w:w="7796" w:type="dxa"/>
            <w:vAlign w:val="center"/>
          </w:tcPr>
          <w:p w14:paraId="020A0036">
            <w:pPr>
              <w:autoSpaceDE/>
              <w:autoSpaceDN/>
              <w:adjustRightInd/>
              <w:spacing w:line="300" w:lineRule="auto"/>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在有关部门的监督检查或考核中被通报批评或处以警告及以上处罚的</w:t>
            </w:r>
          </w:p>
        </w:tc>
        <w:tc>
          <w:tcPr>
            <w:tcW w:w="1260" w:type="dxa"/>
            <w:vAlign w:val="center"/>
          </w:tcPr>
          <w:p w14:paraId="375C55DD">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6个月</w:t>
            </w:r>
          </w:p>
        </w:tc>
      </w:tr>
      <w:tr w14:paraId="202AC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7" w:type="dxa"/>
            <w:vAlign w:val="center"/>
          </w:tcPr>
          <w:p w14:paraId="0C78470B">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6</w:t>
            </w:r>
          </w:p>
        </w:tc>
        <w:tc>
          <w:tcPr>
            <w:tcW w:w="7796" w:type="dxa"/>
            <w:vAlign w:val="center"/>
          </w:tcPr>
          <w:p w14:paraId="17266A98">
            <w:pPr>
              <w:autoSpaceDE/>
              <w:autoSpaceDN/>
              <w:adjustRightInd/>
              <w:spacing w:line="300" w:lineRule="auto"/>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不遵守投标会场纪律，无理取闹，扰乱交易秩序的</w:t>
            </w:r>
          </w:p>
        </w:tc>
        <w:tc>
          <w:tcPr>
            <w:tcW w:w="1260" w:type="dxa"/>
            <w:vAlign w:val="center"/>
          </w:tcPr>
          <w:p w14:paraId="0D8B65D5">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1年</w:t>
            </w:r>
          </w:p>
        </w:tc>
      </w:tr>
      <w:tr w14:paraId="1498A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97" w:type="dxa"/>
            <w:vAlign w:val="center"/>
          </w:tcPr>
          <w:p w14:paraId="6130C48E">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7</w:t>
            </w:r>
          </w:p>
        </w:tc>
        <w:tc>
          <w:tcPr>
            <w:tcW w:w="7796" w:type="dxa"/>
            <w:vAlign w:val="center"/>
          </w:tcPr>
          <w:p w14:paraId="7820FE35">
            <w:pPr>
              <w:autoSpaceDE/>
              <w:autoSpaceDN/>
              <w:adjustRightInd/>
              <w:spacing w:line="300" w:lineRule="auto"/>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中标后无正当理由放弃中标，或在规定时间内不与采购人签订采购合同，或在签订合同时提出附加条件或更改合同实质性内容，或拒不提交所要求的履约保证金的</w:t>
            </w:r>
          </w:p>
        </w:tc>
        <w:tc>
          <w:tcPr>
            <w:tcW w:w="1260" w:type="dxa"/>
            <w:vAlign w:val="center"/>
          </w:tcPr>
          <w:p w14:paraId="72060B3E">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1年</w:t>
            </w:r>
          </w:p>
        </w:tc>
      </w:tr>
      <w:tr w14:paraId="3801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97" w:type="dxa"/>
            <w:vAlign w:val="center"/>
          </w:tcPr>
          <w:p w14:paraId="0A1456F4">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8</w:t>
            </w:r>
          </w:p>
        </w:tc>
        <w:tc>
          <w:tcPr>
            <w:tcW w:w="7796" w:type="dxa"/>
            <w:vAlign w:val="center"/>
          </w:tcPr>
          <w:p w14:paraId="69EAE0E6">
            <w:pPr>
              <w:autoSpaceDE/>
              <w:autoSpaceDN/>
              <w:adjustRightInd/>
              <w:spacing w:line="300" w:lineRule="auto"/>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虚假投诉、恶意投诉和不按程序、规定时间进行质疑投诉而影响采购工作正常进行或造成不良影响的</w:t>
            </w:r>
          </w:p>
        </w:tc>
        <w:tc>
          <w:tcPr>
            <w:tcW w:w="1260" w:type="dxa"/>
            <w:vAlign w:val="center"/>
          </w:tcPr>
          <w:p w14:paraId="769FAF10">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1年</w:t>
            </w:r>
          </w:p>
        </w:tc>
      </w:tr>
      <w:tr w14:paraId="5EE7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97" w:type="dxa"/>
            <w:vAlign w:val="center"/>
          </w:tcPr>
          <w:p w14:paraId="68A1A616">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9</w:t>
            </w:r>
          </w:p>
        </w:tc>
        <w:tc>
          <w:tcPr>
            <w:tcW w:w="7796" w:type="dxa"/>
            <w:vAlign w:val="center"/>
          </w:tcPr>
          <w:p w14:paraId="46EF67A4">
            <w:pPr>
              <w:autoSpaceDE/>
              <w:autoSpaceDN/>
              <w:adjustRightInd/>
              <w:spacing w:line="300" w:lineRule="auto"/>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不按照与采购人订立的合同履行义务（包括提供标的、售后服务、技术支持等），严重违反合同规定和廉政合同要求的</w:t>
            </w:r>
          </w:p>
        </w:tc>
        <w:tc>
          <w:tcPr>
            <w:tcW w:w="1260" w:type="dxa"/>
            <w:vAlign w:val="center"/>
          </w:tcPr>
          <w:p w14:paraId="06873D47">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1年</w:t>
            </w:r>
          </w:p>
        </w:tc>
      </w:tr>
      <w:tr w14:paraId="7AB37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97" w:type="dxa"/>
            <w:vAlign w:val="center"/>
          </w:tcPr>
          <w:p w14:paraId="49BA5355">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10</w:t>
            </w:r>
          </w:p>
        </w:tc>
        <w:tc>
          <w:tcPr>
            <w:tcW w:w="7796" w:type="dxa"/>
            <w:vAlign w:val="center"/>
          </w:tcPr>
          <w:p w14:paraId="237851CD">
            <w:pPr>
              <w:autoSpaceDE/>
              <w:autoSpaceDN/>
              <w:adjustRightInd/>
              <w:spacing w:line="300" w:lineRule="auto"/>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项目负责人不到位，或擅自变换项目负责人，或不认真履行职责造成采购人损失的</w:t>
            </w:r>
          </w:p>
        </w:tc>
        <w:tc>
          <w:tcPr>
            <w:tcW w:w="1260" w:type="dxa"/>
            <w:vAlign w:val="center"/>
          </w:tcPr>
          <w:p w14:paraId="4542AA38">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1年</w:t>
            </w:r>
          </w:p>
        </w:tc>
      </w:tr>
      <w:tr w14:paraId="37870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97" w:type="dxa"/>
            <w:vAlign w:val="center"/>
          </w:tcPr>
          <w:p w14:paraId="1A65ED9C">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11</w:t>
            </w:r>
          </w:p>
        </w:tc>
        <w:tc>
          <w:tcPr>
            <w:tcW w:w="7796" w:type="dxa"/>
            <w:vAlign w:val="center"/>
          </w:tcPr>
          <w:p w14:paraId="71121147">
            <w:pPr>
              <w:autoSpaceDE/>
              <w:autoSpaceDN/>
              <w:adjustRightInd/>
              <w:spacing w:line="300" w:lineRule="auto"/>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发生经营状况重大变化以及重要担保、重大合同纠纷或诉讼、信用等级和资质变化等可能影响履约能力的重大事项，未及时向采购人提供书面报告，因而造成采购人损失的</w:t>
            </w:r>
          </w:p>
        </w:tc>
        <w:tc>
          <w:tcPr>
            <w:tcW w:w="1260" w:type="dxa"/>
            <w:vAlign w:val="center"/>
          </w:tcPr>
          <w:p w14:paraId="1FEA61D1">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1年</w:t>
            </w:r>
          </w:p>
        </w:tc>
      </w:tr>
      <w:tr w14:paraId="49A71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7" w:type="dxa"/>
            <w:vAlign w:val="center"/>
          </w:tcPr>
          <w:p w14:paraId="2B4FF2BF">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12</w:t>
            </w:r>
          </w:p>
        </w:tc>
        <w:tc>
          <w:tcPr>
            <w:tcW w:w="7796" w:type="dxa"/>
            <w:vAlign w:val="center"/>
          </w:tcPr>
          <w:p w14:paraId="00A3E097">
            <w:pPr>
              <w:autoSpaceDE/>
              <w:autoSpaceDN/>
              <w:adjustRightInd/>
              <w:spacing w:line="300" w:lineRule="auto"/>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与采购人、其他供应商或者采购代理机构相互串通的</w:t>
            </w:r>
          </w:p>
        </w:tc>
        <w:tc>
          <w:tcPr>
            <w:tcW w:w="1260" w:type="dxa"/>
            <w:vAlign w:val="center"/>
          </w:tcPr>
          <w:p w14:paraId="14FCEDA2">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2年</w:t>
            </w:r>
          </w:p>
        </w:tc>
      </w:tr>
      <w:tr w14:paraId="6A9F1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7" w:type="dxa"/>
            <w:vAlign w:val="center"/>
          </w:tcPr>
          <w:p w14:paraId="07CDF399">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13</w:t>
            </w:r>
          </w:p>
        </w:tc>
        <w:tc>
          <w:tcPr>
            <w:tcW w:w="7796" w:type="dxa"/>
            <w:vAlign w:val="center"/>
          </w:tcPr>
          <w:p w14:paraId="220622FB">
            <w:pPr>
              <w:autoSpaceDE/>
              <w:autoSpaceDN/>
              <w:adjustRightInd/>
              <w:spacing w:line="300" w:lineRule="auto"/>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采取不正当手段排挤其他供应商，进行不公平竞争的</w:t>
            </w:r>
          </w:p>
        </w:tc>
        <w:tc>
          <w:tcPr>
            <w:tcW w:w="1260" w:type="dxa"/>
            <w:vAlign w:val="center"/>
          </w:tcPr>
          <w:p w14:paraId="2AD0F65B">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2年</w:t>
            </w:r>
          </w:p>
        </w:tc>
      </w:tr>
      <w:tr w14:paraId="1BC0C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7" w:type="dxa"/>
            <w:vAlign w:val="center"/>
          </w:tcPr>
          <w:p w14:paraId="2B5177BA">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14</w:t>
            </w:r>
          </w:p>
        </w:tc>
        <w:tc>
          <w:tcPr>
            <w:tcW w:w="7796" w:type="dxa"/>
            <w:vAlign w:val="center"/>
          </w:tcPr>
          <w:p w14:paraId="0AE8B32A">
            <w:pPr>
              <w:autoSpaceDE/>
              <w:autoSpaceDN/>
              <w:adjustRightInd/>
              <w:spacing w:line="300" w:lineRule="auto"/>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中标后与采购人另行订立背离合同实质内容的协议的</w:t>
            </w:r>
          </w:p>
        </w:tc>
        <w:tc>
          <w:tcPr>
            <w:tcW w:w="1260" w:type="dxa"/>
            <w:vAlign w:val="center"/>
          </w:tcPr>
          <w:p w14:paraId="77E4A63C">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2年</w:t>
            </w:r>
          </w:p>
        </w:tc>
      </w:tr>
      <w:tr w14:paraId="174F8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7" w:type="dxa"/>
            <w:vAlign w:val="center"/>
          </w:tcPr>
          <w:p w14:paraId="57AAD48D">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15</w:t>
            </w:r>
          </w:p>
        </w:tc>
        <w:tc>
          <w:tcPr>
            <w:tcW w:w="7796" w:type="dxa"/>
            <w:vAlign w:val="center"/>
          </w:tcPr>
          <w:p w14:paraId="1A44336F">
            <w:pPr>
              <w:autoSpaceDE/>
              <w:autoSpaceDN/>
              <w:adjustRightInd/>
              <w:spacing w:line="300" w:lineRule="auto"/>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事先有承诺，而事后违反承诺内容的</w:t>
            </w:r>
          </w:p>
        </w:tc>
        <w:tc>
          <w:tcPr>
            <w:tcW w:w="1260" w:type="dxa"/>
            <w:vAlign w:val="center"/>
          </w:tcPr>
          <w:p w14:paraId="5CEFB928">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2年</w:t>
            </w:r>
          </w:p>
        </w:tc>
      </w:tr>
      <w:tr w14:paraId="1A9BE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7" w:type="dxa"/>
            <w:vAlign w:val="center"/>
          </w:tcPr>
          <w:p w14:paraId="06E2DB91">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16</w:t>
            </w:r>
          </w:p>
        </w:tc>
        <w:tc>
          <w:tcPr>
            <w:tcW w:w="7796" w:type="dxa"/>
            <w:vAlign w:val="center"/>
          </w:tcPr>
          <w:p w14:paraId="5AF4E73E">
            <w:pPr>
              <w:autoSpaceDE/>
              <w:autoSpaceDN/>
              <w:adjustRightInd/>
              <w:spacing w:line="300" w:lineRule="auto"/>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将中标项目转包或违反规定进行分包的</w:t>
            </w:r>
          </w:p>
        </w:tc>
        <w:tc>
          <w:tcPr>
            <w:tcW w:w="1260" w:type="dxa"/>
            <w:vAlign w:val="center"/>
          </w:tcPr>
          <w:p w14:paraId="1D153243">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2年</w:t>
            </w:r>
          </w:p>
        </w:tc>
      </w:tr>
      <w:tr w14:paraId="1CE94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7" w:type="dxa"/>
            <w:vAlign w:val="center"/>
          </w:tcPr>
          <w:p w14:paraId="3D1581D1">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17</w:t>
            </w:r>
          </w:p>
        </w:tc>
        <w:tc>
          <w:tcPr>
            <w:tcW w:w="7796" w:type="dxa"/>
            <w:vAlign w:val="center"/>
          </w:tcPr>
          <w:p w14:paraId="4BB422F8">
            <w:pPr>
              <w:autoSpaceDE/>
              <w:autoSpaceDN/>
              <w:adjustRightInd/>
              <w:spacing w:line="300" w:lineRule="auto"/>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提供虚假资料谋取中标的</w:t>
            </w:r>
          </w:p>
        </w:tc>
        <w:tc>
          <w:tcPr>
            <w:tcW w:w="1260" w:type="dxa"/>
            <w:vAlign w:val="center"/>
          </w:tcPr>
          <w:p w14:paraId="5F9734AB">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3年</w:t>
            </w:r>
          </w:p>
        </w:tc>
      </w:tr>
      <w:tr w14:paraId="27F6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7" w:type="dxa"/>
            <w:vAlign w:val="center"/>
          </w:tcPr>
          <w:p w14:paraId="09B8B77D">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18</w:t>
            </w:r>
          </w:p>
        </w:tc>
        <w:tc>
          <w:tcPr>
            <w:tcW w:w="7796" w:type="dxa"/>
            <w:vAlign w:val="center"/>
          </w:tcPr>
          <w:p w14:paraId="411BC740">
            <w:pPr>
              <w:autoSpaceDE/>
              <w:autoSpaceDN/>
              <w:adjustRightInd/>
              <w:spacing w:line="300" w:lineRule="auto"/>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以他人名义投标或允许他人以自己名义投标，或者以其他方式弄虚作假的</w:t>
            </w:r>
          </w:p>
        </w:tc>
        <w:tc>
          <w:tcPr>
            <w:tcW w:w="1260" w:type="dxa"/>
            <w:vAlign w:val="center"/>
          </w:tcPr>
          <w:p w14:paraId="4DDD9A03">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3年</w:t>
            </w:r>
          </w:p>
        </w:tc>
      </w:tr>
      <w:tr w14:paraId="053CA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7" w:type="dxa"/>
            <w:vAlign w:val="center"/>
          </w:tcPr>
          <w:p w14:paraId="7F97B968">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19</w:t>
            </w:r>
          </w:p>
        </w:tc>
        <w:tc>
          <w:tcPr>
            <w:tcW w:w="7796" w:type="dxa"/>
            <w:vAlign w:val="center"/>
          </w:tcPr>
          <w:p w14:paraId="01199BAB">
            <w:pPr>
              <w:autoSpaceDE/>
              <w:autoSpaceDN/>
              <w:adjustRightInd/>
              <w:spacing w:line="300" w:lineRule="auto"/>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未按照采购合同约定及时提供全部货物的，或无故拖延工期的</w:t>
            </w:r>
          </w:p>
        </w:tc>
        <w:tc>
          <w:tcPr>
            <w:tcW w:w="1260" w:type="dxa"/>
            <w:vAlign w:val="center"/>
          </w:tcPr>
          <w:p w14:paraId="6266BC28">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3年</w:t>
            </w:r>
          </w:p>
        </w:tc>
      </w:tr>
      <w:tr w14:paraId="7201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vAlign w:val="center"/>
          </w:tcPr>
          <w:p w14:paraId="1516CCC4">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20</w:t>
            </w:r>
          </w:p>
        </w:tc>
        <w:tc>
          <w:tcPr>
            <w:tcW w:w="7796" w:type="dxa"/>
            <w:vAlign w:val="center"/>
          </w:tcPr>
          <w:p w14:paraId="4DF0661F">
            <w:pPr>
              <w:autoSpaceDE/>
              <w:autoSpaceDN/>
              <w:adjustRightInd/>
              <w:spacing w:line="300" w:lineRule="auto"/>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无故不提供中标要求的型号、配置等产品的，或有拆换、调换、截留产品零部件和备品备件的行为的</w:t>
            </w:r>
          </w:p>
        </w:tc>
        <w:tc>
          <w:tcPr>
            <w:tcW w:w="1260" w:type="dxa"/>
            <w:vAlign w:val="center"/>
          </w:tcPr>
          <w:p w14:paraId="45EE7E51">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3年</w:t>
            </w:r>
          </w:p>
        </w:tc>
      </w:tr>
      <w:tr w14:paraId="038D3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97" w:type="dxa"/>
            <w:vAlign w:val="center"/>
          </w:tcPr>
          <w:p w14:paraId="0E3DA067">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21</w:t>
            </w:r>
          </w:p>
        </w:tc>
        <w:tc>
          <w:tcPr>
            <w:tcW w:w="7796" w:type="dxa"/>
            <w:vAlign w:val="center"/>
          </w:tcPr>
          <w:p w14:paraId="266D9E1B">
            <w:pPr>
              <w:autoSpaceDE/>
              <w:autoSpaceDN/>
              <w:adjustRightInd/>
              <w:spacing w:line="300" w:lineRule="auto"/>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为获取自身利益，向采购人及其他有利害关系的单位或个人提供不正当利益的</w:t>
            </w:r>
          </w:p>
        </w:tc>
        <w:tc>
          <w:tcPr>
            <w:tcW w:w="1260" w:type="dxa"/>
            <w:vAlign w:val="center"/>
          </w:tcPr>
          <w:p w14:paraId="20C7DCD3">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3年</w:t>
            </w:r>
          </w:p>
        </w:tc>
      </w:tr>
      <w:tr w14:paraId="1FA36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7" w:type="dxa"/>
            <w:vAlign w:val="center"/>
          </w:tcPr>
          <w:p w14:paraId="41665EFC">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22</w:t>
            </w:r>
          </w:p>
        </w:tc>
        <w:tc>
          <w:tcPr>
            <w:tcW w:w="7796" w:type="dxa"/>
            <w:vAlign w:val="center"/>
          </w:tcPr>
          <w:p w14:paraId="2177B327">
            <w:pPr>
              <w:autoSpaceDE/>
              <w:autoSpaceDN/>
              <w:adjustRightInd/>
              <w:spacing w:line="300" w:lineRule="auto"/>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提供假冒伪劣产品或走私物品的</w:t>
            </w:r>
          </w:p>
        </w:tc>
        <w:tc>
          <w:tcPr>
            <w:tcW w:w="1260" w:type="dxa"/>
            <w:vAlign w:val="center"/>
          </w:tcPr>
          <w:p w14:paraId="1685971C">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5年</w:t>
            </w:r>
          </w:p>
        </w:tc>
      </w:tr>
      <w:tr w14:paraId="760CA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7" w:type="dxa"/>
            <w:vAlign w:val="center"/>
          </w:tcPr>
          <w:p w14:paraId="4F44CB6B">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23</w:t>
            </w:r>
          </w:p>
        </w:tc>
        <w:tc>
          <w:tcPr>
            <w:tcW w:w="7796" w:type="dxa"/>
            <w:vAlign w:val="center"/>
          </w:tcPr>
          <w:p w14:paraId="067BD383">
            <w:pPr>
              <w:autoSpaceDE/>
              <w:autoSpaceDN/>
              <w:adjustRightInd/>
              <w:spacing w:line="300" w:lineRule="auto"/>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擅自变更、中止、终止或解除采购合同的</w:t>
            </w:r>
          </w:p>
        </w:tc>
        <w:tc>
          <w:tcPr>
            <w:tcW w:w="1260" w:type="dxa"/>
            <w:vAlign w:val="center"/>
          </w:tcPr>
          <w:p w14:paraId="726A53F0">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5年</w:t>
            </w:r>
          </w:p>
        </w:tc>
      </w:tr>
      <w:tr w14:paraId="4498D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7" w:type="dxa"/>
            <w:vAlign w:val="center"/>
          </w:tcPr>
          <w:p w14:paraId="3E7EC447">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24</w:t>
            </w:r>
          </w:p>
        </w:tc>
        <w:tc>
          <w:tcPr>
            <w:tcW w:w="7796" w:type="dxa"/>
            <w:vAlign w:val="center"/>
          </w:tcPr>
          <w:p w14:paraId="689268FD">
            <w:pPr>
              <w:autoSpaceDE/>
              <w:autoSpaceDN/>
              <w:adjustRightInd/>
              <w:spacing w:line="300" w:lineRule="auto"/>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向有关人员行贿或者提供不正当利益谋取中标的</w:t>
            </w:r>
          </w:p>
        </w:tc>
        <w:tc>
          <w:tcPr>
            <w:tcW w:w="1260" w:type="dxa"/>
            <w:vAlign w:val="center"/>
          </w:tcPr>
          <w:p w14:paraId="2C3A8AF7">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5年</w:t>
            </w:r>
          </w:p>
        </w:tc>
      </w:tr>
      <w:tr w14:paraId="773AA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97" w:type="dxa"/>
            <w:vAlign w:val="center"/>
          </w:tcPr>
          <w:p w14:paraId="0BC7BCA4">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25</w:t>
            </w:r>
          </w:p>
        </w:tc>
        <w:tc>
          <w:tcPr>
            <w:tcW w:w="7796" w:type="dxa"/>
            <w:vAlign w:val="center"/>
          </w:tcPr>
          <w:p w14:paraId="6F5025A9">
            <w:pPr>
              <w:autoSpaceDE/>
              <w:autoSpaceDN/>
              <w:adjustRightInd/>
              <w:spacing w:line="300" w:lineRule="auto"/>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在采购活动期间，对管理机构、采购人、其他投标人、评标专家、中介机构等采购相关机构和人员，采取诋毁、诽谤、胁迫、暴力等不正当手段的</w:t>
            </w:r>
          </w:p>
        </w:tc>
        <w:tc>
          <w:tcPr>
            <w:tcW w:w="1260" w:type="dxa"/>
            <w:vAlign w:val="center"/>
          </w:tcPr>
          <w:p w14:paraId="628A924E">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5年</w:t>
            </w:r>
          </w:p>
        </w:tc>
      </w:tr>
      <w:tr w14:paraId="7CFA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Align w:val="center"/>
          </w:tcPr>
          <w:p w14:paraId="10A72279">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26</w:t>
            </w:r>
          </w:p>
        </w:tc>
        <w:tc>
          <w:tcPr>
            <w:tcW w:w="7796" w:type="dxa"/>
            <w:vAlign w:val="center"/>
          </w:tcPr>
          <w:p w14:paraId="728E9BD8">
            <w:pPr>
              <w:autoSpaceDE/>
              <w:autoSpaceDN/>
              <w:adjustRightInd/>
              <w:spacing w:line="300" w:lineRule="auto"/>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采购单位招投标管理部门认定的其他违反采购管理的行为</w:t>
            </w:r>
          </w:p>
        </w:tc>
        <w:tc>
          <w:tcPr>
            <w:tcW w:w="1260" w:type="dxa"/>
            <w:vAlign w:val="center"/>
          </w:tcPr>
          <w:p w14:paraId="247BDC9E">
            <w:pPr>
              <w:spacing w:line="300" w:lineRule="auto"/>
              <w:jc w:val="center"/>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酌情处理</w:t>
            </w:r>
          </w:p>
        </w:tc>
      </w:tr>
    </w:tbl>
    <w:p w14:paraId="08FD4F6E">
      <w:pPr>
        <w:pStyle w:val="3"/>
        <w:spacing w:before="156" w:after="156" w:line="240" w:lineRule="auto"/>
        <w:jc w:val="center"/>
        <w:rPr>
          <w:rFonts w:hint="eastAsia" w:ascii="仿宋" w:hAnsi="仿宋" w:eastAsia="仿宋"/>
          <w:color w:val="000000" w:themeColor="text1"/>
          <w:highlight w:val="none"/>
        </w:rPr>
      </w:pPr>
      <w:r>
        <w:rPr>
          <w:rFonts w:hint="eastAsia" w:ascii="仿宋" w:hAnsi="仿宋" w:eastAsia="仿宋"/>
          <w:color w:val="000000" w:themeColor="text1"/>
          <w:highlight w:val="none"/>
        </w:rPr>
        <w:t>九、解释</w:t>
      </w:r>
      <w:bookmarkEnd w:id="12"/>
    </w:p>
    <w:p w14:paraId="2DB7BDBC">
      <w:pPr>
        <w:spacing w:line="300" w:lineRule="auto"/>
        <w:ind w:firstLine="482" w:firstLineChars="200"/>
        <w:rPr>
          <w:rFonts w:hint="eastAsia" w:ascii="宋体" w:hAnsi="宋体"/>
          <w:color w:val="000000" w:themeColor="text1"/>
          <w:sz w:val="24"/>
          <w:highlight w:val="none"/>
        </w:rPr>
      </w:pPr>
      <w:r>
        <w:rPr>
          <w:rFonts w:hint="eastAsia" w:ascii="仿宋" w:hAnsi="仿宋" w:eastAsia="仿宋"/>
          <w:b/>
          <w:bCs/>
          <w:color w:val="000000" w:themeColor="text1"/>
          <w:sz w:val="24"/>
          <w:highlight w:val="none"/>
        </w:rPr>
        <w:t>35.</w:t>
      </w:r>
      <w:r>
        <w:rPr>
          <w:rFonts w:hint="eastAsia" w:ascii="仿宋" w:hAnsi="仿宋" w:eastAsia="仿宋"/>
          <w:color w:val="000000" w:themeColor="text1"/>
          <w:sz w:val="24"/>
          <w:highlight w:val="none"/>
        </w:rPr>
        <w:t>本招标文件的解释权属于采购单位和</w:t>
      </w:r>
      <w:r>
        <w:rPr>
          <w:rFonts w:hint="eastAsia" w:ascii="仿宋" w:hAnsi="仿宋" w:eastAsia="仿宋"/>
          <w:color w:val="000000" w:themeColor="text1"/>
          <w:sz w:val="24"/>
          <w:szCs w:val="24"/>
          <w:highlight w:val="none"/>
        </w:rPr>
        <w:t>浙江新顺项目管理有限公司</w:t>
      </w:r>
      <w:r>
        <w:rPr>
          <w:rFonts w:hint="eastAsia" w:ascii="仿宋" w:hAnsi="仿宋" w:eastAsia="仿宋"/>
          <w:color w:val="000000" w:themeColor="text1"/>
          <w:sz w:val="24"/>
          <w:highlight w:val="none"/>
        </w:rPr>
        <w:t>。</w:t>
      </w:r>
    </w:p>
    <w:p w14:paraId="177BB244">
      <w:pPr>
        <w:ind w:firstLine="480" w:firstLineChars="200"/>
        <w:rPr>
          <w:rFonts w:hint="eastAsia" w:ascii="宋体" w:hAnsi="宋体"/>
          <w:color w:val="000000" w:themeColor="text1"/>
          <w:sz w:val="24"/>
          <w:szCs w:val="24"/>
          <w:highlight w:val="none"/>
        </w:rPr>
        <w:sectPr>
          <w:pgSz w:w="11906" w:h="16838"/>
          <w:pgMar w:top="1021" w:right="1247" w:bottom="1021" w:left="1247" w:header="567" w:footer="454" w:gutter="0"/>
          <w:pgNumType w:fmt="numberInDash"/>
          <w:cols w:space="720" w:num="1"/>
          <w:titlePg/>
          <w:docGrid w:type="lines" w:linePitch="312" w:charSpace="0"/>
        </w:sectPr>
      </w:pPr>
    </w:p>
    <w:p w14:paraId="0748D8DA">
      <w:pPr>
        <w:jc w:val="center"/>
        <w:rPr>
          <w:rFonts w:hint="eastAsia" w:ascii="宋体" w:hAnsi="宋体"/>
          <w:b/>
          <w:color w:val="000000" w:themeColor="text1"/>
          <w:sz w:val="36"/>
          <w:szCs w:val="36"/>
          <w:highlight w:val="none"/>
        </w:rPr>
      </w:pPr>
      <w:r>
        <w:rPr>
          <w:rFonts w:hint="eastAsia" w:ascii="宋体" w:hAnsi="宋体"/>
          <w:b/>
          <w:color w:val="000000" w:themeColor="text1"/>
          <w:sz w:val="36"/>
          <w:szCs w:val="36"/>
          <w:highlight w:val="none"/>
        </w:rPr>
        <w:t>第三章   评标办法及评分标准</w:t>
      </w:r>
    </w:p>
    <w:p w14:paraId="71D07329">
      <w:pPr>
        <w:spacing w:line="300" w:lineRule="auto"/>
        <w:ind w:firstLine="480" w:firstLineChars="200"/>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一、采用</w:t>
      </w:r>
      <w:r>
        <w:rPr>
          <w:rFonts w:hint="eastAsia" w:ascii="仿宋" w:hAnsi="仿宋" w:eastAsia="仿宋"/>
          <w:color w:val="000000" w:themeColor="text1"/>
          <w:sz w:val="24"/>
          <w:szCs w:val="24"/>
          <w:highlight w:val="none"/>
          <w:u w:val="single"/>
        </w:rPr>
        <w:t>　综合评分法　</w:t>
      </w:r>
      <w:r>
        <w:rPr>
          <w:rFonts w:hint="eastAsia" w:ascii="仿宋" w:hAnsi="仿宋" w:eastAsia="仿宋"/>
          <w:color w:val="000000" w:themeColor="text1"/>
          <w:sz w:val="24"/>
          <w:szCs w:val="24"/>
          <w:highlight w:val="none"/>
        </w:rPr>
        <w:t>。即在符合招标文件要求的前提下，择定最高得分者为第一中标候选人，即预中标人。</w:t>
      </w:r>
    </w:p>
    <w:p w14:paraId="6FDBE8DA">
      <w:pPr>
        <w:spacing w:line="300" w:lineRule="auto"/>
        <w:ind w:firstLine="480" w:firstLineChars="200"/>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二、合格投标人的评标得分为各项目汇总得分，中标候选资格按评标得分由高到低顺序排列；得分相同的，按投标报价由低到高顺序排列；得分且投标报价相同的，按评分得分由高到低顺序排列。排名第一的投标人为中标候选人。</w:t>
      </w:r>
      <w:r>
        <w:rPr>
          <w:rFonts w:hint="eastAsia" w:ascii="仿宋" w:hAnsi="仿宋" w:eastAsia="仿宋"/>
          <w:bCs/>
          <w:color w:val="000000" w:themeColor="text1"/>
          <w:sz w:val="24"/>
          <w:szCs w:val="24"/>
          <w:highlight w:val="none"/>
        </w:rPr>
        <w:t>评分过程中采用四舍五入</w:t>
      </w:r>
      <w:r>
        <w:rPr>
          <w:rFonts w:hint="eastAsia" w:ascii="仿宋" w:hAnsi="仿宋" w:eastAsia="仿宋"/>
          <w:color w:val="000000" w:themeColor="text1"/>
          <w:sz w:val="24"/>
          <w:szCs w:val="24"/>
          <w:highlight w:val="none"/>
        </w:rPr>
        <w:t>法，并保留小数2位。</w:t>
      </w:r>
    </w:p>
    <w:p w14:paraId="138AD02B">
      <w:pPr>
        <w:spacing w:line="360" w:lineRule="auto"/>
        <w:ind w:firstLine="480" w:firstLineChars="200"/>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三、</w:t>
      </w:r>
      <w:r>
        <w:rPr>
          <w:rFonts w:ascii="仿宋" w:hAnsi="仿宋" w:eastAsia="仿宋"/>
          <w:color w:val="000000" w:themeColor="text1"/>
          <w:sz w:val="24"/>
          <w:szCs w:val="24"/>
          <w:highlight w:val="none"/>
        </w:rPr>
        <w:t>评分办法</w:t>
      </w:r>
    </w:p>
    <w:p w14:paraId="6FB34A00">
      <w:pPr>
        <w:snapToGrid w:val="0"/>
        <w:spacing w:line="360" w:lineRule="auto"/>
        <w:ind w:firstLine="360" w:firstLineChars="150"/>
        <w:rPr>
          <w:rFonts w:hint="eastAsia" w:ascii="仿宋" w:hAnsi="仿宋" w:eastAsia="仿宋" w:cs="宋体"/>
          <w:sz w:val="24"/>
          <w:highlight w:val="none"/>
        </w:rPr>
      </w:pPr>
      <w:r>
        <w:rPr>
          <w:rFonts w:hint="eastAsia" w:ascii="仿宋" w:hAnsi="仿宋" w:eastAsia="仿宋" w:cs="宋体"/>
          <w:sz w:val="24"/>
          <w:szCs w:val="24"/>
          <w:highlight w:val="none"/>
        </w:rPr>
        <w:t>（1）满分为100分。总得分=商务技术得分+报价得分；</w:t>
      </w:r>
    </w:p>
    <w:p w14:paraId="3784E192">
      <w:pPr>
        <w:snapToGrid w:val="0"/>
        <w:spacing w:line="360" w:lineRule="auto"/>
        <w:ind w:firstLine="360" w:firstLineChars="150"/>
        <w:rPr>
          <w:rFonts w:hint="eastAsia" w:ascii="仿宋" w:hAnsi="仿宋" w:eastAsia="仿宋" w:cs="宋体"/>
          <w:sz w:val="24"/>
          <w:highlight w:val="none"/>
        </w:rPr>
      </w:pPr>
      <w:r>
        <w:rPr>
          <w:rFonts w:hint="eastAsia" w:ascii="仿宋" w:hAnsi="仿宋" w:eastAsia="仿宋" w:cs="宋体"/>
          <w:sz w:val="24"/>
          <w:szCs w:val="24"/>
          <w:highlight w:val="none"/>
        </w:rPr>
        <w:t>（2）商务技术得分=商务技术评分，商务技术评分=</w:t>
      </w:r>
      <w:r>
        <w:rPr>
          <w:rFonts w:hint="eastAsia" w:ascii="仿宋" w:hAnsi="仿宋" w:eastAsia="仿宋" w:cs="宋体"/>
          <w:spacing w:val="-6"/>
          <w:sz w:val="24"/>
          <w:szCs w:val="24"/>
          <w:highlight w:val="none"/>
        </w:rPr>
        <w:t>所有评委的有效评分的算术平均数</w:t>
      </w:r>
      <w:r>
        <w:rPr>
          <w:rFonts w:hint="eastAsia" w:ascii="仿宋" w:hAnsi="仿宋" w:eastAsia="仿宋" w:cs="宋体"/>
          <w:sz w:val="24"/>
          <w:szCs w:val="24"/>
          <w:highlight w:val="none"/>
        </w:rPr>
        <w:t>。</w:t>
      </w:r>
    </w:p>
    <w:p w14:paraId="4F01B3C1">
      <w:pPr>
        <w:snapToGrid w:val="0"/>
        <w:spacing w:line="360" w:lineRule="auto"/>
        <w:ind w:firstLine="360" w:firstLineChars="150"/>
        <w:rPr>
          <w:rFonts w:hint="eastAsia" w:ascii="仿宋" w:hAnsi="仿宋" w:eastAsia="仿宋" w:cs="宋体"/>
          <w:sz w:val="24"/>
          <w:highlight w:val="none"/>
        </w:rPr>
      </w:pPr>
      <w:r>
        <w:rPr>
          <w:rFonts w:hint="eastAsia" w:ascii="仿宋" w:hAnsi="仿宋" w:eastAsia="仿宋" w:cs="宋体"/>
          <w:sz w:val="24"/>
          <w:szCs w:val="24"/>
          <w:highlight w:val="none"/>
        </w:rPr>
        <w:t>（3）报价得分=（评标基准价/投标报价）*价格权值*100，评标基准价=有效投标人的最低投标报价，价格权值=20%；</w:t>
      </w:r>
    </w:p>
    <w:p w14:paraId="379AA473">
      <w:pPr>
        <w:snapToGrid w:val="0"/>
        <w:spacing w:line="360" w:lineRule="auto"/>
        <w:ind w:firstLine="360" w:firstLineChars="150"/>
        <w:rPr>
          <w:rFonts w:hint="eastAsia" w:ascii="仿宋" w:hAnsi="仿宋" w:eastAsia="仿宋" w:cs="宋体"/>
          <w:sz w:val="24"/>
          <w:szCs w:val="24"/>
          <w:highlight w:val="none"/>
        </w:rPr>
      </w:pPr>
      <w:r>
        <w:rPr>
          <w:rFonts w:hint="eastAsia" w:ascii="仿宋" w:hAnsi="仿宋" w:eastAsia="仿宋" w:cs="宋体"/>
          <w:sz w:val="24"/>
          <w:szCs w:val="24"/>
          <w:highlight w:val="none"/>
        </w:rPr>
        <w:t>（4）商务技术分评分细则（80分）</w:t>
      </w:r>
    </w:p>
    <w:tbl>
      <w:tblPr>
        <w:tblStyle w:val="49"/>
        <w:tblW w:w="103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5"/>
        <w:gridCol w:w="1276"/>
        <w:gridCol w:w="7508"/>
        <w:gridCol w:w="807"/>
      </w:tblGrid>
      <w:tr w14:paraId="5647F1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805" w:type="dxa"/>
            <w:vAlign w:val="center"/>
          </w:tcPr>
          <w:p w14:paraId="40714256">
            <w:pPr>
              <w:spacing w:line="276" w:lineRule="auto"/>
              <w:jc w:val="center"/>
              <w:rPr>
                <w:rFonts w:hint="eastAsia" w:ascii="仿宋" w:hAnsi="仿宋" w:eastAsia="仿宋" w:cs="宋体"/>
                <w:b/>
                <w:bCs/>
                <w:sz w:val="24"/>
                <w:highlight w:val="none"/>
              </w:rPr>
            </w:pPr>
            <w:r>
              <w:rPr>
                <w:rFonts w:hint="eastAsia" w:ascii="仿宋" w:hAnsi="仿宋" w:eastAsia="仿宋" w:cs="宋体"/>
                <w:b/>
                <w:bCs/>
                <w:sz w:val="24"/>
                <w:highlight w:val="none"/>
              </w:rPr>
              <w:t>序号</w:t>
            </w:r>
          </w:p>
        </w:tc>
        <w:tc>
          <w:tcPr>
            <w:tcW w:w="1276" w:type="dxa"/>
            <w:vAlign w:val="center"/>
          </w:tcPr>
          <w:p w14:paraId="540AA925">
            <w:pPr>
              <w:spacing w:line="276" w:lineRule="auto"/>
              <w:jc w:val="center"/>
              <w:rPr>
                <w:rFonts w:hint="eastAsia" w:ascii="仿宋" w:hAnsi="仿宋" w:eastAsia="仿宋" w:cs="宋体"/>
                <w:b/>
                <w:bCs/>
                <w:sz w:val="24"/>
                <w:highlight w:val="none"/>
              </w:rPr>
            </w:pPr>
            <w:r>
              <w:rPr>
                <w:rFonts w:ascii="仿宋" w:hAnsi="仿宋" w:eastAsia="仿宋" w:cs="宋体"/>
                <w:b/>
                <w:bCs/>
                <w:sz w:val="24"/>
                <w:highlight w:val="none"/>
              </w:rPr>
              <w:t>评分项</w:t>
            </w:r>
          </w:p>
        </w:tc>
        <w:tc>
          <w:tcPr>
            <w:tcW w:w="7508" w:type="dxa"/>
            <w:vAlign w:val="center"/>
          </w:tcPr>
          <w:p w14:paraId="3807CA5B">
            <w:pPr>
              <w:spacing w:line="276" w:lineRule="auto"/>
              <w:jc w:val="center"/>
              <w:rPr>
                <w:rFonts w:hint="eastAsia" w:ascii="仿宋" w:hAnsi="仿宋" w:eastAsia="仿宋" w:cs="宋体"/>
                <w:b/>
                <w:bCs/>
                <w:sz w:val="24"/>
                <w:highlight w:val="none"/>
              </w:rPr>
            </w:pPr>
            <w:r>
              <w:rPr>
                <w:rFonts w:hint="eastAsia" w:ascii="仿宋" w:hAnsi="仿宋" w:eastAsia="仿宋" w:cs="宋体"/>
                <w:b/>
                <w:bCs/>
                <w:sz w:val="24"/>
                <w:highlight w:val="none"/>
              </w:rPr>
              <w:t>评分标准</w:t>
            </w:r>
          </w:p>
        </w:tc>
        <w:tc>
          <w:tcPr>
            <w:tcW w:w="807" w:type="dxa"/>
            <w:vAlign w:val="center"/>
          </w:tcPr>
          <w:p w14:paraId="1DEADDB3">
            <w:pPr>
              <w:spacing w:line="276" w:lineRule="auto"/>
              <w:jc w:val="center"/>
              <w:rPr>
                <w:rFonts w:hint="eastAsia" w:ascii="仿宋" w:hAnsi="仿宋" w:eastAsia="仿宋" w:cs="宋体"/>
                <w:b/>
                <w:bCs/>
                <w:sz w:val="24"/>
                <w:highlight w:val="none"/>
              </w:rPr>
            </w:pPr>
            <w:r>
              <w:rPr>
                <w:rFonts w:hint="eastAsia" w:ascii="仿宋" w:hAnsi="仿宋" w:eastAsia="仿宋" w:cs="宋体"/>
                <w:b/>
                <w:bCs/>
                <w:sz w:val="24"/>
                <w:highlight w:val="none"/>
              </w:rPr>
              <w:t>分值</w:t>
            </w:r>
          </w:p>
        </w:tc>
      </w:tr>
      <w:tr w14:paraId="6102B8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3" w:hRule="atLeast"/>
          <w:jc w:val="center"/>
        </w:trPr>
        <w:tc>
          <w:tcPr>
            <w:tcW w:w="805" w:type="dxa"/>
            <w:vAlign w:val="center"/>
          </w:tcPr>
          <w:p w14:paraId="2100BF36">
            <w:pPr>
              <w:spacing w:line="276" w:lineRule="auto"/>
              <w:jc w:val="center"/>
              <w:rPr>
                <w:rFonts w:hint="eastAsia" w:ascii="仿宋" w:hAnsi="仿宋" w:eastAsia="仿宋" w:cs="宋体"/>
                <w:b/>
                <w:bCs/>
                <w:sz w:val="24"/>
                <w:highlight w:val="none"/>
              </w:rPr>
            </w:pPr>
            <w:r>
              <w:rPr>
                <w:rFonts w:hint="eastAsia" w:ascii="仿宋" w:hAnsi="仿宋" w:eastAsia="仿宋" w:cs="宋体"/>
                <w:b/>
                <w:bCs/>
                <w:sz w:val="24"/>
                <w:highlight w:val="none"/>
              </w:rPr>
              <w:t>1</w:t>
            </w:r>
          </w:p>
        </w:tc>
        <w:tc>
          <w:tcPr>
            <w:tcW w:w="1276" w:type="dxa"/>
            <w:vAlign w:val="center"/>
          </w:tcPr>
          <w:p w14:paraId="34B442D9">
            <w:pPr>
              <w:spacing w:line="276" w:lineRule="auto"/>
              <w:jc w:val="center"/>
              <w:rPr>
                <w:rFonts w:hint="eastAsia" w:ascii="仿宋" w:hAnsi="仿宋" w:eastAsia="仿宋" w:cs="宋体"/>
                <w:b/>
                <w:bCs/>
                <w:sz w:val="24"/>
                <w:highlight w:val="none"/>
              </w:rPr>
            </w:pPr>
            <w:r>
              <w:rPr>
                <w:rFonts w:ascii="仿宋" w:hAnsi="仿宋" w:eastAsia="仿宋" w:cs="宋体"/>
                <w:b/>
                <w:bCs/>
                <w:sz w:val="24"/>
                <w:highlight w:val="none"/>
              </w:rPr>
              <w:t>业绩经验</w:t>
            </w:r>
          </w:p>
        </w:tc>
        <w:tc>
          <w:tcPr>
            <w:tcW w:w="7508" w:type="dxa"/>
            <w:vAlign w:val="center"/>
          </w:tcPr>
          <w:p w14:paraId="6B6D096E">
            <w:pPr>
              <w:spacing w:line="276" w:lineRule="auto"/>
              <w:rPr>
                <w:rFonts w:hint="eastAsia" w:ascii="仿宋" w:hAnsi="仿宋" w:eastAsia="仿宋" w:cs="宋体"/>
                <w:sz w:val="24"/>
                <w:szCs w:val="24"/>
                <w:highlight w:val="none"/>
              </w:rPr>
            </w:pPr>
            <w:r>
              <w:rPr>
                <w:rFonts w:hint="eastAsia" w:ascii="仿宋" w:hAnsi="仿宋" w:eastAsia="仿宋" w:cs="宋体"/>
                <w:bCs/>
                <w:color w:val="auto"/>
                <w:sz w:val="24"/>
                <w:szCs w:val="24"/>
                <w:highlight w:val="none"/>
              </w:rPr>
              <w:t>投标人自2021年1月1日以来（以合同签订时间为准），具有类似农贸市场管理</w:t>
            </w:r>
            <w:r>
              <w:rPr>
                <w:rFonts w:hint="eastAsia" w:ascii="仿宋" w:hAnsi="仿宋" w:eastAsia="仿宋" w:cs="仿宋"/>
                <w:color w:val="auto"/>
                <w:w w:val="90"/>
                <w:sz w:val="24"/>
                <w:highlight w:val="none"/>
              </w:rPr>
              <w:t>项目</w:t>
            </w:r>
            <w:r>
              <w:rPr>
                <w:rFonts w:hint="eastAsia" w:ascii="仿宋" w:hAnsi="仿宋" w:eastAsia="仿宋" w:cs="宋体"/>
                <w:bCs/>
                <w:color w:val="auto"/>
                <w:sz w:val="24"/>
                <w:szCs w:val="24"/>
                <w:highlight w:val="none"/>
              </w:rPr>
              <w:t>业绩的，每提供一个项目业绩得1分，最高得3分。</w:t>
            </w:r>
            <w:r>
              <w:rPr>
                <w:rFonts w:hint="eastAsia" w:ascii="仿宋" w:hAnsi="仿宋" w:eastAsia="仿宋" w:cs="仿宋"/>
                <w:color w:val="000000" w:themeColor="text1"/>
                <w:w w:val="90"/>
                <w:sz w:val="24"/>
                <w:szCs w:val="24"/>
                <w:highlight w:val="none"/>
              </w:rPr>
              <w:t>（注：商务技术文件中需提供合同复印件并加盖投标人公章，否则不得分。）</w:t>
            </w:r>
          </w:p>
        </w:tc>
        <w:tc>
          <w:tcPr>
            <w:tcW w:w="807" w:type="dxa"/>
            <w:vAlign w:val="center"/>
          </w:tcPr>
          <w:p w14:paraId="510FAA3D">
            <w:pPr>
              <w:spacing w:line="276" w:lineRule="auto"/>
              <w:jc w:val="center"/>
              <w:rPr>
                <w:rFonts w:hint="eastAsia" w:ascii="仿宋" w:hAnsi="仿宋" w:eastAsia="仿宋" w:cs="宋体"/>
                <w:bCs/>
                <w:sz w:val="24"/>
                <w:highlight w:val="none"/>
              </w:rPr>
            </w:pPr>
            <w:r>
              <w:rPr>
                <w:rFonts w:hint="eastAsia" w:ascii="仿宋" w:hAnsi="仿宋" w:eastAsia="仿宋" w:cs="宋体"/>
                <w:bCs/>
                <w:sz w:val="24"/>
                <w:highlight w:val="none"/>
              </w:rPr>
              <w:t>3分</w:t>
            </w:r>
          </w:p>
        </w:tc>
      </w:tr>
      <w:tr w14:paraId="69F592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3" w:hRule="atLeast"/>
          <w:jc w:val="center"/>
        </w:trPr>
        <w:tc>
          <w:tcPr>
            <w:tcW w:w="805" w:type="dxa"/>
            <w:vAlign w:val="center"/>
          </w:tcPr>
          <w:p w14:paraId="406D1E9B">
            <w:pPr>
              <w:spacing w:line="276" w:lineRule="auto"/>
              <w:jc w:val="center"/>
              <w:rPr>
                <w:rFonts w:hint="eastAsia" w:ascii="仿宋" w:hAnsi="仿宋" w:eastAsia="仿宋" w:cs="宋体"/>
                <w:b/>
                <w:bCs/>
                <w:sz w:val="24"/>
                <w:highlight w:val="none"/>
              </w:rPr>
            </w:pPr>
            <w:r>
              <w:rPr>
                <w:rFonts w:hint="eastAsia" w:ascii="仿宋" w:hAnsi="仿宋" w:eastAsia="仿宋" w:cs="宋体"/>
                <w:b/>
                <w:bCs/>
                <w:sz w:val="24"/>
                <w:highlight w:val="none"/>
              </w:rPr>
              <w:t>2</w:t>
            </w:r>
          </w:p>
        </w:tc>
        <w:tc>
          <w:tcPr>
            <w:tcW w:w="1276" w:type="dxa"/>
            <w:vAlign w:val="center"/>
          </w:tcPr>
          <w:p w14:paraId="353BEFCF">
            <w:pPr>
              <w:spacing w:line="276" w:lineRule="auto"/>
              <w:jc w:val="center"/>
              <w:rPr>
                <w:rFonts w:hint="eastAsia" w:ascii="仿宋" w:hAnsi="仿宋" w:eastAsia="仿宋" w:cs="宋体"/>
                <w:b/>
                <w:bCs/>
                <w:sz w:val="24"/>
                <w:highlight w:val="none"/>
              </w:rPr>
            </w:pPr>
            <w:r>
              <w:rPr>
                <w:rFonts w:ascii="仿宋" w:hAnsi="仿宋" w:eastAsia="仿宋" w:cs="宋体"/>
                <w:b/>
                <w:bCs/>
                <w:sz w:val="24"/>
                <w:highlight w:val="none"/>
              </w:rPr>
              <w:t>企业资信</w:t>
            </w:r>
          </w:p>
        </w:tc>
        <w:tc>
          <w:tcPr>
            <w:tcW w:w="7508" w:type="dxa"/>
            <w:vAlign w:val="center"/>
          </w:tcPr>
          <w:p w14:paraId="576BA753">
            <w:pPr>
              <w:spacing w:line="276" w:lineRule="auto"/>
              <w:jc w:val="left"/>
              <w:rPr>
                <w:rFonts w:hint="eastAsia" w:ascii="仿宋" w:hAnsi="仿宋" w:eastAsia="仿宋" w:cs="仿宋"/>
                <w:sz w:val="24"/>
                <w:szCs w:val="24"/>
                <w:highlight w:val="none"/>
              </w:rPr>
            </w:pPr>
            <w:r>
              <w:rPr>
                <w:rFonts w:hint="eastAsia" w:ascii="仿宋" w:hAnsi="仿宋" w:eastAsia="仿宋" w:cs="宋体"/>
                <w:bCs/>
                <w:color w:val="000000" w:themeColor="text1"/>
                <w:sz w:val="24"/>
                <w:szCs w:val="24"/>
                <w:highlight w:val="none"/>
              </w:rPr>
              <w:t>投标人具有有效期内的质量管理体系认证证书、职业健康安全管理体系认证证书、环境管理体系认证证书的，每提供一个证书得2分，</w:t>
            </w:r>
            <w:r>
              <w:rPr>
                <w:rFonts w:hint="eastAsia" w:ascii="仿宋" w:hAnsi="仿宋" w:eastAsia="仿宋" w:cs="宋体"/>
                <w:color w:val="000000" w:themeColor="text1"/>
                <w:sz w:val="24"/>
                <w:szCs w:val="24"/>
                <w:highlight w:val="none"/>
              </w:rPr>
              <w:t>最高得6分。</w:t>
            </w:r>
            <w:r>
              <w:rPr>
                <w:rFonts w:hint="eastAsia" w:ascii="仿宋" w:hAnsi="仿宋" w:eastAsia="仿宋" w:cs="仿宋"/>
                <w:color w:val="000000" w:themeColor="text1"/>
                <w:w w:val="90"/>
                <w:sz w:val="24"/>
                <w:szCs w:val="24"/>
                <w:highlight w:val="none"/>
              </w:rPr>
              <w:t>（注：商务技术文件中需提供有效期内证书复印件并加盖投标人公章，否则不得分。）</w:t>
            </w:r>
          </w:p>
        </w:tc>
        <w:tc>
          <w:tcPr>
            <w:tcW w:w="807" w:type="dxa"/>
            <w:vAlign w:val="center"/>
          </w:tcPr>
          <w:p w14:paraId="57FEEDCC">
            <w:pPr>
              <w:spacing w:line="276" w:lineRule="auto"/>
              <w:jc w:val="center"/>
              <w:rPr>
                <w:rFonts w:hint="eastAsia" w:ascii="仿宋" w:hAnsi="仿宋" w:eastAsia="仿宋" w:cs="宋体"/>
                <w:bCs/>
                <w:sz w:val="24"/>
                <w:highlight w:val="none"/>
              </w:rPr>
            </w:pPr>
            <w:r>
              <w:rPr>
                <w:rFonts w:hint="eastAsia" w:ascii="仿宋" w:hAnsi="仿宋" w:eastAsia="仿宋" w:cs="宋体"/>
                <w:bCs/>
                <w:sz w:val="24"/>
                <w:highlight w:val="none"/>
              </w:rPr>
              <w:t>6分</w:t>
            </w:r>
          </w:p>
        </w:tc>
      </w:tr>
      <w:tr w14:paraId="1E7680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3" w:hRule="atLeast"/>
          <w:jc w:val="center"/>
        </w:trPr>
        <w:tc>
          <w:tcPr>
            <w:tcW w:w="805" w:type="dxa"/>
            <w:vAlign w:val="center"/>
          </w:tcPr>
          <w:p w14:paraId="46998F71">
            <w:pPr>
              <w:spacing w:line="276" w:lineRule="auto"/>
              <w:jc w:val="center"/>
              <w:rPr>
                <w:rFonts w:hint="eastAsia" w:ascii="仿宋" w:hAnsi="仿宋" w:eastAsia="仿宋" w:cs="宋体"/>
                <w:b/>
                <w:bCs/>
                <w:sz w:val="24"/>
                <w:highlight w:val="none"/>
              </w:rPr>
            </w:pPr>
            <w:r>
              <w:rPr>
                <w:rFonts w:hint="eastAsia" w:ascii="仿宋" w:hAnsi="仿宋" w:eastAsia="仿宋" w:cs="宋体"/>
                <w:b/>
                <w:bCs/>
                <w:sz w:val="24"/>
                <w:highlight w:val="none"/>
              </w:rPr>
              <w:t>3</w:t>
            </w:r>
          </w:p>
        </w:tc>
        <w:tc>
          <w:tcPr>
            <w:tcW w:w="1276" w:type="dxa"/>
            <w:vAlign w:val="center"/>
          </w:tcPr>
          <w:p w14:paraId="0C20AF4E">
            <w:pPr>
              <w:spacing w:line="276" w:lineRule="auto"/>
              <w:jc w:val="center"/>
              <w:rPr>
                <w:rFonts w:hint="eastAsia" w:ascii="仿宋" w:hAnsi="仿宋" w:eastAsia="仿宋" w:cs="宋体"/>
                <w:b/>
                <w:bCs/>
                <w:sz w:val="24"/>
                <w:highlight w:val="none"/>
              </w:rPr>
            </w:pPr>
            <w:r>
              <w:rPr>
                <w:rFonts w:ascii="仿宋" w:hAnsi="仿宋" w:eastAsia="仿宋" w:cs="宋体"/>
                <w:b/>
                <w:bCs/>
                <w:sz w:val="24"/>
                <w:highlight w:val="none"/>
              </w:rPr>
              <w:t>项目人员配置</w:t>
            </w:r>
          </w:p>
        </w:tc>
        <w:tc>
          <w:tcPr>
            <w:tcW w:w="7508" w:type="dxa"/>
            <w:vAlign w:val="center"/>
          </w:tcPr>
          <w:p w14:paraId="5CF2013A">
            <w:pPr>
              <w:spacing w:line="300" w:lineRule="auto"/>
              <w:jc w:val="left"/>
              <w:rPr>
                <w:rFonts w:ascii="仿宋" w:hAnsi="仿宋" w:eastAsia="仿宋" w:cs="仿宋"/>
                <w:sz w:val="24"/>
                <w:szCs w:val="24"/>
                <w:highlight w:val="none"/>
              </w:rPr>
            </w:pPr>
            <w:r>
              <w:rPr>
                <w:rFonts w:hint="eastAsia" w:ascii="仿宋" w:hAnsi="仿宋" w:eastAsia="仿宋" w:cs="仿宋"/>
                <w:b/>
                <w:sz w:val="24"/>
                <w:szCs w:val="24"/>
                <w:highlight w:val="none"/>
              </w:rPr>
              <w:t>投标人拟投入本项目工作人员配置情况（18分）</w:t>
            </w:r>
            <w:r>
              <w:rPr>
                <w:rFonts w:hint="eastAsia" w:ascii="仿宋" w:hAnsi="仿宋" w:eastAsia="仿宋" w:cs="仿宋"/>
                <w:sz w:val="24"/>
                <w:szCs w:val="24"/>
                <w:highlight w:val="none"/>
              </w:rPr>
              <w:t>：</w:t>
            </w:r>
          </w:p>
          <w:p w14:paraId="06D12BF7">
            <w:pPr>
              <w:spacing w:line="300" w:lineRule="auto"/>
              <w:jc w:val="left"/>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1.拟派驻场经理具有</w:t>
            </w:r>
            <w:r>
              <w:rPr>
                <w:rFonts w:hint="eastAsia" w:ascii="仿宋" w:hAnsi="仿宋" w:eastAsia="仿宋" w:cs="仿宋"/>
                <w:color w:val="auto"/>
                <w:sz w:val="24"/>
                <w:szCs w:val="24"/>
                <w:highlight w:val="none"/>
              </w:rPr>
              <w:t>农贸市场管理员、农贸市场食品安全员、农产品食品检验员相关证书的，每个证书得2分，共计6分</w:t>
            </w:r>
            <w:r>
              <w:rPr>
                <w:rFonts w:hint="eastAsia" w:ascii="仿宋" w:hAnsi="仿宋" w:eastAsia="仿宋" w:cs="仿宋"/>
                <w:sz w:val="24"/>
                <w:szCs w:val="24"/>
                <w:highlight w:val="none"/>
              </w:rPr>
              <w:t>；</w:t>
            </w: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sz w:val="24"/>
                <w:szCs w:val="24"/>
                <w:highlight w:val="none"/>
                <w:u w:val="single"/>
              </w:rPr>
              <w:t>提供</w:t>
            </w:r>
            <w:r>
              <w:rPr>
                <w:rFonts w:hint="eastAsia" w:ascii="仿宋" w:hAnsi="仿宋" w:eastAsia="仿宋" w:cs="宋体"/>
                <w:bCs/>
                <w:color w:val="000000" w:themeColor="text1"/>
                <w:sz w:val="24"/>
                <w:highlight w:val="none"/>
                <w:u w:val="single"/>
              </w:rPr>
              <w:t>投标人为其缴纳的近3个月内任意一个月的社保证明、证书复印件以及相关</w:t>
            </w:r>
            <w:r>
              <w:rPr>
                <w:rFonts w:hint="eastAsia" w:ascii="仿宋" w:hAnsi="仿宋" w:eastAsia="仿宋" w:cs="仿宋"/>
                <w:color w:val="000000" w:themeColor="text1"/>
                <w:sz w:val="24"/>
                <w:szCs w:val="24"/>
                <w:highlight w:val="none"/>
                <w:u w:val="single"/>
              </w:rPr>
              <w:t>劳动合同（或任职证明）复印件并加盖投标人公章</w:t>
            </w:r>
            <w:r>
              <w:rPr>
                <w:rFonts w:hint="eastAsia" w:ascii="仿宋" w:hAnsi="仿宋" w:eastAsia="仿宋" w:cs="仿宋"/>
                <w:color w:val="000000" w:themeColor="text1"/>
                <w:sz w:val="24"/>
                <w:szCs w:val="24"/>
                <w:highlight w:val="none"/>
              </w:rPr>
              <w:t>）</w:t>
            </w:r>
          </w:p>
          <w:p w14:paraId="4B25E942">
            <w:pPr>
              <w:spacing w:line="30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2.拟派驻场经理自2021年1月1日至今，具有相关服务外包项目管理经验的，得3分；</w:t>
            </w: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sz w:val="24"/>
                <w:szCs w:val="24"/>
                <w:highlight w:val="none"/>
                <w:u w:val="single"/>
              </w:rPr>
              <w:t>提供</w:t>
            </w:r>
            <w:r>
              <w:rPr>
                <w:rFonts w:hint="eastAsia" w:ascii="仿宋" w:hAnsi="仿宋" w:eastAsia="仿宋" w:cs="宋体"/>
                <w:bCs/>
                <w:color w:val="000000" w:themeColor="text1"/>
                <w:sz w:val="24"/>
                <w:highlight w:val="none"/>
                <w:u w:val="single"/>
              </w:rPr>
              <w:t>投标人为其缴纳的近3个月内任意一个月的社保证明以及相关</w:t>
            </w:r>
            <w:r>
              <w:rPr>
                <w:rFonts w:hint="eastAsia" w:ascii="仿宋" w:hAnsi="仿宋" w:eastAsia="仿宋" w:cs="仿宋"/>
                <w:color w:val="000000" w:themeColor="text1"/>
                <w:sz w:val="24"/>
                <w:szCs w:val="24"/>
                <w:highlight w:val="none"/>
                <w:u w:val="single"/>
              </w:rPr>
              <w:t>劳动合同（或任职证明）复印件并加盖投标人公章</w:t>
            </w:r>
            <w:r>
              <w:rPr>
                <w:rFonts w:hint="eastAsia" w:ascii="仿宋" w:hAnsi="仿宋" w:eastAsia="仿宋" w:cs="仿宋"/>
                <w:color w:val="000000" w:themeColor="text1"/>
                <w:sz w:val="24"/>
                <w:szCs w:val="24"/>
                <w:highlight w:val="none"/>
              </w:rPr>
              <w:t>）</w:t>
            </w:r>
          </w:p>
          <w:p w14:paraId="087264FE">
            <w:pPr>
              <w:spacing w:line="30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color w:val="000000" w:themeColor="text1"/>
                <w:sz w:val="24"/>
                <w:szCs w:val="24"/>
                <w:highlight w:val="none"/>
              </w:rPr>
              <w:t>承诺自合同签订之日起3日内派遣</w:t>
            </w:r>
            <w:r>
              <w:rPr>
                <w:rFonts w:hint="eastAsia" w:ascii="仿宋" w:hAnsi="仿宋" w:eastAsia="仿宋" w:cs="仿宋"/>
                <w:sz w:val="24"/>
                <w:szCs w:val="24"/>
                <w:highlight w:val="none"/>
              </w:rPr>
              <w:t>现场工作</w:t>
            </w:r>
            <w:r>
              <w:rPr>
                <w:rFonts w:hint="eastAsia" w:ascii="仿宋" w:hAnsi="仿宋" w:eastAsia="仿宋" w:cs="Arial"/>
                <w:color w:val="000000" w:themeColor="text1"/>
                <w:sz w:val="24"/>
                <w:highlight w:val="none"/>
              </w:rPr>
              <w:t>人员</w:t>
            </w:r>
            <w:r>
              <w:rPr>
                <w:rFonts w:hint="eastAsia" w:ascii="仿宋" w:hAnsi="仿宋" w:eastAsia="仿宋" w:cs="仿宋"/>
                <w:sz w:val="24"/>
                <w:szCs w:val="24"/>
                <w:highlight w:val="none"/>
              </w:rPr>
              <w:t>（含驻场经理）</w:t>
            </w:r>
            <w:r>
              <w:rPr>
                <w:rFonts w:hint="eastAsia" w:ascii="仿宋" w:hAnsi="仿宋" w:eastAsia="仿宋" w:cs="Arial"/>
                <w:color w:val="000000" w:themeColor="text1"/>
                <w:sz w:val="24"/>
                <w:highlight w:val="none"/>
              </w:rPr>
              <w:t>总人数≥7人</w:t>
            </w:r>
            <w:r>
              <w:rPr>
                <w:rFonts w:hint="eastAsia" w:ascii="仿宋" w:hAnsi="仿宋" w:eastAsia="仿宋" w:cs="仿宋"/>
                <w:sz w:val="24"/>
                <w:szCs w:val="24"/>
                <w:highlight w:val="none"/>
              </w:rPr>
              <w:t>的，得3分；</w:t>
            </w: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sz w:val="24"/>
                <w:szCs w:val="24"/>
                <w:highlight w:val="none"/>
                <w:u w:val="single"/>
              </w:rPr>
              <w:t>提供承诺函（格式自拟）并加盖投标人公章</w:t>
            </w:r>
            <w:r>
              <w:rPr>
                <w:rFonts w:hint="eastAsia" w:ascii="仿宋" w:hAnsi="仿宋" w:eastAsia="仿宋" w:cs="仿宋"/>
                <w:color w:val="000000" w:themeColor="text1"/>
                <w:sz w:val="24"/>
                <w:szCs w:val="24"/>
                <w:highlight w:val="none"/>
              </w:rPr>
              <w:t>）</w:t>
            </w:r>
          </w:p>
          <w:p w14:paraId="279919D9">
            <w:pPr>
              <w:spacing w:line="300" w:lineRule="auto"/>
              <w:jc w:val="left"/>
              <w:rPr>
                <w:rFonts w:hint="eastAsia" w:ascii="仿宋" w:hAnsi="仿宋" w:eastAsia="仿宋" w:cs="仿宋"/>
                <w:sz w:val="24"/>
                <w:szCs w:val="24"/>
                <w:highlight w:val="none"/>
              </w:rPr>
            </w:pPr>
            <w:r>
              <w:rPr>
                <w:rFonts w:hint="eastAsia" w:ascii="仿宋" w:hAnsi="仿宋" w:eastAsia="仿宋" w:cs="Arial"/>
                <w:color w:val="000000" w:themeColor="text1"/>
                <w:sz w:val="24"/>
                <w:highlight w:val="none"/>
              </w:rPr>
              <w:t>4.</w:t>
            </w:r>
            <w:r>
              <w:rPr>
                <w:rFonts w:hint="eastAsia" w:ascii="仿宋" w:hAnsi="仿宋" w:eastAsia="仿宋" w:cs="仿宋"/>
                <w:color w:val="000000" w:themeColor="text1"/>
                <w:sz w:val="24"/>
                <w:szCs w:val="24"/>
                <w:highlight w:val="none"/>
              </w:rPr>
              <w:t>承诺自合同签订之日起3日内投入至少</w:t>
            </w:r>
            <w:r>
              <w:rPr>
                <w:rFonts w:hint="eastAsia" w:ascii="仿宋" w:hAnsi="仿宋" w:eastAsia="仿宋" w:cs="仿宋"/>
                <w:sz w:val="24"/>
                <w:szCs w:val="24"/>
                <w:highlight w:val="none"/>
              </w:rPr>
              <w:t>确保2人负责门口乱摆摊、乱停车劝导的，得3分；</w:t>
            </w: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sz w:val="24"/>
                <w:szCs w:val="24"/>
                <w:highlight w:val="none"/>
                <w:u w:val="single"/>
              </w:rPr>
              <w:t>提供承诺函（格式自拟）并加盖投标人公章</w:t>
            </w:r>
            <w:r>
              <w:rPr>
                <w:rFonts w:hint="eastAsia" w:ascii="仿宋" w:hAnsi="仿宋" w:eastAsia="仿宋" w:cs="仿宋"/>
                <w:color w:val="000000" w:themeColor="text1"/>
                <w:sz w:val="24"/>
                <w:szCs w:val="24"/>
                <w:highlight w:val="none"/>
              </w:rPr>
              <w:t>）</w:t>
            </w:r>
          </w:p>
          <w:p w14:paraId="37816ECD">
            <w:pPr>
              <w:spacing w:line="300" w:lineRule="auto"/>
              <w:jc w:val="left"/>
              <w:rPr>
                <w:rFonts w:hint="eastAsia" w:ascii="仿宋" w:hAnsi="仿宋" w:eastAsia="仿宋" w:cs="Arial"/>
                <w:color w:val="000000" w:themeColor="text1"/>
                <w:sz w:val="24"/>
                <w:highlight w:val="none"/>
              </w:rPr>
            </w:pPr>
            <w:r>
              <w:rPr>
                <w:rFonts w:hint="eastAsia" w:ascii="仿宋" w:hAnsi="仿宋" w:eastAsia="仿宋" w:cs="仿宋"/>
                <w:sz w:val="24"/>
                <w:szCs w:val="24"/>
                <w:highlight w:val="none"/>
              </w:rPr>
              <w:t>5.</w:t>
            </w:r>
            <w:r>
              <w:rPr>
                <w:rFonts w:hint="eastAsia" w:ascii="仿宋" w:hAnsi="仿宋" w:eastAsia="仿宋" w:cs="仿宋"/>
                <w:color w:val="000000" w:themeColor="text1"/>
                <w:sz w:val="24"/>
                <w:szCs w:val="24"/>
                <w:highlight w:val="none"/>
              </w:rPr>
              <w:t>承诺自合同签订之日起3日内</w:t>
            </w:r>
            <w:r>
              <w:rPr>
                <w:rFonts w:hint="eastAsia" w:ascii="仿宋" w:hAnsi="仿宋" w:eastAsia="仿宋" w:cs="仿宋"/>
                <w:sz w:val="24"/>
                <w:szCs w:val="24"/>
                <w:highlight w:val="none"/>
              </w:rPr>
              <w:t>投入至少确保1名人员24小时值班在岗的</w:t>
            </w:r>
            <w:r>
              <w:rPr>
                <w:rFonts w:hint="eastAsia" w:ascii="仿宋" w:hAnsi="仿宋" w:eastAsia="仿宋" w:cs="Arial"/>
                <w:color w:val="000000" w:themeColor="text1"/>
                <w:sz w:val="24"/>
                <w:highlight w:val="none"/>
              </w:rPr>
              <w:t>，得3分。</w:t>
            </w: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sz w:val="24"/>
                <w:szCs w:val="24"/>
                <w:highlight w:val="none"/>
                <w:u w:val="single"/>
              </w:rPr>
              <w:t>提供承诺函（格式自拟）并加盖投标人公章</w:t>
            </w:r>
            <w:r>
              <w:rPr>
                <w:rFonts w:hint="eastAsia" w:ascii="仿宋" w:hAnsi="仿宋" w:eastAsia="仿宋" w:cs="仿宋"/>
                <w:color w:val="000000" w:themeColor="text1"/>
                <w:sz w:val="24"/>
                <w:szCs w:val="24"/>
                <w:highlight w:val="none"/>
              </w:rPr>
              <w:t>）</w:t>
            </w:r>
          </w:p>
          <w:p w14:paraId="7B84878F">
            <w:pPr>
              <w:spacing w:line="300" w:lineRule="auto"/>
              <w:jc w:val="left"/>
              <w:rPr>
                <w:rFonts w:hint="eastAsia" w:ascii="仿宋" w:hAnsi="仿宋" w:eastAsia="仿宋" w:cs="Arial"/>
                <w:color w:val="000000" w:themeColor="text1"/>
                <w:sz w:val="24"/>
                <w:highlight w:val="none"/>
              </w:rPr>
            </w:pPr>
            <w:r>
              <w:rPr>
                <w:rFonts w:hint="eastAsia" w:ascii="仿宋" w:hAnsi="仿宋" w:eastAsia="仿宋" w:cs="仿宋"/>
                <w:color w:val="000000" w:themeColor="text1"/>
                <w:w w:val="90"/>
                <w:sz w:val="24"/>
                <w:szCs w:val="24"/>
                <w:highlight w:val="none"/>
              </w:rPr>
              <w:t>（注：商务技术文件中需按上述第1至第4项的要求提供相关材料，以上证明材料均需加盖投标人公章，不提供或提供不全不得分。）</w:t>
            </w:r>
          </w:p>
        </w:tc>
        <w:tc>
          <w:tcPr>
            <w:tcW w:w="807" w:type="dxa"/>
            <w:vAlign w:val="center"/>
          </w:tcPr>
          <w:p w14:paraId="26517808">
            <w:pPr>
              <w:spacing w:line="276" w:lineRule="auto"/>
              <w:jc w:val="center"/>
              <w:rPr>
                <w:rFonts w:hint="eastAsia" w:ascii="仿宋" w:hAnsi="仿宋" w:eastAsia="仿宋" w:cs="宋体"/>
                <w:bCs/>
                <w:sz w:val="24"/>
                <w:highlight w:val="none"/>
              </w:rPr>
            </w:pPr>
            <w:r>
              <w:rPr>
                <w:rFonts w:hint="eastAsia" w:ascii="仿宋" w:hAnsi="仿宋" w:eastAsia="仿宋" w:cs="宋体"/>
                <w:bCs/>
                <w:sz w:val="24"/>
                <w:highlight w:val="none"/>
              </w:rPr>
              <w:t>18分</w:t>
            </w:r>
          </w:p>
        </w:tc>
      </w:tr>
      <w:tr w14:paraId="6AE489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0" w:hRule="atLeast"/>
          <w:jc w:val="center"/>
        </w:trPr>
        <w:tc>
          <w:tcPr>
            <w:tcW w:w="805" w:type="dxa"/>
            <w:vAlign w:val="center"/>
          </w:tcPr>
          <w:p w14:paraId="43374323">
            <w:pPr>
              <w:spacing w:line="276" w:lineRule="auto"/>
              <w:jc w:val="center"/>
              <w:rPr>
                <w:rFonts w:hint="eastAsia" w:ascii="仿宋" w:hAnsi="仿宋" w:eastAsia="仿宋" w:cs="宋体"/>
                <w:b/>
                <w:bCs/>
                <w:sz w:val="24"/>
                <w:highlight w:val="none"/>
              </w:rPr>
            </w:pPr>
            <w:r>
              <w:rPr>
                <w:rFonts w:hint="eastAsia" w:ascii="仿宋" w:hAnsi="仿宋" w:eastAsia="仿宋" w:cs="宋体"/>
                <w:b/>
                <w:bCs/>
                <w:sz w:val="24"/>
                <w:highlight w:val="none"/>
              </w:rPr>
              <w:t>4</w:t>
            </w:r>
          </w:p>
        </w:tc>
        <w:tc>
          <w:tcPr>
            <w:tcW w:w="1276" w:type="dxa"/>
            <w:vAlign w:val="center"/>
          </w:tcPr>
          <w:p w14:paraId="3A175E52">
            <w:pPr>
              <w:spacing w:line="276" w:lineRule="auto"/>
              <w:jc w:val="center"/>
              <w:rPr>
                <w:rFonts w:hint="eastAsia" w:ascii="仿宋" w:hAnsi="仿宋" w:eastAsia="仿宋" w:cs="宋体"/>
                <w:b/>
                <w:bCs/>
                <w:sz w:val="24"/>
                <w:highlight w:val="none"/>
              </w:rPr>
            </w:pPr>
            <w:r>
              <w:rPr>
                <w:rFonts w:ascii="仿宋" w:hAnsi="仿宋" w:eastAsia="仿宋" w:cs="宋体"/>
                <w:b/>
                <w:bCs/>
                <w:sz w:val="24"/>
                <w:highlight w:val="none"/>
              </w:rPr>
              <w:t>增值服务</w:t>
            </w:r>
          </w:p>
        </w:tc>
        <w:tc>
          <w:tcPr>
            <w:tcW w:w="7508" w:type="dxa"/>
            <w:vAlign w:val="center"/>
          </w:tcPr>
          <w:p w14:paraId="2D8A4A01">
            <w:pPr>
              <w:spacing w:line="300" w:lineRule="auto"/>
              <w:rPr>
                <w:rFonts w:hint="eastAsia" w:ascii="仿宋" w:hAnsi="仿宋" w:eastAsia="仿宋" w:cs="宋体"/>
                <w:bCs/>
                <w:sz w:val="24"/>
                <w:highlight w:val="none"/>
              </w:rPr>
            </w:pPr>
            <w:r>
              <w:rPr>
                <w:rFonts w:hint="eastAsia" w:ascii="仿宋" w:hAnsi="仿宋" w:eastAsia="仿宋" w:cs="宋体"/>
                <w:b/>
                <w:bCs/>
                <w:sz w:val="24"/>
                <w:highlight w:val="none"/>
              </w:rPr>
              <w:t>投标人提供针对本项目增值服务情况（6分）</w:t>
            </w:r>
            <w:r>
              <w:rPr>
                <w:rFonts w:hint="eastAsia" w:ascii="仿宋" w:hAnsi="仿宋" w:eastAsia="仿宋" w:cs="宋体"/>
                <w:bCs/>
                <w:sz w:val="24"/>
                <w:highlight w:val="none"/>
              </w:rPr>
              <w:t>：</w:t>
            </w:r>
          </w:p>
          <w:p w14:paraId="2D45D684">
            <w:pPr>
              <w:spacing w:line="300" w:lineRule="auto"/>
              <w:rPr>
                <w:rFonts w:hint="eastAsia" w:ascii="仿宋" w:hAnsi="仿宋" w:eastAsia="仿宋" w:cs="宋体"/>
                <w:bCs/>
                <w:sz w:val="24"/>
                <w:highlight w:val="none"/>
              </w:rPr>
            </w:pPr>
            <w:r>
              <w:rPr>
                <w:rFonts w:hint="eastAsia" w:ascii="仿宋" w:hAnsi="仿宋" w:eastAsia="仿宋" w:cs="宋体"/>
                <w:bCs/>
                <w:sz w:val="24"/>
                <w:highlight w:val="none"/>
              </w:rPr>
              <w:t>1.承诺自费对中标管理期内农贸市场提供小修小补（零星物品损坏更新）并提供自费金额状况的，得3分；</w:t>
            </w: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sz w:val="24"/>
                <w:szCs w:val="24"/>
                <w:highlight w:val="none"/>
                <w:u w:val="single"/>
              </w:rPr>
              <w:t>提供承诺函（格式自拟）</w:t>
            </w:r>
            <w:r>
              <w:rPr>
                <w:rFonts w:hint="eastAsia" w:ascii="仿宋" w:hAnsi="仿宋" w:eastAsia="仿宋" w:cs="宋体"/>
                <w:bCs/>
                <w:sz w:val="24"/>
                <w:highlight w:val="none"/>
                <w:u w:val="single"/>
              </w:rPr>
              <w:t>以及自费金额状况</w:t>
            </w:r>
            <w:r>
              <w:rPr>
                <w:rFonts w:hint="eastAsia" w:ascii="仿宋" w:hAnsi="仿宋" w:eastAsia="仿宋" w:cs="仿宋"/>
                <w:color w:val="000000" w:themeColor="text1"/>
                <w:sz w:val="24"/>
                <w:szCs w:val="24"/>
                <w:highlight w:val="none"/>
                <w:u w:val="single"/>
              </w:rPr>
              <w:t>并加盖投标人公章</w:t>
            </w:r>
            <w:r>
              <w:rPr>
                <w:rFonts w:hint="eastAsia" w:ascii="仿宋" w:hAnsi="仿宋" w:eastAsia="仿宋" w:cs="仿宋"/>
                <w:color w:val="000000" w:themeColor="text1"/>
                <w:sz w:val="24"/>
                <w:szCs w:val="24"/>
                <w:highlight w:val="none"/>
              </w:rPr>
              <w:t>）</w:t>
            </w:r>
          </w:p>
          <w:p w14:paraId="6B434ABC">
            <w:pPr>
              <w:spacing w:line="300" w:lineRule="auto"/>
              <w:rPr>
                <w:rFonts w:hint="eastAsia" w:ascii="仿宋" w:hAnsi="仿宋" w:eastAsia="仿宋" w:cs="宋体"/>
                <w:bCs/>
                <w:sz w:val="24"/>
                <w:highlight w:val="none"/>
              </w:rPr>
            </w:pPr>
            <w:r>
              <w:rPr>
                <w:rFonts w:hint="eastAsia" w:ascii="仿宋" w:hAnsi="仿宋" w:eastAsia="仿宋" w:cs="宋体"/>
                <w:bCs/>
                <w:sz w:val="24"/>
                <w:highlight w:val="none"/>
              </w:rPr>
              <w:t>2.承诺自费对中标管理期内农贸市场提供应急服务（如专项检查前的应急卫生管理）并提供自费金额状况的，得3分。</w:t>
            </w: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sz w:val="24"/>
                <w:szCs w:val="24"/>
                <w:highlight w:val="none"/>
                <w:u w:val="single"/>
              </w:rPr>
              <w:t>提供承诺函（格式自拟）</w:t>
            </w:r>
            <w:r>
              <w:rPr>
                <w:rFonts w:hint="eastAsia" w:ascii="仿宋" w:hAnsi="仿宋" w:eastAsia="仿宋" w:cs="宋体"/>
                <w:bCs/>
                <w:sz w:val="24"/>
                <w:highlight w:val="none"/>
                <w:u w:val="single"/>
              </w:rPr>
              <w:t>以及自费金额状况</w:t>
            </w:r>
            <w:r>
              <w:rPr>
                <w:rFonts w:hint="eastAsia" w:ascii="仿宋" w:hAnsi="仿宋" w:eastAsia="仿宋" w:cs="仿宋"/>
                <w:color w:val="000000" w:themeColor="text1"/>
                <w:sz w:val="24"/>
                <w:szCs w:val="24"/>
                <w:highlight w:val="none"/>
                <w:u w:val="single"/>
              </w:rPr>
              <w:t>并加盖投标人公章</w:t>
            </w:r>
            <w:r>
              <w:rPr>
                <w:rFonts w:hint="eastAsia" w:ascii="仿宋" w:hAnsi="仿宋" w:eastAsia="仿宋" w:cs="仿宋"/>
                <w:color w:val="000000" w:themeColor="text1"/>
                <w:sz w:val="24"/>
                <w:szCs w:val="24"/>
                <w:highlight w:val="none"/>
              </w:rPr>
              <w:t>）</w:t>
            </w:r>
          </w:p>
          <w:p w14:paraId="0F9704C3">
            <w:pPr>
              <w:spacing w:line="300" w:lineRule="auto"/>
              <w:jc w:val="left"/>
              <w:rPr>
                <w:rFonts w:hint="eastAsia" w:ascii="仿宋" w:hAnsi="仿宋" w:eastAsia="仿宋" w:cs="宋体"/>
                <w:bCs/>
                <w:sz w:val="24"/>
                <w:highlight w:val="none"/>
              </w:rPr>
            </w:pPr>
            <w:r>
              <w:rPr>
                <w:rFonts w:hint="eastAsia" w:ascii="仿宋" w:hAnsi="仿宋" w:eastAsia="仿宋" w:cs="仿宋"/>
                <w:color w:val="000000" w:themeColor="text1"/>
                <w:w w:val="90"/>
                <w:sz w:val="24"/>
                <w:szCs w:val="24"/>
                <w:highlight w:val="none"/>
              </w:rPr>
              <w:t>（注：商务技术文件中需按上述第1至第2项的要求提供相关材料，</w:t>
            </w:r>
            <w:r>
              <w:rPr>
                <w:rFonts w:hint="eastAsia" w:ascii="仿宋" w:hAnsi="仿宋" w:eastAsia="仿宋" w:cs="仿宋"/>
                <w:i/>
                <w:color w:val="000000" w:themeColor="text1"/>
                <w:w w:val="90"/>
                <w:sz w:val="24"/>
                <w:szCs w:val="24"/>
                <w:highlight w:val="none"/>
                <w:u w:val="single"/>
              </w:rPr>
              <w:t>其中各项承诺函中必须包含以下内容：若承诺的自费零星维修更换、应急卫生服务列明的金额中标后虚假应标或故意缺项漏项与承诺自费的金额出入较大，经审计后实际费用与承诺费用差价部分在管理费用里扣除</w:t>
            </w:r>
            <w:r>
              <w:rPr>
                <w:rFonts w:hint="eastAsia" w:ascii="仿宋" w:hAnsi="仿宋" w:eastAsia="仿宋" w:cs="仿宋"/>
                <w:color w:val="000000" w:themeColor="text1"/>
                <w:w w:val="90"/>
                <w:sz w:val="24"/>
                <w:szCs w:val="24"/>
                <w:highlight w:val="none"/>
              </w:rPr>
              <w:t>。未按要求提供的不得分。）</w:t>
            </w:r>
          </w:p>
        </w:tc>
        <w:tc>
          <w:tcPr>
            <w:tcW w:w="807" w:type="dxa"/>
            <w:vAlign w:val="center"/>
          </w:tcPr>
          <w:p w14:paraId="2F9E670F">
            <w:pPr>
              <w:spacing w:line="276" w:lineRule="auto"/>
              <w:jc w:val="center"/>
              <w:rPr>
                <w:rFonts w:hint="eastAsia" w:ascii="仿宋" w:hAnsi="仿宋" w:eastAsia="仿宋" w:cs="宋体"/>
                <w:bCs/>
                <w:sz w:val="24"/>
                <w:highlight w:val="none"/>
              </w:rPr>
            </w:pPr>
            <w:r>
              <w:rPr>
                <w:rFonts w:hint="eastAsia" w:ascii="仿宋" w:hAnsi="仿宋" w:eastAsia="仿宋" w:cs="宋体"/>
                <w:bCs/>
                <w:sz w:val="24"/>
                <w:highlight w:val="none"/>
              </w:rPr>
              <w:t>6分</w:t>
            </w:r>
          </w:p>
        </w:tc>
      </w:tr>
      <w:tr w14:paraId="2621BC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805" w:type="dxa"/>
            <w:vMerge w:val="restart"/>
            <w:vAlign w:val="center"/>
          </w:tcPr>
          <w:p w14:paraId="5C7A33A1">
            <w:pPr>
              <w:spacing w:line="276" w:lineRule="auto"/>
              <w:jc w:val="center"/>
              <w:rPr>
                <w:rFonts w:hint="eastAsia" w:ascii="仿宋" w:hAnsi="仿宋" w:eastAsia="仿宋" w:cs="宋体"/>
                <w:b/>
                <w:bCs/>
                <w:sz w:val="24"/>
                <w:highlight w:val="none"/>
              </w:rPr>
            </w:pPr>
            <w:r>
              <w:rPr>
                <w:rFonts w:hint="eastAsia" w:ascii="仿宋" w:hAnsi="仿宋" w:eastAsia="仿宋" w:cs="宋体"/>
                <w:b/>
                <w:bCs/>
                <w:sz w:val="24"/>
                <w:highlight w:val="none"/>
              </w:rPr>
              <w:t>5</w:t>
            </w:r>
          </w:p>
        </w:tc>
        <w:tc>
          <w:tcPr>
            <w:tcW w:w="1276" w:type="dxa"/>
            <w:vMerge w:val="restart"/>
            <w:vAlign w:val="center"/>
          </w:tcPr>
          <w:p w14:paraId="571B9781">
            <w:pPr>
              <w:snapToGrid w:val="0"/>
              <w:spacing w:line="276" w:lineRule="auto"/>
              <w:jc w:val="center"/>
              <w:rPr>
                <w:rFonts w:hint="eastAsia" w:ascii="仿宋" w:hAnsi="仿宋" w:eastAsia="仿宋" w:cs="宋体"/>
                <w:b/>
                <w:bCs/>
                <w:sz w:val="24"/>
                <w:highlight w:val="none"/>
              </w:rPr>
            </w:pPr>
            <w:r>
              <w:rPr>
                <w:rFonts w:ascii="仿宋" w:hAnsi="仿宋" w:eastAsia="仿宋" w:cs="宋体"/>
                <w:b/>
                <w:bCs/>
                <w:sz w:val="24"/>
                <w:highlight w:val="none"/>
              </w:rPr>
              <w:t>技术方案</w:t>
            </w:r>
          </w:p>
        </w:tc>
        <w:tc>
          <w:tcPr>
            <w:tcW w:w="7508" w:type="dxa"/>
            <w:vAlign w:val="center"/>
          </w:tcPr>
          <w:p w14:paraId="58901EE8">
            <w:pPr>
              <w:spacing w:line="276" w:lineRule="auto"/>
              <w:rPr>
                <w:rFonts w:hint="eastAsia" w:ascii="仿宋" w:hAnsi="仿宋" w:eastAsia="仿宋" w:cs="宋体"/>
                <w:b/>
                <w:bCs/>
                <w:sz w:val="24"/>
                <w:highlight w:val="none"/>
              </w:rPr>
            </w:pPr>
            <w:r>
              <w:rPr>
                <w:rFonts w:hint="eastAsia" w:ascii="仿宋" w:hAnsi="仿宋" w:eastAsia="仿宋" w:cs="宋体"/>
                <w:b/>
                <w:bCs/>
                <w:sz w:val="24"/>
                <w:highlight w:val="none"/>
              </w:rPr>
              <w:t>项目实施方案（7分）：</w:t>
            </w:r>
          </w:p>
          <w:p w14:paraId="2BFE8B77">
            <w:pPr>
              <w:spacing w:line="276" w:lineRule="auto"/>
              <w:rPr>
                <w:rFonts w:hint="eastAsia" w:ascii="仿宋" w:hAnsi="仿宋" w:eastAsia="仿宋" w:cs="宋体"/>
                <w:bCs/>
                <w:sz w:val="24"/>
                <w:highlight w:val="none"/>
              </w:rPr>
            </w:pPr>
            <w:r>
              <w:rPr>
                <w:rFonts w:hint="eastAsia" w:ascii="仿宋" w:hAnsi="仿宋" w:eastAsia="仿宋" w:cs="宋体"/>
                <w:bCs/>
                <w:sz w:val="24"/>
                <w:highlight w:val="none"/>
              </w:rPr>
              <w:t>投标人提供针对本项目实施方案，根据方案是否满足本项目需求、是否有标准化的市场服务管理体系、市场经营管理思路及运作流程（包括经营管理的理念、个性化管理及服务项目的设置）是否科学清晰，由评委进行综合评价。</w:t>
            </w:r>
          </w:p>
          <w:p w14:paraId="5F391E42">
            <w:pPr>
              <w:spacing w:line="276" w:lineRule="auto"/>
              <w:rPr>
                <w:rFonts w:hint="eastAsia" w:ascii="仿宋" w:hAnsi="仿宋" w:eastAsia="仿宋" w:cs="宋体"/>
                <w:bCs/>
                <w:sz w:val="24"/>
                <w:highlight w:val="none"/>
              </w:rPr>
            </w:pPr>
            <w:r>
              <w:rPr>
                <w:rFonts w:hint="eastAsia" w:ascii="仿宋" w:hAnsi="仿宋" w:eastAsia="仿宋" w:cs="宋体"/>
                <w:bCs/>
                <w:sz w:val="24"/>
                <w:highlight w:val="none"/>
              </w:rPr>
              <w:t>（说明：方案</w:t>
            </w:r>
            <w:r>
              <w:rPr>
                <w:rFonts w:hint="eastAsia" w:ascii="仿宋" w:hAnsi="仿宋" w:eastAsia="仿宋"/>
                <w:sz w:val="24"/>
                <w:szCs w:val="24"/>
                <w:highlight w:val="none"/>
              </w:rPr>
              <w:t>全面、合理、可行的，得7分；方案相对完整、具有一定操作性的，得4分；有提出方案，但内容简陋、层次模糊、操作性较差的，得2分；未提供方案或不符合项目的不得分。）</w:t>
            </w:r>
          </w:p>
        </w:tc>
        <w:tc>
          <w:tcPr>
            <w:tcW w:w="807" w:type="dxa"/>
            <w:vAlign w:val="center"/>
          </w:tcPr>
          <w:p w14:paraId="2D4AB580">
            <w:pPr>
              <w:spacing w:line="276" w:lineRule="auto"/>
              <w:jc w:val="center"/>
              <w:rPr>
                <w:rFonts w:hint="eastAsia" w:ascii="仿宋" w:hAnsi="仿宋" w:eastAsia="仿宋" w:cs="宋体"/>
                <w:bCs/>
                <w:sz w:val="24"/>
                <w:highlight w:val="none"/>
              </w:rPr>
            </w:pPr>
            <w:r>
              <w:rPr>
                <w:rFonts w:hint="eastAsia" w:ascii="仿宋" w:hAnsi="仿宋" w:eastAsia="仿宋" w:cs="宋体"/>
                <w:bCs/>
                <w:sz w:val="24"/>
                <w:highlight w:val="none"/>
              </w:rPr>
              <w:t>7分</w:t>
            </w:r>
          </w:p>
        </w:tc>
      </w:tr>
      <w:tr w14:paraId="1C80FB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805" w:type="dxa"/>
            <w:vMerge w:val="continue"/>
            <w:vAlign w:val="center"/>
          </w:tcPr>
          <w:p w14:paraId="7739172A">
            <w:pPr>
              <w:spacing w:line="276" w:lineRule="auto"/>
              <w:jc w:val="center"/>
              <w:rPr>
                <w:rFonts w:hint="eastAsia" w:ascii="仿宋" w:hAnsi="仿宋" w:eastAsia="仿宋" w:cs="宋体"/>
                <w:bCs/>
                <w:sz w:val="24"/>
                <w:highlight w:val="none"/>
              </w:rPr>
            </w:pPr>
          </w:p>
        </w:tc>
        <w:tc>
          <w:tcPr>
            <w:tcW w:w="1276" w:type="dxa"/>
            <w:vMerge w:val="continue"/>
            <w:vAlign w:val="center"/>
          </w:tcPr>
          <w:p w14:paraId="643AA688">
            <w:pPr>
              <w:snapToGrid w:val="0"/>
              <w:spacing w:line="276" w:lineRule="auto"/>
              <w:jc w:val="center"/>
              <w:rPr>
                <w:rFonts w:hint="eastAsia" w:ascii="仿宋" w:hAnsi="仿宋" w:eastAsia="仿宋" w:cs="宋体"/>
                <w:bCs/>
                <w:sz w:val="24"/>
                <w:highlight w:val="none"/>
              </w:rPr>
            </w:pPr>
          </w:p>
        </w:tc>
        <w:tc>
          <w:tcPr>
            <w:tcW w:w="7508" w:type="dxa"/>
            <w:vAlign w:val="center"/>
          </w:tcPr>
          <w:p w14:paraId="3913AE69">
            <w:pPr>
              <w:spacing w:line="276" w:lineRule="auto"/>
              <w:jc w:val="left"/>
              <w:rPr>
                <w:rFonts w:hint="eastAsia" w:ascii="仿宋" w:hAnsi="仿宋" w:eastAsia="仿宋" w:cs="Arial"/>
                <w:b/>
                <w:color w:val="000000" w:themeColor="text1"/>
                <w:sz w:val="24"/>
                <w:highlight w:val="none"/>
              </w:rPr>
            </w:pPr>
            <w:r>
              <w:rPr>
                <w:rFonts w:hint="eastAsia" w:ascii="仿宋" w:hAnsi="仿宋" w:eastAsia="仿宋" w:cs="Arial"/>
                <w:b/>
                <w:color w:val="000000" w:themeColor="text1"/>
                <w:sz w:val="24"/>
                <w:highlight w:val="none"/>
              </w:rPr>
              <w:t>重难点阐述（7分）：</w:t>
            </w:r>
          </w:p>
          <w:p w14:paraId="4316C76A">
            <w:pPr>
              <w:spacing w:line="276" w:lineRule="auto"/>
              <w:jc w:val="left"/>
              <w:rPr>
                <w:rFonts w:hint="eastAsia" w:ascii="仿宋" w:hAnsi="仿宋" w:eastAsia="仿宋" w:cs="Arial"/>
                <w:color w:val="000000" w:themeColor="text1"/>
                <w:sz w:val="24"/>
                <w:highlight w:val="none"/>
              </w:rPr>
            </w:pPr>
            <w:r>
              <w:rPr>
                <w:rFonts w:hint="eastAsia" w:ascii="仿宋" w:hAnsi="仿宋" w:eastAsia="仿宋" w:cs="Arial"/>
                <w:color w:val="000000" w:themeColor="text1"/>
                <w:sz w:val="24"/>
                <w:highlight w:val="none"/>
              </w:rPr>
              <w:t>投标人提供针对本项目实施重点、难点、普遍问题的阐述（包括公共环境卫生管理、市场内部经营秩序管理、市场进出车辆管控），投标人基于自身经验结合本项目采购需求、本项目实际勘查情况进行项目实施重点和难点的阐述，并提出相关解决方案。评委根据阐述和解决方案的全面性、有效性进行综合评价。</w:t>
            </w:r>
          </w:p>
          <w:p w14:paraId="5BECFC1B">
            <w:pPr>
              <w:spacing w:line="276" w:lineRule="auto"/>
              <w:jc w:val="left"/>
              <w:rPr>
                <w:rFonts w:hint="eastAsia" w:ascii="仿宋" w:hAnsi="仿宋" w:eastAsia="仿宋" w:cs="Arial"/>
                <w:color w:val="000000" w:themeColor="text1"/>
                <w:sz w:val="24"/>
                <w:highlight w:val="none"/>
              </w:rPr>
            </w:pPr>
            <w:r>
              <w:rPr>
                <w:rFonts w:hint="eastAsia" w:ascii="仿宋" w:hAnsi="仿宋" w:eastAsia="仿宋" w:cs="Arial"/>
                <w:color w:val="000000" w:themeColor="text1"/>
                <w:sz w:val="24"/>
                <w:highlight w:val="none"/>
              </w:rPr>
              <w:t>（说明：阐述全面、解决方案有效的得7分；阐述和解决方案存在欠缺但基本全面、有效的得4分；阐述和解决方案内容简陋、层次模糊或有效性较弱的得2分；未提供相关内容或不符合项目的不得分。）</w:t>
            </w:r>
          </w:p>
        </w:tc>
        <w:tc>
          <w:tcPr>
            <w:tcW w:w="807" w:type="dxa"/>
            <w:vAlign w:val="center"/>
          </w:tcPr>
          <w:p w14:paraId="2D908667">
            <w:pPr>
              <w:spacing w:line="276" w:lineRule="auto"/>
              <w:jc w:val="center"/>
              <w:rPr>
                <w:rFonts w:hint="eastAsia" w:ascii="仿宋" w:hAnsi="仿宋" w:eastAsia="仿宋" w:cs="宋体"/>
                <w:bCs/>
                <w:sz w:val="24"/>
                <w:highlight w:val="none"/>
              </w:rPr>
            </w:pPr>
            <w:r>
              <w:rPr>
                <w:rFonts w:hint="eastAsia" w:ascii="仿宋" w:hAnsi="仿宋" w:eastAsia="仿宋" w:cs="宋体"/>
                <w:bCs/>
                <w:sz w:val="24"/>
                <w:highlight w:val="none"/>
              </w:rPr>
              <w:t>7分</w:t>
            </w:r>
          </w:p>
        </w:tc>
      </w:tr>
      <w:tr w14:paraId="6F00F3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805" w:type="dxa"/>
            <w:vMerge w:val="continue"/>
            <w:vAlign w:val="center"/>
          </w:tcPr>
          <w:p w14:paraId="1B2FE9ED">
            <w:pPr>
              <w:spacing w:line="276" w:lineRule="auto"/>
              <w:jc w:val="center"/>
              <w:rPr>
                <w:rFonts w:hint="eastAsia" w:ascii="仿宋" w:hAnsi="仿宋" w:eastAsia="仿宋" w:cs="宋体"/>
                <w:bCs/>
                <w:sz w:val="24"/>
                <w:highlight w:val="none"/>
              </w:rPr>
            </w:pPr>
          </w:p>
        </w:tc>
        <w:tc>
          <w:tcPr>
            <w:tcW w:w="1276" w:type="dxa"/>
            <w:vMerge w:val="continue"/>
            <w:vAlign w:val="center"/>
          </w:tcPr>
          <w:p w14:paraId="182DEC03">
            <w:pPr>
              <w:snapToGrid w:val="0"/>
              <w:spacing w:line="276" w:lineRule="auto"/>
              <w:jc w:val="center"/>
              <w:rPr>
                <w:rFonts w:hint="eastAsia" w:ascii="仿宋" w:hAnsi="仿宋" w:eastAsia="仿宋" w:cs="宋体"/>
                <w:bCs/>
                <w:sz w:val="24"/>
                <w:highlight w:val="none"/>
              </w:rPr>
            </w:pPr>
          </w:p>
        </w:tc>
        <w:tc>
          <w:tcPr>
            <w:tcW w:w="7508" w:type="dxa"/>
            <w:vAlign w:val="center"/>
          </w:tcPr>
          <w:p w14:paraId="34C3EA6F">
            <w:pPr>
              <w:spacing w:line="276" w:lineRule="auto"/>
              <w:rPr>
                <w:rFonts w:hint="eastAsia" w:ascii="仿宋" w:hAnsi="仿宋" w:eastAsia="仿宋" w:cs="宋体"/>
                <w:b/>
                <w:bCs/>
                <w:sz w:val="24"/>
                <w:highlight w:val="none"/>
              </w:rPr>
            </w:pPr>
            <w:r>
              <w:rPr>
                <w:rFonts w:hint="eastAsia" w:ascii="仿宋" w:hAnsi="仿宋" w:eastAsia="仿宋" w:cs="宋体"/>
                <w:b/>
                <w:bCs/>
                <w:sz w:val="24"/>
                <w:highlight w:val="none"/>
              </w:rPr>
              <w:t>市场管理机制（12分）：</w:t>
            </w:r>
          </w:p>
          <w:p w14:paraId="5B0578C4">
            <w:pPr>
              <w:spacing w:line="276" w:lineRule="auto"/>
              <w:rPr>
                <w:rFonts w:hint="eastAsia" w:ascii="仿宋" w:hAnsi="仿宋" w:eastAsia="仿宋" w:cs="Arial"/>
                <w:color w:val="000000" w:themeColor="text1"/>
                <w:sz w:val="24"/>
                <w:highlight w:val="none"/>
              </w:rPr>
            </w:pPr>
            <w:r>
              <w:rPr>
                <w:rFonts w:hint="eastAsia" w:ascii="仿宋" w:hAnsi="仿宋" w:eastAsia="仿宋" w:cs="宋体"/>
                <w:bCs/>
                <w:sz w:val="24"/>
                <w:highlight w:val="none"/>
              </w:rPr>
              <w:t>投标人需针对本项目建立有效的市场管理机构、管理制度和考核制度，主要包括以下6项（每项机制均需包含工作职责、工作与服务流程、工作质量标准与规范）：①治安消防机制（2分）、②卫生保洁机制（2分）、③经营秩序机制（2分）、④消费纠纷调解机制（2分）、⑤食品安全管理机制（2分）、⑥考核机制（2分）。</w:t>
            </w:r>
            <w:r>
              <w:rPr>
                <w:rFonts w:hint="eastAsia" w:ascii="仿宋" w:hAnsi="仿宋" w:eastAsia="仿宋" w:cs="Arial"/>
                <w:color w:val="000000" w:themeColor="text1"/>
                <w:sz w:val="24"/>
                <w:highlight w:val="none"/>
              </w:rPr>
              <w:t>评委根据每项机制内容的完整性、合理性、有效性进行综合评价。</w:t>
            </w:r>
          </w:p>
          <w:p w14:paraId="7BF6EC3D">
            <w:pPr>
              <w:spacing w:line="276" w:lineRule="auto"/>
              <w:rPr>
                <w:rFonts w:hint="eastAsia" w:ascii="仿宋" w:hAnsi="仿宋" w:eastAsia="仿宋" w:cs="Arial"/>
                <w:sz w:val="24"/>
                <w:highlight w:val="none"/>
              </w:rPr>
            </w:pPr>
            <w:r>
              <w:rPr>
                <w:rFonts w:hint="eastAsia" w:ascii="仿宋" w:hAnsi="仿宋" w:eastAsia="仿宋" w:cs="宋体"/>
                <w:bCs/>
                <w:sz w:val="24"/>
                <w:highlight w:val="none"/>
              </w:rPr>
              <w:t>（以上每个分项：</w:t>
            </w:r>
            <w:r>
              <w:rPr>
                <w:rFonts w:hint="eastAsia" w:ascii="仿宋" w:hAnsi="仿宋" w:eastAsia="仿宋"/>
                <w:sz w:val="24"/>
                <w:highlight w:val="none"/>
              </w:rPr>
              <w:t>详尽、准确且合理可行的得2分；较详尽、准确且较合理可行的得1分；粗略、缺陷较多，部分合理可行的得0.5分；未提供相关内容阐述或不符合项目的不得分。</w:t>
            </w:r>
            <w:r>
              <w:rPr>
                <w:rFonts w:hint="eastAsia" w:ascii="仿宋" w:hAnsi="仿宋" w:eastAsia="仿宋"/>
                <w:sz w:val="24"/>
                <w:szCs w:val="24"/>
                <w:highlight w:val="none"/>
              </w:rPr>
              <w:t>）</w:t>
            </w:r>
          </w:p>
        </w:tc>
        <w:tc>
          <w:tcPr>
            <w:tcW w:w="807" w:type="dxa"/>
            <w:vAlign w:val="center"/>
          </w:tcPr>
          <w:p w14:paraId="4AD1D5B9">
            <w:pPr>
              <w:spacing w:line="276" w:lineRule="auto"/>
              <w:jc w:val="center"/>
              <w:rPr>
                <w:rFonts w:hint="eastAsia" w:ascii="仿宋" w:hAnsi="仿宋" w:eastAsia="仿宋" w:cs="宋体"/>
                <w:bCs/>
                <w:sz w:val="24"/>
                <w:highlight w:val="none"/>
              </w:rPr>
            </w:pPr>
            <w:r>
              <w:rPr>
                <w:rFonts w:hint="eastAsia" w:ascii="仿宋" w:hAnsi="仿宋" w:eastAsia="仿宋" w:cs="宋体"/>
                <w:bCs/>
                <w:sz w:val="24"/>
                <w:highlight w:val="none"/>
              </w:rPr>
              <w:t>12分</w:t>
            </w:r>
          </w:p>
        </w:tc>
      </w:tr>
      <w:tr w14:paraId="2D49FC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27" w:hRule="atLeast"/>
          <w:jc w:val="center"/>
        </w:trPr>
        <w:tc>
          <w:tcPr>
            <w:tcW w:w="805" w:type="dxa"/>
            <w:vMerge w:val="continue"/>
            <w:vAlign w:val="center"/>
          </w:tcPr>
          <w:p w14:paraId="1299824B">
            <w:pPr>
              <w:spacing w:line="276" w:lineRule="auto"/>
              <w:jc w:val="center"/>
              <w:rPr>
                <w:rFonts w:hint="eastAsia" w:ascii="仿宋" w:hAnsi="仿宋" w:eastAsia="仿宋" w:cs="宋体"/>
                <w:bCs/>
                <w:sz w:val="24"/>
                <w:highlight w:val="none"/>
              </w:rPr>
            </w:pPr>
          </w:p>
        </w:tc>
        <w:tc>
          <w:tcPr>
            <w:tcW w:w="1276" w:type="dxa"/>
            <w:vMerge w:val="continue"/>
            <w:vAlign w:val="center"/>
          </w:tcPr>
          <w:p w14:paraId="26283284">
            <w:pPr>
              <w:snapToGrid w:val="0"/>
              <w:spacing w:line="276" w:lineRule="auto"/>
              <w:jc w:val="center"/>
              <w:rPr>
                <w:rFonts w:hint="eastAsia" w:ascii="仿宋" w:hAnsi="仿宋" w:eastAsia="仿宋" w:cs="宋体"/>
                <w:bCs/>
                <w:sz w:val="24"/>
                <w:highlight w:val="none"/>
              </w:rPr>
            </w:pPr>
          </w:p>
        </w:tc>
        <w:tc>
          <w:tcPr>
            <w:tcW w:w="7508" w:type="dxa"/>
            <w:vAlign w:val="center"/>
          </w:tcPr>
          <w:p w14:paraId="6F26BF6D">
            <w:pPr>
              <w:spacing w:line="276" w:lineRule="auto"/>
              <w:rPr>
                <w:rFonts w:hint="eastAsia" w:ascii="仿宋" w:hAnsi="仿宋" w:eastAsia="仿宋" w:cs="宋体"/>
                <w:bCs/>
                <w:sz w:val="24"/>
                <w:highlight w:val="none"/>
              </w:rPr>
            </w:pPr>
            <w:r>
              <w:rPr>
                <w:rFonts w:hint="eastAsia" w:ascii="仿宋" w:hAnsi="仿宋" w:eastAsia="仿宋" w:cs="宋体"/>
                <w:b/>
                <w:bCs/>
                <w:sz w:val="24"/>
                <w:highlight w:val="none"/>
              </w:rPr>
              <w:t>物业管理与资产管理（7分）：</w:t>
            </w:r>
            <w:r>
              <w:rPr>
                <w:rFonts w:hint="eastAsia" w:ascii="仿宋" w:hAnsi="仿宋" w:eastAsia="仿宋" w:cs="宋体"/>
                <w:bCs/>
                <w:sz w:val="24"/>
                <w:highlight w:val="none"/>
              </w:rPr>
              <w:t>投标人提供针对本项目物业管理、资产管理方案（包括物业设施的维护保养、市场资产的管理和使用等），评委根据方案的全面性、合理性、有效性进行综合评价。</w:t>
            </w:r>
          </w:p>
          <w:p w14:paraId="3C8AB1C2">
            <w:pPr>
              <w:spacing w:line="276" w:lineRule="auto"/>
              <w:rPr>
                <w:rFonts w:hint="eastAsia" w:ascii="仿宋" w:hAnsi="仿宋" w:eastAsia="仿宋" w:cs="宋体"/>
                <w:b/>
                <w:bCs/>
                <w:sz w:val="24"/>
                <w:highlight w:val="none"/>
              </w:rPr>
            </w:pPr>
            <w:r>
              <w:rPr>
                <w:rFonts w:hint="eastAsia" w:ascii="仿宋" w:hAnsi="仿宋" w:eastAsia="仿宋" w:cs="Arial"/>
                <w:color w:val="000000" w:themeColor="text1"/>
                <w:sz w:val="24"/>
                <w:highlight w:val="none"/>
              </w:rPr>
              <w:t>（说明：方案合理、全面、可行的得7分；方案存在欠缺，但相对完整、基本合理的得4分；有提出方案，</w:t>
            </w:r>
            <w:r>
              <w:rPr>
                <w:rFonts w:hint="eastAsia" w:ascii="仿宋" w:hAnsi="仿宋" w:eastAsia="仿宋"/>
                <w:sz w:val="24"/>
                <w:szCs w:val="24"/>
                <w:highlight w:val="none"/>
              </w:rPr>
              <w:t>但内容简陋、层次模糊、操作性较差的</w:t>
            </w:r>
            <w:r>
              <w:rPr>
                <w:rFonts w:hint="eastAsia" w:ascii="仿宋" w:hAnsi="仿宋" w:eastAsia="仿宋" w:cs="Arial"/>
                <w:color w:val="000000" w:themeColor="text1"/>
                <w:sz w:val="24"/>
                <w:highlight w:val="none"/>
              </w:rPr>
              <w:t>得2分；</w:t>
            </w:r>
            <w:r>
              <w:rPr>
                <w:rFonts w:hint="eastAsia" w:ascii="仿宋" w:hAnsi="仿宋" w:eastAsia="仿宋"/>
                <w:sz w:val="24"/>
                <w:szCs w:val="24"/>
                <w:highlight w:val="none"/>
              </w:rPr>
              <w:t>未提供方案或不符合项目的不得分。</w:t>
            </w:r>
            <w:r>
              <w:rPr>
                <w:rFonts w:hint="eastAsia" w:ascii="仿宋" w:hAnsi="仿宋" w:eastAsia="仿宋" w:cs="Arial"/>
                <w:color w:val="000000" w:themeColor="text1"/>
                <w:sz w:val="24"/>
                <w:highlight w:val="none"/>
              </w:rPr>
              <w:t>）</w:t>
            </w:r>
          </w:p>
        </w:tc>
        <w:tc>
          <w:tcPr>
            <w:tcW w:w="807" w:type="dxa"/>
            <w:vAlign w:val="center"/>
          </w:tcPr>
          <w:p w14:paraId="2FD22E61">
            <w:pPr>
              <w:spacing w:line="276" w:lineRule="auto"/>
              <w:jc w:val="center"/>
              <w:rPr>
                <w:rFonts w:hint="eastAsia" w:ascii="仿宋" w:hAnsi="仿宋" w:eastAsia="仿宋" w:cs="宋体"/>
                <w:bCs/>
                <w:sz w:val="24"/>
                <w:highlight w:val="none"/>
              </w:rPr>
            </w:pPr>
            <w:r>
              <w:rPr>
                <w:rFonts w:hint="eastAsia" w:ascii="仿宋" w:hAnsi="仿宋" w:eastAsia="仿宋" w:cs="宋体"/>
                <w:bCs/>
                <w:sz w:val="24"/>
                <w:highlight w:val="none"/>
              </w:rPr>
              <w:t>7分</w:t>
            </w:r>
          </w:p>
        </w:tc>
      </w:tr>
      <w:tr w14:paraId="786E41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1" w:hRule="atLeast"/>
          <w:jc w:val="center"/>
        </w:trPr>
        <w:tc>
          <w:tcPr>
            <w:tcW w:w="805" w:type="dxa"/>
            <w:vMerge w:val="continue"/>
            <w:vAlign w:val="center"/>
          </w:tcPr>
          <w:p w14:paraId="0A7AF670">
            <w:pPr>
              <w:spacing w:line="276" w:lineRule="auto"/>
              <w:jc w:val="center"/>
              <w:rPr>
                <w:rFonts w:hint="eastAsia" w:ascii="仿宋" w:hAnsi="仿宋" w:eastAsia="仿宋" w:cs="宋体"/>
                <w:bCs/>
                <w:sz w:val="24"/>
                <w:highlight w:val="none"/>
              </w:rPr>
            </w:pPr>
          </w:p>
        </w:tc>
        <w:tc>
          <w:tcPr>
            <w:tcW w:w="1276" w:type="dxa"/>
            <w:vMerge w:val="continue"/>
            <w:vAlign w:val="center"/>
          </w:tcPr>
          <w:p w14:paraId="2A4CE494">
            <w:pPr>
              <w:snapToGrid w:val="0"/>
              <w:spacing w:line="276" w:lineRule="auto"/>
              <w:jc w:val="center"/>
              <w:rPr>
                <w:rFonts w:hint="eastAsia" w:ascii="仿宋" w:hAnsi="仿宋" w:eastAsia="仿宋" w:cs="宋体"/>
                <w:bCs/>
                <w:sz w:val="24"/>
                <w:highlight w:val="none"/>
              </w:rPr>
            </w:pPr>
          </w:p>
        </w:tc>
        <w:tc>
          <w:tcPr>
            <w:tcW w:w="7508" w:type="dxa"/>
            <w:vAlign w:val="center"/>
          </w:tcPr>
          <w:p w14:paraId="62E9DCF4">
            <w:pPr>
              <w:spacing w:line="276" w:lineRule="auto"/>
              <w:jc w:val="left"/>
              <w:rPr>
                <w:rFonts w:hint="eastAsia" w:ascii="仿宋" w:hAnsi="仿宋" w:eastAsia="仿宋" w:cs="Arial"/>
                <w:b/>
                <w:color w:val="000000" w:themeColor="text1"/>
                <w:sz w:val="24"/>
                <w:highlight w:val="none"/>
              </w:rPr>
            </w:pPr>
            <w:r>
              <w:rPr>
                <w:rFonts w:hint="eastAsia" w:ascii="仿宋" w:hAnsi="仿宋" w:eastAsia="仿宋" w:cs="Arial"/>
                <w:b/>
                <w:color w:val="000000" w:themeColor="text1"/>
                <w:sz w:val="24"/>
                <w:highlight w:val="none"/>
              </w:rPr>
              <w:t>培训方案（7分）：</w:t>
            </w:r>
            <w:r>
              <w:rPr>
                <w:rFonts w:hint="eastAsia" w:ascii="仿宋" w:hAnsi="仿宋" w:eastAsia="仿宋" w:cs="Arial"/>
                <w:color w:val="000000" w:themeColor="text1"/>
                <w:sz w:val="24"/>
                <w:highlight w:val="none"/>
              </w:rPr>
              <w:t>投标人提供针对本项目的人员培训方案，包括培训内容、培训目标、培训形式等，评委根据方案的描述与说明的全面性、合理性、有效性进行综合评价。</w:t>
            </w:r>
          </w:p>
          <w:p w14:paraId="40CE58A7">
            <w:pPr>
              <w:spacing w:line="276" w:lineRule="auto"/>
              <w:jc w:val="left"/>
              <w:rPr>
                <w:rFonts w:hint="eastAsia" w:ascii="仿宋" w:hAnsi="仿宋" w:eastAsia="仿宋" w:cs="Arial"/>
                <w:color w:val="000000" w:themeColor="text1"/>
                <w:sz w:val="24"/>
                <w:highlight w:val="none"/>
              </w:rPr>
            </w:pPr>
            <w:r>
              <w:rPr>
                <w:rFonts w:hint="eastAsia" w:ascii="仿宋" w:hAnsi="仿宋" w:eastAsia="仿宋" w:cs="Arial"/>
                <w:color w:val="000000" w:themeColor="text1"/>
                <w:sz w:val="24"/>
                <w:highlight w:val="none"/>
              </w:rPr>
              <w:t>（说明：方案合理、全面、可行的得7分；方案存在欠缺，但相对完整、基本合理的得4分；有提出方案，</w:t>
            </w:r>
            <w:r>
              <w:rPr>
                <w:rFonts w:hint="eastAsia" w:ascii="仿宋" w:hAnsi="仿宋" w:eastAsia="仿宋"/>
                <w:sz w:val="24"/>
                <w:szCs w:val="24"/>
                <w:highlight w:val="none"/>
              </w:rPr>
              <w:t>但内容简陋、层次模糊、操作性较差的</w:t>
            </w:r>
            <w:r>
              <w:rPr>
                <w:rFonts w:hint="eastAsia" w:ascii="仿宋" w:hAnsi="仿宋" w:eastAsia="仿宋" w:cs="Arial"/>
                <w:color w:val="000000" w:themeColor="text1"/>
                <w:sz w:val="24"/>
                <w:highlight w:val="none"/>
              </w:rPr>
              <w:t>得2分；</w:t>
            </w:r>
            <w:r>
              <w:rPr>
                <w:rFonts w:hint="eastAsia" w:ascii="仿宋" w:hAnsi="仿宋" w:eastAsia="仿宋"/>
                <w:sz w:val="24"/>
                <w:szCs w:val="24"/>
                <w:highlight w:val="none"/>
              </w:rPr>
              <w:t>未提供方案或不符合项目的不得分。</w:t>
            </w:r>
            <w:r>
              <w:rPr>
                <w:rFonts w:hint="eastAsia" w:ascii="仿宋" w:hAnsi="仿宋" w:eastAsia="仿宋" w:cs="Arial"/>
                <w:color w:val="000000" w:themeColor="text1"/>
                <w:sz w:val="24"/>
                <w:highlight w:val="none"/>
              </w:rPr>
              <w:t>）</w:t>
            </w:r>
          </w:p>
        </w:tc>
        <w:tc>
          <w:tcPr>
            <w:tcW w:w="807" w:type="dxa"/>
            <w:vAlign w:val="center"/>
          </w:tcPr>
          <w:p w14:paraId="472BDA9B">
            <w:pPr>
              <w:spacing w:line="276" w:lineRule="auto"/>
              <w:jc w:val="center"/>
              <w:rPr>
                <w:rFonts w:hint="eastAsia" w:ascii="仿宋" w:hAnsi="仿宋" w:eastAsia="仿宋" w:cs="宋体"/>
                <w:bCs/>
                <w:sz w:val="24"/>
                <w:highlight w:val="none"/>
              </w:rPr>
            </w:pPr>
            <w:r>
              <w:rPr>
                <w:rFonts w:hint="eastAsia" w:ascii="仿宋" w:hAnsi="仿宋" w:eastAsia="仿宋" w:cs="宋体"/>
                <w:bCs/>
                <w:sz w:val="24"/>
                <w:highlight w:val="none"/>
              </w:rPr>
              <w:t>7分</w:t>
            </w:r>
          </w:p>
        </w:tc>
      </w:tr>
      <w:tr w14:paraId="4C2021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805" w:type="dxa"/>
            <w:vMerge w:val="continue"/>
            <w:vAlign w:val="center"/>
          </w:tcPr>
          <w:p w14:paraId="38CB19E2">
            <w:pPr>
              <w:spacing w:line="276" w:lineRule="auto"/>
              <w:jc w:val="center"/>
              <w:rPr>
                <w:rFonts w:hint="eastAsia" w:ascii="仿宋" w:hAnsi="仿宋" w:eastAsia="仿宋" w:cs="宋体"/>
                <w:b/>
                <w:bCs/>
                <w:sz w:val="24"/>
                <w:highlight w:val="none"/>
              </w:rPr>
            </w:pPr>
          </w:p>
        </w:tc>
        <w:tc>
          <w:tcPr>
            <w:tcW w:w="1276" w:type="dxa"/>
            <w:vMerge w:val="continue"/>
            <w:vAlign w:val="center"/>
          </w:tcPr>
          <w:p w14:paraId="62ACCBE4">
            <w:pPr>
              <w:snapToGrid w:val="0"/>
              <w:spacing w:line="276" w:lineRule="auto"/>
              <w:jc w:val="center"/>
              <w:rPr>
                <w:rFonts w:hint="eastAsia" w:ascii="仿宋" w:hAnsi="仿宋" w:eastAsia="仿宋" w:cs="宋体"/>
                <w:b/>
                <w:bCs/>
                <w:sz w:val="24"/>
                <w:highlight w:val="none"/>
              </w:rPr>
            </w:pPr>
          </w:p>
        </w:tc>
        <w:tc>
          <w:tcPr>
            <w:tcW w:w="7508" w:type="dxa"/>
            <w:vAlign w:val="center"/>
          </w:tcPr>
          <w:p w14:paraId="1A16CD09">
            <w:pPr>
              <w:spacing w:line="276" w:lineRule="auto"/>
              <w:jc w:val="left"/>
              <w:rPr>
                <w:rFonts w:hint="eastAsia" w:ascii="仿宋" w:hAnsi="仿宋" w:eastAsia="仿宋" w:cs="宋体"/>
                <w:b/>
                <w:bCs/>
                <w:sz w:val="24"/>
                <w:highlight w:val="none"/>
              </w:rPr>
            </w:pPr>
            <w:r>
              <w:rPr>
                <w:rFonts w:ascii="仿宋" w:hAnsi="仿宋" w:eastAsia="仿宋" w:cs="宋体"/>
                <w:b/>
                <w:bCs/>
                <w:sz w:val="24"/>
                <w:highlight w:val="none"/>
              </w:rPr>
              <w:t>紧急事件防控措施</w:t>
            </w:r>
            <w:r>
              <w:rPr>
                <w:rFonts w:hint="eastAsia" w:ascii="仿宋" w:hAnsi="仿宋" w:eastAsia="仿宋" w:cs="宋体"/>
                <w:b/>
                <w:bCs/>
                <w:sz w:val="24"/>
                <w:highlight w:val="none"/>
              </w:rPr>
              <w:t>（7分）：</w:t>
            </w:r>
            <w:r>
              <w:rPr>
                <w:rFonts w:hint="eastAsia" w:ascii="仿宋" w:hAnsi="仿宋" w:eastAsia="仿宋" w:cs="Arial"/>
                <w:color w:val="000000" w:themeColor="text1"/>
                <w:sz w:val="24"/>
                <w:highlight w:val="none"/>
              </w:rPr>
              <w:t>根据投标人提供的紧急事件防控措施，由评委进行综合评价：对管理过程中各节点可能出现的紧急事件有事先预估判断，并制定相应的防控措施，有相应的人力、物力投入安排，能够有效避免或者能够及时有效处理紧急事件的，得7分；有提出管理过程中可能出现的紧急事件，</w:t>
            </w:r>
            <w:r>
              <w:rPr>
                <w:rFonts w:hint="eastAsia" w:ascii="仿宋" w:hAnsi="仿宋" w:eastAsia="仿宋" w:cs="Arial"/>
                <w:sz w:val="24"/>
                <w:highlight w:val="none"/>
              </w:rPr>
              <w:t>制定的措施较为合理明确，具有一定可行性的，</w:t>
            </w:r>
            <w:r>
              <w:rPr>
                <w:rFonts w:hint="eastAsia" w:ascii="仿宋" w:hAnsi="仿宋" w:eastAsia="仿宋" w:cs="Arial"/>
                <w:color w:val="000000" w:themeColor="text1"/>
                <w:sz w:val="24"/>
                <w:highlight w:val="none"/>
              </w:rPr>
              <w:t>得4分；有提出管理过程中可能出现的紧急事件，但制定的措施</w:t>
            </w:r>
            <w:r>
              <w:rPr>
                <w:rFonts w:hint="eastAsia" w:ascii="仿宋" w:hAnsi="仿宋" w:eastAsia="仿宋" w:cs="Arial"/>
                <w:sz w:val="24"/>
                <w:highlight w:val="none"/>
              </w:rPr>
              <w:t>可行性较弱或与项目需求的切合度较差的</w:t>
            </w:r>
            <w:r>
              <w:rPr>
                <w:rFonts w:hint="eastAsia" w:ascii="仿宋" w:hAnsi="仿宋" w:eastAsia="仿宋" w:cs="Arial"/>
                <w:color w:val="000000" w:themeColor="text1"/>
                <w:sz w:val="24"/>
                <w:highlight w:val="none"/>
              </w:rPr>
              <w:t>，得2分；未提供相关内容阐述或不符合项目的不得分。</w:t>
            </w:r>
          </w:p>
        </w:tc>
        <w:tc>
          <w:tcPr>
            <w:tcW w:w="807" w:type="dxa"/>
            <w:vAlign w:val="center"/>
          </w:tcPr>
          <w:p w14:paraId="77C498A0">
            <w:pPr>
              <w:spacing w:line="276" w:lineRule="auto"/>
              <w:jc w:val="center"/>
              <w:rPr>
                <w:rFonts w:hint="eastAsia" w:ascii="仿宋" w:hAnsi="仿宋" w:eastAsia="仿宋" w:cs="宋体"/>
                <w:bCs/>
                <w:sz w:val="24"/>
                <w:highlight w:val="none"/>
              </w:rPr>
            </w:pPr>
            <w:r>
              <w:rPr>
                <w:rFonts w:hint="eastAsia" w:ascii="仿宋" w:hAnsi="仿宋" w:eastAsia="仿宋" w:cs="宋体"/>
                <w:bCs/>
                <w:sz w:val="24"/>
                <w:highlight w:val="none"/>
              </w:rPr>
              <w:t>7分</w:t>
            </w:r>
          </w:p>
        </w:tc>
      </w:tr>
    </w:tbl>
    <w:p w14:paraId="3D275EF3">
      <w:pPr>
        <w:spacing w:line="360" w:lineRule="auto"/>
        <w:ind w:firstLine="480" w:firstLineChars="200"/>
        <w:rPr>
          <w:rFonts w:hint="eastAsia" w:ascii="仿宋" w:hAnsi="仿宋" w:eastAsia="仿宋" w:cs="宋体"/>
          <w:bCs/>
          <w:sz w:val="24"/>
          <w:szCs w:val="24"/>
          <w:highlight w:val="none"/>
          <w:u w:val="single"/>
        </w:rPr>
      </w:pPr>
      <w:r>
        <w:rPr>
          <w:rFonts w:hint="eastAsia" w:ascii="仿宋" w:hAnsi="仿宋" w:eastAsia="仿宋" w:cs="宋体"/>
          <w:bCs/>
          <w:sz w:val="24"/>
          <w:szCs w:val="24"/>
          <w:highlight w:val="none"/>
          <w:u w:val="single"/>
        </w:rPr>
        <w:t>注：</w:t>
      </w:r>
    </w:p>
    <w:p w14:paraId="5C2AC0FE">
      <w:pPr>
        <w:spacing w:line="360" w:lineRule="auto"/>
        <w:ind w:firstLine="480" w:firstLineChars="200"/>
        <w:rPr>
          <w:rFonts w:hint="eastAsia" w:ascii="仿宋" w:hAnsi="仿宋" w:eastAsia="仿宋" w:cs="宋体"/>
          <w:bCs/>
          <w:sz w:val="24"/>
          <w:highlight w:val="none"/>
        </w:rPr>
      </w:pPr>
      <w:r>
        <w:rPr>
          <w:rFonts w:hint="eastAsia" w:ascii="仿宋" w:hAnsi="仿宋" w:eastAsia="仿宋" w:cs="宋体"/>
          <w:bCs/>
          <w:sz w:val="24"/>
          <w:szCs w:val="24"/>
          <w:highlight w:val="none"/>
          <w:u w:val="single"/>
        </w:rPr>
        <w:t>1.</w:t>
      </w:r>
      <w:r>
        <w:rPr>
          <w:rFonts w:hint="eastAsia" w:ascii="仿宋" w:hAnsi="仿宋" w:eastAsia="仿宋" w:cs="宋体"/>
          <w:sz w:val="24"/>
          <w:highlight w:val="none"/>
          <w:u w:val="single"/>
        </w:rPr>
        <w:t>上述评审细则中要求提供的</w:t>
      </w:r>
      <w:r>
        <w:rPr>
          <w:rFonts w:hint="eastAsia" w:ascii="仿宋" w:hAnsi="仿宋" w:eastAsia="仿宋" w:cs="宋体"/>
          <w:bCs/>
          <w:sz w:val="24"/>
          <w:highlight w:val="none"/>
          <w:u w:val="single"/>
        </w:rPr>
        <w:t>相关资质、证书等证明材料均以复印件形式置于商务技术文件中，且均需加盖投标人公章，否则视同未提供</w:t>
      </w:r>
      <w:r>
        <w:rPr>
          <w:rFonts w:hint="eastAsia" w:ascii="仿宋" w:hAnsi="仿宋" w:eastAsia="仿宋" w:cs="宋体"/>
          <w:bCs/>
          <w:sz w:val="24"/>
          <w:highlight w:val="none"/>
        </w:rPr>
        <w:t>。</w:t>
      </w:r>
    </w:p>
    <w:p w14:paraId="5CCDCA88">
      <w:pPr>
        <w:spacing w:line="360" w:lineRule="auto"/>
        <w:ind w:firstLine="480" w:firstLineChars="200"/>
        <w:rPr>
          <w:rFonts w:hint="eastAsia" w:ascii="仿宋" w:hAnsi="仿宋" w:eastAsia="仿宋" w:cs="宋体"/>
          <w:bCs/>
          <w:sz w:val="24"/>
          <w:szCs w:val="24"/>
          <w:highlight w:val="none"/>
          <w:u w:val="single"/>
        </w:rPr>
      </w:pPr>
      <w:r>
        <w:rPr>
          <w:rFonts w:hint="eastAsia" w:ascii="仿宋" w:hAnsi="仿宋" w:eastAsia="仿宋" w:cs="宋体"/>
          <w:sz w:val="24"/>
          <w:highlight w:val="none"/>
          <w:u w:val="single"/>
        </w:rPr>
        <w:t>2</w:t>
      </w:r>
      <w:r>
        <w:rPr>
          <w:rFonts w:hint="eastAsia" w:ascii="仿宋" w:hAnsi="仿宋" w:eastAsia="仿宋" w:cs="宋体"/>
          <w:bCs/>
          <w:sz w:val="24"/>
          <w:szCs w:val="24"/>
          <w:highlight w:val="none"/>
          <w:u w:val="single"/>
        </w:rPr>
        <w:t>.</w:t>
      </w:r>
      <w:r>
        <w:rPr>
          <w:rFonts w:hint="eastAsia" w:ascii="仿宋" w:hAnsi="仿宋" w:eastAsia="仿宋" w:cs="宋体"/>
          <w:sz w:val="24"/>
          <w:highlight w:val="none"/>
          <w:u w:val="single"/>
        </w:rPr>
        <w:t>相关评分资质、证书等证明材料具备有效期限的必须在有效期内，否则对应项不得分；所有复印件必须清晰易辨，否则评标委员会有权作出不利于投标人的评判</w:t>
      </w:r>
      <w:r>
        <w:rPr>
          <w:rFonts w:hint="eastAsia" w:ascii="仿宋" w:hAnsi="仿宋" w:eastAsia="仿宋" w:cs="宋体"/>
          <w:sz w:val="24"/>
          <w:highlight w:val="none"/>
        </w:rPr>
        <w:t>。</w:t>
      </w:r>
    </w:p>
    <w:p w14:paraId="577E7DB3">
      <w:pPr>
        <w:spacing w:line="360" w:lineRule="auto"/>
        <w:ind w:firstLine="480" w:firstLineChars="200"/>
        <w:rPr>
          <w:rFonts w:hint="eastAsia" w:ascii="仿宋" w:hAnsi="仿宋" w:eastAsia="仿宋" w:cs="宋体"/>
          <w:bCs/>
          <w:sz w:val="24"/>
          <w:szCs w:val="24"/>
          <w:highlight w:val="none"/>
        </w:rPr>
      </w:pPr>
      <w:r>
        <w:rPr>
          <w:rFonts w:hint="eastAsia" w:ascii="仿宋" w:hAnsi="仿宋" w:eastAsia="仿宋" w:cs="宋体"/>
          <w:bCs/>
          <w:sz w:val="24"/>
          <w:szCs w:val="24"/>
          <w:highlight w:val="none"/>
          <w:u w:val="single"/>
        </w:rPr>
        <w:t>3.</w:t>
      </w:r>
      <w:r>
        <w:rPr>
          <w:rFonts w:hint="eastAsia" w:ascii="仿宋" w:hAnsi="仿宋" w:eastAsia="仿宋" w:cs="宋体"/>
          <w:sz w:val="24"/>
          <w:highlight w:val="none"/>
          <w:u w:val="single"/>
        </w:rPr>
        <w:t>投标</w:t>
      </w:r>
      <w:r>
        <w:rPr>
          <w:rFonts w:hint="eastAsia" w:ascii="仿宋" w:hAnsi="仿宋" w:eastAsia="仿宋" w:cs="宋体"/>
          <w:sz w:val="24"/>
          <w:szCs w:val="24"/>
          <w:highlight w:val="none"/>
          <w:u w:val="single"/>
        </w:rPr>
        <w:t>供应商在编制商务技术文件时，建议按上述评审细则的顺序提供评分标准中相对应的商务技术资料</w:t>
      </w:r>
      <w:r>
        <w:rPr>
          <w:rFonts w:hint="eastAsia" w:ascii="仿宋" w:hAnsi="仿宋" w:eastAsia="仿宋" w:cs="宋体"/>
          <w:sz w:val="24"/>
          <w:szCs w:val="24"/>
          <w:highlight w:val="none"/>
        </w:rPr>
        <w:t>。</w:t>
      </w:r>
    </w:p>
    <w:p w14:paraId="70B6804B">
      <w:pPr>
        <w:spacing w:line="360" w:lineRule="auto"/>
        <w:ind w:firstLine="480" w:firstLineChars="200"/>
        <w:rPr>
          <w:rFonts w:hint="eastAsia" w:ascii="宋体" w:hAnsi="宋体"/>
          <w:sz w:val="36"/>
          <w:szCs w:val="36"/>
          <w:highlight w:val="none"/>
        </w:rPr>
      </w:pPr>
      <w:r>
        <w:rPr>
          <w:rFonts w:hint="eastAsia" w:ascii="仿宋" w:hAnsi="仿宋" w:eastAsia="仿宋" w:cs="宋体"/>
          <w:bCs/>
          <w:sz w:val="24"/>
          <w:szCs w:val="24"/>
          <w:highlight w:val="none"/>
        </w:rPr>
        <w:t>（5）</w:t>
      </w:r>
      <w:r>
        <w:rPr>
          <w:rFonts w:hint="eastAsia" w:ascii="仿宋" w:hAnsi="仿宋" w:eastAsia="仿宋" w:cs="宋体"/>
          <w:sz w:val="24"/>
          <w:szCs w:val="24"/>
          <w:highlight w:val="none"/>
        </w:rPr>
        <w:t>通过资格审查和符合性评审的投标人全部入围进行报价评审。</w:t>
      </w:r>
    </w:p>
    <w:p w14:paraId="56C969ED">
      <w:pPr>
        <w:spacing w:before="156" w:beforeLines="50" w:after="156" w:afterLines="50" w:line="360" w:lineRule="auto"/>
        <w:jc w:val="center"/>
        <w:rPr>
          <w:rFonts w:hint="eastAsia" w:ascii="仿宋" w:hAnsi="仿宋" w:eastAsia="仿宋" w:cs="宋体"/>
          <w:b/>
          <w:sz w:val="32"/>
          <w:szCs w:val="32"/>
          <w:highlight w:val="none"/>
        </w:rPr>
        <w:sectPr>
          <w:pgSz w:w="11906" w:h="16838"/>
          <w:pgMar w:top="1134" w:right="1418" w:bottom="1021" w:left="1418" w:header="0" w:footer="283" w:gutter="0"/>
          <w:pgNumType w:fmt="numberInDash"/>
          <w:cols w:space="720" w:num="1"/>
          <w:docGrid w:type="linesAndChars" w:linePitch="312" w:charSpace="0"/>
        </w:sectPr>
      </w:pPr>
    </w:p>
    <w:p w14:paraId="7E45155E">
      <w:pPr>
        <w:spacing w:line="360" w:lineRule="auto"/>
        <w:ind w:firstLine="480" w:firstLineChars="200"/>
        <w:rPr>
          <w:rFonts w:hint="eastAsia" w:ascii="仿宋" w:hAnsi="仿宋" w:eastAsia="仿宋"/>
          <w:color w:val="000000" w:themeColor="text1"/>
          <w:sz w:val="24"/>
          <w:szCs w:val="24"/>
          <w:highlight w:val="none"/>
        </w:rPr>
      </w:pPr>
    </w:p>
    <w:p w14:paraId="3886C364">
      <w:pPr>
        <w:snapToGrid w:val="0"/>
        <w:spacing w:line="300" w:lineRule="auto"/>
        <w:jc w:val="center"/>
        <w:rPr>
          <w:rFonts w:hint="eastAsia" w:ascii="仿宋" w:hAnsi="仿宋" w:eastAsia="仿宋"/>
          <w:b/>
          <w:color w:val="000000" w:themeColor="text1"/>
          <w:sz w:val="36"/>
          <w:szCs w:val="36"/>
          <w:highlight w:val="none"/>
        </w:rPr>
      </w:pPr>
      <w:bookmarkStart w:id="13" w:name="_Toc125344512"/>
      <w:r>
        <w:rPr>
          <w:rFonts w:hint="eastAsia" w:ascii="仿宋" w:hAnsi="仿宋" w:eastAsia="仿宋"/>
          <w:b/>
          <w:color w:val="000000" w:themeColor="text1"/>
          <w:sz w:val="36"/>
          <w:szCs w:val="36"/>
          <w:highlight w:val="none"/>
        </w:rPr>
        <w:t>第四章   采购需求</w:t>
      </w:r>
      <w:bookmarkEnd w:id="13"/>
    </w:p>
    <w:p w14:paraId="741AA521">
      <w:pPr>
        <w:spacing w:before="156" w:beforeLines="50" w:line="360" w:lineRule="auto"/>
        <w:rPr>
          <w:rFonts w:hint="eastAsia" w:ascii="仿宋" w:hAnsi="仿宋" w:eastAsia="仿宋" w:cs="宋体"/>
          <w:b/>
          <w:sz w:val="24"/>
          <w:szCs w:val="24"/>
          <w:highlight w:val="none"/>
        </w:rPr>
      </w:pPr>
      <w:r>
        <w:rPr>
          <w:rFonts w:hint="eastAsia" w:ascii="仿宋" w:hAnsi="仿宋" w:eastAsia="仿宋" w:cs="宋体"/>
          <w:b/>
          <w:sz w:val="24"/>
          <w:szCs w:val="24"/>
          <w:highlight w:val="none"/>
        </w:rPr>
        <w:t>（一）项目概况</w:t>
      </w:r>
    </w:p>
    <w:p w14:paraId="3D3DE344">
      <w:pPr>
        <w:spacing w:line="360" w:lineRule="auto"/>
        <w:ind w:left="420" w:leftChars="200"/>
        <w:rPr>
          <w:rFonts w:hint="eastAsia" w:ascii="仿宋" w:hAnsi="仿宋" w:eastAsia="仿宋" w:cs="宋体"/>
          <w:sz w:val="24"/>
          <w:szCs w:val="24"/>
          <w:highlight w:val="none"/>
        </w:rPr>
      </w:pPr>
      <w:bookmarkStart w:id="14" w:name="_Toc125344513"/>
      <w:bookmarkStart w:id="15" w:name="_Toc323800358"/>
      <w:bookmarkStart w:id="16" w:name="_Toc48672380"/>
      <w:r>
        <w:rPr>
          <w:rFonts w:hint="eastAsia" w:ascii="仿宋" w:hAnsi="仿宋" w:eastAsia="仿宋" w:cs="宋体"/>
          <w:sz w:val="24"/>
          <w:szCs w:val="24"/>
          <w:highlight w:val="none"/>
        </w:rPr>
        <w:t>安华农贸市场，面积</w:t>
      </w:r>
      <w:r>
        <w:rPr>
          <w:rFonts w:hint="eastAsia" w:ascii="仿宋" w:hAnsi="仿宋" w:eastAsia="仿宋" w:cs="宋体"/>
          <w:sz w:val="24"/>
          <w:szCs w:val="24"/>
          <w:highlight w:val="none"/>
          <w:u w:val="single"/>
        </w:rPr>
        <w:t>3300</w:t>
      </w:r>
      <w:r>
        <w:rPr>
          <w:rFonts w:hint="eastAsia" w:ascii="仿宋" w:hAnsi="仿宋" w:eastAsia="仿宋" w:cs="宋体"/>
          <w:sz w:val="24"/>
          <w:szCs w:val="24"/>
          <w:highlight w:val="none"/>
        </w:rPr>
        <w:t>平方米。</w:t>
      </w:r>
    </w:p>
    <w:p w14:paraId="0A448059">
      <w:pPr>
        <w:spacing w:line="360" w:lineRule="auto"/>
        <w:rPr>
          <w:rFonts w:hint="eastAsia" w:ascii="仿宋" w:hAnsi="仿宋" w:eastAsia="仿宋" w:cs="宋体"/>
          <w:b/>
          <w:sz w:val="24"/>
          <w:szCs w:val="24"/>
          <w:highlight w:val="none"/>
        </w:rPr>
      </w:pPr>
      <w:r>
        <w:rPr>
          <w:rFonts w:hint="eastAsia" w:ascii="仿宋" w:hAnsi="仿宋" w:eastAsia="仿宋" w:cs="宋体"/>
          <w:b/>
          <w:bCs/>
          <w:sz w:val="24"/>
          <w:szCs w:val="24"/>
          <w:highlight w:val="none"/>
        </w:rPr>
        <w:t>（二）</w:t>
      </w:r>
      <w:r>
        <w:rPr>
          <w:rFonts w:hint="eastAsia" w:ascii="仿宋" w:hAnsi="仿宋" w:eastAsia="仿宋" w:cs="宋体"/>
          <w:b/>
          <w:sz w:val="24"/>
          <w:szCs w:val="24"/>
          <w:highlight w:val="none"/>
        </w:rPr>
        <w:t>服务范围</w:t>
      </w:r>
    </w:p>
    <w:p w14:paraId="00FC853E">
      <w:pPr>
        <w:spacing w:line="360" w:lineRule="auto"/>
        <w:ind w:firstLine="480" w:firstLineChars="200"/>
        <w:jc w:val="left"/>
        <w:rPr>
          <w:rFonts w:hint="eastAsia" w:ascii="仿宋" w:hAnsi="仿宋" w:eastAsia="仿宋" w:cs="宋体"/>
          <w:sz w:val="24"/>
          <w:szCs w:val="24"/>
          <w:highlight w:val="none"/>
        </w:rPr>
      </w:pPr>
      <w:r>
        <w:rPr>
          <w:rFonts w:hint="eastAsia" w:ascii="仿宋" w:hAnsi="仿宋" w:eastAsia="仿宋" w:cs="宋体"/>
          <w:sz w:val="24"/>
          <w:szCs w:val="24"/>
          <w:highlight w:val="none"/>
          <w:lang w:val="en-GB"/>
        </w:rPr>
        <w:t>1、</w:t>
      </w:r>
      <w:r>
        <w:rPr>
          <w:rFonts w:hint="eastAsia" w:ascii="仿宋" w:hAnsi="仿宋" w:eastAsia="仿宋" w:cs="宋体"/>
          <w:b/>
          <w:sz w:val="24"/>
          <w:szCs w:val="24"/>
          <w:highlight w:val="none"/>
          <w:u w:val="single"/>
          <w:lang w:val="en-GB"/>
        </w:rPr>
        <w:t>委托管理期限：自合同签订之日起两年</w:t>
      </w:r>
      <w:r>
        <w:rPr>
          <w:rFonts w:hint="eastAsia" w:ascii="仿宋" w:hAnsi="仿宋" w:eastAsia="仿宋" w:cs="宋体"/>
          <w:sz w:val="24"/>
          <w:szCs w:val="24"/>
          <w:highlight w:val="none"/>
          <w:lang w:val="en-GB"/>
        </w:rPr>
        <w:t>。</w:t>
      </w:r>
    </w:p>
    <w:p w14:paraId="729043C2">
      <w:pPr>
        <w:spacing w:line="360" w:lineRule="auto"/>
        <w:ind w:firstLine="480" w:firstLineChars="200"/>
        <w:jc w:val="left"/>
        <w:rPr>
          <w:rFonts w:hint="eastAsia" w:ascii="仿宋" w:hAnsi="仿宋" w:eastAsia="仿宋" w:cs="宋体"/>
          <w:sz w:val="24"/>
          <w:szCs w:val="24"/>
          <w:highlight w:val="none"/>
        </w:rPr>
      </w:pPr>
      <w:r>
        <w:rPr>
          <w:rFonts w:hint="eastAsia" w:ascii="仿宋" w:hAnsi="仿宋" w:eastAsia="仿宋" w:cs="宋体"/>
          <w:sz w:val="24"/>
          <w:szCs w:val="24"/>
          <w:highlight w:val="none"/>
        </w:rPr>
        <w:t>2、为落实省政府十大实事工程之一，加强食品安全管理，创建星级市场、放心农贸市场，配合完成政府的各类创建活动，针对安华市场的现状，以提升农贸市场环境整洁、秩序良好、食品安全、管理规范、服务满意等＂五个放心＂为目标，拟将安华农贸市场委托第三方服务机构进行管理，并授予管理方履行合同条款所需的全部授权。管理方本着对委托方全面负责的态度，同意接受委托方的委托，以委托方的名义组织市场的管理。管理方按合同进行的一切活动均为代理委托方而为，除本合同明确规定之外，管理方对委托方不承担其他责任。</w:t>
      </w:r>
    </w:p>
    <w:p w14:paraId="23845813">
      <w:pPr>
        <w:pStyle w:val="21"/>
        <w:snapToGrid w:val="0"/>
        <w:spacing w:after="0" w:line="360" w:lineRule="auto"/>
        <w:ind w:left="0" w:leftChars="0" w:firstLine="480" w:firstLineChars="200"/>
        <w:rPr>
          <w:rFonts w:hint="eastAsia" w:ascii="仿宋" w:hAnsi="仿宋" w:eastAsia="仿宋" w:cs="宋体"/>
          <w:sz w:val="24"/>
          <w:szCs w:val="24"/>
          <w:highlight w:val="none"/>
        </w:rPr>
      </w:pPr>
      <w:r>
        <w:rPr>
          <w:rFonts w:hint="eastAsia" w:ascii="仿宋" w:hAnsi="仿宋" w:eastAsia="仿宋" w:cs="宋体"/>
          <w:sz w:val="24"/>
          <w:szCs w:val="24"/>
          <w:highlight w:val="none"/>
        </w:rPr>
        <w:t>3、根据安华农贸市场的特点，建立适宜的管理机构。</w:t>
      </w:r>
    </w:p>
    <w:p w14:paraId="273393D1">
      <w:pPr>
        <w:pStyle w:val="21"/>
        <w:spacing w:line="360" w:lineRule="auto"/>
        <w:rPr>
          <w:rFonts w:hint="eastAsia" w:ascii="仿宋" w:hAnsi="仿宋" w:eastAsia="仿宋" w:cs="宋体"/>
          <w:sz w:val="24"/>
          <w:szCs w:val="24"/>
          <w:highlight w:val="none"/>
        </w:rPr>
      </w:pPr>
      <w:r>
        <w:rPr>
          <w:rFonts w:hint="eastAsia" w:ascii="仿宋" w:hAnsi="仿宋" w:eastAsia="仿宋" w:cs="宋体"/>
          <w:sz w:val="24"/>
          <w:szCs w:val="24"/>
          <w:highlight w:val="none"/>
        </w:rPr>
        <w:t>（1）招聘并管理、培训市场管理人员、工作人员。</w:t>
      </w:r>
    </w:p>
    <w:p w14:paraId="00BA7446">
      <w:pPr>
        <w:pStyle w:val="21"/>
        <w:spacing w:line="360" w:lineRule="auto"/>
        <w:rPr>
          <w:rFonts w:hint="eastAsia" w:ascii="仿宋" w:hAnsi="仿宋" w:eastAsia="仿宋" w:cs="宋体"/>
          <w:sz w:val="24"/>
          <w:szCs w:val="24"/>
          <w:highlight w:val="none"/>
        </w:rPr>
      </w:pPr>
      <w:r>
        <w:rPr>
          <w:rFonts w:hint="eastAsia" w:ascii="仿宋" w:hAnsi="仿宋" w:eastAsia="仿宋" w:cs="宋体"/>
          <w:sz w:val="24"/>
          <w:szCs w:val="24"/>
          <w:highlight w:val="none"/>
        </w:rPr>
        <w:t>（2）制定并组织落实市场管理制度、考核奖惩制度。</w:t>
      </w:r>
    </w:p>
    <w:p w14:paraId="0C0B4F84">
      <w:pPr>
        <w:pStyle w:val="21"/>
        <w:spacing w:line="360" w:lineRule="auto"/>
        <w:rPr>
          <w:rFonts w:hint="eastAsia" w:ascii="仿宋" w:hAnsi="仿宋" w:eastAsia="仿宋" w:cs="宋体"/>
          <w:sz w:val="24"/>
          <w:szCs w:val="24"/>
          <w:highlight w:val="none"/>
        </w:rPr>
      </w:pPr>
      <w:r>
        <w:rPr>
          <w:rFonts w:hint="eastAsia" w:ascii="仿宋" w:hAnsi="仿宋" w:eastAsia="仿宋" w:cs="宋体"/>
          <w:sz w:val="24"/>
          <w:szCs w:val="24"/>
          <w:highlight w:val="none"/>
        </w:rPr>
        <w:t>（3）合同区域内的经营秩序管理。</w:t>
      </w:r>
    </w:p>
    <w:p w14:paraId="28F62344">
      <w:pPr>
        <w:pStyle w:val="21"/>
        <w:spacing w:line="360" w:lineRule="auto"/>
        <w:rPr>
          <w:rFonts w:hint="eastAsia" w:ascii="仿宋" w:hAnsi="仿宋" w:eastAsia="仿宋" w:cs="宋体"/>
          <w:sz w:val="24"/>
          <w:szCs w:val="24"/>
          <w:highlight w:val="none"/>
        </w:rPr>
      </w:pPr>
      <w:r>
        <w:rPr>
          <w:rFonts w:hint="eastAsia" w:ascii="仿宋" w:hAnsi="仿宋" w:eastAsia="仿宋" w:cs="宋体"/>
          <w:sz w:val="24"/>
          <w:szCs w:val="24"/>
          <w:highlight w:val="none"/>
        </w:rPr>
        <w:t>（4）合同区域内的卫生保洁、环境卫生管理及人员考核。</w:t>
      </w:r>
    </w:p>
    <w:p w14:paraId="05B3C268">
      <w:pPr>
        <w:pStyle w:val="21"/>
        <w:spacing w:line="360" w:lineRule="auto"/>
        <w:rPr>
          <w:rFonts w:hint="eastAsia" w:ascii="仿宋" w:hAnsi="仿宋" w:eastAsia="仿宋" w:cs="宋体"/>
          <w:color w:val="auto"/>
          <w:sz w:val="24"/>
          <w:szCs w:val="24"/>
          <w:highlight w:val="none"/>
        </w:rPr>
      </w:pPr>
      <w:r>
        <w:rPr>
          <w:rFonts w:hint="eastAsia" w:ascii="仿宋" w:hAnsi="仿宋" w:eastAsia="仿宋" w:cs="宋体"/>
          <w:sz w:val="24"/>
          <w:szCs w:val="24"/>
          <w:highlight w:val="none"/>
        </w:rPr>
        <w:t>（5）市场内的食品安全管理，食</w:t>
      </w:r>
      <w:r>
        <w:rPr>
          <w:rFonts w:hint="eastAsia" w:ascii="仿宋" w:hAnsi="仿宋" w:eastAsia="仿宋" w:cs="宋体"/>
          <w:color w:val="auto"/>
          <w:sz w:val="24"/>
          <w:szCs w:val="24"/>
          <w:highlight w:val="none"/>
        </w:rPr>
        <w:t>品快检服务，对经营户产品出入严格把关，肉类要有检验检疫证明，做好索证索票。</w:t>
      </w:r>
    </w:p>
    <w:p w14:paraId="5C35D1AE">
      <w:pPr>
        <w:pStyle w:val="21"/>
        <w:spacing w:line="360" w:lineRule="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（6）市场内的治安、消防管理。调处治安纠纷，化解矛盾。</w:t>
      </w:r>
    </w:p>
    <w:p w14:paraId="17B9E3C2">
      <w:pPr>
        <w:pStyle w:val="21"/>
        <w:spacing w:line="360" w:lineRule="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（7）调解处理消费纠纷，维护消费权益。</w:t>
      </w:r>
    </w:p>
    <w:p w14:paraId="516335AF">
      <w:pPr>
        <w:pStyle w:val="21"/>
        <w:spacing w:line="360" w:lineRule="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（8）规划市场布局、划行归市，组织实施市场内的摊位及营业房招投标。</w:t>
      </w:r>
    </w:p>
    <w:p w14:paraId="660F5ADB">
      <w:pPr>
        <w:pStyle w:val="21"/>
        <w:spacing w:line="360" w:lineRule="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（9）代收水电费等物业费用及其他服务费用的收取。</w:t>
      </w:r>
    </w:p>
    <w:p w14:paraId="761D6D0E">
      <w:pPr>
        <w:pStyle w:val="21"/>
        <w:spacing w:line="360" w:lineRule="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（10）市场内水、电、摊位等物业设施的管理。</w:t>
      </w:r>
    </w:p>
    <w:p w14:paraId="61EDA8B2">
      <w:pPr>
        <w:pStyle w:val="21"/>
        <w:spacing w:line="360" w:lineRule="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（11）对市场内经营户的信用管理。</w:t>
      </w:r>
    </w:p>
    <w:p w14:paraId="756DA32E">
      <w:pPr>
        <w:pStyle w:val="21"/>
        <w:spacing w:line="360" w:lineRule="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（12）双方协商确定的其他事项。</w:t>
      </w:r>
    </w:p>
    <w:p w14:paraId="0A1A18D8">
      <w:pPr>
        <w:pStyle w:val="21"/>
        <w:numPr>
          <w:ilvl w:val="0"/>
          <w:numId w:val="12"/>
        </w:numPr>
        <w:spacing w:line="360" w:lineRule="auto"/>
        <w:ind w:left="0" w:leftChars="0"/>
        <w:rPr>
          <w:rFonts w:hint="eastAsia"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实现目标及相关管理机制：</w:t>
      </w:r>
    </w:p>
    <w:p w14:paraId="2637D722">
      <w:pPr>
        <w:tabs>
          <w:tab w:val="left" w:pos="315"/>
          <w:tab w:val="left" w:pos="630"/>
        </w:tabs>
        <w:spacing w:line="360" w:lineRule="auto"/>
        <w:ind w:firstLine="480" w:firstLineChars="200"/>
        <w:jc w:val="lef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市场日常管理目标：以实现农贸市场环境整洁、秩序良好、食品安全、管理规范、服务满意为目标，按照附件1《诸暨市农贸市场长效管理考核评分细则》，安华市场年度考评分达到85分以上（由招标人考核为准），镇每月对农贸市场进行全方位督查，对检查存在的问题必须整改到位。</w:t>
      </w:r>
    </w:p>
    <w:p w14:paraId="3DB092A4">
      <w:pPr>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2、委托管理费：作为对管理方提供管理服务由招标人支付的费用。</w:t>
      </w:r>
    </w:p>
    <w:p w14:paraId="39F66104">
      <w:pPr>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2.1管理费用为每年</w:t>
      </w:r>
      <w:r>
        <w:rPr>
          <w:rFonts w:hint="eastAsia" w:ascii="仿宋" w:hAnsi="仿宋" w:eastAsia="仿宋" w:cs="宋体"/>
          <w:bCs/>
          <w:color w:val="auto"/>
          <w:sz w:val="24"/>
          <w:szCs w:val="24"/>
          <w:highlight w:val="none"/>
        </w:rPr>
        <w:t>35</w:t>
      </w:r>
      <w:r>
        <w:rPr>
          <w:rFonts w:hint="eastAsia" w:ascii="仿宋" w:hAnsi="仿宋" w:eastAsia="仿宋" w:cs="宋体"/>
          <w:color w:val="auto"/>
          <w:sz w:val="24"/>
          <w:szCs w:val="24"/>
          <w:highlight w:val="none"/>
        </w:rPr>
        <w:t>万（实际按委托管理投标程序后的中标价实际费用计算），按季度平均支付，由招标人在每季度结束之日起7个工作日内支付上季度经考核后的管理费用，用于管理方人员工资和日常办公等费用的开支。</w:t>
      </w:r>
    </w:p>
    <w:p w14:paraId="3BF49C36">
      <w:pPr>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2.1.1按《诸暨市农贸市场长效管理考核评分细则》（附件1），每季度根据相关市场监督管理部门的考核：①农贸市场季度考核评分在85分以上的，不进行扣款；②农贸市场季度考核评分在75分--85分的，该季度从管理费中扣0.2万元；③农贸市场季度考核评分在75分以下的，该季度从管理费中扣0.5万元。如因管理方责任，受到政府或部门通报批评，官方主流媒体曝光市场管理问题的，每发生一次，扣发管理费1万元。</w:t>
      </w:r>
    </w:p>
    <w:p w14:paraId="1C587C11">
      <w:pPr>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2.2参加政府或部门的各类创建、考核、评比等活动，确保完成市场三星级复评，并合理控制成本力争完成四星级创建。此类考核若有资金奖励的，资金奖励部分的30%归管理方所有；乡镇岗位责任制考核加分的，按每分3万元折算奖励。无资金奖励但受到上级政府、部门表扬肯定或通报表彰，双方协商视情进行奖励。政府或其他部门另有考核要求的奖惩另行协商约定。</w:t>
      </w:r>
    </w:p>
    <w:p w14:paraId="099C4EBA">
      <w:pPr>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2.3临时摊位费由管理方收取，用于补充市场的日常办公费用。</w:t>
      </w:r>
    </w:p>
    <w:p w14:paraId="4C84F209">
      <w:pPr>
        <w:spacing w:line="360" w:lineRule="auto"/>
        <w:ind w:firstLine="480" w:firstLineChars="200"/>
        <w:jc w:val="lef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2.4以上管理费用、考核奖惩未满一年的年度，按实际托管时间计算。如在合同约定的委托管理期间，市场进行改造或大修，未能正常进行招投标，报酬比例另行商定。</w:t>
      </w:r>
    </w:p>
    <w:p w14:paraId="23463384">
      <w:pPr>
        <w:spacing w:line="360" w:lineRule="auto"/>
        <w:jc w:val="left"/>
        <w:rPr>
          <w:rFonts w:hint="eastAsia"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（四）其他要求</w:t>
      </w:r>
    </w:p>
    <w:p w14:paraId="5733062D">
      <w:pPr>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1、招标人的权利和义务</w:t>
      </w:r>
    </w:p>
    <w:p w14:paraId="5B80C12A">
      <w:pPr>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1.1招标人保证，合同签订后7天内将市场事务移交给管理方。</w:t>
      </w:r>
    </w:p>
    <w:p w14:paraId="757F59C5">
      <w:pPr>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1.2招标人通过与管理方定期会商的方式，对市场的经营管理提出建议和指导，就涉及双方利益的所有事务进行讨论，为经营管理环境的不断改善共同创造条件。</w:t>
      </w:r>
    </w:p>
    <w:p w14:paraId="31A3E1E3">
      <w:pPr>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1.3招标人可推荐人员担任管理方岗位的工作，但须经过管理方的统一考核，由管理方聘用上岗。招标人同意不直接或通过招标人的其他成员、代理人或代表参与市场的日常经营管理，同时也不直接对其推荐人员进行管理。</w:t>
      </w:r>
    </w:p>
    <w:p w14:paraId="771D9D19">
      <w:pPr>
        <w:spacing w:line="360" w:lineRule="auto"/>
        <w:jc w:val="left"/>
        <w:rPr>
          <w:rFonts w:hint="eastAsia" w:ascii="仿宋" w:hAnsi="仿宋" w:eastAsia="仿宋" w:cs="宋体"/>
          <w:sz w:val="24"/>
          <w:szCs w:val="24"/>
          <w:highlight w:val="none"/>
        </w:rPr>
      </w:pPr>
      <w:r>
        <w:rPr>
          <w:rFonts w:hint="eastAsia" w:ascii="仿宋" w:hAnsi="仿宋" w:eastAsia="仿宋" w:cs="宋体"/>
          <w:color w:val="auto"/>
          <w:sz w:val="24"/>
          <w:szCs w:val="24"/>
          <w:highlight w:val="none"/>
        </w:rPr>
        <w:t xml:space="preserve">    1.4招标人承诺:只要管理方不违反本合同，招标人不根据其所有权人的权利而提出要求，妨碍、排斥或滋扰管理方的经营，保证采取一切其有能力采取的行动保护本合同授予</w:t>
      </w:r>
      <w:r>
        <w:rPr>
          <w:rFonts w:hint="eastAsia" w:ascii="仿宋" w:hAnsi="仿宋" w:eastAsia="仿宋" w:cs="宋体"/>
          <w:sz w:val="24"/>
          <w:szCs w:val="24"/>
          <w:highlight w:val="none"/>
        </w:rPr>
        <w:t>管理方在期限内自主经营管理市场的权利；不采取任何有损或侵害管理方上述权利的行为。招标人有义务协调好政府相关部门的工作，保证市场的正常运行。</w:t>
      </w:r>
    </w:p>
    <w:p w14:paraId="4620CDE7">
      <w:pPr>
        <w:spacing w:line="360" w:lineRule="auto"/>
        <w:rPr>
          <w:rFonts w:hint="eastAsia" w:ascii="仿宋" w:hAnsi="仿宋" w:eastAsia="仿宋" w:cs="宋体"/>
          <w:sz w:val="24"/>
          <w:szCs w:val="24"/>
          <w:highlight w:val="none"/>
        </w:rPr>
      </w:pPr>
      <w:r>
        <w:rPr>
          <w:rFonts w:hint="eastAsia" w:ascii="仿宋" w:hAnsi="仿宋" w:eastAsia="仿宋" w:cs="宋体"/>
          <w:sz w:val="24"/>
          <w:szCs w:val="24"/>
          <w:highlight w:val="none"/>
        </w:rPr>
        <w:t xml:space="preserve">    1.5应由市场招标人向政府或其所属部门缴纳的一切税费由招标人承担。</w:t>
      </w:r>
    </w:p>
    <w:p w14:paraId="738800A4">
      <w:pPr>
        <w:spacing w:line="360" w:lineRule="auto"/>
        <w:ind w:firstLine="480" w:firstLineChars="200"/>
        <w:jc w:val="left"/>
        <w:rPr>
          <w:rFonts w:hint="eastAsia" w:ascii="仿宋" w:hAnsi="仿宋" w:eastAsia="仿宋" w:cs="宋体"/>
          <w:sz w:val="24"/>
          <w:szCs w:val="24"/>
          <w:highlight w:val="none"/>
        </w:rPr>
      </w:pPr>
      <w:r>
        <w:rPr>
          <w:rFonts w:hint="eastAsia" w:ascii="仿宋" w:hAnsi="仿宋" w:eastAsia="仿宋" w:cs="宋体"/>
          <w:sz w:val="24"/>
          <w:szCs w:val="24"/>
          <w:highlight w:val="none"/>
        </w:rPr>
        <w:t>2、管理方的权利和义务</w:t>
      </w:r>
    </w:p>
    <w:p w14:paraId="438D78BB">
      <w:pPr>
        <w:spacing w:line="360" w:lineRule="auto"/>
        <w:ind w:firstLine="480" w:firstLineChars="200"/>
        <w:rPr>
          <w:rFonts w:hint="eastAsia" w:ascii="仿宋" w:hAnsi="仿宋" w:eastAsia="仿宋" w:cs="宋体"/>
          <w:sz w:val="24"/>
          <w:szCs w:val="24"/>
          <w:highlight w:val="none"/>
        </w:rPr>
      </w:pPr>
      <w:r>
        <w:rPr>
          <w:rFonts w:hint="eastAsia" w:ascii="仿宋" w:hAnsi="仿宋" w:eastAsia="仿宋" w:cs="宋体"/>
          <w:sz w:val="24"/>
          <w:szCs w:val="24"/>
          <w:highlight w:val="none"/>
        </w:rPr>
        <w:t>2.1管理方以其通行的模式，制定和建立运作标准和程序，对市场进行管理。主要包括：</w:t>
      </w:r>
    </w:p>
    <w:p w14:paraId="255D802B">
      <w:pPr>
        <w:spacing w:line="360" w:lineRule="auto"/>
        <w:ind w:firstLine="480" w:firstLineChars="200"/>
        <w:rPr>
          <w:rFonts w:hint="eastAsia" w:ascii="仿宋" w:hAnsi="仿宋" w:eastAsia="仿宋" w:cs="宋体"/>
          <w:sz w:val="24"/>
          <w:szCs w:val="24"/>
          <w:highlight w:val="none"/>
        </w:rPr>
      </w:pPr>
      <w:r>
        <w:rPr>
          <w:rFonts w:hint="eastAsia" w:ascii="仿宋" w:hAnsi="仿宋" w:eastAsia="仿宋" w:cs="宋体"/>
          <w:sz w:val="24"/>
          <w:szCs w:val="24"/>
          <w:highlight w:val="none"/>
        </w:rPr>
        <w:t>2.1.1与管理方品牌相对应的经营管理的理念、政策、营销战略、个性化管理及服务项目的设置。</w:t>
      </w:r>
    </w:p>
    <w:p w14:paraId="0F0AAA1F">
      <w:pPr>
        <w:spacing w:line="360" w:lineRule="auto"/>
        <w:ind w:firstLine="480" w:firstLineChars="200"/>
        <w:rPr>
          <w:rFonts w:hint="eastAsia" w:ascii="仿宋" w:hAnsi="仿宋" w:eastAsia="仿宋" w:cs="宋体"/>
          <w:sz w:val="24"/>
          <w:szCs w:val="24"/>
          <w:highlight w:val="none"/>
        </w:rPr>
      </w:pPr>
      <w:r>
        <w:rPr>
          <w:rFonts w:hint="eastAsia" w:ascii="仿宋" w:hAnsi="仿宋" w:eastAsia="仿宋" w:cs="宋体"/>
          <w:sz w:val="24"/>
          <w:szCs w:val="24"/>
          <w:highlight w:val="none"/>
        </w:rPr>
        <w:t>2.1.2建立市场管理机构，管理制度和考核制度，设定市场各功能运作，包括治安消防，卫生保洁，经营秩序，消费纠纷调解，食品安全管理等工作职责、工作与服务流程、工作质量标准、制度与规范等。并对这些功能运作的质量和数量，进行管控。</w:t>
      </w:r>
    </w:p>
    <w:p w14:paraId="272D1917">
      <w:pPr>
        <w:spacing w:line="360" w:lineRule="auto"/>
        <w:ind w:firstLine="480" w:firstLineChars="200"/>
        <w:rPr>
          <w:rFonts w:hint="eastAsia" w:ascii="仿宋" w:hAnsi="仿宋" w:eastAsia="仿宋" w:cs="宋体"/>
          <w:sz w:val="24"/>
          <w:szCs w:val="24"/>
          <w:highlight w:val="none"/>
        </w:rPr>
      </w:pPr>
      <w:r>
        <w:rPr>
          <w:rFonts w:hint="eastAsia" w:ascii="仿宋" w:hAnsi="仿宋" w:eastAsia="仿宋" w:cs="宋体"/>
          <w:sz w:val="24"/>
          <w:szCs w:val="24"/>
          <w:highlight w:val="none"/>
        </w:rPr>
        <w:t>2.2委派市场的驻场经理作为管理方的代表和招标人的代理人行使本合同赋予的职责和权力。</w:t>
      </w:r>
    </w:p>
    <w:p w14:paraId="0828592E">
      <w:pPr>
        <w:spacing w:line="360" w:lineRule="auto"/>
        <w:ind w:firstLine="480" w:firstLineChars="200"/>
        <w:rPr>
          <w:rFonts w:hint="eastAsia" w:ascii="仿宋" w:hAnsi="仿宋" w:eastAsia="仿宋" w:cs="宋体"/>
          <w:sz w:val="24"/>
          <w:szCs w:val="24"/>
          <w:highlight w:val="none"/>
        </w:rPr>
      </w:pPr>
      <w:r>
        <w:rPr>
          <w:rFonts w:hint="eastAsia" w:ascii="仿宋" w:hAnsi="仿宋" w:eastAsia="仿宋" w:cs="宋体"/>
          <w:sz w:val="24"/>
          <w:szCs w:val="24"/>
          <w:highlight w:val="none"/>
        </w:rPr>
        <w:t>2.3驻场经理享有组织市场经营管理的权力，此种权力包括但不仅限于：</w:t>
      </w:r>
    </w:p>
    <w:p w14:paraId="0EF1FAAD">
      <w:pPr>
        <w:spacing w:line="360" w:lineRule="auto"/>
        <w:ind w:firstLine="480" w:firstLineChars="200"/>
        <w:rPr>
          <w:rFonts w:hint="eastAsia" w:ascii="仿宋" w:hAnsi="仿宋" w:eastAsia="仿宋" w:cs="宋体"/>
          <w:sz w:val="24"/>
          <w:szCs w:val="24"/>
          <w:highlight w:val="none"/>
        </w:rPr>
      </w:pPr>
      <w:r>
        <w:rPr>
          <w:rFonts w:hint="eastAsia" w:ascii="仿宋" w:hAnsi="仿宋" w:eastAsia="仿宋" w:cs="宋体"/>
          <w:sz w:val="24"/>
          <w:szCs w:val="24"/>
          <w:highlight w:val="none"/>
        </w:rPr>
        <w:t>2.3.1制定市场经营（招投标）计划，制定市场各类摊位的标底价格和服务费标准，经招标人认可后组织实施。</w:t>
      </w:r>
    </w:p>
    <w:p w14:paraId="742A84D4">
      <w:pPr>
        <w:spacing w:line="360" w:lineRule="auto"/>
        <w:ind w:firstLine="480" w:firstLineChars="200"/>
        <w:rPr>
          <w:rFonts w:hint="eastAsia" w:ascii="仿宋" w:hAnsi="仿宋" w:eastAsia="仿宋" w:cs="宋体"/>
          <w:sz w:val="24"/>
          <w:szCs w:val="24"/>
          <w:highlight w:val="none"/>
        </w:rPr>
      </w:pPr>
      <w:r>
        <w:rPr>
          <w:rFonts w:hint="eastAsia" w:ascii="仿宋" w:hAnsi="仿宋" w:eastAsia="仿宋" w:cs="宋体"/>
          <w:sz w:val="24"/>
          <w:szCs w:val="24"/>
          <w:highlight w:val="none"/>
        </w:rPr>
        <w:t>2.3.2对市场内的工作人员、经营户、经营秩序，卫生保洁等日常工作进行管理考核。</w:t>
      </w:r>
    </w:p>
    <w:p w14:paraId="1E36ABE2">
      <w:pPr>
        <w:spacing w:line="360" w:lineRule="auto"/>
        <w:ind w:firstLine="480" w:firstLineChars="200"/>
        <w:rPr>
          <w:rFonts w:hint="eastAsia" w:ascii="仿宋" w:hAnsi="仿宋" w:eastAsia="仿宋" w:cs="宋体"/>
          <w:sz w:val="24"/>
          <w:szCs w:val="24"/>
          <w:highlight w:val="none"/>
        </w:rPr>
      </w:pPr>
      <w:r>
        <w:rPr>
          <w:rFonts w:hint="eastAsia" w:ascii="仿宋" w:hAnsi="仿宋" w:eastAsia="仿宋" w:cs="宋体"/>
          <w:sz w:val="24"/>
          <w:szCs w:val="24"/>
          <w:highlight w:val="none"/>
        </w:rPr>
        <w:t>2.3.3对市场内的工作人员进行专业培训（一年不得少于一次），培训费用包含在管理费内。</w:t>
      </w:r>
    </w:p>
    <w:p w14:paraId="326CC21D">
      <w:pPr>
        <w:spacing w:line="360" w:lineRule="auto"/>
        <w:ind w:firstLine="480" w:firstLineChars="200"/>
        <w:rPr>
          <w:rFonts w:hint="eastAsia" w:ascii="仿宋" w:hAnsi="仿宋" w:eastAsia="仿宋" w:cs="宋体"/>
          <w:sz w:val="24"/>
          <w:szCs w:val="24"/>
          <w:highlight w:val="none"/>
        </w:rPr>
      </w:pPr>
      <w:r>
        <w:rPr>
          <w:rFonts w:hint="eastAsia" w:ascii="仿宋" w:hAnsi="仿宋" w:eastAsia="仿宋" w:cs="宋体"/>
          <w:sz w:val="24"/>
          <w:szCs w:val="24"/>
          <w:highlight w:val="none"/>
        </w:rPr>
        <w:t>2.3.4负责经营管理所需的其它工作。</w:t>
      </w:r>
    </w:p>
    <w:p w14:paraId="115F912E">
      <w:pPr>
        <w:spacing w:line="360" w:lineRule="auto"/>
        <w:ind w:firstLine="480" w:firstLineChars="200"/>
        <w:rPr>
          <w:rFonts w:hint="eastAsia" w:ascii="仿宋" w:hAnsi="仿宋" w:eastAsia="仿宋" w:cs="宋体"/>
          <w:sz w:val="24"/>
          <w:szCs w:val="24"/>
          <w:highlight w:val="none"/>
        </w:rPr>
      </w:pPr>
      <w:r>
        <w:rPr>
          <w:rFonts w:hint="eastAsia" w:ascii="仿宋" w:hAnsi="仿宋" w:eastAsia="仿宋" w:cs="宋体"/>
          <w:sz w:val="24"/>
          <w:szCs w:val="24"/>
          <w:highlight w:val="none"/>
        </w:rPr>
        <w:t>2.4管理方有义务通过与招标人定期会商的形式，向招标人通报经营管理状况，听取招标人对市场经营提出的评议、建议与指导，在本合同的前提下尽可能地按照双方利益一致性原则满足招标人的要求。</w:t>
      </w:r>
    </w:p>
    <w:p w14:paraId="1A513F7F">
      <w:pPr>
        <w:spacing w:line="360" w:lineRule="auto"/>
        <w:ind w:firstLine="480" w:firstLineChars="200"/>
        <w:jc w:val="left"/>
        <w:rPr>
          <w:rFonts w:hint="eastAsia" w:ascii="仿宋" w:hAnsi="仿宋" w:eastAsia="仿宋" w:cs="宋体"/>
          <w:sz w:val="24"/>
          <w:szCs w:val="24"/>
          <w:highlight w:val="none"/>
        </w:rPr>
      </w:pPr>
      <w:r>
        <w:rPr>
          <w:rFonts w:hint="eastAsia" w:ascii="仿宋" w:hAnsi="仿宋" w:eastAsia="仿宋" w:cs="宋体"/>
          <w:sz w:val="24"/>
          <w:szCs w:val="24"/>
          <w:highlight w:val="none"/>
        </w:rPr>
        <w:t>3、市场的物业管理与资产管理</w:t>
      </w:r>
    </w:p>
    <w:p w14:paraId="39FD9DF0">
      <w:pPr>
        <w:spacing w:line="360" w:lineRule="auto"/>
        <w:ind w:firstLine="480" w:firstLineChars="200"/>
        <w:rPr>
          <w:rFonts w:hint="eastAsia" w:ascii="仿宋" w:hAnsi="仿宋" w:eastAsia="仿宋" w:cs="宋体"/>
          <w:sz w:val="24"/>
          <w:szCs w:val="24"/>
          <w:highlight w:val="none"/>
        </w:rPr>
      </w:pPr>
      <w:r>
        <w:rPr>
          <w:rFonts w:hint="eastAsia" w:ascii="仿宋" w:hAnsi="仿宋" w:eastAsia="仿宋" w:cs="宋体"/>
          <w:sz w:val="24"/>
          <w:szCs w:val="24"/>
          <w:highlight w:val="none"/>
        </w:rPr>
        <w:t>3.1管理方为了确保良好与安全的经营条件，应对物业设施进行维护保养，单项维修保养费用在500元以内的部分，由管理方负责。超出此额度费用需要的维护保养等项目由管理方提出，经招标人批准后，在批准的预算范围内进行（此项费用由招标人按实际产生费用报销）。经批准的涉及市场物业维护的费用包括：</w:t>
      </w:r>
    </w:p>
    <w:p w14:paraId="51A0DFDF">
      <w:pPr>
        <w:spacing w:line="360" w:lineRule="auto"/>
        <w:ind w:firstLine="480" w:firstLineChars="200"/>
        <w:rPr>
          <w:rFonts w:hint="eastAsia" w:ascii="仿宋" w:hAnsi="仿宋" w:eastAsia="仿宋" w:cs="宋体"/>
          <w:sz w:val="24"/>
          <w:szCs w:val="24"/>
          <w:highlight w:val="none"/>
        </w:rPr>
      </w:pPr>
      <w:r>
        <w:rPr>
          <w:rFonts w:hint="eastAsia" w:ascii="仿宋" w:hAnsi="仿宋" w:eastAsia="仿宋" w:cs="宋体"/>
          <w:sz w:val="24"/>
          <w:szCs w:val="24"/>
          <w:highlight w:val="none"/>
        </w:rPr>
        <w:t>3.1.1按市场管理考核、创建等标准必须的市场设施改造、设备购置、制度上墙、维修、保养等费用；</w:t>
      </w:r>
    </w:p>
    <w:p w14:paraId="23B94621">
      <w:pPr>
        <w:spacing w:line="360" w:lineRule="auto"/>
        <w:ind w:firstLine="480" w:firstLineChars="200"/>
        <w:rPr>
          <w:rFonts w:hint="eastAsia" w:ascii="仿宋" w:hAnsi="仿宋" w:eastAsia="仿宋" w:cs="宋体"/>
          <w:sz w:val="24"/>
          <w:szCs w:val="24"/>
          <w:highlight w:val="none"/>
        </w:rPr>
      </w:pPr>
      <w:r>
        <w:rPr>
          <w:rFonts w:hint="eastAsia" w:ascii="仿宋" w:hAnsi="仿宋" w:eastAsia="仿宋" w:cs="宋体"/>
          <w:sz w:val="24"/>
          <w:szCs w:val="24"/>
          <w:highlight w:val="none"/>
        </w:rPr>
        <w:t>3.1.2市场外运垃圾清运费；</w:t>
      </w:r>
    </w:p>
    <w:p w14:paraId="15C42AD8">
      <w:pPr>
        <w:spacing w:line="360" w:lineRule="auto"/>
        <w:ind w:firstLine="480" w:firstLineChars="200"/>
        <w:rPr>
          <w:rFonts w:hint="eastAsia" w:ascii="仿宋" w:hAnsi="仿宋" w:eastAsia="仿宋" w:cs="宋体"/>
          <w:sz w:val="24"/>
          <w:szCs w:val="24"/>
          <w:highlight w:val="none"/>
        </w:rPr>
      </w:pPr>
      <w:r>
        <w:rPr>
          <w:rFonts w:hint="eastAsia" w:ascii="仿宋" w:hAnsi="仿宋" w:eastAsia="仿宋" w:cs="宋体"/>
          <w:sz w:val="24"/>
          <w:szCs w:val="24"/>
          <w:highlight w:val="none"/>
        </w:rPr>
        <w:t>3.1.3市场固定资产的更新、大修、增添等；</w:t>
      </w:r>
    </w:p>
    <w:p w14:paraId="21AC658E">
      <w:pPr>
        <w:spacing w:line="360" w:lineRule="auto"/>
        <w:ind w:firstLine="480" w:firstLineChars="200"/>
        <w:rPr>
          <w:rFonts w:hint="eastAsia" w:ascii="仿宋" w:hAnsi="仿宋" w:eastAsia="仿宋" w:cs="宋体"/>
          <w:sz w:val="24"/>
          <w:szCs w:val="24"/>
          <w:highlight w:val="none"/>
        </w:rPr>
      </w:pPr>
      <w:r>
        <w:rPr>
          <w:rFonts w:hint="eastAsia" w:ascii="仿宋" w:hAnsi="仿宋" w:eastAsia="仿宋" w:cs="宋体"/>
          <w:sz w:val="24"/>
          <w:szCs w:val="24"/>
          <w:highlight w:val="none"/>
        </w:rPr>
        <w:t>3.1.4其他经批准的市场物业费用。</w:t>
      </w:r>
    </w:p>
    <w:p w14:paraId="6DC0BE31">
      <w:pPr>
        <w:spacing w:line="360" w:lineRule="auto"/>
        <w:ind w:firstLine="480" w:firstLineChars="200"/>
        <w:rPr>
          <w:rFonts w:hint="eastAsia" w:ascii="仿宋" w:hAnsi="仿宋" w:eastAsia="仿宋" w:cs="宋体"/>
          <w:sz w:val="24"/>
          <w:szCs w:val="24"/>
          <w:highlight w:val="none"/>
        </w:rPr>
      </w:pPr>
      <w:r>
        <w:rPr>
          <w:rFonts w:hint="eastAsia" w:ascii="仿宋" w:hAnsi="仿宋" w:eastAsia="仿宋" w:cs="宋体"/>
          <w:sz w:val="24"/>
          <w:szCs w:val="24"/>
          <w:highlight w:val="none"/>
        </w:rPr>
        <w:t>3.2在合同有效期内，市场的全部资产属招标人所有，举办市场的一切债权、债务由招标人拥有或承担。管理方不得以任何方式出售、抵押或处置市场资产。</w:t>
      </w:r>
    </w:p>
    <w:p w14:paraId="164D5431">
      <w:pPr>
        <w:spacing w:line="360" w:lineRule="auto"/>
        <w:ind w:firstLine="480" w:firstLineChars="200"/>
        <w:rPr>
          <w:rFonts w:hint="eastAsia" w:ascii="仿宋" w:hAnsi="仿宋" w:eastAsia="仿宋" w:cs="宋体"/>
          <w:sz w:val="24"/>
          <w:szCs w:val="24"/>
          <w:highlight w:val="none"/>
        </w:rPr>
      </w:pPr>
      <w:r>
        <w:rPr>
          <w:rFonts w:hint="eastAsia" w:ascii="仿宋" w:hAnsi="仿宋" w:eastAsia="仿宋" w:cs="宋体"/>
          <w:sz w:val="24"/>
          <w:szCs w:val="24"/>
          <w:highlight w:val="none"/>
        </w:rPr>
        <w:t>3.3管理方有权按本合同的规定管理和使用市场的资产。但不得用市场资产、信用等对外提供任何担保；不得出借营运资金，或用营运资金进行任何形式的投资、炒股等。</w:t>
      </w:r>
    </w:p>
    <w:p w14:paraId="2FA38EFA">
      <w:pPr>
        <w:spacing w:line="360" w:lineRule="auto"/>
        <w:ind w:firstLine="480" w:firstLineChars="200"/>
        <w:jc w:val="left"/>
        <w:rPr>
          <w:rFonts w:hint="eastAsia" w:ascii="仿宋" w:hAnsi="仿宋" w:eastAsia="仿宋" w:cs="宋体"/>
          <w:sz w:val="24"/>
          <w:szCs w:val="24"/>
          <w:highlight w:val="none"/>
        </w:rPr>
      </w:pPr>
      <w:r>
        <w:rPr>
          <w:rFonts w:hint="eastAsia" w:ascii="仿宋" w:hAnsi="仿宋" w:eastAsia="仿宋" w:cs="宋体"/>
          <w:sz w:val="24"/>
          <w:szCs w:val="24"/>
          <w:highlight w:val="none"/>
        </w:rPr>
        <w:t>3.4在合同期限内，招标人如需对市场的固定资产进行变动或处理，应以不影响本合同的履行为原则。</w:t>
      </w:r>
    </w:p>
    <w:p w14:paraId="30B0E8FC">
      <w:pPr>
        <w:spacing w:line="360" w:lineRule="auto"/>
        <w:jc w:val="left"/>
        <w:rPr>
          <w:rFonts w:hint="eastAsia" w:ascii="仿宋" w:hAnsi="仿宋" w:eastAsia="仿宋" w:cs="宋体"/>
          <w:b/>
          <w:bCs/>
          <w:sz w:val="24"/>
          <w:szCs w:val="24"/>
          <w:highlight w:val="none"/>
        </w:rPr>
      </w:pPr>
      <w:r>
        <w:rPr>
          <w:rFonts w:hint="eastAsia" w:ascii="仿宋" w:hAnsi="仿宋" w:eastAsia="仿宋" w:cs="宋体"/>
          <w:b/>
          <w:bCs/>
          <w:sz w:val="24"/>
          <w:szCs w:val="24"/>
          <w:highlight w:val="none"/>
        </w:rPr>
        <w:t>（五）工作时间和人员数量</w:t>
      </w:r>
    </w:p>
    <w:p w14:paraId="0DE6CF10">
      <w:pPr>
        <w:spacing w:line="360" w:lineRule="auto"/>
        <w:ind w:firstLine="480" w:firstLineChars="200"/>
        <w:jc w:val="left"/>
        <w:rPr>
          <w:rFonts w:hint="eastAsia" w:ascii="仿宋" w:hAnsi="仿宋" w:eastAsia="仿宋" w:cs="宋体"/>
          <w:b/>
          <w:bCs/>
          <w:color w:val="0000FF"/>
          <w:sz w:val="24"/>
          <w:szCs w:val="24"/>
          <w:highlight w:val="none"/>
        </w:rPr>
      </w:pPr>
      <w:r>
        <w:rPr>
          <w:rFonts w:hint="eastAsia" w:ascii="仿宋" w:hAnsi="仿宋" w:eastAsia="仿宋" w:cs="宋体"/>
          <w:sz w:val="24"/>
          <w:szCs w:val="24"/>
          <w:highlight w:val="none"/>
        </w:rPr>
        <w:t>农贸市场现场工作人员包括驻场经理至少配备</w:t>
      </w:r>
      <w:r>
        <w:rPr>
          <w:rFonts w:hint="eastAsia" w:ascii="仿宋" w:hAnsi="仿宋" w:eastAsia="仿宋" w:cs="宋体"/>
          <w:sz w:val="24"/>
          <w:szCs w:val="24"/>
          <w:highlight w:val="none"/>
          <w:u w:val="single"/>
        </w:rPr>
        <w:t xml:space="preserve"> 7</w:t>
      </w:r>
      <w:r>
        <w:rPr>
          <w:rFonts w:hint="eastAsia" w:ascii="仿宋" w:hAnsi="仿宋" w:eastAsia="仿宋" w:cs="宋体"/>
          <w:sz w:val="24"/>
          <w:szCs w:val="24"/>
          <w:highlight w:val="none"/>
        </w:rPr>
        <w:t>人，工作时间从4：00--18:30，其中确保2人负责门口乱摆摊劝导，确保1名人员24小时值班在岗，确保1名保洁人员12小时不脱岗，垃圾分类由专人进行负责。所配备人员的工资、福利、劳保、工具等一切费用都由中标单位负责。</w:t>
      </w:r>
    </w:p>
    <w:p w14:paraId="6AA23F2C">
      <w:pPr>
        <w:spacing w:line="360" w:lineRule="auto"/>
        <w:jc w:val="left"/>
        <w:rPr>
          <w:rFonts w:hint="eastAsia" w:ascii="仿宋" w:hAnsi="仿宋" w:eastAsia="仿宋" w:cs="宋体"/>
          <w:b/>
          <w:bCs/>
          <w:sz w:val="24"/>
          <w:szCs w:val="24"/>
          <w:highlight w:val="none"/>
        </w:rPr>
      </w:pPr>
      <w:r>
        <w:rPr>
          <w:rFonts w:hint="eastAsia" w:ascii="仿宋" w:hAnsi="仿宋" w:eastAsia="仿宋" w:cs="宋体"/>
          <w:b/>
          <w:bCs/>
          <w:sz w:val="24"/>
          <w:szCs w:val="24"/>
          <w:highlight w:val="none"/>
        </w:rPr>
        <w:t>（六）履约保证金及付款方式</w:t>
      </w:r>
    </w:p>
    <w:p w14:paraId="6D5E7B2F">
      <w:pPr>
        <w:spacing w:line="360" w:lineRule="auto"/>
        <w:ind w:firstLine="480" w:firstLineChars="200"/>
        <w:jc w:val="left"/>
        <w:rPr>
          <w:rFonts w:hint="eastAsia" w:ascii="仿宋" w:hAnsi="仿宋" w:eastAsia="仿宋" w:cs="宋体"/>
          <w:sz w:val="24"/>
          <w:szCs w:val="24"/>
          <w:highlight w:val="none"/>
        </w:rPr>
      </w:pPr>
      <w:bookmarkStart w:id="17" w:name="_Toc370822544"/>
      <w:r>
        <w:rPr>
          <w:rFonts w:hint="eastAsia" w:ascii="仿宋" w:hAnsi="仿宋" w:eastAsia="仿宋" w:cs="宋体"/>
          <w:sz w:val="24"/>
          <w:szCs w:val="24"/>
          <w:highlight w:val="none"/>
        </w:rPr>
        <w:t>1.履约保证金：合同签订前，中标人需向采购单位缴纳合同金额1%的履约保证金，服务履约完成无任何问题七天内退回，履约保证金不计息。</w:t>
      </w:r>
    </w:p>
    <w:p w14:paraId="5CA8B21C">
      <w:pPr>
        <w:spacing w:line="360" w:lineRule="auto"/>
        <w:ind w:firstLine="480"/>
        <w:jc w:val="left"/>
        <w:rPr>
          <w:rFonts w:hint="eastAsia" w:ascii="仿宋" w:hAnsi="仿宋" w:eastAsia="仿宋" w:cs="宋体"/>
          <w:sz w:val="24"/>
          <w:szCs w:val="24"/>
          <w:highlight w:val="none"/>
        </w:rPr>
      </w:pPr>
      <w:r>
        <w:rPr>
          <w:rFonts w:hint="eastAsia" w:ascii="仿宋" w:hAnsi="仿宋" w:eastAsia="仿宋" w:cs="宋体"/>
          <w:sz w:val="24"/>
          <w:szCs w:val="24"/>
          <w:highlight w:val="none"/>
        </w:rPr>
        <w:t>2.付款方式：中标总额中管理费在承包期限内按季度平均支付。由招标人在每季度结束之日起7个工作日内支付上季度经考核后的管理费用，在履行合同期间如成本上涨或降低等，采购人对价格一律不作调整。</w:t>
      </w:r>
    </w:p>
    <w:p w14:paraId="4EC5B5B6">
      <w:pPr>
        <w:spacing w:line="360" w:lineRule="auto"/>
        <w:jc w:val="left"/>
        <w:rPr>
          <w:rFonts w:hint="eastAsia" w:ascii="仿宋" w:hAnsi="仿宋" w:eastAsia="仿宋" w:cs="宋体"/>
          <w:b/>
          <w:bCs/>
          <w:sz w:val="24"/>
          <w:szCs w:val="24"/>
          <w:highlight w:val="none"/>
        </w:rPr>
      </w:pPr>
      <w:r>
        <w:rPr>
          <w:rFonts w:hint="eastAsia" w:ascii="仿宋" w:hAnsi="仿宋" w:eastAsia="仿宋" w:cs="宋体"/>
          <w:b/>
          <w:bCs/>
          <w:sz w:val="24"/>
          <w:szCs w:val="24"/>
          <w:highlight w:val="none"/>
        </w:rPr>
        <w:t>（七）</w:t>
      </w:r>
      <w:bookmarkEnd w:id="14"/>
      <w:bookmarkEnd w:id="15"/>
      <w:bookmarkEnd w:id="16"/>
      <w:bookmarkEnd w:id="17"/>
      <w:r>
        <w:rPr>
          <w:rFonts w:hint="eastAsia" w:ascii="仿宋" w:hAnsi="仿宋" w:eastAsia="仿宋" w:cs="宋体"/>
          <w:b/>
          <w:bCs/>
          <w:sz w:val="24"/>
          <w:szCs w:val="24"/>
          <w:highlight w:val="none"/>
        </w:rPr>
        <w:t>最高限价</w:t>
      </w:r>
    </w:p>
    <w:p w14:paraId="6054DAA0">
      <w:pPr>
        <w:widowControl/>
        <w:tabs>
          <w:tab w:val="left" w:pos="420"/>
        </w:tabs>
        <w:spacing w:line="360" w:lineRule="auto"/>
        <w:ind w:right="-53" w:rightChars="-25" w:firstLine="472" w:firstLineChars="196"/>
        <w:textAlignment w:val="bottom"/>
        <w:rPr>
          <w:rFonts w:hint="eastAsia" w:ascii="仿宋" w:hAnsi="仿宋" w:eastAsia="仿宋"/>
          <w:b/>
          <w:sz w:val="24"/>
          <w:szCs w:val="24"/>
          <w:highlight w:val="none"/>
        </w:rPr>
        <w:sectPr>
          <w:pgSz w:w="11906" w:h="16838"/>
          <w:pgMar w:top="1021" w:right="1247" w:bottom="1021" w:left="1247" w:header="567" w:footer="454" w:gutter="0"/>
          <w:pgNumType w:fmt="numberInDash"/>
          <w:cols w:space="720" w:num="1"/>
          <w:titlePg/>
          <w:docGrid w:type="lines" w:linePitch="312" w:charSpace="0"/>
        </w:sectPr>
      </w:pPr>
      <w:r>
        <w:rPr>
          <w:rFonts w:hint="eastAsia" w:ascii="仿宋" w:hAnsi="仿宋" w:eastAsia="仿宋" w:cs="宋体"/>
          <w:b/>
          <w:sz w:val="24"/>
          <w:szCs w:val="24"/>
          <w:highlight w:val="none"/>
        </w:rPr>
        <w:t>本次采购总价（两年）设最高限价为人民币柒拾万元整（</w:t>
      </w:r>
      <w:r>
        <w:rPr>
          <w:rFonts w:hint="eastAsia" w:ascii="宋体" w:hAnsi="宋体" w:cs="宋体"/>
          <w:b/>
          <w:sz w:val="24"/>
          <w:szCs w:val="24"/>
          <w:highlight w:val="none"/>
        </w:rPr>
        <w:t>¥</w:t>
      </w:r>
      <w:r>
        <w:rPr>
          <w:rFonts w:hint="eastAsia" w:ascii="仿宋" w:hAnsi="仿宋" w:eastAsia="仿宋" w:cs="宋体"/>
          <w:b/>
          <w:sz w:val="24"/>
          <w:szCs w:val="24"/>
          <w:highlight w:val="none"/>
        </w:rPr>
        <w:t>700000.00），其中：每年设最高限价为人民币叁拾伍万元整（</w:t>
      </w:r>
      <w:r>
        <w:rPr>
          <w:rFonts w:hint="eastAsia" w:ascii="宋体" w:hAnsi="宋体" w:cs="宋体"/>
          <w:b/>
          <w:sz w:val="24"/>
          <w:szCs w:val="24"/>
          <w:highlight w:val="none"/>
        </w:rPr>
        <w:t>¥</w:t>
      </w:r>
      <w:r>
        <w:rPr>
          <w:rFonts w:hint="eastAsia" w:ascii="仿宋" w:hAnsi="仿宋" w:eastAsia="仿宋" w:cs="宋体"/>
          <w:b/>
          <w:sz w:val="24"/>
          <w:szCs w:val="24"/>
          <w:highlight w:val="none"/>
        </w:rPr>
        <w:t>350000.00）。投标供应商的投标总价或者每年报价超过上述最高限价的，</w:t>
      </w:r>
      <w:r>
        <w:rPr>
          <w:rFonts w:ascii="仿宋" w:hAnsi="仿宋" w:eastAsia="仿宋"/>
          <w:b/>
          <w:sz w:val="24"/>
          <w:szCs w:val="24"/>
          <w:highlight w:val="none"/>
        </w:rPr>
        <w:t>将被认定为无效报价。</w:t>
      </w:r>
    </w:p>
    <w:p w14:paraId="489404AB">
      <w:pPr>
        <w:spacing w:before="156" w:beforeLines="50" w:after="156" w:afterLines="50" w:line="300" w:lineRule="auto"/>
        <w:jc w:val="center"/>
        <w:rPr>
          <w:rFonts w:hint="eastAsia" w:ascii="仿宋" w:hAnsi="仿宋" w:eastAsia="仿宋" w:cs="宋体"/>
          <w:bCs/>
          <w:sz w:val="28"/>
          <w:szCs w:val="28"/>
          <w:highlight w:val="none"/>
        </w:rPr>
      </w:pPr>
      <w:r>
        <w:rPr>
          <w:rFonts w:hint="eastAsia" w:ascii="仿宋" w:hAnsi="仿宋" w:eastAsia="仿宋" w:cs="宋体"/>
          <w:b/>
          <w:sz w:val="28"/>
          <w:szCs w:val="28"/>
          <w:highlight w:val="none"/>
        </w:rPr>
        <w:t>附件1：诸暨市农贸市场长效管理考核评分细则</w:t>
      </w:r>
    </w:p>
    <w:p w14:paraId="7183E0D8">
      <w:pPr>
        <w:tabs>
          <w:tab w:val="left" w:pos="6038"/>
        </w:tabs>
        <w:spacing w:line="300" w:lineRule="auto"/>
        <w:rPr>
          <w:rFonts w:hint="eastAsia" w:ascii="仿宋" w:hAnsi="仿宋" w:eastAsia="仿宋" w:cs="宋体"/>
          <w:b/>
          <w:bCs/>
          <w:sz w:val="24"/>
          <w:szCs w:val="24"/>
          <w:highlight w:val="none"/>
        </w:rPr>
      </w:pPr>
      <w:r>
        <w:rPr>
          <w:rFonts w:hint="eastAsia" w:ascii="仿宋" w:hAnsi="仿宋" w:eastAsia="仿宋" w:cs="宋体"/>
          <w:b/>
          <w:bCs/>
          <w:sz w:val="24"/>
          <w:szCs w:val="24"/>
          <w:highlight w:val="none"/>
        </w:rPr>
        <w:t>市场名称：考核人员：考核时间：</w:t>
      </w:r>
    </w:p>
    <w:tbl>
      <w:tblPr>
        <w:tblStyle w:val="49"/>
        <w:tblW w:w="10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5836"/>
        <w:gridCol w:w="1800"/>
        <w:gridCol w:w="1012"/>
        <w:gridCol w:w="722"/>
      </w:tblGrid>
      <w:tr w14:paraId="0298F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jc w:val="center"/>
        </w:trPr>
        <w:tc>
          <w:tcPr>
            <w:tcW w:w="678" w:type="dxa"/>
            <w:vAlign w:val="center"/>
          </w:tcPr>
          <w:p w14:paraId="6B55BEAB">
            <w:pPr>
              <w:spacing w:line="300" w:lineRule="auto"/>
              <w:jc w:val="center"/>
              <w:rPr>
                <w:rFonts w:hint="eastAsia" w:ascii="仿宋" w:hAnsi="仿宋" w:eastAsia="仿宋" w:cs="宋体"/>
                <w:b/>
                <w:sz w:val="24"/>
                <w:szCs w:val="24"/>
                <w:highlight w:val="none"/>
              </w:rPr>
            </w:pPr>
            <w:r>
              <w:rPr>
                <w:rFonts w:hint="eastAsia" w:ascii="仿宋" w:hAnsi="仿宋" w:eastAsia="仿宋" w:cs="宋体"/>
                <w:b/>
                <w:sz w:val="24"/>
                <w:szCs w:val="24"/>
                <w:highlight w:val="none"/>
              </w:rPr>
              <w:t>项目</w:t>
            </w:r>
          </w:p>
        </w:tc>
        <w:tc>
          <w:tcPr>
            <w:tcW w:w="5836" w:type="dxa"/>
            <w:vAlign w:val="center"/>
          </w:tcPr>
          <w:p w14:paraId="53809E3B">
            <w:pPr>
              <w:spacing w:line="300" w:lineRule="auto"/>
              <w:ind w:firstLine="120" w:firstLineChars="50"/>
              <w:jc w:val="center"/>
              <w:rPr>
                <w:rFonts w:hint="eastAsia" w:ascii="仿宋" w:hAnsi="仿宋" w:eastAsia="仿宋" w:cs="宋体"/>
                <w:b/>
                <w:sz w:val="24"/>
                <w:szCs w:val="24"/>
                <w:highlight w:val="none"/>
              </w:rPr>
            </w:pPr>
            <w:r>
              <w:rPr>
                <w:rFonts w:hint="eastAsia" w:ascii="仿宋" w:hAnsi="仿宋" w:eastAsia="仿宋" w:cs="宋体"/>
                <w:b/>
                <w:sz w:val="24"/>
                <w:szCs w:val="24"/>
                <w:highlight w:val="none"/>
              </w:rPr>
              <w:t>考核内容</w:t>
            </w:r>
          </w:p>
        </w:tc>
        <w:tc>
          <w:tcPr>
            <w:tcW w:w="1800" w:type="dxa"/>
            <w:vAlign w:val="center"/>
          </w:tcPr>
          <w:p w14:paraId="08431DDF">
            <w:pPr>
              <w:spacing w:line="300" w:lineRule="auto"/>
              <w:ind w:firstLine="120" w:firstLineChars="50"/>
              <w:jc w:val="center"/>
              <w:rPr>
                <w:rFonts w:hint="eastAsia" w:ascii="仿宋" w:hAnsi="仿宋" w:eastAsia="仿宋" w:cs="宋体"/>
                <w:b/>
                <w:sz w:val="24"/>
                <w:szCs w:val="24"/>
                <w:highlight w:val="none"/>
              </w:rPr>
            </w:pPr>
            <w:r>
              <w:rPr>
                <w:rFonts w:hint="eastAsia" w:ascii="仿宋" w:hAnsi="仿宋" w:eastAsia="仿宋" w:cs="宋体"/>
                <w:b/>
                <w:sz w:val="24"/>
                <w:szCs w:val="24"/>
                <w:highlight w:val="none"/>
              </w:rPr>
              <w:t>扣分标准</w:t>
            </w:r>
          </w:p>
        </w:tc>
        <w:tc>
          <w:tcPr>
            <w:tcW w:w="1012" w:type="dxa"/>
            <w:vAlign w:val="center"/>
          </w:tcPr>
          <w:p w14:paraId="11DD9EB9">
            <w:pPr>
              <w:spacing w:line="300" w:lineRule="auto"/>
              <w:rPr>
                <w:rFonts w:hint="eastAsia" w:ascii="仿宋" w:hAnsi="仿宋" w:eastAsia="仿宋" w:cs="宋体"/>
                <w:b/>
                <w:sz w:val="24"/>
                <w:szCs w:val="24"/>
                <w:highlight w:val="none"/>
              </w:rPr>
            </w:pPr>
            <w:r>
              <w:rPr>
                <w:rFonts w:hint="eastAsia" w:ascii="仿宋" w:hAnsi="仿宋" w:eastAsia="仿宋" w:cs="宋体"/>
                <w:b/>
                <w:sz w:val="24"/>
                <w:szCs w:val="24"/>
                <w:highlight w:val="none"/>
              </w:rPr>
              <w:t>扣分原因</w:t>
            </w:r>
          </w:p>
        </w:tc>
        <w:tc>
          <w:tcPr>
            <w:tcW w:w="722" w:type="dxa"/>
            <w:vAlign w:val="center"/>
          </w:tcPr>
          <w:p w14:paraId="7E1EE736">
            <w:pPr>
              <w:spacing w:line="300" w:lineRule="auto"/>
              <w:ind w:firstLine="120" w:firstLineChars="50"/>
              <w:jc w:val="center"/>
              <w:rPr>
                <w:rFonts w:hint="eastAsia" w:ascii="仿宋" w:hAnsi="仿宋" w:eastAsia="仿宋" w:cs="宋体"/>
                <w:b/>
                <w:sz w:val="24"/>
                <w:szCs w:val="24"/>
                <w:highlight w:val="none"/>
              </w:rPr>
            </w:pPr>
            <w:r>
              <w:rPr>
                <w:rFonts w:hint="eastAsia" w:ascii="仿宋" w:hAnsi="仿宋" w:eastAsia="仿宋" w:cs="宋体"/>
                <w:b/>
                <w:sz w:val="24"/>
                <w:szCs w:val="24"/>
                <w:highlight w:val="none"/>
              </w:rPr>
              <w:t>得分</w:t>
            </w:r>
          </w:p>
        </w:tc>
      </w:tr>
      <w:tr w14:paraId="3A538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78" w:type="dxa"/>
            <w:vMerge w:val="restart"/>
            <w:vAlign w:val="center"/>
          </w:tcPr>
          <w:p w14:paraId="40818151">
            <w:pPr>
              <w:spacing w:line="300" w:lineRule="auto"/>
              <w:jc w:val="center"/>
              <w:rPr>
                <w:rFonts w:hint="eastAsia" w:ascii="仿宋" w:hAnsi="仿宋" w:eastAsia="仿宋" w:cs="宋体"/>
                <w:b/>
                <w:sz w:val="24"/>
                <w:szCs w:val="24"/>
                <w:highlight w:val="none"/>
              </w:rPr>
            </w:pPr>
            <w:r>
              <w:rPr>
                <w:rFonts w:hint="eastAsia" w:ascii="仿宋" w:hAnsi="仿宋" w:eastAsia="仿宋" w:cs="宋体"/>
                <w:b/>
                <w:sz w:val="24"/>
                <w:szCs w:val="24"/>
                <w:highlight w:val="none"/>
              </w:rPr>
              <w:t>机</w:t>
            </w:r>
          </w:p>
          <w:p w14:paraId="434AE894">
            <w:pPr>
              <w:spacing w:line="300" w:lineRule="auto"/>
              <w:jc w:val="center"/>
              <w:rPr>
                <w:rFonts w:hint="eastAsia" w:ascii="仿宋" w:hAnsi="仿宋" w:eastAsia="仿宋" w:cs="宋体"/>
                <w:b/>
                <w:sz w:val="24"/>
                <w:szCs w:val="24"/>
                <w:highlight w:val="none"/>
              </w:rPr>
            </w:pPr>
            <w:r>
              <w:rPr>
                <w:rFonts w:hint="eastAsia" w:ascii="仿宋" w:hAnsi="仿宋" w:eastAsia="仿宋" w:cs="宋体"/>
                <w:b/>
                <w:sz w:val="24"/>
                <w:szCs w:val="24"/>
                <w:highlight w:val="none"/>
              </w:rPr>
              <w:t>构</w:t>
            </w:r>
          </w:p>
          <w:p w14:paraId="2BC952AE">
            <w:pPr>
              <w:spacing w:line="300" w:lineRule="auto"/>
              <w:jc w:val="center"/>
              <w:rPr>
                <w:rFonts w:hint="eastAsia" w:ascii="仿宋" w:hAnsi="仿宋" w:eastAsia="仿宋" w:cs="宋体"/>
                <w:b/>
                <w:sz w:val="24"/>
                <w:szCs w:val="24"/>
                <w:highlight w:val="none"/>
              </w:rPr>
            </w:pPr>
            <w:r>
              <w:rPr>
                <w:rFonts w:hint="eastAsia" w:ascii="仿宋" w:hAnsi="仿宋" w:eastAsia="仿宋" w:cs="宋体"/>
                <w:b/>
                <w:sz w:val="24"/>
                <w:szCs w:val="24"/>
                <w:highlight w:val="none"/>
              </w:rPr>
              <w:t>设</w:t>
            </w:r>
          </w:p>
          <w:p w14:paraId="657599AD">
            <w:pPr>
              <w:spacing w:line="300" w:lineRule="auto"/>
              <w:jc w:val="center"/>
              <w:rPr>
                <w:rFonts w:hint="eastAsia" w:ascii="仿宋" w:hAnsi="仿宋" w:eastAsia="仿宋" w:cs="宋体"/>
                <w:b/>
                <w:sz w:val="24"/>
                <w:szCs w:val="24"/>
                <w:highlight w:val="none"/>
              </w:rPr>
            </w:pPr>
            <w:r>
              <w:rPr>
                <w:rFonts w:hint="eastAsia" w:ascii="仿宋" w:hAnsi="仿宋" w:eastAsia="仿宋" w:cs="宋体"/>
                <w:b/>
                <w:sz w:val="24"/>
                <w:szCs w:val="24"/>
                <w:highlight w:val="none"/>
              </w:rPr>
              <w:t>施</w:t>
            </w:r>
          </w:p>
          <w:p w14:paraId="6B957217">
            <w:pPr>
              <w:spacing w:line="300" w:lineRule="auto"/>
              <w:ind w:left="-84" w:leftChars="-40" w:right="-94" w:rightChars="-45"/>
              <w:jc w:val="center"/>
              <w:rPr>
                <w:rFonts w:hint="eastAsia" w:ascii="仿宋" w:hAnsi="仿宋" w:eastAsia="仿宋" w:cs="宋体"/>
                <w:b/>
                <w:color w:val="FF0000"/>
                <w:sz w:val="24"/>
                <w:szCs w:val="24"/>
                <w:highlight w:val="none"/>
              </w:rPr>
            </w:pPr>
            <w:r>
              <w:rPr>
                <w:rFonts w:hint="eastAsia" w:ascii="仿宋" w:hAnsi="仿宋" w:eastAsia="仿宋" w:cs="宋体"/>
                <w:b/>
                <w:sz w:val="24"/>
                <w:szCs w:val="24"/>
                <w:highlight w:val="none"/>
              </w:rPr>
              <w:t>25分</w:t>
            </w:r>
          </w:p>
        </w:tc>
        <w:tc>
          <w:tcPr>
            <w:tcW w:w="5836" w:type="dxa"/>
            <w:vAlign w:val="center"/>
          </w:tcPr>
          <w:p w14:paraId="5F46B9F0">
            <w:pPr>
              <w:spacing w:line="300" w:lineRule="auto"/>
              <w:rPr>
                <w:rFonts w:hint="eastAsia" w:ascii="仿宋" w:hAnsi="仿宋" w:eastAsia="仿宋" w:cs="宋体"/>
                <w:sz w:val="24"/>
                <w:szCs w:val="24"/>
                <w:highlight w:val="none"/>
              </w:rPr>
            </w:pPr>
            <w:r>
              <w:rPr>
                <w:rFonts w:hint="eastAsia" w:ascii="仿宋" w:hAnsi="仿宋" w:eastAsia="仿宋" w:cs="宋体"/>
                <w:sz w:val="24"/>
                <w:szCs w:val="24"/>
                <w:highlight w:val="none"/>
              </w:rPr>
              <w:t>设立市场管理办公室，配备管理人员，明确各岗位职责。管理人员着装佩证上岗。（5分）</w:t>
            </w:r>
          </w:p>
        </w:tc>
        <w:tc>
          <w:tcPr>
            <w:tcW w:w="1800" w:type="dxa"/>
            <w:vAlign w:val="center"/>
          </w:tcPr>
          <w:p w14:paraId="37582772">
            <w:pPr>
              <w:spacing w:line="300" w:lineRule="auto"/>
              <w:rPr>
                <w:rFonts w:hint="eastAsia" w:ascii="仿宋" w:hAnsi="仿宋" w:eastAsia="仿宋" w:cs="宋体"/>
                <w:sz w:val="24"/>
                <w:szCs w:val="24"/>
                <w:highlight w:val="none"/>
              </w:rPr>
            </w:pPr>
            <w:r>
              <w:rPr>
                <w:rFonts w:hint="eastAsia" w:ascii="仿宋" w:hAnsi="仿宋" w:eastAsia="仿宋" w:cs="宋体"/>
                <w:sz w:val="24"/>
                <w:szCs w:val="24"/>
                <w:highlight w:val="none"/>
              </w:rPr>
              <w:t>不符要求每项扣1分</w:t>
            </w:r>
          </w:p>
        </w:tc>
        <w:tc>
          <w:tcPr>
            <w:tcW w:w="1012" w:type="dxa"/>
          </w:tcPr>
          <w:p w14:paraId="4BEE1289">
            <w:pPr>
              <w:spacing w:line="300" w:lineRule="auto"/>
              <w:rPr>
                <w:rFonts w:hint="eastAsia" w:ascii="仿宋" w:hAnsi="仿宋" w:eastAsia="仿宋" w:cs="宋体"/>
                <w:sz w:val="24"/>
                <w:szCs w:val="24"/>
                <w:highlight w:val="none"/>
              </w:rPr>
            </w:pPr>
          </w:p>
        </w:tc>
        <w:tc>
          <w:tcPr>
            <w:tcW w:w="722" w:type="dxa"/>
          </w:tcPr>
          <w:p w14:paraId="0749EE9C">
            <w:pPr>
              <w:spacing w:line="300" w:lineRule="auto"/>
              <w:rPr>
                <w:rFonts w:hint="eastAsia" w:ascii="仿宋" w:hAnsi="仿宋" w:eastAsia="仿宋" w:cs="宋体"/>
                <w:sz w:val="24"/>
                <w:szCs w:val="24"/>
                <w:highlight w:val="none"/>
              </w:rPr>
            </w:pPr>
          </w:p>
        </w:tc>
      </w:tr>
      <w:tr w14:paraId="4728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78" w:type="dxa"/>
            <w:vMerge w:val="continue"/>
            <w:vAlign w:val="center"/>
          </w:tcPr>
          <w:p w14:paraId="323541FC">
            <w:pPr>
              <w:spacing w:line="300" w:lineRule="auto"/>
              <w:ind w:left="-84" w:leftChars="-40" w:right="-94" w:rightChars="-45"/>
              <w:jc w:val="center"/>
              <w:rPr>
                <w:rFonts w:hint="eastAsia" w:ascii="仿宋" w:hAnsi="仿宋" w:eastAsia="仿宋" w:cs="宋体"/>
                <w:b/>
                <w:color w:val="FF0000"/>
                <w:sz w:val="24"/>
                <w:szCs w:val="24"/>
                <w:highlight w:val="none"/>
              </w:rPr>
            </w:pPr>
          </w:p>
        </w:tc>
        <w:tc>
          <w:tcPr>
            <w:tcW w:w="5836" w:type="dxa"/>
            <w:vAlign w:val="center"/>
          </w:tcPr>
          <w:p w14:paraId="40313DC2">
            <w:pPr>
              <w:spacing w:line="300" w:lineRule="auto"/>
              <w:rPr>
                <w:rFonts w:hint="eastAsia" w:ascii="仿宋" w:hAnsi="仿宋" w:eastAsia="仿宋" w:cs="宋体"/>
                <w:sz w:val="24"/>
                <w:szCs w:val="24"/>
                <w:highlight w:val="none"/>
              </w:rPr>
            </w:pPr>
            <w:r>
              <w:rPr>
                <w:rFonts w:hint="eastAsia" w:ascii="仿宋" w:hAnsi="仿宋" w:eastAsia="仿宋" w:cs="宋体"/>
                <w:sz w:val="24"/>
                <w:szCs w:val="24"/>
                <w:highlight w:val="none"/>
              </w:rPr>
              <w:t>制订市场管理制度并在显著位置公示。设立意见箱、公平秤、导购图。有宣传公示栏、禁烟标志，讲文明树新风公益广告、社会主义核心价值观宣传等。（10分）</w:t>
            </w:r>
          </w:p>
        </w:tc>
        <w:tc>
          <w:tcPr>
            <w:tcW w:w="1800" w:type="dxa"/>
            <w:vAlign w:val="center"/>
          </w:tcPr>
          <w:p w14:paraId="3C1B13D1">
            <w:pPr>
              <w:spacing w:line="300" w:lineRule="auto"/>
              <w:rPr>
                <w:rFonts w:hint="eastAsia" w:ascii="仿宋" w:hAnsi="仿宋" w:eastAsia="仿宋" w:cs="宋体"/>
                <w:sz w:val="24"/>
                <w:szCs w:val="24"/>
                <w:highlight w:val="none"/>
              </w:rPr>
            </w:pPr>
            <w:r>
              <w:rPr>
                <w:rFonts w:hint="eastAsia" w:ascii="仿宋" w:hAnsi="仿宋" w:eastAsia="仿宋" w:cs="宋体"/>
                <w:sz w:val="24"/>
                <w:szCs w:val="24"/>
                <w:highlight w:val="none"/>
              </w:rPr>
              <w:t>不符要求每项扣1分</w:t>
            </w:r>
          </w:p>
        </w:tc>
        <w:tc>
          <w:tcPr>
            <w:tcW w:w="1012" w:type="dxa"/>
          </w:tcPr>
          <w:p w14:paraId="75D418AE">
            <w:pPr>
              <w:spacing w:line="300" w:lineRule="auto"/>
              <w:rPr>
                <w:rFonts w:hint="eastAsia" w:ascii="仿宋" w:hAnsi="仿宋" w:eastAsia="仿宋" w:cs="宋体"/>
                <w:sz w:val="24"/>
                <w:szCs w:val="24"/>
                <w:highlight w:val="none"/>
              </w:rPr>
            </w:pPr>
          </w:p>
        </w:tc>
        <w:tc>
          <w:tcPr>
            <w:tcW w:w="722" w:type="dxa"/>
          </w:tcPr>
          <w:p w14:paraId="64C3D0A8">
            <w:pPr>
              <w:spacing w:line="300" w:lineRule="auto"/>
              <w:rPr>
                <w:rFonts w:hint="eastAsia" w:ascii="仿宋" w:hAnsi="仿宋" w:eastAsia="仿宋" w:cs="宋体"/>
                <w:sz w:val="24"/>
                <w:szCs w:val="24"/>
                <w:highlight w:val="none"/>
              </w:rPr>
            </w:pPr>
          </w:p>
        </w:tc>
      </w:tr>
      <w:tr w14:paraId="3D6FE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78" w:type="dxa"/>
            <w:vMerge w:val="continue"/>
          </w:tcPr>
          <w:p w14:paraId="7E165950">
            <w:pPr>
              <w:spacing w:line="300" w:lineRule="auto"/>
              <w:ind w:left="-84" w:leftChars="-40" w:right="-94" w:rightChars="-45"/>
              <w:rPr>
                <w:rFonts w:hint="eastAsia" w:ascii="仿宋" w:hAnsi="仿宋" w:eastAsia="仿宋" w:cs="宋体"/>
                <w:sz w:val="24"/>
                <w:szCs w:val="24"/>
                <w:highlight w:val="none"/>
              </w:rPr>
            </w:pPr>
          </w:p>
        </w:tc>
        <w:tc>
          <w:tcPr>
            <w:tcW w:w="5836" w:type="dxa"/>
            <w:vAlign w:val="center"/>
          </w:tcPr>
          <w:p w14:paraId="3A6D5CC1">
            <w:pPr>
              <w:spacing w:line="300" w:lineRule="auto"/>
              <w:rPr>
                <w:rFonts w:hint="eastAsia" w:ascii="仿宋" w:hAnsi="仿宋" w:eastAsia="仿宋" w:cs="宋体"/>
                <w:sz w:val="24"/>
                <w:szCs w:val="24"/>
                <w:highlight w:val="none"/>
              </w:rPr>
            </w:pPr>
            <w:r>
              <w:rPr>
                <w:rFonts w:hint="eastAsia" w:ascii="仿宋" w:hAnsi="仿宋" w:eastAsia="仿宋" w:cs="宋体"/>
                <w:sz w:val="24"/>
                <w:szCs w:val="24"/>
                <w:highlight w:val="none"/>
              </w:rPr>
              <w:t>市场安装电子监控、电子显示屏等设施并提供公共信息服务且正常使用，公共消防设施功能完好；消防通道无被占用、无堵塞、无明火，消防安全责任书上墙，消防安全制度健全。（10分）</w:t>
            </w:r>
          </w:p>
        </w:tc>
        <w:tc>
          <w:tcPr>
            <w:tcW w:w="1800" w:type="dxa"/>
            <w:vAlign w:val="center"/>
          </w:tcPr>
          <w:p w14:paraId="108C3A59">
            <w:pPr>
              <w:spacing w:line="300" w:lineRule="auto"/>
              <w:rPr>
                <w:rFonts w:hint="eastAsia" w:ascii="仿宋" w:hAnsi="仿宋" w:eastAsia="仿宋" w:cs="宋体"/>
                <w:sz w:val="24"/>
                <w:szCs w:val="24"/>
                <w:highlight w:val="none"/>
              </w:rPr>
            </w:pPr>
            <w:r>
              <w:rPr>
                <w:rFonts w:hint="eastAsia" w:ascii="仿宋" w:hAnsi="仿宋" w:eastAsia="仿宋" w:cs="宋体"/>
                <w:sz w:val="24"/>
                <w:szCs w:val="24"/>
                <w:highlight w:val="none"/>
              </w:rPr>
              <w:t>不符要求每项扣1分</w:t>
            </w:r>
          </w:p>
        </w:tc>
        <w:tc>
          <w:tcPr>
            <w:tcW w:w="1012" w:type="dxa"/>
          </w:tcPr>
          <w:p w14:paraId="6EA720D3">
            <w:pPr>
              <w:spacing w:line="300" w:lineRule="auto"/>
              <w:rPr>
                <w:rFonts w:hint="eastAsia" w:ascii="仿宋" w:hAnsi="仿宋" w:eastAsia="仿宋" w:cs="宋体"/>
                <w:sz w:val="24"/>
                <w:szCs w:val="24"/>
                <w:highlight w:val="none"/>
              </w:rPr>
            </w:pPr>
          </w:p>
        </w:tc>
        <w:tc>
          <w:tcPr>
            <w:tcW w:w="722" w:type="dxa"/>
          </w:tcPr>
          <w:p w14:paraId="1CA33D35">
            <w:pPr>
              <w:spacing w:line="300" w:lineRule="auto"/>
              <w:rPr>
                <w:rFonts w:hint="eastAsia" w:ascii="仿宋" w:hAnsi="仿宋" w:eastAsia="仿宋" w:cs="宋体"/>
                <w:sz w:val="24"/>
                <w:szCs w:val="24"/>
                <w:highlight w:val="none"/>
              </w:rPr>
            </w:pPr>
          </w:p>
        </w:tc>
      </w:tr>
      <w:tr w14:paraId="77A49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78" w:type="dxa"/>
            <w:vMerge w:val="restart"/>
            <w:vAlign w:val="center"/>
          </w:tcPr>
          <w:p w14:paraId="09C35C1A">
            <w:pPr>
              <w:spacing w:line="300" w:lineRule="auto"/>
              <w:jc w:val="center"/>
              <w:rPr>
                <w:rFonts w:hint="eastAsia" w:ascii="仿宋" w:hAnsi="仿宋" w:eastAsia="仿宋" w:cs="宋体"/>
                <w:b/>
                <w:sz w:val="24"/>
                <w:szCs w:val="24"/>
                <w:highlight w:val="none"/>
              </w:rPr>
            </w:pPr>
            <w:r>
              <w:rPr>
                <w:rFonts w:hint="eastAsia" w:ascii="仿宋" w:hAnsi="仿宋" w:eastAsia="仿宋" w:cs="宋体"/>
                <w:b/>
                <w:sz w:val="24"/>
                <w:szCs w:val="24"/>
                <w:highlight w:val="none"/>
              </w:rPr>
              <w:t>食</w:t>
            </w:r>
          </w:p>
          <w:p w14:paraId="26B1134F">
            <w:pPr>
              <w:spacing w:line="300" w:lineRule="auto"/>
              <w:jc w:val="center"/>
              <w:rPr>
                <w:rFonts w:hint="eastAsia" w:ascii="仿宋" w:hAnsi="仿宋" w:eastAsia="仿宋" w:cs="宋体"/>
                <w:b/>
                <w:sz w:val="24"/>
                <w:szCs w:val="24"/>
                <w:highlight w:val="none"/>
              </w:rPr>
            </w:pPr>
            <w:r>
              <w:rPr>
                <w:rFonts w:hint="eastAsia" w:ascii="仿宋" w:hAnsi="仿宋" w:eastAsia="仿宋" w:cs="宋体"/>
                <w:b/>
                <w:sz w:val="24"/>
                <w:szCs w:val="24"/>
                <w:highlight w:val="none"/>
              </w:rPr>
              <w:t>品</w:t>
            </w:r>
          </w:p>
          <w:p w14:paraId="723E8A93">
            <w:pPr>
              <w:spacing w:line="300" w:lineRule="auto"/>
              <w:jc w:val="center"/>
              <w:rPr>
                <w:rFonts w:hint="eastAsia" w:ascii="仿宋" w:hAnsi="仿宋" w:eastAsia="仿宋" w:cs="宋体"/>
                <w:b/>
                <w:sz w:val="24"/>
                <w:szCs w:val="24"/>
                <w:highlight w:val="none"/>
              </w:rPr>
            </w:pPr>
            <w:r>
              <w:rPr>
                <w:rFonts w:hint="eastAsia" w:ascii="仿宋" w:hAnsi="仿宋" w:eastAsia="仿宋" w:cs="宋体"/>
                <w:b/>
                <w:sz w:val="24"/>
                <w:szCs w:val="24"/>
                <w:highlight w:val="none"/>
              </w:rPr>
              <w:t>安</w:t>
            </w:r>
          </w:p>
          <w:p w14:paraId="6457112D">
            <w:pPr>
              <w:spacing w:line="300" w:lineRule="auto"/>
              <w:jc w:val="center"/>
              <w:rPr>
                <w:rFonts w:hint="eastAsia" w:ascii="仿宋" w:hAnsi="仿宋" w:eastAsia="仿宋" w:cs="宋体"/>
                <w:b/>
                <w:sz w:val="24"/>
                <w:szCs w:val="24"/>
                <w:highlight w:val="none"/>
              </w:rPr>
            </w:pPr>
            <w:r>
              <w:rPr>
                <w:rFonts w:hint="eastAsia" w:ascii="仿宋" w:hAnsi="仿宋" w:eastAsia="仿宋" w:cs="宋体"/>
                <w:b/>
                <w:sz w:val="24"/>
                <w:szCs w:val="24"/>
                <w:highlight w:val="none"/>
              </w:rPr>
              <w:t>全</w:t>
            </w:r>
          </w:p>
          <w:p w14:paraId="7B3ADB36">
            <w:pPr>
              <w:spacing w:line="300" w:lineRule="auto"/>
              <w:rPr>
                <w:rFonts w:hint="eastAsia" w:ascii="仿宋" w:hAnsi="仿宋" w:eastAsia="仿宋" w:cs="宋体"/>
                <w:sz w:val="24"/>
                <w:szCs w:val="24"/>
                <w:highlight w:val="none"/>
              </w:rPr>
            </w:pPr>
            <w:r>
              <w:rPr>
                <w:rFonts w:hint="eastAsia" w:ascii="仿宋" w:hAnsi="仿宋" w:eastAsia="仿宋" w:cs="宋体"/>
                <w:b/>
                <w:sz w:val="24"/>
                <w:szCs w:val="24"/>
                <w:highlight w:val="none"/>
              </w:rPr>
              <w:t>30分</w:t>
            </w:r>
          </w:p>
        </w:tc>
        <w:tc>
          <w:tcPr>
            <w:tcW w:w="5836" w:type="dxa"/>
            <w:vAlign w:val="center"/>
          </w:tcPr>
          <w:p w14:paraId="1BF8AE17">
            <w:pPr>
              <w:spacing w:line="300" w:lineRule="auto"/>
              <w:ind w:left="-84" w:leftChars="-40" w:right="-94" w:rightChars="-45"/>
              <w:rPr>
                <w:rFonts w:hint="eastAsia" w:ascii="仿宋" w:hAnsi="仿宋" w:eastAsia="仿宋" w:cs="宋体"/>
                <w:sz w:val="24"/>
                <w:szCs w:val="24"/>
                <w:highlight w:val="none"/>
              </w:rPr>
            </w:pPr>
            <w:r>
              <w:rPr>
                <w:rFonts w:hint="eastAsia" w:ascii="仿宋" w:hAnsi="仿宋" w:eastAsia="仿宋" w:cs="宋体"/>
                <w:sz w:val="24"/>
                <w:szCs w:val="24"/>
                <w:highlight w:val="none"/>
              </w:rPr>
              <w:t>熟食品、卤制品要有冷藏及防蝇、防鼠、防尘等三防设施。经营者证照齐全，统一穿戴白大衣、白帽、戴口罩；无生熟混放现象、食品通过窗口传递，窗口设置实行货款分离。（10分）</w:t>
            </w:r>
          </w:p>
        </w:tc>
        <w:tc>
          <w:tcPr>
            <w:tcW w:w="1800" w:type="dxa"/>
            <w:vAlign w:val="center"/>
          </w:tcPr>
          <w:p w14:paraId="2E3B6B6B">
            <w:pPr>
              <w:spacing w:line="300" w:lineRule="auto"/>
              <w:rPr>
                <w:rFonts w:hint="eastAsia" w:ascii="仿宋" w:hAnsi="仿宋" w:eastAsia="仿宋" w:cs="宋体"/>
                <w:sz w:val="24"/>
                <w:szCs w:val="24"/>
                <w:highlight w:val="none"/>
              </w:rPr>
            </w:pPr>
            <w:r>
              <w:rPr>
                <w:rFonts w:hint="eastAsia" w:ascii="仿宋" w:hAnsi="仿宋" w:eastAsia="仿宋" w:cs="宋体"/>
                <w:sz w:val="24"/>
                <w:szCs w:val="24"/>
                <w:highlight w:val="none"/>
              </w:rPr>
              <w:t>不符要每处扣2分</w:t>
            </w:r>
          </w:p>
        </w:tc>
        <w:tc>
          <w:tcPr>
            <w:tcW w:w="1012" w:type="dxa"/>
          </w:tcPr>
          <w:p w14:paraId="3894B127">
            <w:pPr>
              <w:spacing w:line="300" w:lineRule="auto"/>
              <w:ind w:left="-84" w:leftChars="-40" w:right="-94" w:rightChars="-45"/>
              <w:rPr>
                <w:rFonts w:hint="eastAsia" w:ascii="仿宋" w:hAnsi="仿宋" w:eastAsia="仿宋" w:cs="宋体"/>
                <w:sz w:val="24"/>
                <w:szCs w:val="24"/>
                <w:highlight w:val="none"/>
              </w:rPr>
            </w:pPr>
          </w:p>
        </w:tc>
        <w:tc>
          <w:tcPr>
            <w:tcW w:w="722" w:type="dxa"/>
          </w:tcPr>
          <w:p w14:paraId="3B5CF15F">
            <w:pPr>
              <w:spacing w:line="300" w:lineRule="auto"/>
              <w:ind w:left="-84" w:leftChars="-40" w:right="-94" w:rightChars="-45"/>
              <w:rPr>
                <w:rFonts w:hint="eastAsia" w:ascii="仿宋" w:hAnsi="仿宋" w:eastAsia="仿宋" w:cs="宋体"/>
                <w:sz w:val="24"/>
                <w:szCs w:val="24"/>
                <w:highlight w:val="none"/>
              </w:rPr>
            </w:pPr>
          </w:p>
        </w:tc>
      </w:tr>
      <w:tr w14:paraId="06F88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78" w:type="dxa"/>
            <w:vMerge w:val="continue"/>
            <w:vAlign w:val="center"/>
          </w:tcPr>
          <w:p w14:paraId="008BF759">
            <w:pPr>
              <w:spacing w:line="300" w:lineRule="auto"/>
              <w:ind w:left="-84" w:leftChars="-40" w:right="-94" w:rightChars="-45"/>
              <w:rPr>
                <w:rFonts w:hint="eastAsia" w:ascii="仿宋" w:hAnsi="仿宋" w:eastAsia="仿宋" w:cs="宋体"/>
                <w:sz w:val="24"/>
                <w:szCs w:val="24"/>
                <w:highlight w:val="none"/>
              </w:rPr>
            </w:pPr>
          </w:p>
        </w:tc>
        <w:tc>
          <w:tcPr>
            <w:tcW w:w="5836" w:type="dxa"/>
            <w:vAlign w:val="center"/>
          </w:tcPr>
          <w:p w14:paraId="149CC1D0">
            <w:pPr>
              <w:spacing w:line="300" w:lineRule="auto"/>
              <w:ind w:left="-84" w:leftChars="-40" w:right="-94" w:rightChars="-45"/>
              <w:rPr>
                <w:rFonts w:hint="eastAsia" w:ascii="仿宋" w:hAnsi="仿宋" w:eastAsia="仿宋" w:cs="宋体"/>
                <w:sz w:val="24"/>
                <w:szCs w:val="24"/>
                <w:highlight w:val="none"/>
              </w:rPr>
            </w:pPr>
            <w:r>
              <w:rPr>
                <w:rFonts w:hint="eastAsia" w:ascii="仿宋" w:hAnsi="仿宋" w:eastAsia="仿宋" w:cs="宋体"/>
                <w:sz w:val="24"/>
                <w:szCs w:val="24"/>
                <w:highlight w:val="none"/>
              </w:rPr>
              <w:t>符合食品卫生要求，不销售未经检疫的肉类产品、受保护的野生动物、“三无”过期变质食品、假冒伪劣、以次充好商品。（6分）</w:t>
            </w:r>
          </w:p>
        </w:tc>
        <w:tc>
          <w:tcPr>
            <w:tcW w:w="1800" w:type="dxa"/>
            <w:vAlign w:val="center"/>
          </w:tcPr>
          <w:p w14:paraId="5CC4100B">
            <w:pPr>
              <w:spacing w:line="300" w:lineRule="auto"/>
              <w:rPr>
                <w:rFonts w:hint="eastAsia" w:ascii="仿宋" w:hAnsi="仿宋" w:eastAsia="仿宋" w:cs="宋体"/>
                <w:sz w:val="24"/>
                <w:szCs w:val="24"/>
                <w:highlight w:val="none"/>
              </w:rPr>
            </w:pPr>
            <w:r>
              <w:rPr>
                <w:rFonts w:hint="eastAsia" w:ascii="仿宋" w:hAnsi="仿宋" w:eastAsia="仿宋" w:cs="宋体"/>
                <w:sz w:val="24"/>
                <w:szCs w:val="24"/>
                <w:highlight w:val="none"/>
              </w:rPr>
              <w:t>不符要求每处扣1分</w:t>
            </w:r>
          </w:p>
        </w:tc>
        <w:tc>
          <w:tcPr>
            <w:tcW w:w="1012" w:type="dxa"/>
          </w:tcPr>
          <w:p w14:paraId="68A86646">
            <w:pPr>
              <w:spacing w:line="300" w:lineRule="auto"/>
              <w:ind w:left="-84" w:leftChars="-40" w:right="-94" w:rightChars="-45"/>
              <w:rPr>
                <w:rFonts w:hint="eastAsia" w:ascii="仿宋" w:hAnsi="仿宋" w:eastAsia="仿宋" w:cs="宋体"/>
                <w:sz w:val="24"/>
                <w:szCs w:val="24"/>
                <w:highlight w:val="none"/>
              </w:rPr>
            </w:pPr>
          </w:p>
        </w:tc>
        <w:tc>
          <w:tcPr>
            <w:tcW w:w="722" w:type="dxa"/>
          </w:tcPr>
          <w:p w14:paraId="1F687FB9">
            <w:pPr>
              <w:spacing w:line="300" w:lineRule="auto"/>
              <w:ind w:left="-84" w:leftChars="-40" w:right="-94" w:rightChars="-45"/>
              <w:rPr>
                <w:rFonts w:hint="eastAsia" w:ascii="仿宋" w:hAnsi="仿宋" w:eastAsia="仿宋" w:cs="宋体"/>
                <w:sz w:val="24"/>
                <w:szCs w:val="24"/>
                <w:highlight w:val="none"/>
              </w:rPr>
            </w:pPr>
          </w:p>
        </w:tc>
      </w:tr>
      <w:tr w14:paraId="54DE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78" w:type="dxa"/>
            <w:vMerge w:val="continue"/>
            <w:vAlign w:val="center"/>
          </w:tcPr>
          <w:p w14:paraId="08230475">
            <w:pPr>
              <w:spacing w:line="300" w:lineRule="auto"/>
              <w:ind w:left="-84" w:leftChars="-40" w:right="-94" w:rightChars="-45"/>
              <w:rPr>
                <w:rFonts w:hint="eastAsia" w:ascii="仿宋" w:hAnsi="仿宋" w:eastAsia="仿宋" w:cs="宋体"/>
                <w:sz w:val="24"/>
                <w:szCs w:val="24"/>
                <w:highlight w:val="none"/>
              </w:rPr>
            </w:pPr>
          </w:p>
        </w:tc>
        <w:tc>
          <w:tcPr>
            <w:tcW w:w="5836" w:type="dxa"/>
            <w:vAlign w:val="center"/>
          </w:tcPr>
          <w:p w14:paraId="426EB586">
            <w:pPr>
              <w:spacing w:line="300" w:lineRule="auto"/>
              <w:ind w:left="-84" w:leftChars="-40" w:right="-94" w:rightChars="-45"/>
              <w:rPr>
                <w:rFonts w:hint="eastAsia" w:ascii="仿宋" w:hAnsi="仿宋" w:eastAsia="仿宋" w:cs="宋体"/>
                <w:sz w:val="24"/>
                <w:szCs w:val="24"/>
                <w:highlight w:val="none"/>
              </w:rPr>
            </w:pPr>
            <w:r>
              <w:rPr>
                <w:rFonts w:hint="eastAsia" w:ascii="仿宋" w:hAnsi="仿宋" w:eastAsia="仿宋" w:cs="宋体"/>
                <w:sz w:val="24"/>
                <w:szCs w:val="24"/>
                <w:highlight w:val="none"/>
              </w:rPr>
              <w:t>副食品、熟食、豆制品、蛋糕等食品行业从业人员必须持有效健康证上岗并在显著位置公示。经营户经销的所有食品、农产品均有进货台帐和索证索票，并建立台帐。自产自销经营户予以明示并全部登记备案。（8分）</w:t>
            </w:r>
          </w:p>
        </w:tc>
        <w:tc>
          <w:tcPr>
            <w:tcW w:w="1800" w:type="dxa"/>
            <w:vAlign w:val="center"/>
          </w:tcPr>
          <w:p w14:paraId="2C36B849">
            <w:pPr>
              <w:spacing w:line="300" w:lineRule="auto"/>
              <w:rPr>
                <w:rFonts w:hint="eastAsia" w:ascii="仿宋" w:hAnsi="仿宋" w:eastAsia="仿宋" w:cs="宋体"/>
                <w:sz w:val="24"/>
                <w:szCs w:val="24"/>
                <w:highlight w:val="none"/>
              </w:rPr>
            </w:pPr>
            <w:r>
              <w:rPr>
                <w:rFonts w:hint="eastAsia" w:ascii="仿宋" w:hAnsi="仿宋" w:eastAsia="仿宋" w:cs="宋体"/>
                <w:sz w:val="24"/>
                <w:szCs w:val="24"/>
                <w:highlight w:val="none"/>
              </w:rPr>
              <w:t>不符要求每项扣1分</w:t>
            </w:r>
          </w:p>
        </w:tc>
        <w:tc>
          <w:tcPr>
            <w:tcW w:w="1012" w:type="dxa"/>
          </w:tcPr>
          <w:p w14:paraId="4A48A3DB">
            <w:pPr>
              <w:spacing w:line="300" w:lineRule="auto"/>
              <w:ind w:left="-84" w:leftChars="-40" w:right="-94" w:rightChars="-45"/>
              <w:rPr>
                <w:rFonts w:hint="eastAsia" w:ascii="仿宋" w:hAnsi="仿宋" w:eastAsia="仿宋" w:cs="宋体"/>
                <w:sz w:val="24"/>
                <w:szCs w:val="24"/>
                <w:highlight w:val="none"/>
              </w:rPr>
            </w:pPr>
          </w:p>
        </w:tc>
        <w:tc>
          <w:tcPr>
            <w:tcW w:w="722" w:type="dxa"/>
          </w:tcPr>
          <w:p w14:paraId="5FC2F281">
            <w:pPr>
              <w:spacing w:line="300" w:lineRule="auto"/>
              <w:ind w:left="-84" w:leftChars="-40" w:right="-94" w:rightChars="-45"/>
              <w:rPr>
                <w:rFonts w:hint="eastAsia" w:ascii="仿宋" w:hAnsi="仿宋" w:eastAsia="仿宋" w:cs="宋体"/>
                <w:sz w:val="24"/>
                <w:szCs w:val="24"/>
                <w:highlight w:val="none"/>
              </w:rPr>
            </w:pPr>
          </w:p>
        </w:tc>
      </w:tr>
      <w:tr w14:paraId="6F40C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8" w:type="dxa"/>
            <w:vMerge w:val="continue"/>
            <w:vAlign w:val="center"/>
          </w:tcPr>
          <w:p w14:paraId="6C3A8B73">
            <w:pPr>
              <w:spacing w:line="300" w:lineRule="auto"/>
              <w:ind w:left="-84" w:leftChars="-40" w:right="-94" w:rightChars="-45"/>
              <w:rPr>
                <w:rFonts w:hint="eastAsia" w:ascii="仿宋" w:hAnsi="仿宋" w:eastAsia="仿宋" w:cs="宋体"/>
                <w:sz w:val="24"/>
                <w:szCs w:val="24"/>
                <w:highlight w:val="none"/>
              </w:rPr>
            </w:pPr>
          </w:p>
        </w:tc>
        <w:tc>
          <w:tcPr>
            <w:tcW w:w="5836" w:type="dxa"/>
            <w:vAlign w:val="center"/>
          </w:tcPr>
          <w:p w14:paraId="1D04B331">
            <w:pPr>
              <w:spacing w:line="300" w:lineRule="auto"/>
              <w:ind w:left="-84" w:leftChars="-40" w:right="-94" w:rightChars="-45"/>
              <w:rPr>
                <w:rFonts w:hint="eastAsia" w:ascii="仿宋" w:hAnsi="仿宋" w:eastAsia="仿宋" w:cs="宋体"/>
                <w:sz w:val="24"/>
                <w:szCs w:val="24"/>
                <w:highlight w:val="none"/>
              </w:rPr>
            </w:pPr>
            <w:r>
              <w:rPr>
                <w:rFonts w:hint="eastAsia" w:ascii="仿宋" w:hAnsi="仿宋" w:eastAsia="仿宋" w:cs="宋体"/>
                <w:sz w:val="24"/>
                <w:szCs w:val="24"/>
                <w:highlight w:val="none"/>
              </w:rPr>
              <w:t>按要求设置检测室；正常运行，台帐完备且每日公示当日检测情况（4分）。</w:t>
            </w:r>
          </w:p>
        </w:tc>
        <w:tc>
          <w:tcPr>
            <w:tcW w:w="1800" w:type="dxa"/>
            <w:vAlign w:val="center"/>
          </w:tcPr>
          <w:p w14:paraId="585B0E61">
            <w:pPr>
              <w:spacing w:line="300" w:lineRule="auto"/>
              <w:rPr>
                <w:rFonts w:hint="eastAsia" w:ascii="仿宋" w:hAnsi="仿宋" w:eastAsia="仿宋" w:cs="宋体"/>
                <w:sz w:val="24"/>
                <w:szCs w:val="24"/>
                <w:highlight w:val="none"/>
              </w:rPr>
            </w:pPr>
            <w:r>
              <w:rPr>
                <w:rFonts w:hint="eastAsia" w:ascii="仿宋" w:hAnsi="仿宋" w:eastAsia="仿宋" w:cs="宋体"/>
                <w:sz w:val="24"/>
                <w:szCs w:val="24"/>
                <w:highlight w:val="none"/>
              </w:rPr>
              <w:t>不符要求每项扣1分</w:t>
            </w:r>
          </w:p>
        </w:tc>
        <w:tc>
          <w:tcPr>
            <w:tcW w:w="1012" w:type="dxa"/>
          </w:tcPr>
          <w:p w14:paraId="38438631">
            <w:pPr>
              <w:spacing w:line="300" w:lineRule="auto"/>
              <w:ind w:left="-84" w:leftChars="-40" w:right="-94" w:rightChars="-45"/>
              <w:rPr>
                <w:rFonts w:hint="eastAsia" w:ascii="仿宋" w:hAnsi="仿宋" w:eastAsia="仿宋" w:cs="宋体"/>
                <w:sz w:val="24"/>
                <w:szCs w:val="24"/>
                <w:highlight w:val="none"/>
              </w:rPr>
            </w:pPr>
          </w:p>
        </w:tc>
        <w:tc>
          <w:tcPr>
            <w:tcW w:w="722" w:type="dxa"/>
          </w:tcPr>
          <w:p w14:paraId="117FCF4F">
            <w:pPr>
              <w:spacing w:line="300" w:lineRule="auto"/>
              <w:ind w:left="-84" w:leftChars="-40" w:right="-94" w:rightChars="-45"/>
              <w:rPr>
                <w:rFonts w:hint="eastAsia" w:ascii="仿宋" w:hAnsi="仿宋" w:eastAsia="仿宋" w:cs="宋体"/>
                <w:sz w:val="24"/>
                <w:szCs w:val="24"/>
                <w:highlight w:val="none"/>
              </w:rPr>
            </w:pPr>
          </w:p>
        </w:tc>
      </w:tr>
      <w:tr w14:paraId="70B8B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78" w:type="dxa"/>
            <w:vMerge w:val="continue"/>
          </w:tcPr>
          <w:p w14:paraId="22BD0C7A">
            <w:pPr>
              <w:spacing w:line="300" w:lineRule="auto"/>
              <w:ind w:left="-84" w:leftChars="-40" w:right="-94" w:rightChars="-45"/>
              <w:rPr>
                <w:rFonts w:hint="eastAsia" w:ascii="仿宋" w:hAnsi="仿宋" w:eastAsia="仿宋" w:cs="宋体"/>
                <w:sz w:val="24"/>
                <w:szCs w:val="24"/>
                <w:highlight w:val="none"/>
              </w:rPr>
            </w:pPr>
          </w:p>
        </w:tc>
        <w:tc>
          <w:tcPr>
            <w:tcW w:w="5836" w:type="dxa"/>
            <w:vAlign w:val="center"/>
          </w:tcPr>
          <w:p w14:paraId="49946DAD">
            <w:pPr>
              <w:spacing w:line="300" w:lineRule="auto"/>
              <w:ind w:left="-84" w:leftChars="-40" w:right="-94" w:rightChars="-45"/>
              <w:rPr>
                <w:rFonts w:hint="eastAsia" w:ascii="仿宋" w:hAnsi="仿宋" w:eastAsia="仿宋" w:cs="宋体"/>
                <w:sz w:val="24"/>
                <w:szCs w:val="24"/>
                <w:highlight w:val="none"/>
              </w:rPr>
            </w:pPr>
            <w:r>
              <w:rPr>
                <w:rFonts w:hint="eastAsia" w:ascii="仿宋" w:hAnsi="仿宋" w:eastAsia="仿宋" w:cs="宋体"/>
                <w:sz w:val="24"/>
                <w:szCs w:val="24"/>
                <w:highlight w:val="none"/>
              </w:rPr>
              <w:t>定型包装食品的标签标识及散装食品的容器、外包装上的标识符合食品安全标准要求（2分）</w:t>
            </w:r>
          </w:p>
        </w:tc>
        <w:tc>
          <w:tcPr>
            <w:tcW w:w="1800" w:type="dxa"/>
            <w:vAlign w:val="center"/>
          </w:tcPr>
          <w:p w14:paraId="5E405904">
            <w:pPr>
              <w:spacing w:line="300" w:lineRule="auto"/>
              <w:rPr>
                <w:rFonts w:hint="eastAsia" w:ascii="仿宋" w:hAnsi="仿宋" w:eastAsia="仿宋" w:cs="宋体"/>
                <w:sz w:val="24"/>
                <w:szCs w:val="24"/>
                <w:highlight w:val="none"/>
              </w:rPr>
            </w:pPr>
            <w:r>
              <w:rPr>
                <w:rFonts w:hint="eastAsia" w:ascii="仿宋" w:hAnsi="仿宋" w:eastAsia="仿宋" w:cs="宋体"/>
                <w:sz w:val="24"/>
                <w:szCs w:val="24"/>
                <w:highlight w:val="none"/>
              </w:rPr>
              <w:t>不符要求每处扣1分</w:t>
            </w:r>
          </w:p>
        </w:tc>
        <w:tc>
          <w:tcPr>
            <w:tcW w:w="1012" w:type="dxa"/>
          </w:tcPr>
          <w:p w14:paraId="65A3E01E">
            <w:pPr>
              <w:spacing w:line="300" w:lineRule="auto"/>
              <w:ind w:left="-84" w:leftChars="-40" w:right="-94" w:rightChars="-45"/>
              <w:rPr>
                <w:rFonts w:hint="eastAsia" w:ascii="仿宋" w:hAnsi="仿宋" w:eastAsia="仿宋" w:cs="宋体"/>
                <w:sz w:val="24"/>
                <w:szCs w:val="24"/>
                <w:highlight w:val="none"/>
              </w:rPr>
            </w:pPr>
          </w:p>
        </w:tc>
        <w:tc>
          <w:tcPr>
            <w:tcW w:w="722" w:type="dxa"/>
          </w:tcPr>
          <w:p w14:paraId="5AD9CDCA">
            <w:pPr>
              <w:spacing w:line="300" w:lineRule="auto"/>
              <w:ind w:left="-84" w:leftChars="-40" w:right="-94" w:rightChars="-45"/>
              <w:rPr>
                <w:rFonts w:hint="eastAsia" w:ascii="仿宋" w:hAnsi="仿宋" w:eastAsia="仿宋" w:cs="宋体"/>
                <w:sz w:val="24"/>
                <w:szCs w:val="24"/>
                <w:highlight w:val="none"/>
              </w:rPr>
            </w:pPr>
          </w:p>
        </w:tc>
      </w:tr>
      <w:tr w14:paraId="5707A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8" w:type="dxa"/>
            <w:vMerge w:val="restart"/>
            <w:vAlign w:val="center"/>
          </w:tcPr>
          <w:p w14:paraId="79775D8B">
            <w:pPr>
              <w:spacing w:line="300" w:lineRule="auto"/>
              <w:jc w:val="center"/>
              <w:rPr>
                <w:rFonts w:hint="eastAsia" w:ascii="仿宋" w:hAnsi="仿宋" w:eastAsia="仿宋" w:cs="宋体"/>
                <w:b/>
                <w:sz w:val="24"/>
                <w:szCs w:val="24"/>
                <w:highlight w:val="none"/>
              </w:rPr>
            </w:pPr>
          </w:p>
          <w:p w14:paraId="734C886A">
            <w:pPr>
              <w:spacing w:line="300" w:lineRule="auto"/>
              <w:jc w:val="center"/>
              <w:rPr>
                <w:rFonts w:hint="eastAsia" w:ascii="仿宋" w:hAnsi="仿宋" w:eastAsia="仿宋" w:cs="宋体"/>
                <w:b/>
                <w:sz w:val="24"/>
                <w:szCs w:val="24"/>
                <w:highlight w:val="none"/>
              </w:rPr>
            </w:pPr>
          </w:p>
          <w:p w14:paraId="5A1A5280">
            <w:pPr>
              <w:spacing w:line="300" w:lineRule="auto"/>
              <w:jc w:val="center"/>
              <w:rPr>
                <w:rFonts w:hint="eastAsia" w:ascii="仿宋" w:hAnsi="仿宋" w:eastAsia="仿宋" w:cs="宋体"/>
                <w:b/>
                <w:sz w:val="24"/>
                <w:szCs w:val="24"/>
                <w:highlight w:val="none"/>
              </w:rPr>
            </w:pPr>
            <w:r>
              <w:rPr>
                <w:rFonts w:hint="eastAsia" w:ascii="仿宋" w:hAnsi="仿宋" w:eastAsia="仿宋" w:cs="宋体"/>
                <w:b/>
                <w:sz w:val="24"/>
                <w:szCs w:val="24"/>
                <w:highlight w:val="none"/>
              </w:rPr>
              <w:t>环</w:t>
            </w:r>
          </w:p>
          <w:p w14:paraId="3EDBEC6A">
            <w:pPr>
              <w:spacing w:line="300" w:lineRule="auto"/>
              <w:jc w:val="center"/>
              <w:rPr>
                <w:rFonts w:hint="eastAsia" w:ascii="仿宋" w:hAnsi="仿宋" w:eastAsia="仿宋" w:cs="宋体"/>
                <w:b/>
                <w:sz w:val="24"/>
                <w:szCs w:val="24"/>
                <w:highlight w:val="none"/>
              </w:rPr>
            </w:pPr>
            <w:r>
              <w:rPr>
                <w:rFonts w:hint="eastAsia" w:ascii="仿宋" w:hAnsi="仿宋" w:eastAsia="仿宋" w:cs="宋体"/>
                <w:b/>
                <w:sz w:val="24"/>
                <w:szCs w:val="24"/>
                <w:highlight w:val="none"/>
              </w:rPr>
              <w:t>境</w:t>
            </w:r>
          </w:p>
          <w:p w14:paraId="16097846">
            <w:pPr>
              <w:spacing w:line="300" w:lineRule="auto"/>
              <w:jc w:val="center"/>
              <w:rPr>
                <w:rFonts w:hint="eastAsia" w:ascii="仿宋" w:hAnsi="仿宋" w:eastAsia="仿宋" w:cs="宋体"/>
                <w:b/>
                <w:sz w:val="24"/>
                <w:szCs w:val="24"/>
                <w:highlight w:val="none"/>
              </w:rPr>
            </w:pPr>
            <w:r>
              <w:rPr>
                <w:rFonts w:hint="eastAsia" w:ascii="仿宋" w:hAnsi="仿宋" w:eastAsia="仿宋" w:cs="宋体"/>
                <w:b/>
                <w:sz w:val="24"/>
                <w:szCs w:val="24"/>
                <w:highlight w:val="none"/>
              </w:rPr>
              <w:t>秩</w:t>
            </w:r>
          </w:p>
          <w:p w14:paraId="0457E023">
            <w:pPr>
              <w:spacing w:line="300" w:lineRule="auto"/>
              <w:jc w:val="center"/>
              <w:rPr>
                <w:rFonts w:hint="eastAsia" w:ascii="仿宋" w:hAnsi="仿宋" w:eastAsia="仿宋" w:cs="宋体"/>
                <w:b/>
                <w:sz w:val="24"/>
                <w:szCs w:val="24"/>
                <w:highlight w:val="none"/>
              </w:rPr>
            </w:pPr>
            <w:r>
              <w:rPr>
                <w:rFonts w:hint="eastAsia" w:ascii="仿宋" w:hAnsi="仿宋" w:eastAsia="仿宋" w:cs="宋体"/>
                <w:b/>
                <w:sz w:val="24"/>
                <w:szCs w:val="24"/>
                <w:highlight w:val="none"/>
              </w:rPr>
              <w:t>序</w:t>
            </w:r>
          </w:p>
          <w:p w14:paraId="3A3E55DD">
            <w:pPr>
              <w:spacing w:line="300" w:lineRule="auto"/>
              <w:jc w:val="center"/>
              <w:rPr>
                <w:rFonts w:hint="eastAsia" w:ascii="仿宋" w:hAnsi="仿宋" w:eastAsia="仿宋" w:cs="宋体"/>
                <w:b/>
                <w:sz w:val="24"/>
                <w:szCs w:val="24"/>
                <w:highlight w:val="none"/>
              </w:rPr>
            </w:pPr>
            <w:r>
              <w:rPr>
                <w:rFonts w:hint="eastAsia" w:ascii="仿宋" w:hAnsi="仿宋" w:eastAsia="仿宋" w:cs="宋体"/>
                <w:b/>
                <w:sz w:val="24"/>
                <w:szCs w:val="24"/>
                <w:highlight w:val="none"/>
              </w:rPr>
              <w:t>卫</w:t>
            </w:r>
          </w:p>
          <w:p w14:paraId="0470CD24">
            <w:pPr>
              <w:spacing w:line="300" w:lineRule="auto"/>
              <w:jc w:val="center"/>
              <w:rPr>
                <w:rFonts w:hint="eastAsia" w:ascii="仿宋" w:hAnsi="仿宋" w:eastAsia="仿宋" w:cs="宋体"/>
                <w:b/>
                <w:sz w:val="24"/>
                <w:szCs w:val="24"/>
                <w:highlight w:val="none"/>
              </w:rPr>
            </w:pPr>
            <w:r>
              <w:rPr>
                <w:rFonts w:hint="eastAsia" w:ascii="仿宋" w:hAnsi="仿宋" w:eastAsia="仿宋" w:cs="宋体"/>
                <w:b/>
                <w:sz w:val="24"/>
                <w:szCs w:val="24"/>
                <w:highlight w:val="none"/>
              </w:rPr>
              <w:t>生</w:t>
            </w:r>
          </w:p>
          <w:p w14:paraId="767A86FC">
            <w:pPr>
              <w:spacing w:line="300" w:lineRule="auto"/>
              <w:jc w:val="center"/>
              <w:rPr>
                <w:rFonts w:hint="eastAsia" w:ascii="仿宋" w:hAnsi="仿宋" w:eastAsia="仿宋" w:cs="宋体"/>
                <w:b/>
                <w:sz w:val="24"/>
                <w:szCs w:val="24"/>
                <w:highlight w:val="none"/>
              </w:rPr>
            </w:pPr>
          </w:p>
          <w:p w14:paraId="5599787E">
            <w:pPr>
              <w:spacing w:line="300" w:lineRule="auto"/>
              <w:jc w:val="center"/>
              <w:rPr>
                <w:rFonts w:hint="eastAsia" w:ascii="仿宋" w:hAnsi="仿宋" w:eastAsia="仿宋" w:cs="宋体"/>
                <w:sz w:val="24"/>
                <w:szCs w:val="24"/>
                <w:highlight w:val="none"/>
              </w:rPr>
            </w:pPr>
            <w:r>
              <w:rPr>
                <w:rFonts w:hint="eastAsia" w:ascii="仿宋" w:hAnsi="仿宋" w:eastAsia="仿宋" w:cs="宋体"/>
                <w:b/>
                <w:sz w:val="24"/>
                <w:szCs w:val="24"/>
                <w:highlight w:val="none"/>
              </w:rPr>
              <w:t>45分</w:t>
            </w:r>
          </w:p>
        </w:tc>
        <w:tc>
          <w:tcPr>
            <w:tcW w:w="5836" w:type="dxa"/>
            <w:vAlign w:val="center"/>
          </w:tcPr>
          <w:p w14:paraId="7BB058DB">
            <w:pPr>
              <w:spacing w:line="300" w:lineRule="auto"/>
              <w:rPr>
                <w:rFonts w:hint="eastAsia" w:ascii="仿宋" w:hAnsi="仿宋" w:eastAsia="仿宋" w:cs="宋体"/>
                <w:sz w:val="24"/>
                <w:szCs w:val="24"/>
                <w:highlight w:val="none"/>
              </w:rPr>
            </w:pPr>
            <w:r>
              <w:rPr>
                <w:rFonts w:hint="eastAsia" w:ascii="仿宋" w:hAnsi="仿宋" w:eastAsia="仿宋" w:cs="宋体"/>
                <w:sz w:val="24"/>
                <w:szCs w:val="24"/>
                <w:highlight w:val="none"/>
              </w:rPr>
              <w:t>设置加盖垃圾桶；卫生保洁动态、清运及时，有专人负责；通道无垃圾，无积水、无随地吐痰和占道经营、着地剖鱼等现象（10分）</w:t>
            </w:r>
          </w:p>
        </w:tc>
        <w:tc>
          <w:tcPr>
            <w:tcW w:w="1800" w:type="dxa"/>
            <w:vAlign w:val="center"/>
          </w:tcPr>
          <w:p w14:paraId="374DB6A8">
            <w:pPr>
              <w:spacing w:line="300" w:lineRule="auto"/>
              <w:rPr>
                <w:rFonts w:hint="eastAsia" w:ascii="仿宋" w:hAnsi="仿宋" w:eastAsia="仿宋" w:cs="宋体"/>
                <w:sz w:val="24"/>
                <w:szCs w:val="24"/>
                <w:highlight w:val="none"/>
              </w:rPr>
            </w:pPr>
            <w:r>
              <w:rPr>
                <w:rFonts w:hint="eastAsia" w:ascii="仿宋" w:hAnsi="仿宋" w:eastAsia="仿宋" w:cs="宋体"/>
                <w:sz w:val="24"/>
                <w:szCs w:val="24"/>
                <w:highlight w:val="none"/>
              </w:rPr>
              <w:t>不符要求每处扣1分</w:t>
            </w:r>
          </w:p>
        </w:tc>
        <w:tc>
          <w:tcPr>
            <w:tcW w:w="1012" w:type="dxa"/>
          </w:tcPr>
          <w:p w14:paraId="3B65107E">
            <w:pPr>
              <w:spacing w:line="300" w:lineRule="auto"/>
              <w:rPr>
                <w:rFonts w:hint="eastAsia" w:ascii="仿宋" w:hAnsi="仿宋" w:eastAsia="仿宋" w:cs="宋体"/>
                <w:sz w:val="24"/>
                <w:szCs w:val="24"/>
                <w:highlight w:val="none"/>
              </w:rPr>
            </w:pPr>
          </w:p>
        </w:tc>
        <w:tc>
          <w:tcPr>
            <w:tcW w:w="722" w:type="dxa"/>
          </w:tcPr>
          <w:p w14:paraId="2F3673DD">
            <w:pPr>
              <w:spacing w:line="300" w:lineRule="auto"/>
              <w:rPr>
                <w:rFonts w:hint="eastAsia" w:ascii="仿宋" w:hAnsi="仿宋" w:eastAsia="仿宋" w:cs="宋体"/>
                <w:sz w:val="24"/>
                <w:szCs w:val="24"/>
                <w:highlight w:val="none"/>
              </w:rPr>
            </w:pPr>
          </w:p>
        </w:tc>
      </w:tr>
      <w:tr w14:paraId="0F95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78" w:type="dxa"/>
            <w:vMerge w:val="continue"/>
            <w:vAlign w:val="center"/>
          </w:tcPr>
          <w:p w14:paraId="5AACF4CD">
            <w:pPr>
              <w:spacing w:line="300" w:lineRule="auto"/>
              <w:ind w:left="-84" w:leftChars="-40" w:right="-94" w:rightChars="-45"/>
              <w:rPr>
                <w:rFonts w:hint="eastAsia" w:ascii="仿宋" w:hAnsi="仿宋" w:eastAsia="仿宋" w:cs="宋体"/>
                <w:sz w:val="24"/>
                <w:szCs w:val="24"/>
                <w:highlight w:val="none"/>
              </w:rPr>
            </w:pPr>
          </w:p>
        </w:tc>
        <w:tc>
          <w:tcPr>
            <w:tcW w:w="5836" w:type="dxa"/>
            <w:vAlign w:val="center"/>
          </w:tcPr>
          <w:p w14:paraId="38384D64">
            <w:pPr>
              <w:spacing w:line="300" w:lineRule="auto"/>
              <w:rPr>
                <w:rFonts w:hint="eastAsia" w:ascii="仿宋" w:hAnsi="仿宋" w:eastAsia="仿宋" w:cs="宋体"/>
                <w:sz w:val="24"/>
                <w:szCs w:val="24"/>
                <w:highlight w:val="none"/>
              </w:rPr>
            </w:pPr>
            <w:r>
              <w:rPr>
                <w:rFonts w:hint="eastAsia" w:ascii="仿宋" w:hAnsi="仿宋" w:eastAsia="仿宋" w:cs="宋体"/>
                <w:sz w:val="24"/>
                <w:szCs w:val="24"/>
                <w:highlight w:val="none"/>
              </w:rPr>
              <w:t>摊位内货物摆放整齐，不出台面；摊位内部整洁，无乱堆乱放、乱挂物品、私拉乱接电线现象（6分）</w:t>
            </w:r>
          </w:p>
        </w:tc>
        <w:tc>
          <w:tcPr>
            <w:tcW w:w="1800" w:type="dxa"/>
            <w:vAlign w:val="center"/>
          </w:tcPr>
          <w:p w14:paraId="62FDC4E6">
            <w:pPr>
              <w:spacing w:line="300" w:lineRule="auto"/>
              <w:rPr>
                <w:rFonts w:hint="eastAsia" w:ascii="仿宋" w:hAnsi="仿宋" w:eastAsia="仿宋" w:cs="宋体"/>
                <w:sz w:val="24"/>
                <w:szCs w:val="24"/>
                <w:highlight w:val="none"/>
              </w:rPr>
            </w:pPr>
            <w:r>
              <w:rPr>
                <w:rFonts w:hint="eastAsia" w:ascii="仿宋" w:hAnsi="仿宋" w:eastAsia="仿宋" w:cs="宋体"/>
                <w:sz w:val="24"/>
                <w:szCs w:val="24"/>
                <w:highlight w:val="none"/>
              </w:rPr>
              <w:t>不符要求每处扣1分</w:t>
            </w:r>
          </w:p>
        </w:tc>
        <w:tc>
          <w:tcPr>
            <w:tcW w:w="1012" w:type="dxa"/>
          </w:tcPr>
          <w:p w14:paraId="3C77A803">
            <w:pPr>
              <w:spacing w:line="300" w:lineRule="auto"/>
              <w:rPr>
                <w:rFonts w:hint="eastAsia" w:ascii="仿宋" w:hAnsi="仿宋" w:eastAsia="仿宋" w:cs="宋体"/>
                <w:sz w:val="24"/>
                <w:szCs w:val="24"/>
                <w:highlight w:val="none"/>
              </w:rPr>
            </w:pPr>
          </w:p>
        </w:tc>
        <w:tc>
          <w:tcPr>
            <w:tcW w:w="722" w:type="dxa"/>
          </w:tcPr>
          <w:p w14:paraId="5575499D">
            <w:pPr>
              <w:spacing w:line="300" w:lineRule="auto"/>
              <w:rPr>
                <w:rFonts w:hint="eastAsia" w:ascii="仿宋" w:hAnsi="仿宋" w:eastAsia="仿宋" w:cs="宋体"/>
                <w:sz w:val="24"/>
                <w:szCs w:val="24"/>
                <w:highlight w:val="none"/>
              </w:rPr>
            </w:pPr>
          </w:p>
        </w:tc>
      </w:tr>
      <w:tr w14:paraId="60869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78" w:type="dxa"/>
            <w:vMerge w:val="continue"/>
            <w:vAlign w:val="center"/>
          </w:tcPr>
          <w:p w14:paraId="06B17C41">
            <w:pPr>
              <w:spacing w:line="300" w:lineRule="auto"/>
              <w:ind w:left="-84" w:leftChars="-40" w:right="-94" w:rightChars="-45"/>
              <w:rPr>
                <w:rFonts w:hint="eastAsia" w:ascii="仿宋" w:hAnsi="仿宋" w:eastAsia="仿宋" w:cs="宋体"/>
                <w:sz w:val="24"/>
                <w:szCs w:val="24"/>
                <w:highlight w:val="none"/>
              </w:rPr>
            </w:pPr>
          </w:p>
        </w:tc>
        <w:tc>
          <w:tcPr>
            <w:tcW w:w="5836" w:type="dxa"/>
            <w:vAlign w:val="center"/>
          </w:tcPr>
          <w:p w14:paraId="61F885A1">
            <w:pPr>
              <w:spacing w:line="300" w:lineRule="auto"/>
              <w:ind w:left="-84" w:leftChars="-40" w:right="-94" w:rightChars="-45"/>
              <w:rPr>
                <w:rFonts w:hint="eastAsia" w:ascii="仿宋" w:hAnsi="仿宋" w:eastAsia="仿宋" w:cs="宋体"/>
                <w:sz w:val="24"/>
                <w:szCs w:val="24"/>
                <w:highlight w:val="none"/>
              </w:rPr>
            </w:pPr>
            <w:r>
              <w:rPr>
                <w:rFonts w:hint="eastAsia" w:ascii="仿宋" w:hAnsi="仿宋" w:eastAsia="仿宋" w:cs="宋体"/>
                <w:sz w:val="24"/>
                <w:szCs w:val="24"/>
                <w:highlight w:val="none"/>
              </w:rPr>
              <w:t>活禽销售及宰杀实施物理隔离，城区二环线内市场“定点屠宰、杀白上市”，摊位每日清洗消毒，市场每月3次以上休市，记录、索证索票完整，未发生外环境检测阳性等不良后果。（12分）</w:t>
            </w:r>
          </w:p>
        </w:tc>
        <w:tc>
          <w:tcPr>
            <w:tcW w:w="1800" w:type="dxa"/>
            <w:vAlign w:val="center"/>
          </w:tcPr>
          <w:p w14:paraId="162B5E49">
            <w:pPr>
              <w:spacing w:line="300" w:lineRule="auto"/>
              <w:rPr>
                <w:rFonts w:hint="eastAsia" w:ascii="仿宋" w:hAnsi="仿宋" w:eastAsia="仿宋" w:cs="宋体"/>
                <w:sz w:val="24"/>
                <w:szCs w:val="24"/>
                <w:highlight w:val="none"/>
              </w:rPr>
            </w:pPr>
            <w:r>
              <w:rPr>
                <w:rFonts w:hint="eastAsia" w:ascii="仿宋" w:hAnsi="仿宋" w:eastAsia="仿宋" w:cs="宋体"/>
                <w:sz w:val="24"/>
                <w:szCs w:val="24"/>
                <w:highlight w:val="none"/>
              </w:rPr>
              <w:t>不符要求每项扣1分</w:t>
            </w:r>
          </w:p>
        </w:tc>
        <w:tc>
          <w:tcPr>
            <w:tcW w:w="1012" w:type="dxa"/>
          </w:tcPr>
          <w:p w14:paraId="18CCE679">
            <w:pPr>
              <w:spacing w:line="300" w:lineRule="auto"/>
              <w:ind w:left="-84" w:leftChars="-40" w:right="-94" w:rightChars="-45"/>
              <w:rPr>
                <w:rFonts w:hint="eastAsia" w:ascii="仿宋" w:hAnsi="仿宋" w:eastAsia="仿宋" w:cs="宋体"/>
                <w:sz w:val="24"/>
                <w:szCs w:val="24"/>
                <w:highlight w:val="none"/>
              </w:rPr>
            </w:pPr>
          </w:p>
        </w:tc>
        <w:tc>
          <w:tcPr>
            <w:tcW w:w="722" w:type="dxa"/>
          </w:tcPr>
          <w:p w14:paraId="07B25C2B">
            <w:pPr>
              <w:spacing w:line="300" w:lineRule="auto"/>
              <w:ind w:left="-84" w:leftChars="-40" w:right="-94" w:rightChars="-45"/>
              <w:rPr>
                <w:rFonts w:hint="eastAsia" w:ascii="仿宋" w:hAnsi="仿宋" w:eastAsia="仿宋" w:cs="宋体"/>
                <w:sz w:val="24"/>
                <w:szCs w:val="24"/>
                <w:highlight w:val="none"/>
              </w:rPr>
            </w:pPr>
          </w:p>
        </w:tc>
      </w:tr>
      <w:tr w14:paraId="15D11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8" w:type="dxa"/>
            <w:vMerge w:val="continue"/>
          </w:tcPr>
          <w:p w14:paraId="267072A2">
            <w:pPr>
              <w:spacing w:line="300" w:lineRule="auto"/>
              <w:ind w:left="-84" w:leftChars="-40" w:right="-94" w:rightChars="-45"/>
              <w:rPr>
                <w:rFonts w:hint="eastAsia" w:ascii="仿宋" w:hAnsi="仿宋" w:eastAsia="仿宋" w:cs="宋体"/>
                <w:sz w:val="24"/>
                <w:szCs w:val="24"/>
                <w:highlight w:val="none"/>
              </w:rPr>
            </w:pPr>
          </w:p>
        </w:tc>
        <w:tc>
          <w:tcPr>
            <w:tcW w:w="5836" w:type="dxa"/>
            <w:vAlign w:val="center"/>
          </w:tcPr>
          <w:p w14:paraId="42EA811A">
            <w:pPr>
              <w:spacing w:line="300" w:lineRule="auto"/>
              <w:rPr>
                <w:rFonts w:hint="eastAsia" w:ascii="仿宋" w:hAnsi="仿宋" w:eastAsia="仿宋" w:cs="宋体"/>
                <w:sz w:val="24"/>
                <w:szCs w:val="24"/>
                <w:highlight w:val="none"/>
              </w:rPr>
            </w:pPr>
            <w:r>
              <w:rPr>
                <w:rFonts w:hint="eastAsia" w:ascii="仿宋" w:hAnsi="仿宋" w:eastAsia="仿宋" w:cs="宋体"/>
                <w:sz w:val="24"/>
                <w:szCs w:val="24"/>
                <w:highlight w:val="none"/>
              </w:rPr>
              <w:t>公厕干净整洁、设施齐全，无较大异味。（2分）</w:t>
            </w:r>
          </w:p>
        </w:tc>
        <w:tc>
          <w:tcPr>
            <w:tcW w:w="1800" w:type="dxa"/>
            <w:vAlign w:val="center"/>
          </w:tcPr>
          <w:p w14:paraId="39678A87">
            <w:pPr>
              <w:spacing w:line="300" w:lineRule="auto"/>
              <w:rPr>
                <w:rFonts w:hint="eastAsia" w:ascii="仿宋" w:hAnsi="仿宋" w:eastAsia="仿宋" w:cs="宋体"/>
                <w:sz w:val="24"/>
                <w:szCs w:val="24"/>
                <w:highlight w:val="none"/>
              </w:rPr>
            </w:pPr>
            <w:r>
              <w:rPr>
                <w:rFonts w:hint="eastAsia" w:ascii="仿宋" w:hAnsi="仿宋" w:eastAsia="仿宋" w:cs="宋体"/>
                <w:sz w:val="24"/>
                <w:szCs w:val="24"/>
                <w:highlight w:val="none"/>
              </w:rPr>
              <w:t>不符要求每项扣2分</w:t>
            </w:r>
          </w:p>
        </w:tc>
        <w:tc>
          <w:tcPr>
            <w:tcW w:w="1012" w:type="dxa"/>
          </w:tcPr>
          <w:p w14:paraId="543A2CD7">
            <w:pPr>
              <w:spacing w:line="300" w:lineRule="auto"/>
              <w:rPr>
                <w:rFonts w:hint="eastAsia" w:ascii="仿宋" w:hAnsi="仿宋" w:eastAsia="仿宋" w:cs="宋体"/>
                <w:sz w:val="24"/>
                <w:szCs w:val="24"/>
                <w:highlight w:val="none"/>
              </w:rPr>
            </w:pPr>
          </w:p>
        </w:tc>
        <w:tc>
          <w:tcPr>
            <w:tcW w:w="722" w:type="dxa"/>
          </w:tcPr>
          <w:p w14:paraId="56D71F1A">
            <w:pPr>
              <w:spacing w:line="300" w:lineRule="auto"/>
              <w:rPr>
                <w:rFonts w:hint="eastAsia" w:ascii="仿宋" w:hAnsi="仿宋" w:eastAsia="仿宋" w:cs="宋体"/>
                <w:sz w:val="24"/>
                <w:szCs w:val="24"/>
                <w:highlight w:val="none"/>
              </w:rPr>
            </w:pPr>
          </w:p>
        </w:tc>
      </w:tr>
      <w:tr w14:paraId="36E7A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78" w:type="dxa"/>
            <w:vMerge w:val="continue"/>
          </w:tcPr>
          <w:p w14:paraId="1084E2D9">
            <w:pPr>
              <w:spacing w:line="300" w:lineRule="auto"/>
              <w:ind w:left="-84" w:leftChars="-40" w:right="-94" w:rightChars="-45"/>
              <w:rPr>
                <w:rFonts w:hint="eastAsia" w:ascii="仿宋" w:hAnsi="仿宋" w:eastAsia="仿宋" w:cs="宋体"/>
                <w:sz w:val="24"/>
                <w:szCs w:val="24"/>
                <w:highlight w:val="none"/>
              </w:rPr>
            </w:pPr>
          </w:p>
        </w:tc>
        <w:tc>
          <w:tcPr>
            <w:tcW w:w="5836" w:type="dxa"/>
            <w:vAlign w:val="center"/>
          </w:tcPr>
          <w:p w14:paraId="54FF4FC2">
            <w:pPr>
              <w:spacing w:line="300" w:lineRule="auto"/>
              <w:rPr>
                <w:rFonts w:hint="eastAsia" w:ascii="仿宋" w:hAnsi="仿宋" w:eastAsia="仿宋" w:cs="宋体"/>
                <w:sz w:val="24"/>
                <w:szCs w:val="24"/>
                <w:highlight w:val="none"/>
              </w:rPr>
            </w:pPr>
            <w:r>
              <w:rPr>
                <w:rFonts w:hint="eastAsia" w:ascii="仿宋" w:hAnsi="仿宋" w:eastAsia="仿宋" w:cs="宋体"/>
                <w:sz w:val="24"/>
                <w:szCs w:val="24"/>
                <w:highlight w:val="none"/>
              </w:rPr>
              <w:t>场内及周边无乱张贴、无乱涂写、无乱设广告牌、无聚众赌博、强买强卖等现象（5分）</w:t>
            </w:r>
          </w:p>
        </w:tc>
        <w:tc>
          <w:tcPr>
            <w:tcW w:w="1800" w:type="dxa"/>
            <w:vAlign w:val="center"/>
          </w:tcPr>
          <w:p w14:paraId="61A3B6C4">
            <w:pPr>
              <w:spacing w:line="300" w:lineRule="auto"/>
              <w:rPr>
                <w:rFonts w:hint="eastAsia" w:ascii="仿宋" w:hAnsi="仿宋" w:eastAsia="仿宋" w:cs="宋体"/>
                <w:sz w:val="24"/>
                <w:szCs w:val="24"/>
                <w:highlight w:val="none"/>
              </w:rPr>
            </w:pPr>
            <w:r>
              <w:rPr>
                <w:rFonts w:hint="eastAsia" w:ascii="仿宋" w:hAnsi="仿宋" w:eastAsia="仿宋" w:cs="宋体"/>
                <w:sz w:val="24"/>
                <w:szCs w:val="24"/>
                <w:highlight w:val="none"/>
              </w:rPr>
              <w:t>不符要求每处扣1分</w:t>
            </w:r>
          </w:p>
        </w:tc>
        <w:tc>
          <w:tcPr>
            <w:tcW w:w="1012" w:type="dxa"/>
          </w:tcPr>
          <w:p w14:paraId="60A76F9E">
            <w:pPr>
              <w:spacing w:line="300" w:lineRule="auto"/>
              <w:rPr>
                <w:rFonts w:hint="eastAsia" w:ascii="仿宋" w:hAnsi="仿宋" w:eastAsia="仿宋" w:cs="宋体"/>
                <w:sz w:val="24"/>
                <w:szCs w:val="24"/>
                <w:highlight w:val="none"/>
              </w:rPr>
            </w:pPr>
          </w:p>
        </w:tc>
        <w:tc>
          <w:tcPr>
            <w:tcW w:w="722" w:type="dxa"/>
          </w:tcPr>
          <w:p w14:paraId="1271E841">
            <w:pPr>
              <w:spacing w:line="300" w:lineRule="auto"/>
              <w:rPr>
                <w:rFonts w:hint="eastAsia" w:ascii="仿宋" w:hAnsi="仿宋" w:eastAsia="仿宋" w:cs="宋体"/>
                <w:sz w:val="24"/>
                <w:szCs w:val="24"/>
                <w:highlight w:val="none"/>
              </w:rPr>
            </w:pPr>
          </w:p>
        </w:tc>
      </w:tr>
      <w:tr w14:paraId="3AE54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78" w:type="dxa"/>
            <w:vMerge w:val="continue"/>
            <w:vAlign w:val="center"/>
          </w:tcPr>
          <w:p w14:paraId="714A4952">
            <w:pPr>
              <w:spacing w:line="300" w:lineRule="auto"/>
              <w:rPr>
                <w:rFonts w:hint="eastAsia" w:ascii="仿宋" w:hAnsi="仿宋" w:eastAsia="仿宋" w:cs="宋体"/>
                <w:b/>
                <w:sz w:val="24"/>
                <w:szCs w:val="24"/>
                <w:highlight w:val="none"/>
              </w:rPr>
            </w:pPr>
          </w:p>
        </w:tc>
        <w:tc>
          <w:tcPr>
            <w:tcW w:w="5836" w:type="dxa"/>
            <w:vAlign w:val="center"/>
          </w:tcPr>
          <w:p w14:paraId="49EBBCB5">
            <w:pPr>
              <w:spacing w:line="300" w:lineRule="auto"/>
              <w:rPr>
                <w:rFonts w:hint="eastAsia" w:ascii="仿宋" w:hAnsi="仿宋" w:eastAsia="仿宋" w:cs="宋体"/>
                <w:sz w:val="24"/>
                <w:szCs w:val="24"/>
                <w:highlight w:val="none"/>
              </w:rPr>
            </w:pPr>
            <w:r>
              <w:rPr>
                <w:rFonts w:hint="eastAsia" w:ascii="仿宋" w:hAnsi="仿宋" w:eastAsia="仿宋" w:cs="宋体"/>
                <w:sz w:val="24"/>
                <w:szCs w:val="24"/>
                <w:highlight w:val="none"/>
              </w:rPr>
              <w:t>场内无车辆停放，场外车辆停放整齐（5分）</w:t>
            </w:r>
          </w:p>
        </w:tc>
        <w:tc>
          <w:tcPr>
            <w:tcW w:w="1800" w:type="dxa"/>
            <w:vAlign w:val="center"/>
          </w:tcPr>
          <w:p w14:paraId="73B35793">
            <w:pPr>
              <w:spacing w:line="300" w:lineRule="auto"/>
              <w:rPr>
                <w:rFonts w:hint="eastAsia" w:ascii="仿宋" w:hAnsi="仿宋" w:eastAsia="仿宋" w:cs="宋体"/>
                <w:sz w:val="24"/>
                <w:szCs w:val="24"/>
                <w:highlight w:val="none"/>
              </w:rPr>
            </w:pPr>
            <w:r>
              <w:rPr>
                <w:rFonts w:hint="eastAsia" w:ascii="仿宋" w:hAnsi="仿宋" w:eastAsia="仿宋" w:cs="宋体"/>
                <w:sz w:val="24"/>
                <w:szCs w:val="24"/>
                <w:highlight w:val="none"/>
              </w:rPr>
              <w:t>不符要求每处扣1分</w:t>
            </w:r>
          </w:p>
        </w:tc>
        <w:tc>
          <w:tcPr>
            <w:tcW w:w="1012" w:type="dxa"/>
          </w:tcPr>
          <w:p w14:paraId="42338ADA">
            <w:pPr>
              <w:spacing w:line="300" w:lineRule="auto"/>
              <w:rPr>
                <w:rFonts w:hint="eastAsia" w:ascii="仿宋" w:hAnsi="仿宋" w:eastAsia="仿宋" w:cs="宋体"/>
                <w:sz w:val="24"/>
                <w:szCs w:val="24"/>
                <w:highlight w:val="none"/>
              </w:rPr>
            </w:pPr>
          </w:p>
        </w:tc>
        <w:tc>
          <w:tcPr>
            <w:tcW w:w="722" w:type="dxa"/>
          </w:tcPr>
          <w:p w14:paraId="4E62AF20">
            <w:pPr>
              <w:spacing w:line="300" w:lineRule="auto"/>
              <w:rPr>
                <w:rFonts w:hint="eastAsia" w:ascii="仿宋" w:hAnsi="仿宋" w:eastAsia="仿宋" w:cs="宋体"/>
                <w:sz w:val="24"/>
                <w:szCs w:val="24"/>
                <w:highlight w:val="none"/>
              </w:rPr>
            </w:pPr>
          </w:p>
        </w:tc>
      </w:tr>
      <w:tr w14:paraId="47F70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8" w:type="dxa"/>
            <w:vMerge w:val="continue"/>
            <w:vAlign w:val="center"/>
          </w:tcPr>
          <w:p w14:paraId="09070423">
            <w:pPr>
              <w:spacing w:line="300" w:lineRule="auto"/>
              <w:rPr>
                <w:rFonts w:hint="eastAsia" w:ascii="仿宋" w:hAnsi="仿宋" w:eastAsia="仿宋" w:cs="宋体"/>
                <w:sz w:val="24"/>
                <w:szCs w:val="24"/>
                <w:highlight w:val="none"/>
              </w:rPr>
            </w:pPr>
          </w:p>
        </w:tc>
        <w:tc>
          <w:tcPr>
            <w:tcW w:w="5836" w:type="dxa"/>
            <w:vAlign w:val="center"/>
          </w:tcPr>
          <w:p w14:paraId="6D365CAC">
            <w:pPr>
              <w:spacing w:line="300" w:lineRule="auto"/>
              <w:rPr>
                <w:rFonts w:hint="eastAsia" w:ascii="仿宋" w:hAnsi="仿宋" w:eastAsia="仿宋" w:cs="宋体"/>
                <w:sz w:val="24"/>
                <w:szCs w:val="24"/>
                <w:highlight w:val="none"/>
              </w:rPr>
            </w:pPr>
            <w:r>
              <w:rPr>
                <w:rFonts w:hint="eastAsia" w:ascii="仿宋" w:hAnsi="仿宋" w:eastAsia="仿宋" w:cs="宋体"/>
                <w:sz w:val="24"/>
                <w:szCs w:val="24"/>
                <w:highlight w:val="none"/>
              </w:rPr>
              <w:t>交易期间无车辆进出（5分）</w:t>
            </w:r>
          </w:p>
        </w:tc>
        <w:tc>
          <w:tcPr>
            <w:tcW w:w="1800" w:type="dxa"/>
            <w:vAlign w:val="center"/>
          </w:tcPr>
          <w:p w14:paraId="598E27E5">
            <w:pPr>
              <w:spacing w:line="300" w:lineRule="auto"/>
              <w:rPr>
                <w:rFonts w:hint="eastAsia" w:ascii="仿宋" w:hAnsi="仿宋" w:eastAsia="仿宋" w:cs="宋体"/>
                <w:sz w:val="24"/>
                <w:szCs w:val="24"/>
                <w:highlight w:val="none"/>
              </w:rPr>
            </w:pPr>
            <w:r>
              <w:rPr>
                <w:rFonts w:hint="eastAsia" w:ascii="仿宋" w:hAnsi="仿宋" w:eastAsia="仿宋" w:cs="宋体"/>
                <w:sz w:val="24"/>
                <w:szCs w:val="24"/>
                <w:highlight w:val="none"/>
              </w:rPr>
              <w:t>不符要求每项扣1分</w:t>
            </w:r>
          </w:p>
        </w:tc>
        <w:tc>
          <w:tcPr>
            <w:tcW w:w="1012" w:type="dxa"/>
          </w:tcPr>
          <w:p w14:paraId="3D9D6E4F">
            <w:pPr>
              <w:spacing w:line="300" w:lineRule="auto"/>
              <w:rPr>
                <w:rFonts w:hint="eastAsia" w:ascii="仿宋" w:hAnsi="仿宋" w:eastAsia="仿宋" w:cs="宋体"/>
                <w:sz w:val="24"/>
                <w:szCs w:val="24"/>
                <w:highlight w:val="none"/>
              </w:rPr>
            </w:pPr>
          </w:p>
        </w:tc>
        <w:tc>
          <w:tcPr>
            <w:tcW w:w="722" w:type="dxa"/>
          </w:tcPr>
          <w:p w14:paraId="5B9D98AD">
            <w:pPr>
              <w:spacing w:line="300" w:lineRule="auto"/>
              <w:rPr>
                <w:rFonts w:hint="eastAsia" w:ascii="仿宋" w:hAnsi="仿宋" w:eastAsia="仿宋" w:cs="宋体"/>
                <w:sz w:val="24"/>
                <w:szCs w:val="24"/>
                <w:highlight w:val="none"/>
              </w:rPr>
            </w:pPr>
          </w:p>
        </w:tc>
      </w:tr>
      <w:tr w14:paraId="606E6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78" w:type="dxa"/>
            <w:vMerge w:val="restart"/>
            <w:vAlign w:val="center"/>
          </w:tcPr>
          <w:p w14:paraId="6AA3AB73">
            <w:pPr>
              <w:spacing w:line="300" w:lineRule="auto"/>
              <w:rPr>
                <w:rFonts w:hint="eastAsia" w:ascii="仿宋" w:hAnsi="仿宋" w:eastAsia="仿宋" w:cs="宋体"/>
                <w:b/>
                <w:sz w:val="24"/>
                <w:szCs w:val="24"/>
                <w:highlight w:val="none"/>
              </w:rPr>
            </w:pPr>
            <w:r>
              <w:rPr>
                <w:rFonts w:hint="eastAsia" w:ascii="仿宋" w:hAnsi="仿宋" w:eastAsia="仿宋" w:cs="宋体"/>
                <w:b/>
                <w:sz w:val="24"/>
                <w:szCs w:val="24"/>
                <w:highlight w:val="none"/>
              </w:rPr>
              <w:t>加</w:t>
            </w:r>
          </w:p>
          <w:p w14:paraId="23F556C9">
            <w:pPr>
              <w:spacing w:line="300" w:lineRule="auto"/>
              <w:rPr>
                <w:rFonts w:hint="eastAsia" w:ascii="仿宋" w:hAnsi="仿宋" w:eastAsia="仿宋" w:cs="宋体"/>
                <w:b/>
                <w:sz w:val="24"/>
                <w:szCs w:val="24"/>
                <w:highlight w:val="none"/>
              </w:rPr>
            </w:pPr>
            <w:r>
              <w:rPr>
                <w:rFonts w:hint="eastAsia" w:ascii="仿宋" w:hAnsi="仿宋" w:eastAsia="仿宋" w:cs="宋体"/>
                <w:b/>
                <w:sz w:val="24"/>
                <w:szCs w:val="24"/>
                <w:highlight w:val="none"/>
              </w:rPr>
              <w:t>扣</w:t>
            </w:r>
          </w:p>
          <w:p w14:paraId="160F281A">
            <w:pPr>
              <w:spacing w:line="300" w:lineRule="auto"/>
              <w:rPr>
                <w:rFonts w:hint="eastAsia" w:ascii="仿宋" w:hAnsi="仿宋" w:eastAsia="仿宋" w:cs="宋体"/>
                <w:b/>
                <w:sz w:val="24"/>
                <w:szCs w:val="24"/>
                <w:highlight w:val="none"/>
              </w:rPr>
            </w:pPr>
            <w:r>
              <w:rPr>
                <w:rFonts w:hint="eastAsia" w:ascii="仿宋" w:hAnsi="仿宋" w:eastAsia="仿宋" w:cs="宋体"/>
                <w:b/>
                <w:sz w:val="24"/>
                <w:szCs w:val="24"/>
                <w:highlight w:val="none"/>
              </w:rPr>
              <w:t>分</w:t>
            </w:r>
          </w:p>
          <w:p w14:paraId="5E822112">
            <w:pPr>
              <w:spacing w:line="300" w:lineRule="auto"/>
              <w:rPr>
                <w:rFonts w:hint="eastAsia" w:ascii="仿宋" w:hAnsi="仿宋" w:eastAsia="仿宋" w:cs="宋体"/>
                <w:b/>
                <w:sz w:val="24"/>
                <w:szCs w:val="24"/>
                <w:highlight w:val="none"/>
              </w:rPr>
            </w:pPr>
            <w:r>
              <w:rPr>
                <w:rFonts w:hint="eastAsia" w:ascii="仿宋" w:hAnsi="仿宋" w:eastAsia="仿宋" w:cs="宋体"/>
                <w:b/>
                <w:sz w:val="24"/>
                <w:szCs w:val="24"/>
                <w:highlight w:val="none"/>
              </w:rPr>
              <w:t>项</w:t>
            </w:r>
          </w:p>
          <w:p w14:paraId="413B8F26">
            <w:pPr>
              <w:spacing w:line="300" w:lineRule="auto"/>
              <w:rPr>
                <w:rFonts w:hint="eastAsia" w:ascii="仿宋" w:hAnsi="仿宋" w:eastAsia="仿宋" w:cs="宋体"/>
                <w:b/>
                <w:sz w:val="24"/>
                <w:szCs w:val="24"/>
                <w:highlight w:val="none"/>
              </w:rPr>
            </w:pPr>
            <w:r>
              <w:rPr>
                <w:rFonts w:hint="eastAsia" w:ascii="仿宋" w:hAnsi="仿宋" w:eastAsia="仿宋" w:cs="宋体"/>
                <w:b/>
                <w:sz w:val="24"/>
                <w:szCs w:val="24"/>
                <w:highlight w:val="none"/>
              </w:rPr>
              <w:t>目</w:t>
            </w:r>
          </w:p>
          <w:p w14:paraId="24EF75F4">
            <w:pPr>
              <w:spacing w:line="300" w:lineRule="auto"/>
              <w:rPr>
                <w:rFonts w:hint="eastAsia" w:ascii="仿宋" w:hAnsi="仿宋" w:eastAsia="仿宋" w:cs="宋体"/>
                <w:b/>
                <w:sz w:val="24"/>
                <w:szCs w:val="24"/>
                <w:highlight w:val="none"/>
              </w:rPr>
            </w:pPr>
            <w:r>
              <w:rPr>
                <w:rFonts w:hint="eastAsia" w:ascii="仿宋" w:hAnsi="仿宋" w:eastAsia="仿宋" w:cs="宋体"/>
                <w:b/>
                <w:sz w:val="24"/>
                <w:szCs w:val="24"/>
                <w:highlight w:val="none"/>
              </w:rPr>
              <w:t>10</w:t>
            </w:r>
          </w:p>
          <w:p w14:paraId="118CE09E">
            <w:pPr>
              <w:spacing w:line="300" w:lineRule="auto"/>
              <w:rPr>
                <w:rFonts w:hint="eastAsia" w:ascii="仿宋" w:hAnsi="仿宋" w:eastAsia="仿宋" w:cs="宋体"/>
                <w:b/>
                <w:sz w:val="24"/>
                <w:szCs w:val="24"/>
                <w:highlight w:val="none"/>
              </w:rPr>
            </w:pPr>
            <w:r>
              <w:rPr>
                <w:rFonts w:hint="eastAsia" w:ascii="仿宋" w:hAnsi="仿宋" w:eastAsia="仿宋" w:cs="宋体"/>
                <w:b/>
                <w:sz w:val="24"/>
                <w:szCs w:val="24"/>
                <w:highlight w:val="none"/>
              </w:rPr>
              <w:t>分</w:t>
            </w:r>
          </w:p>
        </w:tc>
        <w:tc>
          <w:tcPr>
            <w:tcW w:w="5836" w:type="dxa"/>
            <w:vAlign w:val="center"/>
          </w:tcPr>
          <w:p w14:paraId="6491D21B">
            <w:pPr>
              <w:spacing w:line="300" w:lineRule="auto"/>
              <w:rPr>
                <w:rFonts w:hint="eastAsia" w:ascii="仿宋" w:hAnsi="仿宋" w:eastAsia="仿宋" w:cs="宋体"/>
                <w:sz w:val="24"/>
                <w:szCs w:val="24"/>
                <w:highlight w:val="none"/>
              </w:rPr>
            </w:pPr>
            <w:r>
              <w:rPr>
                <w:rFonts w:hint="eastAsia" w:ascii="仿宋" w:hAnsi="仿宋" w:eastAsia="仿宋" w:cs="宋体"/>
                <w:sz w:val="24"/>
                <w:szCs w:val="24"/>
                <w:highlight w:val="none"/>
              </w:rPr>
              <w:t>安装农贸市场信息化综合管理平台予以加分（1分）</w:t>
            </w:r>
          </w:p>
        </w:tc>
        <w:tc>
          <w:tcPr>
            <w:tcW w:w="1800" w:type="dxa"/>
            <w:vAlign w:val="center"/>
          </w:tcPr>
          <w:p w14:paraId="4936454D">
            <w:pPr>
              <w:spacing w:line="300" w:lineRule="auto"/>
              <w:rPr>
                <w:rFonts w:hint="eastAsia" w:ascii="仿宋" w:hAnsi="仿宋" w:eastAsia="仿宋" w:cs="宋体"/>
                <w:sz w:val="24"/>
                <w:szCs w:val="24"/>
                <w:highlight w:val="none"/>
              </w:rPr>
            </w:pPr>
          </w:p>
        </w:tc>
        <w:tc>
          <w:tcPr>
            <w:tcW w:w="1012" w:type="dxa"/>
          </w:tcPr>
          <w:p w14:paraId="420D7F9A">
            <w:pPr>
              <w:spacing w:line="300" w:lineRule="auto"/>
              <w:rPr>
                <w:rFonts w:hint="eastAsia" w:ascii="仿宋" w:hAnsi="仿宋" w:eastAsia="仿宋" w:cs="宋体"/>
                <w:sz w:val="24"/>
                <w:szCs w:val="24"/>
                <w:highlight w:val="none"/>
              </w:rPr>
            </w:pPr>
          </w:p>
        </w:tc>
        <w:tc>
          <w:tcPr>
            <w:tcW w:w="722" w:type="dxa"/>
          </w:tcPr>
          <w:p w14:paraId="1AE50E9D">
            <w:pPr>
              <w:spacing w:line="300" w:lineRule="auto"/>
              <w:rPr>
                <w:rFonts w:hint="eastAsia" w:ascii="仿宋" w:hAnsi="仿宋" w:eastAsia="仿宋" w:cs="宋体"/>
                <w:sz w:val="24"/>
                <w:szCs w:val="24"/>
                <w:highlight w:val="none"/>
              </w:rPr>
            </w:pPr>
          </w:p>
        </w:tc>
      </w:tr>
      <w:tr w14:paraId="53A1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78" w:type="dxa"/>
            <w:vMerge w:val="continue"/>
            <w:vAlign w:val="center"/>
          </w:tcPr>
          <w:p w14:paraId="061020DD">
            <w:pPr>
              <w:spacing w:line="300" w:lineRule="auto"/>
              <w:rPr>
                <w:rFonts w:hint="eastAsia" w:ascii="仿宋" w:hAnsi="仿宋" w:eastAsia="仿宋" w:cs="宋体"/>
                <w:sz w:val="24"/>
                <w:szCs w:val="24"/>
                <w:highlight w:val="none"/>
              </w:rPr>
            </w:pPr>
          </w:p>
        </w:tc>
        <w:tc>
          <w:tcPr>
            <w:tcW w:w="5836" w:type="dxa"/>
            <w:vAlign w:val="center"/>
          </w:tcPr>
          <w:p w14:paraId="33C981A6">
            <w:pPr>
              <w:spacing w:line="300" w:lineRule="auto"/>
              <w:rPr>
                <w:rFonts w:hint="eastAsia" w:ascii="仿宋" w:hAnsi="仿宋" w:eastAsia="仿宋" w:cs="宋体"/>
                <w:sz w:val="24"/>
                <w:szCs w:val="24"/>
                <w:highlight w:val="none"/>
              </w:rPr>
            </w:pPr>
            <w:r>
              <w:rPr>
                <w:rFonts w:hint="eastAsia" w:ascii="仿宋" w:hAnsi="仿宋" w:eastAsia="仿宋" w:cs="宋体"/>
                <w:sz w:val="24"/>
                <w:szCs w:val="24"/>
                <w:highlight w:val="none"/>
              </w:rPr>
              <w:t>建立市场党建、行业小组等经营户自治组织，定期开展活动并有记录的予以加分（1分）</w:t>
            </w:r>
          </w:p>
        </w:tc>
        <w:tc>
          <w:tcPr>
            <w:tcW w:w="1800" w:type="dxa"/>
            <w:vAlign w:val="center"/>
          </w:tcPr>
          <w:p w14:paraId="547F7C18">
            <w:pPr>
              <w:spacing w:line="300" w:lineRule="auto"/>
              <w:rPr>
                <w:rFonts w:hint="eastAsia" w:ascii="仿宋" w:hAnsi="仿宋" w:eastAsia="仿宋" w:cs="宋体"/>
                <w:sz w:val="24"/>
                <w:szCs w:val="24"/>
                <w:highlight w:val="none"/>
              </w:rPr>
            </w:pPr>
          </w:p>
        </w:tc>
        <w:tc>
          <w:tcPr>
            <w:tcW w:w="1012" w:type="dxa"/>
          </w:tcPr>
          <w:p w14:paraId="39C886CD">
            <w:pPr>
              <w:spacing w:line="300" w:lineRule="auto"/>
              <w:rPr>
                <w:rFonts w:hint="eastAsia" w:ascii="仿宋" w:hAnsi="仿宋" w:eastAsia="仿宋" w:cs="宋体"/>
                <w:sz w:val="24"/>
                <w:szCs w:val="24"/>
                <w:highlight w:val="none"/>
              </w:rPr>
            </w:pPr>
          </w:p>
        </w:tc>
        <w:tc>
          <w:tcPr>
            <w:tcW w:w="722" w:type="dxa"/>
          </w:tcPr>
          <w:p w14:paraId="5CE83765">
            <w:pPr>
              <w:spacing w:line="300" w:lineRule="auto"/>
              <w:rPr>
                <w:rFonts w:hint="eastAsia" w:ascii="仿宋" w:hAnsi="仿宋" w:eastAsia="仿宋" w:cs="宋体"/>
                <w:sz w:val="24"/>
                <w:szCs w:val="24"/>
                <w:highlight w:val="none"/>
              </w:rPr>
            </w:pPr>
          </w:p>
        </w:tc>
      </w:tr>
      <w:tr w14:paraId="388CC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78" w:type="dxa"/>
            <w:vMerge w:val="continue"/>
            <w:vAlign w:val="center"/>
          </w:tcPr>
          <w:p w14:paraId="089EE2B3">
            <w:pPr>
              <w:spacing w:line="300" w:lineRule="auto"/>
              <w:rPr>
                <w:rFonts w:hint="eastAsia" w:ascii="仿宋" w:hAnsi="仿宋" w:eastAsia="仿宋" w:cs="宋体"/>
                <w:sz w:val="24"/>
                <w:szCs w:val="24"/>
                <w:highlight w:val="none"/>
              </w:rPr>
            </w:pPr>
          </w:p>
        </w:tc>
        <w:tc>
          <w:tcPr>
            <w:tcW w:w="5836" w:type="dxa"/>
            <w:vAlign w:val="center"/>
          </w:tcPr>
          <w:p w14:paraId="526BB508">
            <w:pPr>
              <w:spacing w:line="300" w:lineRule="auto"/>
              <w:rPr>
                <w:rFonts w:hint="eastAsia" w:ascii="仿宋" w:hAnsi="仿宋" w:eastAsia="仿宋" w:cs="宋体"/>
                <w:sz w:val="24"/>
                <w:szCs w:val="24"/>
                <w:highlight w:val="none"/>
              </w:rPr>
            </w:pPr>
            <w:r>
              <w:rPr>
                <w:rFonts w:hint="eastAsia" w:ascii="仿宋" w:hAnsi="仿宋" w:eastAsia="仿宋" w:cs="宋体"/>
                <w:sz w:val="24"/>
                <w:szCs w:val="24"/>
                <w:highlight w:val="none"/>
              </w:rPr>
              <w:t>有高效的投诉处理机制，公布举报电话、落实专人受理消费者投诉。（1分）</w:t>
            </w:r>
          </w:p>
        </w:tc>
        <w:tc>
          <w:tcPr>
            <w:tcW w:w="1800" w:type="dxa"/>
            <w:vAlign w:val="center"/>
          </w:tcPr>
          <w:p w14:paraId="090CE31A">
            <w:pPr>
              <w:spacing w:line="300" w:lineRule="auto"/>
              <w:rPr>
                <w:rFonts w:hint="eastAsia" w:ascii="仿宋" w:hAnsi="仿宋" w:eastAsia="仿宋" w:cs="宋体"/>
                <w:sz w:val="24"/>
                <w:szCs w:val="24"/>
                <w:highlight w:val="none"/>
              </w:rPr>
            </w:pPr>
          </w:p>
        </w:tc>
        <w:tc>
          <w:tcPr>
            <w:tcW w:w="1012" w:type="dxa"/>
          </w:tcPr>
          <w:p w14:paraId="4E712533">
            <w:pPr>
              <w:spacing w:line="300" w:lineRule="auto"/>
              <w:rPr>
                <w:rFonts w:hint="eastAsia" w:ascii="仿宋" w:hAnsi="仿宋" w:eastAsia="仿宋" w:cs="宋体"/>
                <w:sz w:val="24"/>
                <w:szCs w:val="24"/>
                <w:highlight w:val="none"/>
              </w:rPr>
            </w:pPr>
          </w:p>
        </w:tc>
        <w:tc>
          <w:tcPr>
            <w:tcW w:w="722" w:type="dxa"/>
          </w:tcPr>
          <w:p w14:paraId="65ACFDAD">
            <w:pPr>
              <w:spacing w:line="300" w:lineRule="auto"/>
              <w:rPr>
                <w:rFonts w:hint="eastAsia" w:ascii="仿宋" w:hAnsi="仿宋" w:eastAsia="仿宋" w:cs="宋体"/>
                <w:sz w:val="24"/>
                <w:szCs w:val="24"/>
                <w:highlight w:val="none"/>
              </w:rPr>
            </w:pPr>
          </w:p>
        </w:tc>
      </w:tr>
      <w:tr w14:paraId="4CAFD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8" w:type="dxa"/>
            <w:vMerge w:val="continue"/>
            <w:vAlign w:val="center"/>
          </w:tcPr>
          <w:p w14:paraId="0AFFE4CC">
            <w:pPr>
              <w:spacing w:line="300" w:lineRule="auto"/>
              <w:rPr>
                <w:rFonts w:hint="eastAsia" w:ascii="仿宋" w:hAnsi="仿宋" w:eastAsia="仿宋" w:cs="宋体"/>
                <w:sz w:val="24"/>
                <w:szCs w:val="24"/>
                <w:highlight w:val="none"/>
              </w:rPr>
            </w:pPr>
          </w:p>
        </w:tc>
        <w:tc>
          <w:tcPr>
            <w:tcW w:w="5836" w:type="dxa"/>
            <w:vAlign w:val="center"/>
          </w:tcPr>
          <w:p w14:paraId="15F92F2B">
            <w:pPr>
              <w:spacing w:line="300" w:lineRule="auto"/>
              <w:rPr>
                <w:rFonts w:hint="eastAsia" w:ascii="仿宋" w:hAnsi="仿宋" w:eastAsia="仿宋" w:cs="宋体"/>
                <w:sz w:val="24"/>
                <w:szCs w:val="24"/>
                <w:highlight w:val="none"/>
              </w:rPr>
            </w:pPr>
            <w:r>
              <w:rPr>
                <w:rFonts w:hint="eastAsia" w:ascii="仿宋" w:hAnsi="仿宋" w:eastAsia="仿宋" w:cs="宋体"/>
                <w:sz w:val="24"/>
                <w:szCs w:val="24"/>
                <w:highlight w:val="none"/>
              </w:rPr>
              <w:t>建立市场经营户一户一档（内含经营户基本信息，食品安全管理责任书，消防安全承诺书）等。（1分）</w:t>
            </w:r>
          </w:p>
        </w:tc>
        <w:tc>
          <w:tcPr>
            <w:tcW w:w="1800" w:type="dxa"/>
            <w:vAlign w:val="center"/>
          </w:tcPr>
          <w:p w14:paraId="13933BEC">
            <w:pPr>
              <w:spacing w:line="300" w:lineRule="auto"/>
              <w:rPr>
                <w:rFonts w:hint="eastAsia" w:ascii="仿宋" w:hAnsi="仿宋" w:eastAsia="仿宋" w:cs="宋体"/>
                <w:sz w:val="24"/>
                <w:szCs w:val="24"/>
                <w:highlight w:val="none"/>
              </w:rPr>
            </w:pPr>
          </w:p>
        </w:tc>
        <w:tc>
          <w:tcPr>
            <w:tcW w:w="1012" w:type="dxa"/>
          </w:tcPr>
          <w:p w14:paraId="126E8229">
            <w:pPr>
              <w:spacing w:line="300" w:lineRule="auto"/>
              <w:rPr>
                <w:rFonts w:hint="eastAsia" w:ascii="仿宋" w:hAnsi="仿宋" w:eastAsia="仿宋" w:cs="宋体"/>
                <w:sz w:val="24"/>
                <w:szCs w:val="24"/>
                <w:highlight w:val="none"/>
              </w:rPr>
            </w:pPr>
          </w:p>
        </w:tc>
        <w:tc>
          <w:tcPr>
            <w:tcW w:w="722" w:type="dxa"/>
          </w:tcPr>
          <w:p w14:paraId="348425ED">
            <w:pPr>
              <w:spacing w:line="300" w:lineRule="auto"/>
              <w:rPr>
                <w:rFonts w:hint="eastAsia" w:ascii="仿宋" w:hAnsi="仿宋" w:eastAsia="仿宋" w:cs="宋体"/>
                <w:sz w:val="24"/>
                <w:szCs w:val="24"/>
                <w:highlight w:val="none"/>
              </w:rPr>
            </w:pPr>
          </w:p>
        </w:tc>
      </w:tr>
      <w:tr w14:paraId="5A143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78" w:type="dxa"/>
            <w:vMerge w:val="continue"/>
            <w:vAlign w:val="center"/>
          </w:tcPr>
          <w:p w14:paraId="10C211EE">
            <w:pPr>
              <w:spacing w:line="300" w:lineRule="auto"/>
              <w:rPr>
                <w:rFonts w:hint="eastAsia" w:ascii="仿宋" w:hAnsi="仿宋" w:eastAsia="仿宋" w:cs="宋体"/>
                <w:sz w:val="24"/>
                <w:szCs w:val="24"/>
                <w:highlight w:val="none"/>
              </w:rPr>
            </w:pPr>
          </w:p>
        </w:tc>
        <w:tc>
          <w:tcPr>
            <w:tcW w:w="5836" w:type="dxa"/>
            <w:vAlign w:val="center"/>
          </w:tcPr>
          <w:p w14:paraId="00369462">
            <w:pPr>
              <w:spacing w:line="300" w:lineRule="auto"/>
              <w:rPr>
                <w:rFonts w:hint="eastAsia" w:ascii="仿宋" w:hAnsi="仿宋" w:eastAsia="仿宋" w:cs="宋体"/>
                <w:sz w:val="24"/>
                <w:szCs w:val="24"/>
                <w:highlight w:val="none"/>
              </w:rPr>
            </w:pPr>
            <w:r>
              <w:rPr>
                <w:rFonts w:hint="eastAsia" w:ascii="仿宋" w:hAnsi="仿宋" w:eastAsia="仿宋" w:cs="宋体"/>
                <w:sz w:val="24"/>
                <w:szCs w:val="24"/>
                <w:highlight w:val="none"/>
              </w:rPr>
              <w:t>市场开展文明诚信规范经营考评奖惩的予以加分（1分）</w:t>
            </w:r>
          </w:p>
        </w:tc>
        <w:tc>
          <w:tcPr>
            <w:tcW w:w="1800" w:type="dxa"/>
            <w:vAlign w:val="center"/>
          </w:tcPr>
          <w:p w14:paraId="48E71A90">
            <w:pPr>
              <w:spacing w:line="300" w:lineRule="auto"/>
              <w:rPr>
                <w:rFonts w:hint="eastAsia" w:ascii="仿宋" w:hAnsi="仿宋" w:eastAsia="仿宋" w:cs="宋体"/>
                <w:sz w:val="24"/>
                <w:szCs w:val="24"/>
                <w:highlight w:val="none"/>
              </w:rPr>
            </w:pPr>
          </w:p>
        </w:tc>
        <w:tc>
          <w:tcPr>
            <w:tcW w:w="1012" w:type="dxa"/>
          </w:tcPr>
          <w:p w14:paraId="64F2F189">
            <w:pPr>
              <w:spacing w:line="300" w:lineRule="auto"/>
              <w:rPr>
                <w:rFonts w:hint="eastAsia" w:ascii="仿宋" w:hAnsi="仿宋" w:eastAsia="仿宋" w:cs="宋体"/>
                <w:sz w:val="24"/>
                <w:szCs w:val="24"/>
                <w:highlight w:val="none"/>
              </w:rPr>
            </w:pPr>
          </w:p>
        </w:tc>
        <w:tc>
          <w:tcPr>
            <w:tcW w:w="722" w:type="dxa"/>
          </w:tcPr>
          <w:p w14:paraId="5728FA39">
            <w:pPr>
              <w:spacing w:line="300" w:lineRule="auto"/>
              <w:rPr>
                <w:rFonts w:hint="eastAsia" w:ascii="仿宋" w:hAnsi="仿宋" w:eastAsia="仿宋" w:cs="宋体"/>
                <w:sz w:val="24"/>
                <w:szCs w:val="24"/>
                <w:highlight w:val="none"/>
              </w:rPr>
            </w:pPr>
          </w:p>
        </w:tc>
      </w:tr>
      <w:tr w14:paraId="3AF86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78" w:type="dxa"/>
            <w:vMerge w:val="continue"/>
            <w:vAlign w:val="center"/>
          </w:tcPr>
          <w:p w14:paraId="54272E69">
            <w:pPr>
              <w:spacing w:line="300" w:lineRule="auto"/>
              <w:rPr>
                <w:rFonts w:hint="eastAsia" w:ascii="仿宋" w:hAnsi="仿宋" w:eastAsia="仿宋" w:cs="宋体"/>
                <w:sz w:val="24"/>
                <w:szCs w:val="24"/>
                <w:highlight w:val="none"/>
              </w:rPr>
            </w:pPr>
          </w:p>
        </w:tc>
        <w:tc>
          <w:tcPr>
            <w:tcW w:w="5836" w:type="dxa"/>
            <w:vAlign w:val="center"/>
          </w:tcPr>
          <w:p w14:paraId="7E2C5413">
            <w:pPr>
              <w:spacing w:line="300" w:lineRule="auto"/>
              <w:rPr>
                <w:rFonts w:hint="eastAsia" w:ascii="仿宋" w:hAnsi="仿宋" w:eastAsia="仿宋" w:cs="宋体"/>
                <w:sz w:val="24"/>
                <w:szCs w:val="24"/>
                <w:highlight w:val="none"/>
              </w:rPr>
            </w:pPr>
            <w:r>
              <w:rPr>
                <w:rFonts w:hint="eastAsia" w:ascii="仿宋" w:hAnsi="仿宋" w:eastAsia="仿宋" w:cs="宋体"/>
                <w:sz w:val="24"/>
                <w:szCs w:val="24"/>
                <w:highlight w:val="none"/>
              </w:rPr>
              <w:t>在全国文明城市建设中被有关部门通报批评的予以扣分。（1分）</w:t>
            </w:r>
          </w:p>
        </w:tc>
        <w:tc>
          <w:tcPr>
            <w:tcW w:w="1800" w:type="dxa"/>
            <w:vAlign w:val="center"/>
          </w:tcPr>
          <w:p w14:paraId="05A24641">
            <w:pPr>
              <w:spacing w:line="300" w:lineRule="auto"/>
              <w:rPr>
                <w:rFonts w:hint="eastAsia" w:ascii="仿宋" w:hAnsi="仿宋" w:eastAsia="仿宋" w:cs="宋体"/>
                <w:sz w:val="24"/>
                <w:szCs w:val="24"/>
                <w:highlight w:val="none"/>
              </w:rPr>
            </w:pPr>
          </w:p>
        </w:tc>
        <w:tc>
          <w:tcPr>
            <w:tcW w:w="1012" w:type="dxa"/>
          </w:tcPr>
          <w:p w14:paraId="3D6DEE13">
            <w:pPr>
              <w:spacing w:line="300" w:lineRule="auto"/>
              <w:rPr>
                <w:rFonts w:hint="eastAsia" w:ascii="仿宋" w:hAnsi="仿宋" w:eastAsia="仿宋" w:cs="宋体"/>
                <w:sz w:val="24"/>
                <w:szCs w:val="24"/>
                <w:highlight w:val="none"/>
              </w:rPr>
            </w:pPr>
          </w:p>
        </w:tc>
        <w:tc>
          <w:tcPr>
            <w:tcW w:w="722" w:type="dxa"/>
          </w:tcPr>
          <w:p w14:paraId="3D532D2A">
            <w:pPr>
              <w:spacing w:line="300" w:lineRule="auto"/>
              <w:rPr>
                <w:rFonts w:hint="eastAsia" w:ascii="仿宋" w:hAnsi="仿宋" w:eastAsia="仿宋" w:cs="宋体"/>
                <w:sz w:val="24"/>
                <w:szCs w:val="24"/>
                <w:highlight w:val="none"/>
              </w:rPr>
            </w:pPr>
          </w:p>
        </w:tc>
      </w:tr>
      <w:tr w14:paraId="24F4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78" w:type="dxa"/>
            <w:vMerge w:val="continue"/>
            <w:vAlign w:val="center"/>
          </w:tcPr>
          <w:p w14:paraId="6730379A">
            <w:pPr>
              <w:spacing w:line="300" w:lineRule="auto"/>
              <w:rPr>
                <w:rFonts w:hint="eastAsia" w:ascii="仿宋" w:hAnsi="仿宋" w:eastAsia="仿宋" w:cs="宋体"/>
                <w:sz w:val="24"/>
                <w:szCs w:val="24"/>
                <w:highlight w:val="none"/>
              </w:rPr>
            </w:pPr>
          </w:p>
        </w:tc>
        <w:tc>
          <w:tcPr>
            <w:tcW w:w="5836" w:type="dxa"/>
            <w:vAlign w:val="center"/>
          </w:tcPr>
          <w:p w14:paraId="3FD1F346">
            <w:pPr>
              <w:spacing w:line="300" w:lineRule="auto"/>
              <w:rPr>
                <w:rFonts w:hint="eastAsia" w:ascii="仿宋" w:hAnsi="仿宋" w:eastAsia="仿宋" w:cs="宋体"/>
                <w:sz w:val="24"/>
                <w:szCs w:val="24"/>
                <w:highlight w:val="none"/>
              </w:rPr>
            </w:pPr>
            <w:r>
              <w:rPr>
                <w:rFonts w:hint="eastAsia" w:ascii="仿宋" w:hAnsi="仿宋" w:eastAsia="仿宋" w:cs="宋体"/>
                <w:sz w:val="24"/>
                <w:szCs w:val="24"/>
                <w:highlight w:val="none"/>
              </w:rPr>
              <w:t>在平安诸暨建设中被有关部门通报批评的予以扣分。（2分）</w:t>
            </w:r>
          </w:p>
        </w:tc>
        <w:tc>
          <w:tcPr>
            <w:tcW w:w="1800" w:type="dxa"/>
            <w:vAlign w:val="center"/>
          </w:tcPr>
          <w:p w14:paraId="746EA695">
            <w:pPr>
              <w:spacing w:line="300" w:lineRule="auto"/>
              <w:rPr>
                <w:rFonts w:hint="eastAsia" w:ascii="仿宋" w:hAnsi="仿宋" w:eastAsia="仿宋" w:cs="宋体"/>
                <w:sz w:val="24"/>
                <w:szCs w:val="24"/>
                <w:highlight w:val="none"/>
              </w:rPr>
            </w:pPr>
          </w:p>
        </w:tc>
        <w:tc>
          <w:tcPr>
            <w:tcW w:w="1012" w:type="dxa"/>
          </w:tcPr>
          <w:p w14:paraId="53F9A062">
            <w:pPr>
              <w:spacing w:line="300" w:lineRule="auto"/>
              <w:rPr>
                <w:rFonts w:hint="eastAsia" w:ascii="仿宋" w:hAnsi="仿宋" w:eastAsia="仿宋" w:cs="宋体"/>
                <w:sz w:val="24"/>
                <w:szCs w:val="24"/>
                <w:highlight w:val="none"/>
              </w:rPr>
            </w:pPr>
          </w:p>
        </w:tc>
        <w:tc>
          <w:tcPr>
            <w:tcW w:w="722" w:type="dxa"/>
          </w:tcPr>
          <w:p w14:paraId="2A8AABFD">
            <w:pPr>
              <w:spacing w:line="300" w:lineRule="auto"/>
              <w:rPr>
                <w:rFonts w:hint="eastAsia" w:ascii="仿宋" w:hAnsi="仿宋" w:eastAsia="仿宋" w:cs="宋体"/>
                <w:sz w:val="24"/>
                <w:szCs w:val="24"/>
                <w:highlight w:val="none"/>
              </w:rPr>
            </w:pPr>
          </w:p>
        </w:tc>
      </w:tr>
      <w:tr w14:paraId="6B2EE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78" w:type="dxa"/>
            <w:vMerge w:val="continue"/>
            <w:vAlign w:val="center"/>
          </w:tcPr>
          <w:p w14:paraId="617513E1">
            <w:pPr>
              <w:spacing w:line="300" w:lineRule="auto"/>
              <w:rPr>
                <w:rFonts w:hint="eastAsia" w:ascii="仿宋" w:hAnsi="仿宋" w:eastAsia="仿宋" w:cs="宋体"/>
                <w:sz w:val="24"/>
                <w:szCs w:val="24"/>
                <w:highlight w:val="none"/>
              </w:rPr>
            </w:pPr>
          </w:p>
        </w:tc>
        <w:tc>
          <w:tcPr>
            <w:tcW w:w="5836" w:type="dxa"/>
            <w:vAlign w:val="center"/>
          </w:tcPr>
          <w:p w14:paraId="638879B3">
            <w:pPr>
              <w:spacing w:line="300" w:lineRule="auto"/>
              <w:rPr>
                <w:rFonts w:hint="eastAsia" w:ascii="仿宋" w:hAnsi="仿宋" w:eastAsia="仿宋" w:cs="宋体"/>
                <w:sz w:val="24"/>
                <w:szCs w:val="24"/>
                <w:highlight w:val="none"/>
              </w:rPr>
            </w:pPr>
            <w:r>
              <w:rPr>
                <w:rFonts w:hint="eastAsia" w:ascii="仿宋" w:hAnsi="仿宋" w:eastAsia="仿宋" w:cs="宋体"/>
                <w:sz w:val="24"/>
                <w:szCs w:val="24"/>
                <w:highlight w:val="none"/>
              </w:rPr>
              <w:t>被媒体曝光、被市主要领导点名批评的、在上级检查中被批评的予以扣分。（2分）</w:t>
            </w:r>
          </w:p>
        </w:tc>
        <w:tc>
          <w:tcPr>
            <w:tcW w:w="1800" w:type="dxa"/>
            <w:vAlign w:val="center"/>
          </w:tcPr>
          <w:p w14:paraId="05B1B580">
            <w:pPr>
              <w:spacing w:line="300" w:lineRule="auto"/>
              <w:rPr>
                <w:rFonts w:hint="eastAsia" w:ascii="仿宋" w:hAnsi="仿宋" w:eastAsia="仿宋" w:cs="宋体"/>
                <w:sz w:val="24"/>
                <w:szCs w:val="24"/>
                <w:highlight w:val="none"/>
              </w:rPr>
            </w:pPr>
          </w:p>
        </w:tc>
        <w:tc>
          <w:tcPr>
            <w:tcW w:w="1012" w:type="dxa"/>
          </w:tcPr>
          <w:p w14:paraId="0D8CB171">
            <w:pPr>
              <w:spacing w:line="300" w:lineRule="auto"/>
              <w:rPr>
                <w:rFonts w:hint="eastAsia" w:ascii="仿宋" w:hAnsi="仿宋" w:eastAsia="仿宋" w:cs="宋体"/>
                <w:sz w:val="24"/>
                <w:szCs w:val="24"/>
                <w:highlight w:val="none"/>
              </w:rPr>
            </w:pPr>
          </w:p>
        </w:tc>
        <w:tc>
          <w:tcPr>
            <w:tcW w:w="722" w:type="dxa"/>
          </w:tcPr>
          <w:p w14:paraId="697FE988">
            <w:pPr>
              <w:spacing w:line="300" w:lineRule="auto"/>
              <w:rPr>
                <w:rFonts w:hint="eastAsia" w:ascii="仿宋" w:hAnsi="仿宋" w:eastAsia="仿宋" w:cs="宋体"/>
                <w:sz w:val="24"/>
                <w:szCs w:val="24"/>
                <w:highlight w:val="none"/>
              </w:rPr>
            </w:pPr>
          </w:p>
        </w:tc>
      </w:tr>
    </w:tbl>
    <w:p w14:paraId="7B20D7BA">
      <w:pPr>
        <w:spacing w:line="360" w:lineRule="auto"/>
        <w:rPr>
          <w:rFonts w:hint="eastAsia" w:ascii="仿宋" w:hAnsi="仿宋" w:eastAsia="仿宋" w:cs="仿宋_GB2312"/>
          <w:bCs/>
          <w:sz w:val="28"/>
          <w:szCs w:val="28"/>
          <w:highlight w:val="none"/>
        </w:rPr>
      </w:pPr>
    </w:p>
    <w:p w14:paraId="5E4DBF6F">
      <w:pPr>
        <w:pStyle w:val="2"/>
        <w:spacing w:before="156" w:beforeLines="50" w:after="156" w:afterLines="50" w:line="300" w:lineRule="auto"/>
        <w:jc w:val="center"/>
        <w:rPr>
          <w:rFonts w:hint="eastAsia" w:ascii="仿宋" w:hAnsi="仿宋" w:eastAsia="仿宋"/>
          <w:color w:val="000000" w:themeColor="text1"/>
          <w:sz w:val="36"/>
          <w:szCs w:val="36"/>
          <w:highlight w:val="none"/>
        </w:rPr>
      </w:pPr>
    </w:p>
    <w:p w14:paraId="6B3642FD">
      <w:pPr>
        <w:rPr>
          <w:rFonts w:hint="eastAsia" w:ascii="仿宋" w:hAnsi="仿宋" w:eastAsia="仿宋"/>
          <w:color w:val="000000" w:themeColor="text1"/>
          <w:sz w:val="36"/>
          <w:szCs w:val="36"/>
          <w:highlight w:val="none"/>
        </w:rPr>
      </w:pPr>
    </w:p>
    <w:p w14:paraId="02B7ADC8">
      <w:pPr>
        <w:rPr>
          <w:rFonts w:hint="eastAsia" w:ascii="仿宋" w:hAnsi="仿宋" w:eastAsia="仿宋"/>
          <w:color w:val="000000" w:themeColor="text1"/>
          <w:sz w:val="36"/>
          <w:szCs w:val="36"/>
          <w:highlight w:val="none"/>
        </w:rPr>
      </w:pPr>
    </w:p>
    <w:p w14:paraId="4E9026FE">
      <w:pPr>
        <w:pStyle w:val="2"/>
        <w:spacing w:before="156" w:beforeLines="50" w:after="156" w:afterLines="50" w:line="300" w:lineRule="auto"/>
        <w:jc w:val="center"/>
        <w:rPr>
          <w:rFonts w:hint="eastAsia" w:ascii="仿宋" w:hAnsi="仿宋" w:eastAsia="仿宋" w:cs="黑体"/>
          <w:b w:val="0"/>
          <w:color w:val="000000" w:themeColor="text1"/>
          <w:sz w:val="36"/>
          <w:szCs w:val="36"/>
          <w:highlight w:val="none"/>
        </w:rPr>
      </w:pPr>
      <w:r>
        <w:rPr>
          <w:rFonts w:hint="eastAsia" w:ascii="仿宋" w:hAnsi="仿宋" w:eastAsia="仿宋"/>
          <w:color w:val="000000" w:themeColor="text1"/>
          <w:sz w:val="36"/>
          <w:szCs w:val="36"/>
          <w:highlight w:val="none"/>
        </w:rPr>
        <w:t>第五章  采购合同参考范本</w:t>
      </w:r>
    </w:p>
    <w:p w14:paraId="3DD193BF">
      <w:pPr>
        <w:spacing w:before="1872" w:beforeLines="600" w:line="288" w:lineRule="auto"/>
        <w:rPr>
          <w:rFonts w:hint="eastAsia"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合同编号：</w:t>
      </w:r>
    </w:p>
    <w:p w14:paraId="71F14A2E">
      <w:pPr>
        <w:spacing w:before="624" w:beforeLines="200" w:line="288" w:lineRule="auto"/>
        <w:jc w:val="center"/>
        <w:rPr>
          <w:rFonts w:hint="eastAsia" w:ascii="仿宋" w:hAnsi="仿宋" w:eastAsia="仿宋" w:cs="仿宋"/>
          <w:b/>
          <w:color w:val="000000" w:themeColor="text1"/>
          <w:sz w:val="36"/>
          <w:szCs w:val="36"/>
          <w:highlight w:val="none"/>
        </w:rPr>
      </w:pPr>
      <w:r>
        <w:rPr>
          <w:rFonts w:hint="eastAsia" w:ascii="仿宋" w:hAnsi="仿宋" w:eastAsia="仿宋" w:cs="仿宋"/>
          <w:b/>
          <w:color w:val="000000" w:themeColor="text1"/>
          <w:sz w:val="36"/>
          <w:szCs w:val="36"/>
          <w:highlight w:val="none"/>
        </w:rPr>
        <w:t>采购合同参考范本</w:t>
      </w:r>
    </w:p>
    <w:p w14:paraId="33020207">
      <w:pPr>
        <w:spacing w:line="288" w:lineRule="auto"/>
        <w:rPr>
          <w:rFonts w:hint="eastAsia" w:ascii="仿宋" w:hAnsi="仿宋" w:eastAsia="仿宋" w:cs="仿宋"/>
          <w:b/>
          <w:color w:val="000000" w:themeColor="text1"/>
          <w:sz w:val="36"/>
          <w:szCs w:val="36"/>
          <w:highlight w:val="none"/>
        </w:rPr>
      </w:pPr>
    </w:p>
    <w:p w14:paraId="15368C68">
      <w:pPr>
        <w:pStyle w:val="8"/>
        <w:spacing w:before="1560" w:beforeLines="500" w:line="288" w:lineRule="auto"/>
        <w:ind w:firstLine="0"/>
        <w:jc w:val="center"/>
        <w:rPr>
          <w:rFonts w:hint="eastAsia" w:ascii="仿宋" w:hAnsi="仿宋" w:eastAsia="仿宋" w:cs="仿宋"/>
          <w:b/>
          <w:color w:val="000000" w:themeColor="text1"/>
          <w:sz w:val="28"/>
          <w:szCs w:val="28"/>
          <w:highlight w:val="none"/>
        </w:rPr>
      </w:pPr>
      <w:r>
        <w:rPr>
          <w:rFonts w:hint="eastAsia" w:ascii="仿宋" w:hAnsi="仿宋" w:eastAsia="仿宋" w:cs="仿宋"/>
          <w:b/>
          <w:color w:val="000000" w:themeColor="text1"/>
          <w:sz w:val="28"/>
          <w:szCs w:val="28"/>
          <w:highlight w:val="none"/>
        </w:rPr>
        <w:t>合同书</w:t>
      </w:r>
    </w:p>
    <w:p w14:paraId="22E5F7AD">
      <w:pPr>
        <w:spacing w:before="120" w:line="288" w:lineRule="auto"/>
        <w:rPr>
          <w:rFonts w:hint="eastAsia" w:ascii="仿宋" w:hAnsi="仿宋" w:eastAsia="仿宋" w:cs="仿宋"/>
          <w:color w:val="000000" w:themeColor="text1"/>
          <w:sz w:val="24"/>
          <w:highlight w:val="none"/>
        </w:rPr>
      </w:pPr>
    </w:p>
    <w:p w14:paraId="171D08F5">
      <w:pPr>
        <w:spacing w:before="120" w:line="288" w:lineRule="auto"/>
        <w:ind w:left="96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项目名称：</w:t>
      </w:r>
    </w:p>
    <w:p w14:paraId="5355D4BF">
      <w:pPr>
        <w:spacing w:line="288" w:lineRule="auto"/>
        <w:rPr>
          <w:rFonts w:hint="eastAsia" w:ascii="仿宋" w:hAnsi="仿宋" w:eastAsia="仿宋" w:cs="仿宋"/>
          <w:color w:val="000000" w:themeColor="text1"/>
          <w:sz w:val="24"/>
          <w:highlight w:val="none"/>
        </w:rPr>
      </w:pPr>
    </w:p>
    <w:p w14:paraId="785B6734">
      <w:pPr>
        <w:spacing w:before="120" w:line="288" w:lineRule="auto"/>
        <w:ind w:left="960"/>
        <w:rPr>
          <w:rFonts w:hint="eastAsia"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甲方：</w:t>
      </w:r>
    </w:p>
    <w:p w14:paraId="676A0B32">
      <w:pPr>
        <w:spacing w:before="120" w:line="288" w:lineRule="auto"/>
        <w:rPr>
          <w:rFonts w:hint="eastAsia" w:ascii="仿宋" w:hAnsi="仿宋" w:eastAsia="仿宋" w:cs="仿宋"/>
          <w:color w:val="000000" w:themeColor="text1"/>
          <w:sz w:val="24"/>
          <w:highlight w:val="none"/>
        </w:rPr>
      </w:pPr>
    </w:p>
    <w:p w14:paraId="6848343B">
      <w:pPr>
        <w:spacing w:before="120" w:line="288" w:lineRule="auto"/>
        <w:ind w:left="960"/>
        <w:rPr>
          <w:rFonts w:hint="eastAsia"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乙方：</w:t>
      </w:r>
    </w:p>
    <w:p w14:paraId="00877C8A">
      <w:pPr>
        <w:spacing w:before="120" w:line="288" w:lineRule="auto"/>
        <w:rPr>
          <w:rFonts w:hint="eastAsia" w:ascii="仿宋" w:hAnsi="仿宋" w:eastAsia="仿宋" w:cs="仿宋"/>
          <w:color w:val="000000" w:themeColor="text1"/>
          <w:sz w:val="24"/>
          <w:highlight w:val="none"/>
        </w:rPr>
      </w:pPr>
    </w:p>
    <w:p w14:paraId="3309A85E">
      <w:pPr>
        <w:spacing w:before="120" w:line="288" w:lineRule="auto"/>
        <w:ind w:firstLine="960" w:firstLineChars="400"/>
        <w:rPr>
          <w:rFonts w:hint="eastAsia"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签订地：</w:t>
      </w:r>
    </w:p>
    <w:p w14:paraId="1D1E1F45">
      <w:pPr>
        <w:spacing w:before="120" w:line="288" w:lineRule="auto"/>
        <w:rPr>
          <w:rFonts w:hint="eastAsia" w:ascii="仿宋" w:hAnsi="仿宋" w:eastAsia="仿宋" w:cs="仿宋"/>
          <w:color w:val="000000" w:themeColor="text1"/>
          <w:sz w:val="24"/>
          <w:highlight w:val="none"/>
        </w:rPr>
      </w:pPr>
    </w:p>
    <w:p w14:paraId="5F636C3F">
      <w:pPr>
        <w:spacing w:before="120" w:line="288" w:lineRule="auto"/>
        <w:ind w:firstLine="960" w:firstLineChars="400"/>
        <w:rPr>
          <w:rFonts w:hint="eastAsia" w:ascii="仿宋" w:hAnsi="仿宋" w:eastAsia="仿宋"/>
          <w:color w:val="000000" w:themeColor="text1"/>
          <w:sz w:val="24"/>
          <w:szCs w:val="24"/>
          <w:highlight w:val="none"/>
        </w:rPr>
      </w:pPr>
      <w:r>
        <w:rPr>
          <w:rFonts w:hint="eastAsia" w:ascii="仿宋" w:hAnsi="仿宋" w:eastAsia="仿宋" w:cs="仿宋"/>
          <w:color w:val="000000" w:themeColor="text1"/>
          <w:sz w:val="24"/>
          <w:highlight w:val="none"/>
        </w:rPr>
        <w:t>签订日期：年月日</w:t>
      </w:r>
    </w:p>
    <w:p w14:paraId="097052D6">
      <w:pPr>
        <w:rPr>
          <w:rFonts w:hint="eastAsia" w:ascii="黑体" w:hAnsi="宋体" w:eastAsia="黑体"/>
          <w:color w:val="000000" w:themeColor="text1"/>
          <w:sz w:val="44"/>
          <w:szCs w:val="44"/>
          <w:highlight w:val="none"/>
        </w:rPr>
        <w:sectPr>
          <w:pgSz w:w="11906" w:h="16838"/>
          <w:pgMar w:top="1247" w:right="1247" w:bottom="1247" w:left="1247" w:header="284" w:footer="454" w:gutter="0"/>
          <w:pgNumType w:fmt="numberInDash"/>
          <w:cols w:space="720" w:num="1"/>
          <w:titlePg/>
          <w:docGrid w:type="lines" w:linePitch="312" w:charSpace="0"/>
        </w:sectPr>
      </w:pPr>
    </w:p>
    <w:p w14:paraId="56BE5B78">
      <w:pPr>
        <w:rPr>
          <w:rFonts w:hint="eastAsia" w:ascii="仿宋" w:hAnsi="仿宋" w:eastAsia="仿宋" w:cs="黑体"/>
          <w:highlight w:val="none"/>
        </w:rPr>
      </w:pPr>
      <w:r>
        <w:rPr>
          <w:rFonts w:hint="eastAsia" w:ascii="仿宋" w:hAnsi="仿宋" w:eastAsia="仿宋" w:cs="黑体"/>
          <w:sz w:val="24"/>
          <w:szCs w:val="24"/>
          <w:highlight w:val="none"/>
        </w:rPr>
        <w:t xml:space="preserve">                                     </w:t>
      </w:r>
      <w:r>
        <w:rPr>
          <w:rFonts w:hint="eastAsia" w:ascii="仿宋" w:hAnsi="仿宋" w:eastAsia="仿宋" w:cs="黑体"/>
          <w:highlight w:val="none"/>
        </w:rPr>
        <w:t>合同编号：</w:t>
      </w:r>
    </w:p>
    <w:p w14:paraId="02083F75">
      <w:pPr>
        <w:jc w:val="left"/>
        <w:rPr>
          <w:rFonts w:hint="eastAsia" w:ascii="仿宋" w:hAnsi="仿宋" w:eastAsia="仿宋" w:cs="宋体"/>
          <w:highlight w:val="none"/>
          <w:u w:val="single"/>
        </w:rPr>
      </w:pPr>
      <w:r>
        <w:rPr>
          <w:rFonts w:hint="eastAsia" w:ascii="仿宋" w:hAnsi="仿宋" w:eastAsia="仿宋" w:cs="宋体"/>
          <w:highlight w:val="none"/>
        </w:rPr>
        <w:t>甲方（采购单位）：________________________签订日期：______年______月______日</w:t>
      </w:r>
    </w:p>
    <w:p w14:paraId="326A8B83">
      <w:pPr>
        <w:rPr>
          <w:rFonts w:hint="eastAsia" w:ascii="仿宋" w:hAnsi="仿宋" w:eastAsia="仿宋" w:cs="宋体"/>
          <w:highlight w:val="none"/>
        </w:rPr>
      </w:pPr>
      <w:r>
        <w:rPr>
          <w:rFonts w:hint="eastAsia" w:ascii="仿宋" w:hAnsi="仿宋" w:eastAsia="仿宋" w:cs="宋体"/>
          <w:highlight w:val="none"/>
        </w:rPr>
        <w:t>乙方（供货单位）：________________________签订地点：________________________</w:t>
      </w:r>
    </w:p>
    <w:p w14:paraId="774749F6">
      <w:pPr>
        <w:ind w:firstLine="420" w:firstLineChars="200"/>
        <w:rPr>
          <w:rFonts w:hint="eastAsia" w:ascii="仿宋" w:hAnsi="仿宋" w:eastAsia="仿宋" w:cs="宋体"/>
          <w:sz w:val="24"/>
          <w:szCs w:val="24"/>
          <w:highlight w:val="none"/>
        </w:rPr>
      </w:pPr>
      <w:r>
        <w:rPr>
          <w:rFonts w:ascii="仿宋" w:hAnsi="仿宋" w:eastAsia="仿宋"/>
          <w:highlight w:val="none"/>
        </w:rPr>
        <w:t>根据《中华人民共和国民法典》等有关规定，</w:t>
      </w:r>
      <w:r>
        <w:rPr>
          <w:rFonts w:hint="eastAsia" w:ascii="仿宋" w:hAnsi="仿宋" w:eastAsia="仿宋" w:cs="宋体"/>
          <w:highlight w:val="none"/>
        </w:rPr>
        <w:t>以及浙江新顺项目管理有限公司（编号：浙江新顺20</w:t>
      </w:r>
      <w:r>
        <w:rPr>
          <w:rFonts w:ascii="仿宋" w:hAnsi="仿宋" w:eastAsia="仿宋" w:cs="宋体"/>
          <w:highlight w:val="none"/>
        </w:rPr>
        <w:t>2</w:t>
      </w:r>
      <w:r>
        <w:rPr>
          <w:rFonts w:hint="eastAsia" w:ascii="仿宋" w:hAnsi="仿宋" w:eastAsia="仿宋" w:cs="宋体"/>
          <w:highlight w:val="none"/>
        </w:rPr>
        <w:t>4—___—___）招标文件相关要求，双方同意签订以下合同条款，以便双方共同遵守、履行合同。</w:t>
      </w:r>
    </w:p>
    <w:p w14:paraId="2E555205">
      <w:pPr>
        <w:rPr>
          <w:rFonts w:hint="eastAsia" w:ascii="仿宋" w:hAnsi="仿宋" w:eastAsia="仿宋"/>
          <w:b/>
          <w:color w:val="auto"/>
          <w:highlight w:val="none"/>
        </w:rPr>
      </w:pPr>
      <w:r>
        <w:rPr>
          <w:rFonts w:hint="eastAsia" w:ascii="仿宋" w:hAnsi="仿宋" w:eastAsia="仿宋"/>
          <w:b/>
          <w:color w:val="auto"/>
          <w:highlight w:val="none"/>
        </w:rPr>
        <w:t>一、采购产品（或服务）</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3772"/>
        <w:gridCol w:w="1268"/>
        <w:gridCol w:w="1260"/>
        <w:gridCol w:w="1724"/>
      </w:tblGrid>
      <w:tr w14:paraId="11AB4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8" w:type="dxa"/>
            <w:vAlign w:val="center"/>
          </w:tcPr>
          <w:p w14:paraId="1493CC92">
            <w:pPr>
              <w:jc w:val="center"/>
              <w:rPr>
                <w:rFonts w:hint="eastAsia" w:ascii="仿宋" w:hAnsi="仿宋" w:eastAsia="仿宋"/>
                <w:color w:val="auto"/>
                <w:highlight w:val="none"/>
              </w:rPr>
            </w:pPr>
            <w:r>
              <w:rPr>
                <w:rFonts w:hint="eastAsia" w:ascii="仿宋" w:hAnsi="仿宋" w:eastAsia="仿宋"/>
                <w:color w:val="auto"/>
                <w:highlight w:val="none"/>
              </w:rPr>
              <w:t>产品（或服务）名称</w:t>
            </w:r>
          </w:p>
        </w:tc>
        <w:tc>
          <w:tcPr>
            <w:tcW w:w="3772" w:type="dxa"/>
            <w:vAlign w:val="center"/>
          </w:tcPr>
          <w:p w14:paraId="065D980C">
            <w:pPr>
              <w:jc w:val="center"/>
              <w:rPr>
                <w:rFonts w:hint="eastAsia" w:ascii="仿宋" w:hAnsi="仿宋" w:eastAsia="仿宋"/>
                <w:color w:val="auto"/>
                <w:highlight w:val="none"/>
              </w:rPr>
            </w:pPr>
            <w:r>
              <w:rPr>
                <w:rFonts w:hint="eastAsia" w:ascii="仿宋" w:hAnsi="仿宋" w:eastAsia="仿宋"/>
                <w:color w:val="auto"/>
                <w:highlight w:val="none"/>
              </w:rPr>
              <w:t>产品规格、型号（或服务内容）</w:t>
            </w:r>
          </w:p>
        </w:tc>
        <w:tc>
          <w:tcPr>
            <w:tcW w:w="1268" w:type="dxa"/>
            <w:vAlign w:val="center"/>
          </w:tcPr>
          <w:p w14:paraId="62AE3289">
            <w:pPr>
              <w:jc w:val="center"/>
              <w:rPr>
                <w:rFonts w:hint="eastAsia" w:ascii="仿宋" w:hAnsi="仿宋" w:eastAsia="仿宋"/>
                <w:color w:val="auto"/>
                <w:highlight w:val="none"/>
              </w:rPr>
            </w:pPr>
            <w:r>
              <w:rPr>
                <w:rFonts w:hint="eastAsia" w:ascii="仿宋" w:hAnsi="仿宋" w:eastAsia="仿宋"/>
                <w:color w:val="auto"/>
                <w:highlight w:val="none"/>
              </w:rPr>
              <w:t>数量（或服务期限）</w:t>
            </w:r>
          </w:p>
        </w:tc>
        <w:tc>
          <w:tcPr>
            <w:tcW w:w="1260" w:type="dxa"/>
            <w:vAlign w:val="center"/>
          </w:tcPr>
          <w:p w14:paraId="542B05B0">
            <w:pPr>
              <w:jc w:val="center"/>
              <w:rPr>
                <w:rFonts w:hint="eastAsia" w:ascii="仿宋" w:hAnsi="仿宋" w:eastAsia="仿宋"/>
                <w:color w:val="auto"/>
                <w:highlight w:val="none"/>
              </w:rPr>
            </w:pPr>
            <w:r>
              <w:rPr>
                <w:rFonts w:hint="eastAsia" w:ascii="仿宋" w:hAnsi="仿宋" w:eastAsia="仿宋"/>
                <w:color w:val="auto"/>
                <w:highlight w:val="none"/>
              </w:rPr>
              <w:t>单价（元）</w:t>
            </w:r>
          </w:p>
        </w:tc>
        <w:tc>
          <w:tcPr>
            <w:tcW w:w="1724" w:type="dxa"/>
            <w:vAlign w:val="center"/>
          </w:tcPr>
          <w:p w14:paraId="1B00E748">
            <w:pPr>
              <w:jc w:val="center"/>
              <w:rPr>
                <w:rFonts w:hint="eastAsia" w:ascii="仿宋" w:hAnsi="仿宋" w:eastAsia="仿宋"/>
                <w:color w:val="auto"/>
                <w:highlight w:val="none"/>
              </w:rPr>
            </w:pPr>
            <w:r>
              <w:rPr>
                <w:rFonts w:hint="eastAsia" w:ascii="仿宋" w:hAnsi="仿宋" w:eastAsia="仿宋"/>
                <w:color w:val="auto"/>
                <w:highlight w:val="none"/>
              </w:rPr>
              <w:t>合价（元）</w:t>
            </w:r>
          </w:p>
        </w:tc>
      </w:tr>
      <w:tr w14:paraId="34AE5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8" w:type="dxa"/>
            <w:vAlign w:val="center"/>
          </w:tcPr>
          <w:p w14:paraId="1E204D6B">
            <w:pPr>
              <w:rPr>
                <w:rFonts w:hint="eastAsia" w:ascii="仿宋" w:hAnsi="仿宋" w:eastAsia="仿宋"/>
                <w:color w:val="auto"/>
                <w:highlight w:val="none"/>
              </w:rPr>
            </w:pPr>
          </w:p>
        </w:tc>
        <w:tc>
          <w:tcPr>
            <w:tcW w:w="3772" w:type="dxa"/>
            <w:vAlign w:val="center"/>
          </w:tcPr>
          <w:p w14:paraId="7F118D24">
            <w:pPr>
              <w:rPr>
                <w:rFonts w:hint="eastAsia" w:ascii="仿宋" w:hAnsi="仿宋" w:eastAsia="仿宋"/>
                <w:color w:val="auto"/>
                <w:highlight w:val="none"/>
              </w:rPr>
            </w:pPr>
          </w:p>
        </w:tc>
        <w:tc>
          <w:tcPr>
            <w:tcW w:w="1268" w:type="dxa"/>
            <w:vAlign w:val="center"/>
          </w:tcPr>
          <w:p w14:paraId="6E9AF3A3">
            <w:pPr>
              <w:rPr>
                <w:rFonts w:hint="eastAsia" w:ascii="仿宋" w:hAnsi="仿宋" w:eastAsia="仿宋"/>
                <w:color w:val="auto"/>
                <w:highlight w:val="none"/>
              </w:rPr>
            </w:pPr>
          </w:p>
        </w:tc>
        <w:tc>
          <w:tcPr>
            <w:tcW w:w="1260" w:type="dxa"/>
            <w:vAlign w:val="center"/>
          </w:tcPr>
          <w:p w14:paraId="0A5531C0">
            <w:pPr>
              <w:rPr>
                <w:rFonts w:hint="eastAsia" w:ascii="仿宋" w:hAnsi="仿宋" w:eastAsia="仿宋"/>
                <w:color w:val="auto"/>
                <w:highlight w:val="none"/>
              </w:rPr>
            </w:pPr>
          </w:p>
        </w:tc>
        <w:tc>
          <w:tcPr>
            <w:tcW w:w="1724" w:type="dxa"/>
            <w:vAlign w:val="center"/>
          </w:tcPr>
          <w:p w14:paraId="6AA07FE5">
            <w:pPr>
              <w:rPr>
                <w:rFonts w:hint="eastAsia" w:ascii="仿宋" w:hAnsi="仿宋" w:eastAsia="仿宋"/>
                <w:color w:val="auto"/>
                <w:highlight w:val="none"/>
              </w:rPr>
            </w:pPr>
          </w:p>
        </w:tc>
      </w:tr>
      <w:tr w14:paraId="040D6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8" w:type="dxa"/>
            <w:vAlign w:val="center"/>
          </w:tcPr>
          <w:p w14:paraId="72BFF5C6">
            <w:pPr>
              <w:rPr>
                <w:rFonts w:hint="eastAsia" w:ascii="仿宋" w:hAnsi="仿宋" w:eastAsia="仿宋"/>
                <w:color w:val="auto"/>
                <w:highlight w:val="none"/>
              </w:rPr>
            </w:pPr>
          </w:p>
        </w:tc>
        <w:tc>
          <w:tcPr>
            <w:tcW w:w="3772" w:type="dxa"/>
            <w:vAlign w:val="center"/>
          </w:tcPr>
          <w:p w14:paraId="71D12DD9">
            <w:pPr>
              <w:rPr>
                <w:rFonts w:hint="eastAsia" w:ascii="仿宋" w:hAnsi="仿宋" w:eastAsia="仿宋"/>
                <w:color w:val="auto"/>
                <w:highlight w:val="none"/>
              </w:rPr>
            </w:pPr>
          </w:p>
        </w:tc>
        <w:tc>
          <w:tcPr>
            <w:tcW w:w="1268" w:type="dxa"/>
            <w:vAlign w:val="center"/>
          </w:tcPr>
          <w:p w14:paraId="00ABE477">
            <w:pPr>
              <w:rPr>
                <w:rFonts w:hint="eastAsia" w:ascii="仿宋" w:hAnsi="仿宋" w:eastAsia="仿宋"/>
                <w:color w:val="auto"/>
                <w:highlight w:val="none"/>
              </w:rPr>
            </w:pPr>
          </w:p>
        </w:tc>
        <w:tc>
          <w:tcPr>
            <w:tcW w:w="1260" w:type="dxa"/>
            <w:vAlign w:val="center"/>
          </w:tcPr>
          <w:p w14:paraId="73DF8E77">
            <w:pPr>
              <w:rPr>
                <w:rFonts w:hint="eastAsia" w:ascii="仿宋" w:hAnsi="仿宋" w:eastAsia="仿宋"/>
                <w:color w:val="auto"/>
                <w:highlight w:val="none"/>
              </w:rPr>
            </w:pPr>
          </w:p>
        </w:tc>
        <w:tc>
          <w:tcPr>
            <w:tcW w:w="1724" w:type="dxa"/>
            <w:vAlign w:val="center"/>
          </w:tcPr>
          <w:p w14:paraId="37216BC6">
            <w:pPr>
              <w:rPr>
                <w:rFonts w:hint="eastAsia" w:ascii="仿宋" w:hAnsi="仿宋" w:eastAsia="仿宋"/>
                <w:color w:val="auto"/>
                <w:highlight w:val="none"/>
              </w:rPr>
            </w:pPr>
          </w:p>
        </w:tc>
      </w:tr>
      <w:tr w14:paraId="7B6D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8" w:type="dxa"/>
            <w:vAlign w:val="center"/>
          </w:tcPr>
          <w:p w14:paraId="4DB64646">
            <w:pPr>
              <w:rPr>
                <w:rFonts w:hint="eastAsia" w:ascii="仿宋" w:hAnsi="仿宋" w:eastAsia="仿宋"/>
                <w:color w:val="auto"/>
                <w:highlight w:val="none"/>
              </w:rPr>
            </w:pPr>
          </w:p>
        </w:tc>
        <w:tc>
          <w:tcPr>
            <w:tcW w:w="3772" w:type="dxa"/>
            <w:vAlign w:val="center"/>
          </w:tcPr>
          <w:p w14:paraId="5879C786">
            <w:pPr>
              <w:rPr>
                <w:rFonts w:hint="eastAsia" w:ascii="仿宋" w:hAnsi="仿宋" w:eastAsia="仿宋"/>
                <w:color w:val="auto"/>
                <w:highlight w:val="none"/>
              </w:rPr>
            </w:pPr>
          </w:p>
        </w:tc>
        <w:tc>
          <w:tcPr>
            <w:tcW w:w="1268" w:type="dxa"/>
            <w:vAlign w:val="center"/>
          </w:tcPr>
          <w:p w14:paraId="6C9636F9">
            <w:pPr>
              <w:rPr>
                <w:rFonts w:hint="eastAsia" w:ascii="仿宋" w:hAnsi="仿宋" w:eastAsia="仿宋"/>
                <w:color w:val="auto"/>
                <w:highlight w:val="none"/>
              </w:rPr>
            </w:pPr>
          </w:p>
        </w:tc>
        <w:tc>
          <w:tcPr>
            <w:tcW w:w="1260" w:type="dxa"/>
            <w:vAlign w:val="center"/>
          </w:tcPr>
          <w:p w14:paraId="1541FBE4">
            <w:pPr>
              <w:rPr>
                <w:rFonts w:hint="eastAsia" w:ascii="仿宋" w:hAnsi="仿宋" w:eastAsia="仿宋"/>
                <w:color w:val="auto"/>
                <w:highlight w:val="none"/>
              </w:rPr>
            </w:pPr>
          </w:p>
        </w:tc>
        <w:tc>
          <w:tcPr>
            <w:tcW w:w="1724" w:type="dxa"/>
            <w:vAlign w:val="center"/>
          </w:tcPr>
          <w:p w14:paraId="5B515114">
            <w:pPr>
              <w:rPr>
                <w:rFonts w:hint="eastAsia" w:ascii="仿宋" w:hAnsi="仿宋" w:eastAsia="仿宋"/>
                <w:color w:val="auto"/>
                <w:highlight w:val="none"/>
              </w:rPr>
            </w:pPr>
          </w:p>
        </w:tc>
      </w:tr>
      <w:tr w14:paraId="3E9AC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2" w:type="dxa"/>
            <w:gridSpan w:val="5"/>
            <w:vAlign w:val="center"/>
          </w:tcPr>
          <w:p w14:paraId="6D41855A">
            <w:pPr>
              <w:rPr>
                <w:rFonts w:hint="eastAsia" w:ascii="仿宋" w:hAnsi="仿宋" w:eastAsia="仿宋"/>
                <w:color w:val="auto"/>
                <w:highlight w:val="none"/>
              </w:rPr>
            </w:pPr>
            <w:r>
              <w:rPr>
                <w:rFonts w:hint="eastAsia" w:ascii="仿宋" w:hAnsi="仿宋" w:eastAsia="仿宋"/>
                <w:color w:val="auto"/>
                <w:highlight w:val="none"/>
              </w:rPr>
              <w:t>合计人民币（大写）：   佰   拾   万   仟   佰   拾   元    角    分  ￥：</w:t>
            </w:r>
          </w:p>
        </w:tc>
      </w:tr>
    </w:tbl>
    <w:p w14:paraId="052D23FD">
      <w:pPr>
        <w:rPr>
          <w:rFonts w:hint="eastAsia" w:ascii="仿宋" w:hAnsi="仿宋" w:eastAsia="仿宋"/>
          <w:b/>
          <w:color w:val="auto"/>
          <w:highlight w:val="none"/>
        </w:rPr>
      </w:pPr>
      <w:r>
        <w:rPr>
          <w:rFonts w:hint="eastAsia" w:ascii="仿宋" w:hAnsi="仿宋" w:eastAsia="仿宋"/>
          <w:b/>
          <w:color w:val="auto"/>
          <w:highlight w:val="none"/>
        </w:rPr>
        <w:t>二、供货（或服务）要求</w:t>
      </w:r>
    </w:p>
    <w:p w14:paraId="545A9F63">
      <w:pPr>
        <w:ind w:firstLine="420" w:firstLineChars="200"/>
        <w:rPr>
          <w:rFonts w:hint="eastAsia" w:ascii="仿宋" w:hAnsi="仿宋" w:eastAsia="仿宋"/>
          <w:color w:val="auto"/>
          <w:highlight w:val="none"/>
        </w:rPr>
      </w:pPr>
      <w:r>
        <w:rPr>
          <w:rFonts w:hint="eastAsia" w:ascii="仿宋" w:hAnsi="仿宋" w:eastAsia="仿宋"/>
          <w:color w:val="auto"/>
          <w:highlight w:val="none"/>
        </w:rPr>
        <w:t>1、乙方应在合同签订后</w:t>
      </w:r>
      <w:r>
        <w:rPr>
          <w:rFonts w:hint="eastAsia" w:ascii="仿宋" w:hAnsi="仿宋" w:eastAsia="仿宋"/>
          <w:color w:val="auto"/>
          <w:highlight w:val="none"/>
          <w:u w:val="single"/>
        </w:rPr>
        <w:t xml:space="preserve">   </w:t>
      </w:r>
      <w:r>
        <w:rPr>
          <w:rFonts w:hint="eastAsia" w:ascii="仿宋" w:hAnsi="仿宋" w:eastAsia="仿宋"/>
          <w:color w:val="auto"/>
          <w:highlight w:val="none"/>
        </w:rPr>
        <w:t>个工作日内，将产品免费送达甲方指定地点，并免费安装调试完毕后交付使用（除不可抗力因素外）。乙方必须在产品的右侧粘贴公司标签（标明公司名称、服务热线电话、供货时间：年月日等），乙方还需对甲方用户作使用培训。</w:t>
      </w:r>
    </w:p>
    <w:p w14:paraId="02971343">
      <w:pPr>
        <w:ind w:firstLine="420" w:firstLineChars="200"/>
        <w:rPr>
          <w:rFonts w:hint="eastAsia" w:ascii="仿宋" w:hAnsi="仿宋" w:eastAsia="仿宋"/>
          <w:color w:val="auto"/>
          <w:highlight w:val="none"/>
        </w:rPr>
      </w:pPr>
      <w:r>
        <w:rPr>
          <w:rFonts w:hint="eastAsia" w:ascii="仿宋" w:hAnsi="仿宋" w:eastAsia="仿宋"/>
          <w:color w:val="auto"/>
          <w:highlight w:val="none"/>
        </w:rPr>
        <w:t>2、乙方提供的产品必须是招标文件和合同规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注：所有采购的计算机办公设备必须预装正版操作系统软件）</w:t>
      </w:r>
    </w:p>
    <w:p w14:paraId="03A8B7A4">
      <w:pPr>
        <w:ind w:firstLine="420" w:firstLineChars="200"/>
        <w:rPr>
          <w:rFonts w:hint="eastAsia" w:ascii="仿宋" w:hAnsi="仿宋" w:eastAsia="仿宋"/>
          <w:color w:val="auto"/>
          <w:highlight w:val="none"/>
        </w:rPr>
      </w:pPr>
      <w:r>
        <w:rPr>
          <w:rFonts w:hint="eastAsia" w:ascii="仿宋" w:hAnsi="仿宋" w:eastAsia="仿宋"/>
          <w:color w:val="auto"/>
          <w:highlight w:val="none"/>
        </w:rPr>
        <w:t>3、乙方不得将采购产品转包给其他供应商，否则视为违约，并将追究其违约责任，甲方有权解除采购合同，所造成的损失由乙方承担。</w:t>
      </w:r>
    </w:p>
    <w:p w14:paraId="04D60DE2">
      <w:pPr>
        <w:ind w:firstLine="420" w:firstLineChars="200"/>
        <w:rPr>
          <w:rFonts w:hint="eastAsia" w:ascii="仿宋" w:hAnsi="仿宋" w:eastAsia="仿宋"/>
          <w:color w:val="auto"/>
          <w:highlight w:val="none"/>
        </w:rPr>
      </w:pPr>
      <w:r>
        <w:rPr>
          <w:rFonts w:hint="eastAsia" w:ascii="仿宋" w:hAnsi="仿宋" w:eastAsia="仿宋"/>
          <w:color w:val="auto"/>
          <w:highlight w:val="none"/>
        </w:rPr>
        <w:t>4、如本合同采购产品在合同履约过程中出现产品更新或厂家停产等情况，须由乙方书现提出更换要求，并提供充分理由或依据，经甲方核实或认可，</w:t>
      </w:r>
      <w:r>
        <w:rPr>
          <w:rFonts w:hint="eastAsia" w:ascii="仿宋" w:hAnsi="仿宋" w:eastAsia="仿宋" w:cs="宋体"/>
          <w:highlight w:val="none"/>
        </w:rPr>
        <w:t>并报</w:t>
      </w:r>
      <w:r>
        <w:rPr>
          <w:rFonts w:hint="eastAsia" w:ascii="仿宋" w:hAnsi="仿宋" w:eastAsia="仿宋" w:cs="宋体"/>
          <w:color w:val="auto"/>
          <w:highlight w:val="none"/>
        </w:rPr>
        <w:t>诸暨市安华镇招标办审批</w:t>
      </w:r>
      <w:r>
        <w:rPr>
          <w:rFonts w:hint="eastAsia" w:ascii="仿宋" w:hAnsi="仿宋" w:eastAsia="仿宋" w:cs="宋体"/>
          <w:highlight w:val="none"/>
        </w:rPr>
        <w:t>同意后，</w:t>
      </w:r>
      <w:r>
        <w:rPr>
          <w:rFonts w:hint="eastAsia" w:ascii="仿宋" w:hAnsi="仿宋" w:eastAsia="仿宋"/>
          <w:color w:val="auto"/>
          <w:highlight w:val="none"/>
        </w:rPr>
        <w:t>方可更换替代性能参数指标比原原采购产品高的其他产品，但产品价格不变。</w:t>
      </w:r>
    </w:p>
    <w:p w14:paraId="2DCBF85C">
      <w:pPr>
        <w:ind w:firstLine="420" w:firstLineChars="200"/>
        <w:rPr>
          <w:rFonts w:hint="eastAsia" w:ascii="仿宋" w:hAnsi="仿宋" w:eastAsia="仿宋"/>
          <w:color w:val="auto"/>
          <w:highlight w:val="none"/>
        </w:rPr>
      </w:pPr>
      <w:r>
        <w:rPr>
          <w:rFonts w:hint="eastAsia" w:ascii="仿宋" w:hAnsi="仿宋" w:eastAsia="仿宋"/>
          <w:color w:val="auto"/>
          <w:highlight w:val="none"/>
        </w:rPr>
        <w:t>（备注：服务要求按招标文件中规定的服务要求内容拟定。）</w:t>
      </w:r>
    </w:p>
    <w:p w14:paraId="53543B64">
      <w:pPr>
        <w:rPr>
          <w:rFonts w:hint="eastAsia" w:ascii="仿宋" w:hAnsi="仿宋" w:eastAsia="仿宋"/>
          <w:b/>
          <w:color w:val="auto"/>
          <w:highlight w:val="none"/>
        </w:rPr>
      </w:pPr>
      <w:r>
        <w:rPr>
          <w:rFonts w:hint="eastAsia" w:ascii="仿宋" w:hAnsi="仿宋" w:eastAsia="仿宋"/>
          <w:b/>
          <w:color w:val="auto"/>
          <w:highlight w:val="none"/>
        </w:rPr>
        <w:t>三、产品（或服务）质量要求</w:t>
      </w:r>
    </w:p>
    <w:p w14:paraId="4F187B8F">
      <w:pPr>
        <w:ind w:firstLine="420" w:firstLineChars="200"/>
        <w:rPr>
          <w:rFonts w:hint="eastAsia" w:ascii="仿宋" w:hAnsi="仿宋" w:eastAsia="仿宋"/>
          <w:color w:val="auto"/>
          <w:highlight w:val="none"/>
        </w:rPr>
      </w:pPr>
      <w:r>
        <w:rPr>
          <w:rFonts w:hint="eastAsia" w:ascii="仿宋" w:hAnsi="仿宋" w:eastAsia="仿宋"/>
          <w:color w:val="auto"/>
          <w:highlight w:val="none"/>
        </w:rPr>
        <w:t>1、乙方应确保产品质量，所有产品均需符合国家产品的有关技术规范、质量标准和产品厂家的出厂标准，提供原厂质保书、合格证等有关文件资料，并保证产品是出厂原装合格产品。进口产品须是获得国家商检局颁布安全生产许可证的出厂原装合格产品。</w:t>
      </w:r>
    </w:p>
    <w:p w14:paraId="1FAACC39">
      <w:pPr>
        <w:ind w:firstLine="420" w:firstLineChars="200"/>
        <w:rPr>
          <w:rFonts w:hint="eastAsia" w:ascii="仿宋" w:hAnsi="仿宋" w:eastAsia="仿宋"/>
          <w:color w:val="auto"/>
          <w:highlight w:val="none"/>
        </w:rPr>
      </w:pPr>
      <w:r>
        <w:rPr>
          <w:rFonts w:hint="eastAsia" w:ascii="仿宋" w:hAnsi="仿宋" w:eastAsia="仿宋"/>
          <w:color w:val="auto"/>
          <w:highlight w:val="none"/>
        </w:rPr>
        <w:t>2、乙方应保证设备经正确安装、正常运转和保养，保证在在其使用寿命内应具有满意的性能。</w:t>
      </w:r>
    </w:p>
    <w:p w14:paraId="41D9EA78">
      <w:pPr>
        <w:ind w:firstLine="420" w:firstLineChars="200"/>
        <w:rPr>
          <w:rFonts w:hint="eastAsia" w:ascii="仿宋" w:hAnsi="仿宋" w:eastAsia="仿宋"/>
          <w:color w:val="auto"/>
          <w:highlight w:val="none"/>
        </w:rPr>
      </w:pPr>
      <w:r>
        <w:rPr>
          <w:rFonts w:hint="eastAsia" w:ascii="仿宋" w:hAnsi="仿宋" w:eastAsia="仿宋"/>
          <w:color w:val="auto"/>
          <w:highlight w:val="none"/>
        </w:rPr>
        <w:t>3、如发生质量异议，甲方有权要求更换产品；若乙方拒绝，按《中华人民共和国产品质量法》等有关规定处理。</w:t>
      </w:r>
    </w:p>
    <w:p w14:paraId="34F26E1C">
      <w:pPr>
        <w:ind w:firstLine="420" w:firstLineChars="200"/>
        <w:rPr>
          <w:rFonts w:hint="eastAsia" w:ascii="仿宋" w:hAnsi="仿宋" w:eastAsia="仿宋"/>
          <w:color w:val="auto"/>
          <w:highlight w:val="none"/>
        </w:rPr>
      </w:pPr>
      <w:r>
        <w:rPr>
          <w:rFonts w:hint="eastAsia" w:ascii="仿宋" w:hAnsi="仿宋" w:eastAsia="仿宋"/>
          <w:color w:val="auto"/>
          <w:highlight w:val="none"/>
        </w:rPr>
        <w:t>（备注：服务质量要求按招标文件中规定的服务质量要求内容拟定。）</w:t>
      </w:r>
    </w:p>
    <w:p w14:paraId="5DAF8BB4">
      <w:pPr>
        <w:rPr>
          <w:rFonts w:hint="eastAsia" w:ascii="仿宋" w:hAnsi="仿宋" w:eastAsia="仿宋"/>
          <w:b/>
          <w:color w:val="auto"/>
          <w:highlight w:val="none"/>
        </w:rPr>
      </w:pPr>
      <w:r>
        <w:rPr>
          <w:rFonts w:hint="eastAsia" w:ascii="仿宋" w:hAnsi="仿宋" w:eastAsia="仿宋"/>
          <w:b/>
          <w:color w:val="auto"/>
          <w:highlight w:val="none"/>
        </w:rPr>
        <w:t>四、产品（或项目）验收</w:t>
      </w:r>
    </w:p>
    <w:p w14:paraId="09167EF2">
      <w:pPr>
        <w:ind w:firstLine="420" w:firstLineChars="200"/>
        <w:rPr>
          <w:rFonts w:hint="eastAsia" w:ascii="仿宋" w:hAnsi="仿宋" w:eastAsia="仿宋"/>
          <w:color w:val="auto"/>
          <w:highlight w:val="none"/>
        </w:rPr>
      </w:pPr>
      <w:r>
        <w:rPr>
          <w:rFonts w:hint="eastAsia" w:ascii="仿宋" w:hAnsi="仿宋" w:eastAsia="仿宋"/>
          <w:color w:val="auto"/>
          <w:highlight w:val="none"/>
        </w:rPr>
        <w:t>产品（或项目）由甲方单位组织验收，在货到（或项目完成）后</w:t>
      </w:r>
      <w:r>
        <w:rPr>
          <w:rFonts w:hint="eastAsia" w:ascii="仿宋" w:hAnsi="仿宋" w:eastAsia="仿宋"/>
          <w:color w:val="auto"/>
          <w:highlight w:val="none"/>
          <w:u w:val="single"/>
        </w:rPr>
        <w:t xml:space="preserve">      </w:t>
      </w:r>
      <w:r>
        <w:rPr>
          <w:rFonts w:hint="eastAsia" w:ascii="仿宋" w:hAnsi="仿宋" w:eastAsia="仿宋"/>
          <w:color w:val="auto"/>
          <w:highlight w:val="none"/>
        </w:rPr>
        <w:t>天内验收完毕，</w:t>
      </w:r>
      <w:r>
        <w:rPr>
          <w:rFonts w:hint="eastAsia" w:ascii="仿宋" w:hAnsi="仿宋" w:eastAsia="仿宋"/>
          <w:color w:val="auto"/>
          <w:highlight w:val="none"/>
          <w:u w:val="single"/>
        </w:rPr>
        <w:t xml:space="preserve">      </w:t>
      </w:r>
      <w:r>
        <w:rPr>
          <w:rFonts w:hint="eastAsia" w:ascii="仿宋" w:hAnsi="仿宋" w:eastAsia="仿宋"/>
          <w:color w:val="auto"/>
          <w:highlight w:val="none"/>
        </w:rPr>
        <w:t>天内提出质量异议。具体按照《诸暨市政府采购履约验收暂行办法》（诸财采监﹝2020﹞20号）执行。</w:t>
      </w:r>
    </w:p>
    <w:p w14:paraId="3880E2A3">
      <w:pPr>
        <w:tabs>
          <w:tab w:val="center" w:pos="4917"/>
        </w:tabs>
        <w:rPr>
          <w:rFonts w:hint="eastAsia" w:ascii="仿宋" w:hAnsi="仿宋" w:eastAsia="仿宋"/>
          <w:b/>
          <w:color w:val="auto"/>
          <w:highlight w:val="none"/>
        </w:rPr>
      </w:pPr>
      <w:r>
        <w:rPr>
          <w:rFonts w:hint="eastAsia" w:ascii="仿宋" w:hAnsi="仿宋" w:eastAsia="仿宋"/>
          <w:b/>
          <w:color w:val="auto"/>
          <w:highlight w:val="none"/>
        </w:rPr>
        <w:t>五、付款方式</w:t>
      </w:r>
      <w:r>
        <w:rPr>
          <w:rFonts w:ascii="仿宋" w:hAnsi="仿宋" w:eastAsia="仿宋"/>
          <w:b/>
          <w:color w:val="auto"/>
          <w:highlight w:val="none"/>
        </w:rPr>
        <w:tab/>
      </w:r>
    </w:p>
    <w:p w14:paraId="0944F925">
      <w:pPr>
        <w:ind w:firstLine="420" w:firstLineChars="200"/>
        <w:rPr>
          <w:rFonts w:hint="eastAsia" w:ascii="仿宋" w:hAnsi="仿宋" w:eastAsia="仿宋"/>
          <w:color w:val="auto"/>
          <w:highlight w:val="none"/>
        </w:rPr>
      </w:pPr>
      <w:r>
        <w:rPr>
          <w:rFonts w:hint="eastAsia" w:ascii="仿宋" w:hAnsi="仿宋" w:eastAsia="仿宋"/>
          <w:color w:val="auto"/>
          <w:highlight w:val="none"/>
        </w:rPr>
        <w:t>中标产品经验收合格后，按照招标文件规定，甲方首次支付给乙方合同款的</w:t>
      </w:r>
      <w:r>
        <w:rPr>
          <w:rFonts w:hint="eastAsia" w:ascii="仿宋" w:hAnsi="仿宋" w:eastAsia="仿宋"/>
          <w:color w:val="auto"/>
          <w:highlight w:val="none"/>
          <w:u w:val="single"/>
        </w:rPr>
        <w:t xml:space="preserve">     </w:t>
      </w:r>
      <w:r>
        <w:rPr>
          <w:rFonts w:hint="eastAsia" w:ascii="仿宋" w:hAnsi="仿宋" w:eastAsia="仿宋"/>
          <w:color w:val="auto"/>
          <w:highlight w:val="none"/>
        </w:rPr>
        <w:t xml:space="preserve"> %，即</w:t>
      </w:r>
      <w:r>
        <w:rPr>
          <w:rFonts w:hint="eastAsia" w:ascii="仿宋" w:hAnsi="仿宋" w:eastAsia="仿宋"/>
          <w:color w:val="auto"/>
          <w:highlight w:val="none"/>
          <w:u w:val="single"/>
        </w:rPr>
        <w:t xml:space="preserve">     </w:t>
      </w:r>
      <w:r>
        <w:rPr>
          <w:rFonts w:hint="eastAsia" w:ascii="仿宋" w:hAnsi="仿宋" w:eastAsia="仿宋"/>
          <w:color w:val="auto"/>
          <w:highlight w:val="none"/>
        </w:rPr>
        <w:t>元；在正常运行</w:t>
      </w:r>
      <w:r>
        <w:rPr>
          <w:rFonts w:hint="eastAsia" w:ascii="仿宋" w:hAnsi="仿宋" w:eastAsia="仿宋"/>
          <w:color w:val="auto"/>
          <w:highlight w:val="none"/>
          <w:u w:val="single"/>
        </w:rPr>
        <w:t xml:space="preserve">     </w:t>
      </w:r>
      <w:r>
        <w:rPr>
          <w:rFonts w:hint="eastAsia" w:ascii="仿宋" w:hAnsi="仿宋" w:eastAsia="仿宋"/>
          <w:color w:val="auto"/>
          <w:highlight w:val="none"/>
        </w:rPr>
        <w:t>个月后的</w:t>
      </w:r>
      <w:r>
        <w:rPr>
          <w:rFonts w:hint="eastAsia" w:ascii="仿宋" w:hAnsi="仿宋" w:eastAsia="仿宋"/>
          <w:color w:val="auto"/>
          <w:highlight w:val="none"/>
          <w:u w:val="single"/>
        </w:rPr>
        <w:t xml:space="preserve">     </w:t>
      </w:r>
      <w:r>
        <w:rPr>
          <w:rFonts w:hint="eastAsia" w:ascii="仿宋" w:hAnsi="仿宋" w:eastAsia="仿宋"/>
          <w:color w:val="auto"/>
          <w:highlight w:val="none"/>
        </w:rPr>
        <w:t>天内再支付</w:t>
      </w:r>
      <w:r>
        <w:rPr>
          <w:rFonts w:hint="eastAsia" w:ascii="仿宋" w:hAnsi="仿宋" w:eastAsia="仿宋"/>
          <w:color w:val="auto"/>
          <w:highlight w:val="none"/>
          <w:u w:val="single"/>
        </w:rPr>
        <w:t xml:space="preserve">      </w:t>
      </w:r>
      <w:r>
        <w:rPr>
          <w:rFonts w:hint="eastAsia" w:ascii="仿宋" w:hAnsi="仿宋" w:eastAsia="仿宋"/>
          <w:color w:val="auto"/>
          <w:highlight w:val="none"/>
        </w:rPr>
        <w:t xml:space="preserve"> %，即</w:t>
      </w:r>
      <w:r>
        <w:rPr>
          <w:rFonts w:hint="eastAsia" w:ascii="仿宋" w:hAnsi="仿宋" w:eastAsia="仿宋"/>
          <w:color w:val="auto"/>
          <w:highlight w:val="none"/>
          <w:u w:val="single"/>
        </w:rPr>
        <w:t xml:space="preserve">     </w:t>
      </w:r>
      <w:r>
        <w:rPr>
          <w:rFonts w:hint="eastAsia" w:ascii="仿宋" w:hAnsi="仿宋" w:eastAsia="仿宋"/>
          <w:color w:val="auto"/>
          <w:highlight w:val="none"/>
        </w:rPr>
        <w:t>元；剩余的</w:t>
      </w:r>
      <w:r>
        <w:rPr>
          <w:rFonts w:hint="eastAsia" w:ascii="仿宋" w:hAnsi="仿宋" w:eastAsia="仿宋"/>
          <w:color w:val="auto"/>
          <w:highlight w:val="none"/>
          <w:u w:val="single"/>
        </w:rPr>
        <w:t xml:space="preserve">  %</w:t>
      </w:r>
      <w:r>
        <w:rPr>
          <w:rFonts w:hint="eastAsia" w:ascii="仿宋" w:hAnsi="仿宋" w:eastAsia="仿宋"/>
          <w:color w:val="auto"/>
          <w:highlight w:val="none"/>
        </w:rPr>
        <w:t>（可作为产品质保金），在</w:t>
      </w:r>
      <w:r>
        <w:rPr>
          <w:rFonts w:hint="eastAsia" w:ascii="仿宋" w:hAnsi="仿宋" w:eastAsia="仿宋"/>
          <w:color w:val="auto"/>
          <w:highlight w:val="none"/>
          <w:u w:val="single"/>
        </w:rPr>
        <w:t xml:space="preserve">    </w:t>
      </w:r>
      <w:r>
        <w:rPr>
          <w:rFonts w:hint="eastAsia" w:ascii="仿宋" w:hAnsi="仿宋" w:eastAsia="仿宋"/>
          <w:color w:val="auto"/>
          <w:highlight w:val="none"/>
        </w:rPr>
        <w:t>年</w:t>
      </w:r>
      <w:r>
        <w:rPr>
          <w:rFonts w:hint="eastAsia" w:ascii="仿宋" w:hAnsi="仿宋" w:eastAsia="仿宋"/>
          <w:color w:val="auto"/>
          <w:highlight w:val="none"/>
          <w:u w:val="single"/>
        </w:rPr>
        <w:t xml:space="preserve">    </w:t>
      </w:r>
      <w:r>
        <w:rPr>
          <w:rFonts w:hint="eastAsia" w:ascii="仿宋" w:hAnsi="仿宋" w:eastAsia="仿宋"/>
          <w:color w:val="auto"/>
          <w:highlight w:val="none"/>
        </w:rPr>
        <w:t>月</w:t>
      </w:r>
      <w:r>
        <w:rPr>
          <w:rFonts w:hint="eastAsia" w:ascii="仿宋" w:hAnsi="仿宋" w:eastAsia="仿宋"/>
          <w:color w:val="auto"/>
          <w:highlight w:val="none"/>
          <w:u w:val="single"/>
        </w:rPr>
        <w:t xml:space="preserve">    </w:t>
      </w:r>
      <w:r>
        <w:rPr>
          <w:rFonts w:hint="eastAsia" w:ascii="仿宋" w:hAnsi="仿宋" w:eastAsia="仿宋"/>
          <w:color w:val="auto"/>
          <w:highlight w:val="none"/>
        </w:rPr>
        <w:t>日前若无质量问题全部付清（无息）。（备注：具体按招标文件中规定的付款方式内容拟定。）</w:t>
      </w:r>
    </w:p>
    <w:p w14:paraId="0B639CEC">
      <w:pPr>
        <w:rPr>
          <w:rFonts w:hint="eastAsia" w:ascii="仿宋" w:hAnsi="仿宋" w:eastAsia="仿宋"/>
          <w:b/>
          <w:color w:val="auto"/>
          <w:highlight w:val="none"/>
        </w:rPr>
      </w:pPr>
      <w:r>
        <w:rPr>
          <w:rFonts w:hint="eastAsia" w:ascii="仿宋" w:hAnsi="仿宋" w:eastAsia="仿宋"/>
          <w:b/>
          <w:color w:val="auto"/>
          <w:highlight w:val="none"/>
        </w:rPr>
        <w:t>六、履约保证金</w:t>
      </w:r>
    </w:p>
    <w:p w14:paraId="6F733E49">
      <w:pPr>
        <w:ind w:firstLine="420" w:firstLineChars="200"/>
        <w:rPr>
          <w:rFonts w:hint="eastAsia" w:ascii="仿宋" w:hAnsi="仿宋" w:eastAsia="仿宋"/>
          <w:color w:val="auto"/>
          <w:highlight w:val="none"/>
        </w:rPr>
      </w:pPr>
      <w:r>
        <w:rPr>
          <w:rFonts w:hint="eastAsia" w:ascii="仿宋" w:hAnsi="仿宋" w:eastAsia="仿宋"/>
          <w:color w:val="auto"/>
          <w:highlight w:val="none"/>
        </w:rPr>
        <w:t>1、乙方在签订合同之前，须向甲方缴纳</w:t>
      </w:r>
      <w:r>
        <w:rPr>
          <w:rFonts w:hint="eastAsia" w:ascii="仿宋" w:hAnsi="仿宋" w:eastAsia="仿宋" w:cs="宋体"/>
          <w:color w:val="auto"/>
          <w:highlight w:val="none"/>
        </w:rPr>
        <w:t>合同总金额的</w:t>
      </w:r>
      <w:r>
        <w:rPr>
          <w:rFonts w:hint="eastAsia" w:ascii="仿宋" w:hAnsi="仿宋" w:eastAsia="仿宋"/>
          <w:color w:val="auto"/>
          <w:highlight w:val="none"/>
          <w:u w:val="single"/>
        </w:rPr>
        <w:t xml:space="preserve">  </w:t>
      </w:r>
      <w:r>
        <w:rPr>
          <w:rFonts w:hint="eastAsia" w:ascii="仿宋" w:hAnsi="仿宋" w:eastAsia="仿宋" w:cs="宋体"/>
          <w:color w:val="auto"/>
          <w:highlight w:val="none"/>
          <w:u w:val="single"/>
        </w:rPr>
        <w:t xml:space="preserve"> %</w:t>
      </w:r>
      <w:r>
        <w:rPr>
          <w:rFonts w:hint="eastAsia" w:ascii="仿宋" w:hAnsi="仿宋" w:eastAsia="仿宋" w:cs="宋体"/>
          <w:color w:val="auto"/>
          <w:highlight w:val="none"/>
        </w:rPr>
        <w:t>作为</w:t>
      </w:r>
      <w:r>
        <w:rPr>
          <w:rFonts w:hint="eastAsia" w:ascii="仿宋" w:hAnsi="仿宋" w:eastAsia="仿宋"/>
          <w:color w:val="auto"/>
          <w:highlight w:val="none"/>
        </w:rPr>
        <w:t>履约保证金。</w:t>
      </w:r>
    </w:p>
    <w:p w14:paraId="53555624">
      <w:pPr>
        <w:ind w:firstLine="420" w:firstLineChars="200"/>
        <w:rPr>
          <w:rFonts w:hint="eastAsia" w:ascii="仿宋" w:hAnsi="仿宋" w:eastAsia="仿宋"/>
          <w:highlight w:val="none"/>
        </w:rPr>
      </w:pPr>
      <w:r>
        <w:rPr>
          <w:rFonts w:hint="eastAsia" w:ascii="仿宋" w:hAnsi="仿宋" w:eastAsia="仿宋"/>
          <w:highlight w:val="none"/>
        </w:rPr>
        <w:t>2、履约保证金在甲方将货物（或项目）验收合格后，无息退还给乙方。</w:t>
      </w:r>
    </w:p>
    <w:p w14:paraId="77F3D91A">
      <w:pPr>
        <w:ind w:firstLine="420" w:firstLineChars="200"/>
        <w:rPr>
          <w:rFonts w:hint="eastAsia" w:ascii="仿宋" w:hAnsi="仿宋" w:eastAsia="仿宋"/>
          <w:highlight w:val="none"/>
        </w:rPr>
      </w:pPr>
      <w:r>
        <w:rPr>
          <w:rFonts w:hint="eastAsia" w:ascii="仿宋" w:hAnsi="仿宋" w:eastAsia="仿宋"/>
          <w:highlight w:val="none"/>
        </w:rPr>
        <w:t>3、如乙方未能履行合同规定的义务，甲方有权在履约保证金中取得补偿。</w:t>
      </w:r>
    </w:p>
    <w:p w14:paraId="00D56D81">
      <w:pPr>
        <w:rPr>
          <w:rFonts w:hint="eastAsia" w:ascii="仿宋" w:hAnsi="仿宋" w:eastAsia="仿宋"/>
          <w:b/>
          <w:color w:val="auto"/>
          <w:highlight w:val="none"/>
        </w:rPr>
      </w:pPr>
      <w:r>
        <w:rPr>
          <w:rFonts w:hint="eastAsia" w:ascii="仿宋" w:hAnsi="仿宋" w:eastAsia="仿宋"/>
          <w:b/>
          <w:color w:val="auto"/>
          <w:highlight w:val="none"/>
        </w:rPr>
        <w:t>七、产品（或服务）数量变更</w:t>
      </w:r>
    </w:p>
    <w:p w14:paraId="0F068509">
      <w:pPr>
        <w:ind w:firstLine="420" w:firstLineChars="200"/>
        <w:rPr>
          <w:rFonts w:hint="eastAsia" w:ascii="仿宋" w:hAnsi="仿宋" w:eastAsia="仿宋"/>
          <w:color w:val="auto"/>
          <w:highlight w:val="none"/>
        </w:rPr>
      </w:pPr>
      <w:r>
        <w:rPr>
          <w:rFonts w:hint="eastAsia" w:ascii="仿宋" w:hAnsi="仿宋" w:eastAsia="仿宋"/>
          <w:color w:val="auto"/>
          <w:highlight w:val="none"/>
        </w:rPr>
        <w:t>合同履行过程中，甲方根据实际情况，需要增减与合同标的相同的产品（或服务），在不改变合同其他条款的前提下，可以与乙方协商签订补充合同，但所有补充合同的采购金额不得超过原合同采购金额的10%，增减产品（或服务）的价格为相应中标产品（或服务）的价格，</w:t>
      </w:r>
      <w:r>
        <w:rPr>
          <w:rFonts w:hint="eastAsia" w:ascii="仿宋" w:hAnsi="仿宋" w:eastAsia="仿宋" w:cs="宋体"/>
          <w:highlight w:val="none"/>
        </w:rPr>
        <w:t>且事先须向</w:t>
      </w:r>
      <w:r>
        <w:rPr>
          <w:rFonts w:hint="eastAsia" w:ascii="仿宋" w:hAnsi="仿宋" w:eastAsia="仿宋"/>
          <w:color w:val="auto"/>
          <w:highlight w:val="none"/>
        </w:rPr>
        <w:t>诸暨市安华镇招标办</w:t>
      </w:r>
      <w:r>
        <w:rPr>
          <w:rFonts w:hint="eastAsia" w:ascii="仿宋" w:hAnsi="仿宋" w:eastAsia="仿宋" w:cs="宋体"/>
          <w:color w:val="auto"/>
          <w:highlight w:val="none"/>
        </w:rPr>
        <w:t>审核备案。</w:t>
      </w:r>
    </w:p>
    <w:p w14:paraId="38889E77">
      <w:pPr>
        <w:rPr>
          <w:rFonts w:hint="eastAsia" w:ascii="仿宋" w:hAnsi="仿宋" w:eastAsia="仿宋"/>
          <w:b/>
          <w:color w:val="auto"/>
          <w:highlight w:val="none"/>
        </w:rPr>
      </w:pPr>
      <w:r>
        <w:rPr>
          <w:rFonts w:hint="eastAsia" w:ascii="仿宋" w:hAnsi="仿宋" w:eastAsia="仿宋"/>
          <w:b/>
          <w:color w:val="auto"/>
          <w:highlight w:val="none"/>
        </w:rPr>
        <w:t>八、售后服务</w:t>
      </w:r>
    </w:p>
    <w:p w14:paraId="6F3E0B14">
      <w:pPr>
        <w:ind w:firstLine="420" w:firstLineChars="200"/>
        <w:rPr>
          <w:rFonts w:hint="eastAsia" w:ascii="仿宋" w:hAnsi="仿宋" w:eastAsia="仿宋"/>
          <w:color w:val="auto"/>
          <w:highlight w:val="none"/>
        </w:rPr>
      </w:pPr>
      <w:r>
        <w:rPr>
          <w:rFonts w:hint="eastAsia" w:ascii="仿宋" w:hAnsi="仿宋" w:eastAsia="仿宋"/>
          <w:color w:val="auto"/>
          <w:highlight w:val="none"/>
        </w:rPr>
        <w:t>具体售后服务条款参照招标文件及乙方投标文件中的售后服务承诺。</w:t>
      </w:r>
    </w:p>
    <w:p w14:paraId="4BD9D94B">
      <w:pPr>
        <w:rPr>
          <w:rFonts w:hint="eastAsia" w:ascii="仿宋" w:hAnsi="仿宋" w:eastAsia="仿宋"/>
          <w:b/>
          <w:color w:val="auto"/>
          <w:highlight w:val="none"/>
        </w:rPr>
      </w:pPr>
      <w:r>
        <w:rPr>
          <w:rFonts w:hint="eastAsia" w:ascii="仿宋" w:hAnsi="仿宋" w:eastAsia="仿宋"/>
          <w:b/>
          <w:color w:val="auto"/>
          <w:highlight w:val="none"/>
        </w:rPr>
        <w:t>九、违约责任</w:t>
      </w:r>
    </w:p>
    <w:p w14:paraId="37769A95">
      <w:pPr>
        <w:ind w:firstLine="420" w:firstLineChars="200"/>
        <w:rPr>
          <w:rFonts w:hint="eastAsia" w:ascii="仿宋" w:hAnsi="仿宋" w:eastAsia="仿宋"/>
          <w:color w:val="auto"/>
          <w:highlight w:val="none"/>
        </w:rPr>
      </w:pPr>
      <w:r>
        <w:rPr>
          <w:rFonts w:hint="eastAsia" w:ascii="仿宋" w:hAnsi="仿宋" w:eastAsia="仿宋"/>
          <w:color w:val="auto"/>
          <w:highlight w:val="none"/>
        </w:rPr>
        <w:t>1、甲方无正当理由拒收货物，由甲方向乙方偿付合同总价的5%违约金。</w:t>
      </w:r>
    </w:p>
    <w:p w14:paraId="747A83ED">
      <w:pPr>
        <w:ind w:firstLine="420" w:firstLineChars="200"/>
        <w:rPr>
          <w:rFonts w:hint="eastAsia" w:ascii="仿宋" w:hAnsi="仿宋" w:eastAsia="仿宋"/>
          <w:color w:val="auto"/>
          <w:highlight w:val="none"/>
        </w:rPr>
      </w:pPr>
      <w:r>
        <w:rPr>
          <w:rFonts w:hint="eastAsia" w:ascii="仿宋" w:hAnsi="仿宋" w:eastAsia="仿宋"/>
          <w:color w:val="auto"/>
          <w:highlight w:val="none"/>
        </w:rPr>
        <w:t>2、甲方未能在合同规定期限内验收完毕的，每超过一天，付合同价的</w:t>
      </w:r>
      <w:r>
        <w:rPr>
          <w:rFonts w:hint="eastAsia" w:ascii="仿宋" w:hAnsi="仿宋" w:eastAsia="仿宋"/>
          <w:color w:val="auto"/>
          <w:highlight w:val="none"/>
          <w:u w:val="single"/>
        </w:rPr>
        <w:t xml:space="preserve">     </w:t>
      </w:r>
      <w:r>
        <w:rPr>
          <w:rFonts w:hint="eastAsia" w:ascii="仿宋" w:hAnsi="仿宋" w:eastAsia="仿宋"/>
          <w:color w:val="auto"/>
          <w:highlight w:val="none"/>
        </w:rPr>
        <w:t>%的违约金给乙方。</w:t>
      </w:r>
    </w:p>
    <w:p w14:paraId="2B461A25">
      <w:pPr>
        <w:ind w:firstLine="420" w:firstLineChars="200"/>
        <w:rPr>
          <w:rFonts w:hint="eastAsia" w:ascii="仿宋" w:hAnsi="仿宋" w:eastAsia="仿宋"/>
          <w:color w:val="auto"/>
          <w:highlight w:val="none"/>
        </w:rPr>
      </w:pPr>
      <w:r>
        <w:rPr>
          <w:rFonts w:hint="eastAsia" w:ascii="仿宋" w:hAnsi="仿宋" w:eastAsia="仿宋"/>
          <w:color w:val="auto"/>
          <w:highlight w:val="none"/>
        </w:rPr>
        <w:t>3、乙方不能交付货物，甲方有权扣留全部履约保证金；同时乙方向甲方支付合同款总价5%的违约金。</w:t>
      </w:r>
    </w:p>
    <w:p w14:paraId="3F5D61D0">
      <w:pPr>
        <w:ind w:firstLine="420" w:firstLineChars="200"/>
        <w:rPr>
          <w:rFonts w:hint="eastAsia" w:ascii="仿宋" w:hAnsi="仿宋" w:eastAsia="仿宋"/>
          <w:color w:val="auto"/>
          <w:highlight w:val="none"/>
        </w:rPr>
      </w:pPr>
      <w:r>
        <w:rPr>
          <w:rFonts w:hint="eastAsia" w:ascii="仿宋" w:hAnsi="仿宋" w:eastAsia="仿宋"/>
          <w:color w:val="auto"/>
          <w:highlight w:val="none"/>
        </w:rPr>
        <w:t>4、乙方逾期交付货物的，每逾期1天，乙方向甲方偿付逾期交货部分货物货款的0.5%的滞纳金，如乙方逾期交货15天，甲方有权解除合同，解除合同的通知自到达乙方时生效。</w:t>
      </w:r>
    </w:p>
    <w:p w14:paraId="6E404FFA">
      <w:pPr>
        <w:ind w:firstLine="420" w:firstLineChars="200"/>
        <w:rPr>
          <w:rFonts w:hint="eastAsia" w:ascii="仿宋" w:hAnsi="仿宋" w:eastAsia="仿宋"/>
          <w:color w:val="auto"/>
          <w:highlight w:val="none"/>
        </w:rPr>
      </w:pPr>
      <w:r>
        <w:rPr>
          <w:rFonts w:hint="eastAsia" w:ascii="仿宋" w:hAnsi="仿宋" w:eastAsia="仿宋"/>
          <w:color w:val="auto"/>
          <w:highlight w:val="none"/>
        </w:rPr>
        <w:t>（备注：具体按招标文件中规定的违约责任内容拟定。）</w:t>
      </w:r>
    </w:p>
    <w:p w14:paraId="041576CC">
      <w:pPr>
        <w:rPr>
          <w:rFonts w:hint="eastAsia" w:ascii="仿宋" w:hAnsi="仿宋" w:eastAsia="仿宋"/>
          <w:b/>
          <w:color w:val="auto"/>
          <w:highlight w:val="none"/>
        </w:rPr>
      </w:pPr>
      <w:r>
        <w:rPr>
          <w:rFonts w:hint="eastAsia" w:ascii="仿宋" w:hAnsi="仿宋" w:eastAsia="仿宋"/>
          <w:b/>
          <w:color w:val="auto"/>
          <w:highlight w:val="none"/>
        </w:rPr>
        <w:t>十、其他约定事项</w:t>
      </w:r>
    </w:p>
    <w:p w14:paraId="5523B7FC">
      <w:pPr>
        <w:rPr>
          <w:rFonts w:hint="eastAsia" w:ascii="仿宋" w:hAnsi="仿宋" w:eastAsia="仿宋"/>
          <w:b/>
          <w:color w:val="auto"/>
          <w:highlight w:val="none"/>
        </w:rPr>
      </w:pPr>
      <w:r>
        <w:rPr>
          <w:rFonts w:hint="eastAsia" w:ascii="仿宋" w:hAnsi="仿宋" w:eastAsia="仿宋"/>
          <w:b/>
          <w:color w:val="auto"/>
          <w:highlight w:val="none"/>
        </w:rPr>
        <w:t>十一、解决合同纠纷方式</w:t>
      </w:r>
    </w:p>
    <w:p w14:paraId="154A7BEA">
      <w:pPr>
        <w:ind w:firstLine="420" w:firstLineChars="200"/>
        <w:rPr>
          <w:rFonts w:hint="eastAsia" w:ascii="仿宋" w:hAnsi="仿宋" w:eastAsia="仿宋"/>
          <w:color w:val="auto"/>
          <w:highlight w:val="none"/>
        </w:rPr>
      </w:pPr>
      <w:r>
        <w:rPr>
          <w:rFonts w:hint="eastAsia" w:ascii="仿宋" w:hAnsi="仿宋" w:eastAsia="仿宋"/>
          <w:color w:val="auto"/>
          <w:highlight w:val="none"/>
        </w:rPr>
        <w:t>其它未尽事宜或履行时发生争议，由双方本着诚实信用的原则协商解决，协商不成功可选择：1）向绍兴仲裁委员会申请仲裁；2）向</w:t>
      </w:r>
      <w:r>
        <w:rPr>
          <w:rFonts w:hint="eastAsia" w:ascii="仿宋" w:hAnsi="仿宋" w:eastAsia="仿宋"/>
          <w:color w:val="auto"/>
          <w:highlight w:val="none"/>
          <w:u w:val="single"/>
        </w:rPr>
        <w:t xml:space="preserve">      </w:t>
      </w:r>
      <w:r>
        <w:rPr>
          <w:rFonts w:hint="eastAsia" w:ascii="仿宋" w:hAnsi="仿宋" w:eastAsia="仿宋"/>
          <w:color w:val="auto"/>
          <w:highlight w:val="none"/>
        </w:rPr>
        <w:t>人民法院起诉。</w:t>
      </w:r>
    </w:p>
    <w:p w14:paraId="0E172B08">
      <w:pPr>
        <w:rPr>
          <w:rFonts w:hint="eastAsia" w:ascii="仿宋" w:hAnsi="仿宋" w:eastAsia="仿宋"/>
          <w:b/>
          <w:color w:val="auto"/>
          <w:highlight w:val="none"/>
        </w:rPr>
      </w:pPr>
      <w:r>
        <w:rPr>
          <w:rFonts w:hint="eastAsia" w:ascii="仿宋" w:hAnsi="仿宋" w:eastAsia="仿宋"/>
          <w:b/>
          <w:color w:val="auto"/>
          <w:highlight w:val="none"/>
        </w:rPr>
        <w:t>十二、其它</w:t>
      </w:r>
    </w:p>
    <w:p w14:paraId="43973452">
      <w:pPr>
        <w:ind w:left="420"/>
        <w:rPr>
          <w:rFonts w:hint="eastAsia" w:ascii="仿宋" w:hAnsi="仿宋" w:eastAsia="仿宋"/>
          <w:color w:val="auto"/>
          <w:highlight w:val="none"/>
        </w:rPr>
      </w:pPr>
      <w:r>
        <w:rPr>
          <w:rFonts w:hint="eastAsia" w:ascii="仿宋" w:hAnsi="仿宋" w:eastAsia="仿宋"/>
          <w:color w:val="auto"/>
          <w:highlight w:val="none"/>
        </w:rPr>
        <w:t>1、本项目的招标文件、投标文件、中标通知书作为合同的附件，具有同等法律效力。</w:t>
      </w:r>
    </w:p>
    <w:p w14:paraId="12DB70F8">
      <w:pPr>
        <w:ind w:left="420"/>
        <w:rPr>
          <w:rFonts w:hint="eastAsia" w:ascii="仿宋" w:hAnsi="仿宋" w:eastAsia="仿宋"/>
          <w:color w:val="auto"/>
          <w:highlight w:val="none"/>
        </w:rPr>
      </w:pPr>
      <w:r>
        <w:rPr>
          <w:rFonts w:hint="eastAsia" w:ascii="仿宋" w:hAnsi="仿宋" w:eastAsia="仿宋"/>
          <w:color w:val="auto"/>
          <w:highlight w:val="none"/>
        </w:rPr>
        <w:t>2、本合同自签订之日起生效。</w:t>
      </w:r>
    </w:p>
    <w:p w14:paraId="1C872144">
      <w:pPr>
        <w:ind w:left="420"/>
        <w:rPr>
          <w:rFonts w:hint="eastAsia" w:ascii="仿宋" w:hAnsi="仿宋" w:eastAsia="仿宋"/>
          <w:color w:val="auto"/>
          <w:highlight w:val="none"/>
        </w:rPr>
      </w:pPr>
      <w:r>
        <w:rPr>
          <w:rFonts w:hint="eastAsia" w:ascii="仿宋" w:hAnsi="仿宋" w:eastAsia="仿宋"/>
          <w:color w:val="auto"/>
          <w:highlight w:val="none"/>
        </w:rPr>
        <w:t>3、本合同一式四份，甲乙双方各执一份，</w:t>
      </w:r>
      <w:r>
        <w:rPr>
          <w:rFonts w:hint="eastAsia" w:ascii="仿宋" w:hAnsi="仿宋" w:eastAsia="仿宋" w:cs="宋体"/>
          <w:b/>
          <w:bCs/>
          <w:color w:val="auto"/>
          <w:highlight w:val="none"/>
        </w:rPr>
        <w:t>代理机构和招标办各备案一份</w:t>
      </w:r>
      <w:r>
        <w:rPr>
          <w:rFonts w:hint="eastAsia" w:ascii="仿宋" w:hAnsi="仿宋" w:eastAsia="仿宋" w:cs="宋体"/>
          <w:color w:val="auto"/>
          <w:highlight w:val="none"/>
        </w:rPr>
        <w:t>。</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422"/>
      </w:tblGrid>
      <w:tr w14:paraId="18356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4899" w:type="dxa"/>
            <w:vAlign w:val="center"/>
          </w:tcPr>
          <w:p w14:paraId="4B971547">
            <w:pPr>
              <w:jc w:val="center"/>
              <w:rPr>
                <w:rFonts w:hint="eastAsia" w:ascii="仿宋" w:hAnsi="仿宋" w:eastAsia="仿宋"/>
                <w:color w:val="auto"/>
                <w:highlight w:val="none"/>
              </w:rPr>
            </w:pPr>
            <w:r>
              <w:rPr>
                <w:rFonts w:hint="eastAsia" w:ascii="仿宋" w:hAnsi="仿宋" w:eastAsia="仿宋"/>
                <w:color w:val="auto"/>
                <w:highlight w:val="none"/>
              </w:rPr>
              <w:t>采购单位</w:t>
            </w:r>
          </w:p>
        </w:tc>
        <w:tc>
          <w:tcPr>
            <w:tcW w:w="4422" w:type="dxa"/>
            <w:vAlign w:val="center"/>
          </w:tcPr>
          <w:p w14:paraId="75739D95">
            <w:pPr>
              <w:jc w:val="center"/>
              <w:rPr>
                <w:rFonts w:hint="eastAsia" w:ascii="仿宋" w:hAnsi="仿宋" w:eastAsia="仿宋"/>
                <w:color w:val="auto"/>
                <w:highlight w:val="none"/>
              </w:rPr>
            </w:pPr>
            <w:r>
              <w:rPr>
                <w:rFonts w:hint="eastAsia" w:ascii="仿宋" w:hAnsi="仿宋" w:eastAsia="仿宋"/>
                <w:color w:val="auto"/>
                <w:highlight w:val="none"/>
              </w:rPr>
              <w:t>供货单位</w:t>
            </w:r>
          </w:p>
        </w:tc>
      </w:tr>
      <w:tr w14:paraId="0A9D5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00" w:hRule="atLeast"/>
          <w:jc w:val="center"/>
        </w:trPr>
        <w:tc>
          <w:tcPr>
            <w:tcW w:w="4899" w:type="dxa"/>
            <w:vAlign w:val="center"/>
          </w:tcPr>
          <w:p w14:paraId="25DDCD6D">
            <w:pPr>
              <w:rPr>
                <w:rFonts w:hint="eastAsia" w:ascii="仿宋" w:hAnsi="仿宋" w:eastAsia="仿宋"/>
                <w:color w:val="auto"/>
                <w:highlight w:val="none"/>
              </w:rPr>
            </w:pPr>
            <w:r>
              <w:rPr>
                <w:rFonts w:hint="eastAsia" w:ascii="仿宋" w:hAnsi="仿宋" w:eastAsia="仿宋"/>
                <w:color w:val="auto"/>
                <w:highlight w:val="none"/>
              </w:rPr>
              <w:t>单位名称（盖章）</w:t>
            </w:r>
          </w:p>
          <w:p w14:paraId="68914468">
            <w:pPr>
              <w:rPr>
                <w:rFonts w:hint="eastAsia" w:ascii="仿宋" w:hAnsi="仿宋" w:eastAsia="仿宋"/>
                <w:color w:val="auto"/>
                <w:highlight w:val="none"/>
              </w:rPr>
            </w:pPr>
            <w:r>
              <w:rPr>
                <w:rFonts w:hint="eastAsia" w:ascii="仿宋" w:hAnsi="仿宋" w:eastAsia="仿宋"/>
                <w:color w:val="auto"/>
                <w:highlight w:val="none"/>
              </w:rPr>
              <w:t>单位地址：</w:t>
            </w:r>
          </w:p>
          <w:p w14:paraId="50AFB490">
            <w:pPr>
              <w:rPr>
                <w:rFonts w:hint="eastAsia" w:ascii="仿宋" w:hAnsi="仿宋" w:eastAsia="仿宋"/>
                <w:color w:val="auto"/>
                <w:highlight w:val="none"/>
              </w:rPr>
            </w:pPr>
            <w:r>
              <w:rPr>
                <w:rFonts w:hint="eastAsia" w:ascii="仿宋" w:hAnsi="仿宋" w:eastAsia="仿宋"/>
                <w:color w:val="auto"/>
                <w:highlight w:val="none"/>
              </w:rPr>
              <w:t>法定代表人：</w:t>
            </w:r>
          </w:p>
          <w:p w14:paraId="1B3C1874">
            <w:pPr>
              <w:rPr>
                <w:rFonts w:hint="eastAsia" w:ascii="仿宋" w:hAnsi="仿宋" w:eastAsia="仿宋"/>
                <w:color w:val="auto"/>
                <w:highlight w:val="none"/>
              </w:rPr>
            </w:pPr>
            <w:r>
              <w:rPr>
                <w:rFonts w:hint="eastAsia" w:ascii="仿宋" w:hAnsi="仿宋" w:eastAsia="仿宋"/>
                <w:color w:val="auto"/>
                <w:highlight w:val="none"/>
              </w:rPr>
              <w:t>委托代理人：</w:t>
            </w:r>
          </w:p>
          <w:p w14:paraId="557E1A3D">
            <w:pPr>
              <w:rPr>
                <w:rFonts w:hint="eastAsia" w:ascii="仿宋" w:hAnsi="仿宋" w:eastAsia="仿宋"/>
                <w:color w:val="auto"/>
                <w:highlight w:val="none"/>
              </w:rPr>
            </w:pPr>
            <w:r>
              <w:rPr>
                <w:rFonts w:hint="eastAsia" w:ascii="仿宋" w:hAnsi="仿宋" w:eastAsia="仿宋"/>
                <w:color w:val="auto"/>
                <w:highlight w:val="none"/>
              </w:rPr>
              <w:t>联系电话：</w:t>
            </w:r>
          </w:p>
          <w:p w14:paraId="572CA2CC">
            <w:pPr>
              <w:rPr>
                <w:rFonts w:hint="eastAsia" w:ascii="仿宋" w:hAnsi="仿宋" w:eastAsia="仿宋"/>
                <w:color w:val="auto"/>
                <w:highlight w:val="none"/>
              </w:rPr>
            </w:pPr>
            <w:r>
              <w:rPr>
                <w:rFonts w:hint="eastAsia" w:ascii="仿宋" w:hAnsi="仿宋" w:eastAsia="仿宋"/>
                <w:color w:val="auto"/>
                <w:highlight w:val="none"/>
              </w:rPr>
              <w:t>传真号码：</w:t>
            </w:r>
          </w:p>
          <w:p w14:paraId="1CCF6A25">
            <w:pPr>
              <w:rPr>
                <w:rFonts w:hint="eastAsia" w:ascii="仿宋" w:hAnsi="仿宋" w:eastAsia="仿宋"/>
                <w:color w:val="auto"/>
                <w:highlight w:val="none"/>
              </w:rPr>
            </w:pPr>
            <w:r>
              <w:rPr>
                <w:rFonts w:hint="eastAsia" w:ascii="仿宋" w:hAnsi="仿宋" w:eastAsia="仿宋"/>
                <w:color w:val="auto"/>
                <w:highlight w:val="none"/>
              </w:rPr>
              <w:t>邮政编码：</w:t>
            </w:r>
          </w:p>
        </w:tc>
        <w:tc>
          <w:tcPr>
            <w:tcW w:w="4422" w:type="dxa"/>
            <w:vAlign w:val="center"/>
          </w:tcPr>
          <w:p w14:paraId="487CE669">
            <w:pPr>
              <w:rPr>
                <w:rFonts w:hint="eastAsia" w:ascii="仿宋" w:hAnsi="仿宋" w:eastAsia="仿宋"/>
                <w:color w:val="auto"/>
                <w:highlight w:val="none"/>
              </w:rPr>
            </w:pPr>
            <w:r>
              <w:rPr>
                <w:rFonts w:hint="eastAsia" w:ascii="仿宋" w:hAnsi="仿宋" w:eastAsia="仿宋"/>
                <w:color w:val="auto"/>
                <w:highlight w:val="none"/>
              </w:rPr>
              <w:t>单位名称（盖章）</w:t>
            </w:r>
          </w:p>
          <w:p w14:paraId="013BE871">
            <w:pPr>
              <w:rPr>
                <w:rFonts w:hint="eastAsia" w:ascii="仿宋" w:hAnsi="仿宋" w:eastAsia="仿宋"/>
                <w:color w:val="auto"/>
                <w:highlight w:val="none"/>
              </w:rPr>
            </w:pPr>
            <w:r>
              <w:rPr>
                <w:rFonts w:hint="eastAsia" w:ascii="仿宋" w:hAnsi="仿宋" w:eastAsia="仿宋"/>
                <w:color w:val="auto"/>
                <w:highlight w:val="none"/>
              </w:rPr>
              <w:t>单位地址：</w:t>
            </w:r>
          </w:p>
          <w:p w14:paraId="63D6C142">
            <w:pPr>
              <w:rPr>
                <w:rFonts w:hint="eastAsia" w:ascii="仿宋" w:hAnsi="仿宋" w:eastAsia="仿宋"/>
                <w:color w:val="auto"/>
                <w:highlight w:val="none"/>
              </w:rPr>
            </w:pPr>
            <w:r>
              <w:rPr>
                <w:rFonts w:hint="eastAsia" w:ascii="仿宋" w:hAnsi="仿宋" w:eastAsia="仿宋"/>
                <w:color w:val="auto"/>
                <w:highlight w:val="none"/>
              </w:rPr>
              <w:t>法定代表人：</w:t>
            </w:r>
          </w:p>
          <w:p w14:paraId="1E298975">
            <w:pPr>
              <w:rPr>
                <w:rFonts w:hint="eastAsia" w:ascii="仿宋" w:hAnsi="仿宋" w:eastAsia="仿宋"/>
                <w:color w:val="auto"/>
                <w:highlight w:val="none"/>
              </w:rPr>
            </w:pPr>
            <w:r>
              <w:rPr>
                <w:rFonts w:hint="eastAsia" w:ascii="仿宋" w:hAnsi="仿宋" w:eastAsia="仿宋"/>
                <w:color w:val="auto"/>
                <w:highlight w:val="none"/>
              </w:rPr>
              <w:t>委托代理人：</w:t>
            </w:r>
          </w:p>
          <w:p w14:paraId="3A74B636">
            <w:pPr>
              <w:rPr>
                <w:rFonts w:hint="eastAsia" w:ascii="仿宋" w:hAnsi="仿宋" w:eastAsia="仿宋"/>
                <w:color w:val="auto"/>
                <w:highlight w:val="none"/>
              </w:rPr>
            </w:pPr>
            <w:r>
              <w:rPr>
                <w:rFonts w:hint="eastAsia" w:ascii="仿宋" w:hAnsi="仿宋" w:eastAsia="仿宋"/>
                <w:color w:val="auto"/>
                <w:highlight w:val="none"/>
              </w:rPr>
              <w:t>联系电话：</w:t>
            </w:r>
          </w:p>
          <w:p w14:paraId="23E133DE">
            <w:pPr>
              <w:rPr>
                <w:rFonts w:hint="eastAsia" w:ascii="仿宋" w:hAnsi="仿宋" w:eastAsia="仿宋"/>
                <w:color w:val="auto"/>
                <w:highlight w:val="none"/>
              </w:rPr>
            </w:pPr>
            <w:r>
              <w:rPr>
                <w:rFonts w:hint="eastAsia" w:ascii="仿宋" w:hAnsi="仿宋" w:eastAsia="仿宋"/>
                <w:color w:val="auto"/>
                <w:highlight w:val="none"/>
              </w:rPr>
              <w:t>传真号码：</w:t>
            </w:r>
          </w:p>
          <w:p w14:paraId="6391C285">
            <w:pPr>
              <w:rPr>
                <w:rFonts w:hint="eastAsia" w:ascii="仿宋" w:hAnsi="仿宋" w:eastAsia="仿宋"/>
                <w:color w:val="auto"/>
                <w:highlight w:val="none"/>
              </w:rPr>
            </w:pPr>
            <w:r>
              <w:rPr>
                <w:rFonts w:hint="eastAsia" w:ascii="仿宋" w:hAnsi="仿宋" w:eastAsia="仿宋"/>
                <w:color w:val="auto"/>
                <w:highlight w:val="none"/>
              </w:rPr>
              <w:t>邮政编码：</w:t>
            </w:r>
          </w:p>
          <w:p w14:paraId="4B6BB2C9">
            <w:pPr>
              <w:rPr>
                <w:rFonts w:hint="eastAsia" w:ascii="仿宋" w:hAnsi="仿宋" w:eastAsia="仿宋"/>
                <w:color w:val="auto"/>
                <w:highlight w:val="none"/>
              </w:rPr>
            </w:pPr>
            <w:r>
              <w:rPr>
                <w:rFonts w:hint="eastAsia" w:ascii="仿宋" w:hAnsi="仿宋" w:eastAsia="仿宋"/>
                <w:color w:val="auto"/>
                <w:highlight w:val="none"/>
              </w:rPr>
              <w:t>开户银行：</w:t>
            </w:r>
          </w:p>
          <w:p w14:paraId="05D23FF0">
            <w:pPr>
              <w:rPr>
                <w:rFonts w:hint="eastAsia" w:ascii="仿宋" w:hAnsi="仿宋" w:eastAsia="仿宋"/>
                <w:color w:val="auto"/>
                <w:highlight w:val="none"/>
              </w:rPr>
            </w:pPr>
            <w:r>
              <w:rPr>
                <w:rFonts w:hint="eastAsia" w:ascii="仿宋" w:hAnsi="仿宋" w:eastAsia="仿宋"/>
                <w:color w:val="auto"/>
                <w:highlight w:val="none"/>
              </w:rPr>
              <w:t>账号：</w:t>
            </w:r>
          </w:p>
        </w:tc>
      </w:tr>
    </w:tbl>
    <w:p w14:paraId="7FC3811B">
      <w:pPr>
        <w:spacing w:before="156" w:beforeLines="50"/>
        <w:rPr>
          <w:rFonts w:hint="eastAsia" w:ascii="仿宋" w:hAnsi="仿宋" w:eastAsia="仿宋"/>
          <w:b/>
          <w:color w:val="auto"/>
          <w:highlight w:val="none"/>
        </w:rPr>
      </w:pPr>
      <w:r>
        <w:rPr>
          <w:rFonts w:hint="eastAsia" w:ascii="仿宋" w:hAnsi="仿宋" w:eastAsia="仿宋"/>
          <w:b/>
          <w:color w:val="auto"/>
          <w:highlight w:val="none"/>
        </w:rPr>
        <w:t>注：</w:t>
      </w:r>
    </w:p>
    <w:p w14:paraId="24182751">
      <w:pPr>
        <w:rPr>
          <w:rFonts w:hint="eastAsia" w:ascii="仿宋" w:hAnsi="仿宋" w:eastAsia="仿宋"/>
          <w:b/>
          <w:color w:val="auto"/>
          <w:highlight w:val="none"/>
        </w:rPr>
      </w:pPr>
      <w:r>
        <w:rPr>
          <w:rFonts w:hint="eastAsia" w:ascii="仿宋" w:hAnsi="仿宋" w:eastAsia="仿宋"/>
          <w:b/>
          <w:color w:val="auto"/>
          <w:highlight w:val="none"/>
        </w:rPr>
        <w:t>1、如本合同条款与招标文件中实质性内容不相符，以招标文件规定为准，在签订前进行调整。</w:t>
      </w:r>
    </w:p>
    <w:p w14:paraId="4BD5BF4A">
      <w:pPr>
        <w:rPr>
          <w:color w:val="auto"/>
          <w:highlight w:val="none"/>
        </w:rPr>
      </w:pPr>
      <w:r>
        <w:rPr>
          <w:rFonts w:hint="eastAsia" w:ascii="仿宋" w:hAnsi="仿宋" w:eastAsia="仿宋"/>
          <w:b/>
          <w:color w:val="auto"/>
          <w:highlight w:val="none"/>
        </w:rPr>
        <w:t>2、在正式签订前，应根据招标文件要求及项目实际情况拟定更为详尽的合同书。</w:t>
      </w:r>
    </w:p>
    <w:p w14:paraId="4F674748">
      <w:pPr>
        <w:rPr>
          <w:color w:val="auto"/>
          <w:highlight w:val="none"/>
        </w:rPr>
        <w:sectPr>
          <w:pgSz w:w="11906" w:h="16838"/>
          <w:pgMar w:top="1021" w:right="1247" w:bottom="851" w:left="1247" w:header="567" w:footer="454" w:gutter="0"/>
          <w:pgNumType w:fmt="numberInDash"/>
          <w:cols w:space="720" w:num="1"/>
          <w:titlePg/>
          <w:docGrid w:type="lines" w:linePitch="312" w:charSpace="0"/>
        </w:sectPr>
      </w:pPr>
    </w:p>
    <w:p w14:paraId="055B16C9">
      <w:pPr>
        <w:spacing w:before="156" w:beforeLines="50" w:line="500" w:lineRule="exact"/>
        <w:jc w:val="center"/>
        <w:rPr>
          <w:rFonts w:hint="eastAsia" w:ascii="仿宋" w:hAnsi="仿宋" w:eastAsia="仿宋"/>
          <w:b/>
          <w:color w:val="000000" w:themeColor="text1"/>
          <w:sz w:val="44"/>
          <w:szCs w:val="44"/>
          <w:highlight w:val="none"/>
        </w:rPr>
      </w:pPr>
      <w:r>
        <w:rPr>
          <w:rFonts w:hint="eastAsia" w:ascii="仿宋" w:hAnsi="仿宋" w:eastAsia="仿宋"/>
          <w:b/>
          <w:color w:val="000000" w:themeColor="text1"/>
          <w:sz w:val="44"/>
          <w:szCs w:val="44"/>
          <w:highlight w:val="none"/>
        </w:rPr>
        <w:t>第六章  投标文件格式</w:t>
      </w:r>
    </w:p>
    <w:p w14:paraId="79F90C80">
      <w:pPr>
        <w:spacing w:before="156" w:beforeLines="50" w:line="500" w:lineRule="exact"/>
        <w:jc w:val="center"/>
        <w:rPr>
          <w:rFonts w:hint="eastAsia" w:ascii="仿宋" w:hAnsi="仿宋" w:eastAsia="仿宋"/>
          <w:b/>
          <w:color w:val="000000" w:themeColor="text1"/>
          <w:sz w:val="44"/>
          <w:szCs w:val="44"/>
          <w:highlight w:val="none"/>
        </w:rPr>
      </w:pPr>
      <w:r>
        <w:rPr>
          <w:rFonts w:ascii="仿宋" w:hAnsi="仿宋" w:eastAsia="仿宋"/>
          <w:b/>
          <w:color w:val="000000" w:themeColor="text1"/>
          <w:sz w:val="28"/>
          <w:szCs w:val="28"/>
          <w:highlight w:val="none"/>
        </w:rPr>
        <w:t>（注：未提供格式部分由投标人自拟）</w:t>
      </w:r>
    </w:p>
    <w:p w14:paraId="2654B4AD">
      <w:pPr>
        <w:spacing w:before="156" w:beforeLines="50" w:after="936" w:afterLines="300" w:line="500" w:lineRule="exact"/>
        <w:rPr>
          <w:rFonts w:hint="eastAsia" w:ascii="仿宋" w:hAnsi="仿宋" w:eastAsia="仿宋"/>
          <w:b/>
          <w:color w:val="000000" w:themeColor="text1"/>
          <w:sz w:val="28"/>
          <w:szCs w:val="28"/>
          <w:highlight w:val="none"/>
        </w:rPr>
      </w:pPr>
    </w:p>
    <w:p w14:paraId="7F642244">
      <w:pPr>
        <w:spacing w:line="500" w:lineRule="exact"/>
        <w:rPr>
          <w:rFonts w:hint="eastAsia" w:ascii="仿宋" w:hAnsi="仿宋" w:eastAsia="仿宋"/>
          <w:b/>
          <w:color w:val="000000" w:themeColor="text1"/>
          <w:sz w:val="28"/>
          <w:szCs w:val="28"/>
          <w:highlight w:val="none"/>
        </w:rPr>
      </w:pPr>
    </w:p>
    <w:p w14:paraId="4661583F">
      <w:pPr>
        <w:spacing w:before="156" w:beforeLines="50" w:after="1560" w:afterLines="500" w:line="500" w:lineRule="exact"/>
        <w:jc w:val="center"/>
        <w:rPr>
          <w:rFonts w:hint="eastAsia" w:ascii="仿宋" w:hAnsi="仿宋" w:eastAsia="仿宋"/>
          <w:b/>
          <w:color w:val="000000" w:themeColor="text1"/>
          <w:sz w:val="28"/>
          <w:szCs w:val="28"/>
          <w:highlight w:val="none"/>
        </w:rPr>
      </w:pPr>
      <w:r>
        <w:rPr>
          <w:rFonts w:hint="eastAsia" w:ascii="仿宋" w:hAnsi="仿宋" w:eastAsia="仿宋"/>
          <w:b/>
          <w:color w:val="000000" w:themeColor="text1"/>
          <w:sz w:val="36"/>
          <w:szCs w:val="36"/>
          <w:highlight w:val="none"/>
        </w:rPr>
        <w:t>第一部分   封面</w:t>
      </w:r>
    </w:p>
    <w:p w14:paraId="460454C2">
      <w:pPr>
        <w:widowControl/>
        <w:tabs>
          <w:tab w:val="left" w:pos="450"/>
          <w:tab w:val="left" w:pos="2520"/>
          <w:tab w:val="left" w:pos="8280"/>
        </w:tabs>
        <w:spacing w:line="360" w:lineRule="auto"/>
        <w:jc w:val="center"/>
        <w:rPr>
          <w:rFonts w:hint="eastAsia" w:ascii="仿宋" w:hAnsi="仿宋" w:eastAsia="仿宋" w:cs="宋体"/>
          <w:b/>
          <w:color w:val="000000" w:themeColor="text1"/>
          <w:sz w:val="32"/>
          <w:szCs w:val="32"/>
          <w:highlight w:val="none"/>
        </w:rPr>
      </w:pPr>
      <w:r>
        <w:rPr>
          <w:rFonts w:hint="eastAsia" w:ascii="仿宋" w:hAnsi="仿宋" w:eastAsia="仿宋"/>
          <w:b/>
          <w:color w:val="000000" w:themeColor="text1"/>
          <w:sz w:val="32"/>
          <w:szCs w:val="32"/>
          <w:highlight w:val="none"/>
        </w:rPr>
        <w:t>一、外包装封面</w:t>
      </w:r>
    </w:p>
    <w:p w14:paraId="497646C8">
      <w:pPr>
        <w:widowControl/>
        <w:tabs>
          <w:tab w:val="left" w:pos="8280"/>
        </w:tabs>
        <w:spacing w:line="360" w:lineRule="auto"/>
        <w:ind w:firstLine="480"/>
        <w:jc w:val="center"/>
        <w:rPr>
          <w:rFonts w:hint="eastAsia" w:ascii="仿宋" w:hAnsi="仿宋" w:eastAsia="仿宋" w:cs="宋体"/>
          <w:b/>
          <w:color w:val="000000" w:themeColor="text1"/>
          <w:sz w:val="32"/>
          <w:szCs w:val="32"/>
          <w:highlight w:val="none"/>
        </w:rPr>
      </w:pPr>
    </w:p>
    <w:p w14:paraId="577EBE2B">
      <w:pPr>
        <w:widowControl/>
        <w:tabs>
          <w:tab w:val="left" w:pos="8280"/>
        </w:tabs>
        <w:spacing w:line="360" w:lineRule="auto"/>
        <w:jc w:val="center"/>
        <w:rPr>
          <w:rFonts w:hint="eastAsia" w:ascii="仿宋" w:hAnsi="仿宋" w:eastAsia="仿宋" w:cs="宋体"/>
          <w:b/>
          <w:color w:val="000000" w:themeColor="text1"/>
          <w:sz w:val="32"/>
          <w:szCs w:val="32"/>
          <w:highlight w:val="none"/>
        </w:rPr>
      </w:pPr>
      <w:r>
        <w:rPr>
          <w:rFonts w:hint="eastAsia" w:ascii="仿宋" w:hAnsi="仿宋" w:eastAsia="仿宋" w:cs="宋体"/>
          <w:b/>
          <w:color w:val="000000" w:themeColor="text1"/>
          <w:sz w:val="32"/>
          <w:szCs w:val="32"/>
          <w:highlight w:val="none"/>
        </w:rPr>
        <w:t>资格文件或商务技术文件或报价文件</w:t>
      </w:r>
    </w:p>
    <w:p w14:paraId="414A3A1D">
      <w:pPr>
        <w:widowControl/>
        <w:tabs>
          <w:tab w:val="left" w:pos="275"/>
          <w:tab w:val="left" w:pos="8280"/>
        </w:tabs>
        <w:spacing w:line="360" w:lineRule="auto"/>
        <w:ind w:firstLine="480"/>
        <w:jc w:val="left"/>
        <w:rPr>
          <w:rFonts w:hint="eastAsia" w:ascii="仿宋" w:hAnsi="仿宋" w:eastAsia="仿宋" w:cs="宋体"/>
          <w:b/>
          <w:color w:val="000000" w:themeColor="text1"/>
          <w:sz w:val="36"/>
          <w:szCs w:val="36"/>
          <w:highlight w:val="none"/>
        </w:rPr>
      </w:pPr>
      <w:r>
        <w:rPr>
          <w:rFonts w:hint="eastAsia" w:ascii="仿宋" w:hAnsi="仿宋" w:eastAsia="仿宋" w:cs="宋体"/>
          <w:b/>
          <w:color w:val="000000" w:themeColor="text1"/>
          <w:sz w:val="36"/>
          <w:szCs w:val="36"/>
          <w:highlight w:val="none"/>
        </w:rPr>
        <w:tab/>
      </w:r>
    </w:p>
    <w:p w14:paraId="491C3D2A">
      <w:pPr>
        <w:widowControl/>
        <w:tabs>
          <w:tab w:val="left" w:pos="275"/>
          <w:tab w:val="left" w:pos="8280"/>
        </w:tabs>
        <w:spacing w:line="360" w:lineRule="auto"/>
        <w:ind w:firstLine="964" w:firstLineChars="300"/>
        <w:jc w:val="left"/>
        <w:rPr>
          <w:rFonts w:hint="eastAsia" w:ascii="仿宋" w:hAnsi="仿宋" w:eastAsia="仿宋" w:cs="宋体"/>
          <w:b/>
          <w:color w:val="000000" w:themeColor="text1"/>
          <w:sz w:val="32"/>
          <w:szCs w:val="32"/>
          <w:highlight w:val="none"/>
          <w:u w:val="single"/>
        </w:rPr>
      </w:pPr>
      <w:r>
        <w:rPr>
          <w:rFonts w:hint="eastAsia" w:ascii="仿宋" w:hAnsi="仿宋" w:eastAsia="仿宋" w:cs="宋体"/>
          <w:b/>
          <w:color w:val="000000" w:themeColor="text1"/>
          <w:sz w:val="32"/>
          <w:szCs w:val="32"/>
          <w:highlight w:val="none"/>
        </w:rPr>
        <w:t>项目名称：__________________________________</w:t>
      </w:r>
    </w:p>
    <w:p w14:paraId="373069CA">
      <w:pPr>
        <w:widowControl/>
        <w:tabs>
          <w:tab w:val="left" w:pos="275"/>
          <w:tab w:val="left" w:pos="8280"/>
        </w:tabs>
        <w:spacing w:line="360" w:lineRule="auto"/>
        <w:ind w:firstLine="964" w:firstLineChars="300"/>
        <w:jc w:val="left"/>
        <w:rPr>
          <w:rFonts w:hint="eastAsia" w:ascii="仿宋" w:hAnsi="仿宋" w:eastAsia="仿宋" w:cs="宋体"/>
          <w:b/>
          <w:color w:val="000000" w:themeColor="text1"/>
          <w:sz w:val="32"/>
          <w:szCs w:val="32"/>
          <w:highlight w:val="none"/>
        </w:rPr>
      </w:pPr>
    </w:p>
    <w:p w14:paraId="1B3E1749">
      <w:pPr>
        <w:widowControl/>
        <w:tabs>
          <w:tab w:val="left" w:pos="275"/>
          <w:tab w:val="left" w:pos="8280"/>
        </w:tabs>
        <w:spacing w:line="360" w:lineRule="auto"/>
        <w:ind w:firstLine="964" w:firstLineChars="300"/>
        <w:jc w:val="left"/>
        <w:rPr>
          <w:rFonts w:hint="eastAsia" w:ascii="仿宋" w:hAnsi="仿宋" w:eastAsia="仿宋" w:cs="宋体"/>
          <w:b/>
          <w:color w:val="000000" w:themeColor="text1"/>
          <w:sz w:val="32"/>
          <w:szCs w:val="32"/>
          <w:highlight w:val="none"/>
        </w:rPr>
      </w:pPr>
      <w:r>
        <w:rPr>
          <w:rFonts w:hint="eastAsia" w:ascii="仿宋" w:hAnsi="仿宋" w:eastAsia="仿宋" w:cs="宋体"/>
          <w:b/>
          <w:color w:val="000000" w:themeColor="text1"/>
          <w:sz w:val="32"/>
          <w:szCs w:val="32"/>
          <w:highlight w:val="none"/>
        </w:rPr>
        <w:t>项目编号：__________________________________</w:t>
      </w:r>
    </w:p>
    <w:p w14:paraId="6725C180">
      <w:pPr>
        <w:widowControl/>
        <w:tabs>
          <w:tab w:val="left" w:pos="765"/>
          <w:tab w:val="left" w:pos="8280"/>
        </w:tabs>
        <w:spacing w:line="360" w:lineRule="auto"/>
        <w:ind w:firstLine="1084" w:firstLineChars="300"/>
        <w:jc w:val="left"/>
        <w:rPr>
          <w:rFonts w:hint="eastAsia" w:ascii="仿宋" w:hAnsi="仿宋" w:eastAsia="仿宋" w:cs="宋体"/>
          <w:b/>
          <w:color w:val="000000" w:themeColor="text1"/>
          <w:sz w:val="36"/>
          <w:szCs w:val="36"/>
          <w:highlight w:val="none"/>
        </w:rPr>
      </w:pPr>
      <w:r>
        <w:rPr>
          <w:rFonts w:hint="eastAsia" w:ascii="仿宋" w:hAnsi="仿宋" w:eastAsia="仿宋" w:cs="宋体"/>
          <w:b/>
          <w:color w:val="000000" w:themeColor="text1"/>
          <w:sz w:val="36"/>
          <w:szCs w:val="36"/>
          <w:highlight w:val="none"/>
        </w:rPr>
        <w:tab/>
      </w:r>
    </w:p>
    <w:p w14:paraId="42C77573">
      <w:pPr>
        <w:widowControl/>
        <w:tabs>
          <w:tab w:val="left" w:pos="765"/>
          <w:tab w:val="left" w:pos="8280"/>
        </w:tabs>
        <w:spacing w:line="360" w:lineRule="auto"/>
        <w:ind w:firstLine="964" w:firstLineChars="300"/>
        <w:jc w:val="left"/>
        <w:rPr>
          <w:rFonts w:hint="eastAsia" w:ascii="仿宋" w:hAnsi="仿宋" w:eastAsia="仿宋" w:cs="宋体"/>
          <w:b/>
          <w:color w:val="000000" w:themeColor="text1"/>
          <w:sz w:val="36"/>
          <w:szCs w:val="36"/>
          <w:highlight w:val="none"/>
          <w:u w:val="single"/>
        </w:rPr>
      </w:pPr>
      <w:r>
        <w:rPr>
          <w:rFonts w:hint="eastAsia" w:ascii="仿宋" w:hAnsi="仿宋" w:eastAsia="仿宋" w:cs="宋体"/>
          <w:b/>
          <w:color w:val="000000" w:themeColor="text1"/>
          <w:sz w:val="32"/>
          <w:szCs w:val="32"/>
          <w:highlight w:val="none"/>
        </w:rPr>
        <w:t>投标人：</w:t>
      </w:r>
      <w:r>
        <w:rPr>
          <w:rFonts w:hint="eastAsia" w:ascii="仿宋" w:hAnsi="仿宋" w:eastAsia="仿宋" w:cs="宋体"/>
          <w:b/>
          <w:color w:val="000000" w:themeColor="text1"/>
          <w:sz w:val="32"/>
          <w:szCs w:val="32"/>
          <w:highlight w:val="none"/>
          <w:u w:val="single"/>
        </w:rPr>
        <w:t xml:space="preserve">           （盖公章）              </w:t>
      </w:r>
    </w:p>
    <w:p w14:paraId="1211FF9E">
      <w:pPr>
        <w:widowControl/>
        <w:tabs>
          <w:tab w:val="left" w:pos="8280"/>
        </w:tabs>
        <w:spacing w:line="360" w:lineRule="auto"/>
        <w:ind w:firstLine="964" w:firstLineChars="300"/>
        <w:jc w:val="center"/>
        <w:rPr>
          <w:rFonts w:hint="eastAsia" w:ascii="仿宋" w:hAnsi="仿宋" w:eastAsia="仿宋" w:cs="宋体"/>
          <w:b/>
          <w:color w:val="000000" w:themeColor="text1"/>
          <w:sz w:val="32"/>
          <w:szCs w:val="32"/>
          <w:highlight w:val="none"/>
        </w:rPr>
      </w:pPr>
    </w:p>
    <w:p w14:paraId="2A934DAE">
      <w:pPr>
        <w:widowControl/>
        <w:tabs>
          <w:tab w:val="left" w:pos="350"/>
          <w:tab w:val="left" w:pos="8280"/>
        </w:tabs>
        <w:spacing w:line="360" w:lineRule="auto"/>
        <w:ind w:firstLine="964" w:firstLineChars="300"/>
        <w:jc w:val="left"/>
        <w:rPr>
          <w:rFonts w:hint="eastAsia" w:ascii="仿宋" w:hAnsi="仿宋" w:eastAsia="仿宋" w:cs="宋体"/>
          <w:b/>
          <w:color w:val="000000" w:themeColor="text1"/>
          <w:sz w:val="32"/>
          <w:szCs w:val="32"/>
          <w:highlight w:val="none"/>
        </w:rPr>
      </w:pPr>
      <w:r>
        <w:rPr>
          <w:rFonts w:hint="eastAsia" w:ascii="仿宋" w:hAnsi="仿宋" w:eastAsia="仿宋" w:cs="宋体"/>
          <w:b/>
          <w:color w:val="000000" w:themeColor="text1"/>
          <w:sz w:val="32"/>
          <w:szCs w:val="32"/>
          <w:highlight w:val="none"/>
        </w:rPr>
        <w:t>日期：______年______月______日</w:t>
      </w:r>
    </w:p>
    <w:p w14:paraId="6C0FBD46">
      <w:pPr>
        <w:rPr>
          <w:color w:val="000000" w:themeColor="text1"/>
          <w:highlight w:val="none"/>
        </w:rPr>
        <w:sectPr>
          <w:footerReference r:id="rId10" w:type="default"/>
          <w:footerReference r:id="rId11" w:type="even"/>
          <w:pgSz w:w="11906" w:h="16838"/>
          <w:pgMar w:top="1021" w:right="1247" w:bottom="1021" w:left="1247" w:header="567" w:footer="454" w:gutter="0"/>
          <w:pgNumType w:fmt="numberInDash"/>
          <w:cols w:space="720" w:num="1"/>
          <w:titlePg/>
          <w:docGrid w:type="lines" w:linePitch="312" w:charSpace="0"/>
        </w:sectPr>
      </w:pPr>
    </w:p>
    <w:p w14:paraId="69D627B8">
      <w:pPr>
        <w:spacing w:before="156" w:beforeLines="50" w:after="260" w:line="500" w:lineRule="exact"/>
        <w:jc w:val="center"/>
        <w:rPr>
          <w:rFonts w:hint="eastAsia" w:ascii="仿宋" w:hAnsi="仿宋" w:eastAsia="仿宋"/>
          <w:b/>
          <w:color w:val="000000" w:themeColor="text1"/>
          <w:sz w:val="32"/>
          <w:szCs w:val="32"/>
          <w:highlight w:val="none"/>
        </w:rPr>
      </w:pPr>
      <w:r>
        <w:rPr>
          <w:rFonts w:hint="eastAsia" w:ascii="仿宋" w:hAnsi="仿宋" w:eastAsia="仿宋"/>
          <w:b/>
          <w:color w:val="000000" w:themeColor="text1"/>
          <w:sz w:val="32"/>
          <w:szCs w:val="32"/>
          <w:highlight w:val="none"/>
        </w:rPr>
        <w:t>二、</w:t>
      </w:r>
      <w:r>
        <w:rPr>
          <w:rFonts w:hint="eastAsia" w:ascii="仿宋" w:hAnsi="仿宋" w:eastAsia="仿宋" w:cs="宋体"/>
          <w:b/>
          <w:color w:val="000000" w:themeColor="text1"/>
          <w:sz w:val="32"/>
          <w:szCs w:val="32"/>
          <w:highlight w:val="none"/>
        </w:rPr>
        <w:t>资格文件或商务技术文件或报价文件</w:t>
      </w:r>
      <w:r>
        <w:rPr>
          <w:rFonts w:hint="eastAsia" w:ascii="仿宋" w:hAnsi="仿宋" w:eastAsia="仿宋"/>
          <w:b/>
          <w:color w:val="000000" w:themeColor="text1"/>
          <w:sz w:val="32"/>
          <w:szCs w:val="32"/>
          <w:highlight w:val="none"/>
        </w:rPr>
        <w:t>封面</w:t>
      </w:r>
    </w:p>
    <w:p w14:paraId="758F0A42">
      <w:pPr>
        <w:widowControl/>
        <w:tabs>
          <w:tab w:val="left" w:pos="8280"/>
        </w:tabs>
        <w:spacing w:line="360" w:lineRule="auto"/>
        <w:ind w:firstLine="480"/>
        <w:jc w:val="right"/>
        <w:rPr>
          <w:rFonts w:hint="eastAsia" w:ascii="仿宋" w:hAnsi="仿宋" w:eastAsia="仿宋" w:cs="宋体"/>
          <w:b/>
          <w:color w:val="000000" w:themeColor="text1"/>
          <w:sz w:val="32"/>
          <w:szCs w:val="32"/>
          <w:highlight w:val="none"/>
          <w:u w:val="single"/>
        </w:rPr>
      </w:pPr>
    </w:p>
    <w:p w14:paraId="26D99C7E">
      <w:pPr>
        <w:widowControl/>
        <w:tabs>
          <w:tab w:val="left" w:pos="8280"/>
        </w:tabs>
        <w:spacing w:line="360" w:lineRule="auto"/>
        <w:jc w:val="center"/>
        <w:rPr>
          <w:rFonts w:hint="eastAsia" w:ascii="仿宋" w:hAnsi="仿宋" w:eastAsia="仿宋" w:cs="宋体"/>
          <w:b/>
          <w:color w:val="000000" w:themeColor="text1"/>
          <w:sz w:val="32"/>
          <w:szCs w:val="32"/>
          <w:highlight w:val="none"/>
        </w:rPr>
      </w:pPr>
      <w:r>
        <w:rPr>
          <w:rFonts w:hint="eastAsia" w:ascii="仿宋" w:hAnsi="仿宋" w:eastAsia="仿宋" w:cs="宋体"/>
          <w:b/>
          <w:color w:val="000000" w:themeColor="text1"/>
          <w:sz w:val="32"/>
          <w:szCs w:val="32"/>
          <w:highlight w:val="none"/>
        </w:rPr>
        <w:t>资格文件或商务技术文件或报价文件</w:t>
      </w:r>
    </w:p>
    <w:p w14:paraId="44C436C2">
      <w:pPr>
        <w:widowControl/>
        <w:tabs>
          <w:tab w:val="left" w:pos="8280"/>
        </w:tabs>
        <w:spacing w:line="360" w:lineRule="auto"/>
        <w:jc w:val="center"/>
        <w:rPr>
          <w:rFonts w:hint="eastAsia" w:ascii="仿宋" w:hAnsi="仿宋" w:eastAsia="仿宋" w:cs="宋体"/>
          <w:b/>
          <w:color w:val="000000" w:themeColor="text1"/>
          <w:sz w:val="32"/>
          <w:szCs w:val="32"/>
          <w:highlight w:val="none"/>
        </w:rPr>
      </w:pPr>
      <w:r>
        <w:rPr>
          <w:rFonts w:hint="eastAsia" w:ascii="仿宋" w:hAnsi="仿宋" w:eastAsia="仿宋" w:cs="宋体"/>
          <w:b/>
          <w:color w:val="000000" w:themeColor="text1"/>
          <w:sz w:val="32"/>
          <w:szCs w:val="32"/>
          <w:highlight w:val="none"/>
        </w:rPr>
        <w:t>（</w:t>
      </w:r>
      <w:r>
        <w:rPr>
          <w:rFonts w:hint="eastAsia" w:ascii="仿宋" w:hAnsi="仿宋" w:eastAsia="仿宋" w:cs="宋体"/>
          <w:b/>
          <w:color w:val="000000" w:themeColor="text1"/>
          <w:sz w:val="32"/>
          <w:szCs w:val="32"/>
          <w:highlight w:val="none"/>
          <w:u w:val="single"/>
        </w:rPr>
        <w:t>正本或副本</w:t>
      </w:r>
      <w:r>
        <w:rPr>
          <w:rFonts w:hint="eastAsia" w:ascii="仿宋" w:hAnsi="仿宋" w:eastAsia="仿宋" w:cs="宋体"/>
          <w:b/>
          <w:color w:val="000000" w:themeColor="text1"/>
          <w:sz w:val="32"/>
          <w:szCs w:val="32"/>
          <w:highlight w:val="none"/>
        </w:rPr>
        <w:t>）</w:t>
      </w:r>
    </w:p>
    <w:p w14:paraId="458B7FCA">
      <w:pPr>
        <w:widowControl/>
        <w:tabs>
          <w:tab w:val="left" w:pos="275"/>
          <w:tab w:val="left" w:pos="8280"/>
        </w:tabs>
        <w:spacing w:line="360" w:lineRule="auto"/>
        <w:ind w:firstLine="480"/>
        <w:jc w:val="left"/>
        <w:rPr>
          <w:rFonts w:hint="eastAsia" w:ascii="仿宋" w:hAnsi="仿宋" w:eastAsia="仿宋" w:cs="宋体"/>
          <w:b/>
          <w:color w:val="000000" w:themeColor="text1"/>
          <w:sz w:val="36"/>
          <w:szCs w:val="36"/>
          <w:highlight w:val="none"/>
        </w:rPr>
      </w:pPr>
      <w:r>
        <w:rPr>
          <w:rFonts w:hint="eastAsia" w:ascii="仿宋" w:hAnsi="仿宋" w:eastAsia="仿宋" w:cs="宋体"/>
          <w:b/>
          <w:color w:val="000000" w:themeColor="text1"/>
          <w:sz w:val="36"/>
          <w:szCs w:val="36"/>
          <w:highlight w:val="none"/>
        </w:rPr>
        <w:tab/>
      </w:r>
    </w:p>
    <w:p w14:paraId="47994655">
      <w:pPr>
        <w:widowControl/>
        <w:tabs>
          <w:tab w:val="left" w:pos="275"/>
          <w:tab w:val="left" w:pos="8280"/>
        </w:tabs>
        <w:spacing w:line="360" w:lineRule="auto"/>
        <w:ind w:firstLine="964" w:firstLineChars="300"/>
        <w:jc w:val="left"/>
        <w:rPr>
          <w:rFonts w:hint="eastAsia" w:ascii="仿宋" w:hAnsi="仿宋" w:eastAsia="仿宋" w:cs="宋体"/>
          <w:b/>
          <w:color w:val="000000" w:themeColor="text1"/>
          <w:sz w:val="32"/>
          <w:szCs w:val="32"/>
          <w:highlight w:val="none"/>
          <w:u w:val="single"/>
        </w:rPr>
      </w:pPr>
      <w:r>
        <w:rPr>
          <w:rFonts w:hint="eastAsia" w:ascii="仿宋" w:hAnsi="仿宋" w:eastAsia="仿宋" w:cs="宋体"/>
          <w:b/>
          <w:color w:val="000000" w:themeColor="text1"/>
          <w:sz w:val="32"/>
          <w:szCs w:val="32"/>
          <w:highlight w:val="none"/>
        </w:rPr>
        <w:t>项目名称：__________________________________</w:t>
      </w:r>
    </w:p>
    <w:p w14:paraId="6B821368">
      <w:pPr>
        <w:widowControl/>
        <w:tabs>
          <w:tab w:val="left" w:pos="275"/>
          <w:tab w:val="left" w:pos="8280"/>
        </w:tabs>
        <w:spacing w:line="360" w:lineRule="auto"/>
        <w:ind w:firstLine="964" w:firstLineChars="300"/>
        <w:jc w:val="left"/>
        <w:rPr>
          <w:rFonts w:hint="eastAsia" w:ascii="仿宋" w:hAnsi="仿宋" w:eastAsia="仿宋" w:cs="宋体"/>
          <w:b/>
          <w:color w:val="000000" w:themeColor="text1"/>
          <w:sz w:val="32"/>
          <w:szCs w:val="32"/>
          <w:highlight w:val="none"/>
        </w:rPr>
      </w:pPr>
    </w:p>
    <w:p w14:paraId="38A34B58">
      <w:pPr>
        <w:widowControl/>
        <w:tabs>
          <w:tab w:val="left" w:pos="275"/>
          <w:tab w:val="left" w:pos="8280"/>
        </w:tabs>
        <w:spacing w:line="360" w:lineRule="auto"/>
        <w:ind w:firstLine="964" w:firstLineChars="300"/>
        <w:jc w:val="left"/>
        <w:rPr>
          <w:rFonts w:hint="eastAsia" w:ascii="仿宋" w:hAnsi="仿宋" w:eastAsia="仿宋" w:cs="宋体"/>
          <w:b/>
          <w:color w:val="000000" w:themeColor="text1"/>
          <w:sz w:val="32"/>
          <w:szCs w:val="32"/>
          <w:highlight w:val="none"/>
        </w:rPr>
      </w:pPr>
      <w:r>
        <w:rPr>
          <w:rFonts w:hint="eastAsia" w:ascii="仿宋" w:hAnsi="仿宋" w:eastAsia="仿宋" w:cs="宋体"/>
          <w:b/>
          <w:color w:val="000000" w:themeColor="text1"/>
          <w:sz w:val="32"/>
          <w:szCs w:val="32"/>
          <w:highlight w:val="none"/>
        </w:rPr>
        <w:t>项目编号：__________________________________</w:t>
      </w:r>
    </w:p>
    <w:p w14:paraId="6218D5C0">
      <w:pPr>
        <w:widowControl/>
        <w:tabs>
          <w:tab w:val="left" w:pos="275"/>
          <w:tab w:val="left" w:pos="8280"/>
        </w:tabs>
        <w:spacing w:line="360" w:lineRule="auto"/>
        <w:ind w:firstLine="964" w:firstLineChars="300"/>
        <w:jc w:val="left"/>
        <w:rPr>
          <w:rFonts w:hint="eastAsia" w:ascii="仿宋" w:hAnsi="仿宋" w:eastAsia="仿宋" w:cs="宋体"/>
          <w:b/>
          <w:color w:val="000000" w:themeColor="text1"/>
          <w:sz w:val="32"/>
          <w:szCs w:val="32"/>
          <w:highlight w:val="none"/>
        </w:rPr>
      </w:pPr>
    </w:p>
    <w:p w14:paraId="683B7B5C">
      <w:pPr>
        <w:widowControl/>
        <w:tabs>
          <w:tab w:val="left" w:pos="765"/>
          <w:tab w:val="left" w:pos="8280"/>
        </w:tabs>
        <w:spacing w:line="360" w:lineRule="auto"/>
        <w:ind w:firstLine="964" w:firstLineChars="300"/>
        <w:jc w:val="left"/>
        <w:rPr>
          <w:rFonts w:hint="eastAsia" w:ascii="仿宋" w:hAnsi="仿宋" w:eastAsia="仿宋" w:cs="宋体"/>
          <w:b/>
          <w:color w:val="000000" w:themeColor="text1"/>
          <w:sz w:val="36"/>
          <w:szCs w:val="36"/>
          <w:highlight w:val="none"/>
          <w:u w:val="single"/>
        </w:rPr>
      </w:pPr>
      <w:r>
        <w:rPr>
          <w:rFonts w:hint="eastAsia" w:ascii="仿宋" w:hAnsi="仿宋" w:eastAsia="仿宋" w:cs="宋体"/>
          <w:b/>
          <w:color w:val="000000" w:themeColor="text1"/>
          <w:sz w:val="32"/>
          <w:szCs w:val="32"/>
          <w:highlight w:val="none"/>
        </w:rPr>
        <w:t>投标人：</w:t>
      </w:r>
      <w:r>
        <w:rPr>
          <w:rFonts w:hint="eastAsia" w:ascii="仿宋" w:hAnsi="仿宋" w:eastAsia="仿宋" w:cs="宋体"/>
          <w:b/>
          <w:color w:val="000000" w:themeColor="text1"/>
          <w:sz w:val="32"/>
          <w:szCs w:val="32"/>
          <w:highlight w:val="none"/>
          <w:u w:val="single"/>
        </w:rPr>
        <w:t xml:space="preserve">           （盖公章）              </w:t>
      </w:r>
    </w:p>
    <w:p w14:paraId="77D7B9DF">
      <w:pPr>
        <w:widowControl/>
        <w:tabs>
          <w:tab w:val="left" w:pos="8280"/>
        </w:tabs>
        <w:spacing w:line="360" w:lineRule="auto"/>
        <w:ind w:firstLine="964" w:firstLineChars="300"/>
        <w:jc w:val="center"/>
        <w:rPr>
          <w:rFonts w:hint="eastAsia" w:ascii="仿宋" w:hAnsi="仿宋" w:eastAsia="仿宋" w:cs="宋体"/>
          <w:b/>
          <w:color w:val="000000" w:themeColor="text1"/>
          <w:sz w:val="32"/>
          <w:szCs w:val="32"/>
          <w:highlight w:val="none"/>
        </w:rPr>
      </w:pPr>
    </w:p>
    <w:p w14:paraId="2CC88820">
      <w:pPr>
        <w:widowControl/>
        <w:tabs>
          <w:tab w:val="left" w:pos="350"/>
          <w:tab w:val="left" w:pos="8280"/>
        </w:tabs>
        <w:spacing w:line="360" w:lineRule="auto"/>
        <w:ind w:firstLine="964" w:firstLineChars="300"/>
        <w:jc w:val="left"/>
        <w:rPr>
          <w:rFonts w:hint="eastAsia" w:ascii="仿宋" w:hAnsi="仿宋" w:eastAsia="仿宋" w:cs="宋体"/>
          <w:b/>
          <w:color w:val="auto"/>
          <w:sz w:val="36"/>
          <w:szCs w:val="36"/>
          <w:highlight w:val="none"/>
          <w:u w:val="single"/>
        </w:rPr>
      </w:pPr>
      <w:r>
        <w:rPr>
          <w:rFonts w:hint="eastAsia" w:ascii="仿宋" w:hAnsi="仿宋" w:eastAsia="仿宋" w:cs="宋体"/>
          <w:b/>
          <w:color w:val="auto"/>
          <w:sz w:val="32"/>
          <w:szCs w:val="32"/>
          <w:highlight w:val="none"/>
        </w:rPr>
        <w:t>投标人代表：</w:t>
      </w:r>
      <w:r>
        <w:rPr>
          <w:rFonts w:hint="eastAsia" w:ascii="仿宋_GB2312" w:hAnsi="仿宋" w:eastAsia="仿宋_GB2312" w:cs="宋体"/>
          <w:b/>
          <w:color w:val="auto"/>
          <w:sz w:val="24"/>
          <w:szCs w:val="24"/>
          <w:highlight w:val="none"/>
          <w:u w:val="single"/>
        </w:rPr>
        <w:t>（法定代表人（或单位负责人）或授权代表签字或盖章）</w:t>
      </w:r>
    </w:p>
    <w:p w14:paraId="3F596308">
      <w:pPr>
        <w:widowControl/>
        <w:tabs>
          <w:tab w:val="left" w:pos="8280"/>
        </w:tabs>
        <w:spacing w:line="360" w:lineRule="auto"/>
        <w:ind w:firstLine="964" w:firstLineChars="300"/>
        <w:jc w:val="center"/>
        <w:rPr>
          <w:rFonts w:hint="eastAsia" w:ascii="仿宋" w:hAnsi="仿宋" w:eastAsia="仿宋" w:cs="宋体"/>
          <w:b/>
          <w:color w:val="000000" w:themeColor="text1"/>
          <w:sz w:val="32"/>
          <w:szCs w:val="32"/>
          <w:highlight w:val="none"/>
        </w:rPr>
      </w:pPr>
    </w:p>
    <w:p w14:paraId="36A995B7">
      <w:pPr>
        <w:widowControl/>
        <w:tabs>
          <w:tab w:val="left" w:pos="350"/>
          <w:tab w:val="left" w:pos="8280"/>
        </w:tabs>
        <w:spacing w:line="360" w:lineRule="auto"/>
        <w:ind w:firstLine="964" w:firstLineChars="300"/>
        <w:jc w:val="left"/>
        <w:rPr>
          <w:rFonts w:hint="eastAsia" w:ascii="仿宋" w:hAnsi="仿宋" w:eastAsia="仿宋" w:cs="宋体"/>
          <w:b/>
          <w:color w:val="000000" w:themeColor="text1"/>
          <w:sz w:val="32"/>
          <w:szCs w:val="32"/>
          <w:highlight w:val="none"/>
        </w:rPr>
      </w:pPr>
      <w:r>
        <w:rPr>
          <w:rFonts w:hint="eastAsia" w:ascii="仿宋" w:hAnsi="仿宋" w:eastAsia="仿宋" w:cs="宋体"/>
          <w:b/>
          <w:color w:val="000000" w:themeColor="text1"/>
          <w:sz w:val="32"/>
          <w:szCs w:val="32"/>
          <w:highlight w:val="none"/>
        </w:rPr>
        <w:t>日期：______年______月______日</w:t>
      </w:r>
    </w:p>
    <w:p w14:paraId="3EC9D7E5">
      <w:pPr>
        <w:rPr>
          <w:color w:val="000000" w:themeColor="text1"/>
          <w:highlight w:val="none"/>
        </w:rPr>
      </w:pPr>
    </w:p>
    <w:p w14:paraId="1E817686">
      <w:pPr>
        <w:rPr>
          <w:color w:val="000000" w:themeColor="text1"/>
          <w:highlight w:val="none"/>
        </w:rPr>
        <w:sectPr>
          <w:pgSz w:w="11906" w:h="16838"/>
          <w:pgMar w:top="1021" w:right="1247" w:bottom="1021" w:left="1247" w:header="567" w:footer="454" w:gutter="0"/>
          <w:pgNumType w:fmt="numberInDash"/>
          <w:cols w:space="720" w:num="1"/>
          <w:titlePg/>
          <w:docGrid w:type="lines" w:linePitch="312" w:charSpace="0"/>
        </w:sectPr>
      </w:pPr>
    </w:p>
    <w:p w14:paraId="72A467A5">
      <w:pPr>
        <w:widowControl/>
        <w:tabs>
          <w:tab w:val="left" w:pos="450"/>
          <w:tab w:val="left" w:pos="2520"/>
          <w:tab w:val="left" w:pos="8280"/>
        </w:tabs>
        <w:spacing w:after="156" w:afterLines="50" w:line="360" w:lineRule="auto"/>
        <w:jc w:val="center"/>
        <w:rPr>
          <w:rFonts w:hint="eastAsia" w:ascii="仿宋" w:hAnsi="仿宋" w:eastAsia="仿宋" w:cs="宋体"/>
          <w:b/>
          <w:color w:val="000000" w:themeColor="text1"/>
          <w:sz w:val="36"/>
          <w:szCs w:val="36"/>
          <w:highlight w:val="none"/>
        </w:rPr>
      </w:pPr>
      <w:r>
        <w:rPr>
          <w:rFonts w:hint="eastAsia" w:ascii="仿宋" w:hAnsi="仿宋" w:eastAsia="仿宋"/>
          <w:b/>
          <w:color w:val="000000" w:themeColor="text1"/>
          <w:sz w:val="36"/>
          <w:szCs w:val="36"/>
          <w:highlight w:val="none"/>
        </w:rPr>
        <w:t>第二部分   资格文件组成内容</w:t>
      </w:r>
    </w:p>
    <w:tbl>
      <w:tblPr>
        <w:tblStyle w:val="49"/>
        <w:tblW w:w="10037"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36"/>
        <w:gridCol w:w="1858"/>
        <w:gridCol w:w="6096"/>
        <w:gridCol w:w="1247"/>
      </w:tblGrid>
      <w:tr w14:paraId="0C53CA7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6" w:type="dxa"/>
            <w:tcBorders>
              <w:top w:val="double" w:color="auto" w:sz="6" w:space="0"/>
              <w:bottom w:val="single" w:color="auto" w:sz="6" w:space="0"/>
            </w:tcBorders>
            <w:shd w:val="clear" w:color="auto" w:fill="DAECFF"/>
            <w:vAlign w:val="center"/>
          </w:tcPr>
          <w:p w14:paraId="1FCB628D">
            <w:pPr>
              <w:jc w:val="center"/>
              <w:rPr>
                <w:rFonts w:hint="eastAsia" w:ascii="仿宋" w:hAnsi="仿宋" w:eastAsia="仿宋"/>
                <w:b/>
                <w:color w:val="000000" w:themeColor="text1"/>
                <w:sz w:val="24"/>
                <w:highlight w:val="none"/>
              </w:rPr>
            </w:pPr>
            <w:r>
              <w:rPr>
                <w:rFonts w:ascii="仿宋" w:hAnsi="仿宋" w:eastAsia="仿宋"/>
                <w:b/>
                <w:color w:val="000000" w:themeColor="text1"/>
                <w:sz w:val="24"/>
                <w:highlight w:val="none"/>
              </w:rPr>
              <w:t>序号</w:t>
            </w:r>
          </w:p>
        </w:tc>
        <w:tc>
          <w:tcPr>
            <w:tcW w:w="7954" w:type="dxa"/>
            <w:gridSpan w:val="2"/>
            <w:tcBorders>
              <w:top w:val="double" w:color="auto" w:sz="6" w:space="0"/>
              <w:bottom w:val="single" w:color="auto" w:sz="6" w:space="0"/>
            </w:tcBorders>
            <w:shd w:val="clear" w:color="auto" w:fill="DAECFF"/>
            <w:vAlign w:val="center"/>
          </w:tcPr>
          <w:p w14:paraId="5876E6B6">
            <w:pPr>
              <w:jc w:val="center"/>
              <w:rPr>
                <w:rFonts w:hint="eastAsia" w:ascii="微软雅黑" w:hAnsi="微软雅黑" w:eastAsia="微软雅黑"/>
                <w:b/>
                <w:color w:val="000000" w:themeColor="text1"/>
                <w:sz w:val="28"/>
                <w:szCs w:val="28"/>
                <w:highlight w:val="none"/>
              </w:rPr>
            </w:pPr>
            <w:r>
              <w:rPr>
                <w:rFonts w:hint="eastAsia" w:ascii="微软雅黑" w:hAnsi="微软雅黑" w:eastAsia="微软雅黑"/>
                <w:b/>
                <w:color w:val="000000" w:themeColor="text1"/>
                <w:sz w:val="28"/>
                <w:szCs w:val="28"/>
                <w:highlight w:val="none"/>
              </w:rPr>
              <w:t>《资格文件》 组成内容</w:t>
            </w:r>
          </w:p>
        </w:tc>
        <w:tc>
          <w:tcPr>
            <w:tcW w:w="1247" w:type="dxa"/>
            <w:tcBorders>
              <w:top w:val="double" w:color="auto" w:sz="6" w:space="0"/>
              <w:bottom w:val="single" w:color="auto" w:sz="6" w:space="0"/>
            </w:tcBorders>
            <w:shd w:val="clear" w:color="auto" w:fill="DAECFF"/>
            <w:vAlign w:val="center"/>
          </w:tcPr>
          <w:p w14:paraId="0DC194DB">
            <w:pPr>
              <w:jc w:val="center"/>
              <w:rPr>
                <w:rFonts w:hint="eastAsia" w:ascii="仿宋" w:hAnsi="仿宋" w:eastAsia="仿宋"/>
                <w:b/>
                <w:color w:val="000000" w:themeColor="text1"/>
                <w:sz w:val="24"/>
                <w:szCs w:val="24"/>
                <w:highlight w:val="none"/>
              </w:rPr>
            </w:pPr>
            <w:r>
              <w:rPr>
                <w:rFonts w:ascii="仿宋" w:hAnsi="仿宋" w:eastAsia="仿宋"/>
                <w:b/>
                <w:color w:val="000000" w:themeColor="text1"/>
                <w:sz w:val="24"/>
                <w:szCs w:val="24"/>
                <w:highlight w:val="none"/>
              </w:rPr>
              <w:t>是否提供格式</w:t>
            </w:r>
          </w:p>
        </w:tc>
      </w:tr>
      <w:tr w14:paraId="3E89F76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836" w:type="dxa"/>
            <w:vMerge w:val="restart"/>
            <w:tcBorders>
              <w:top w:val="single" w:color="auto" w:sz="6" w:space="0"/>
            </w:tcBorders>
            <w:shd w:val="clear" w:color="auto" w:fill="FFFFFF"/>
            <w:vAlign w:val="center"/>
          </w:tcPr>
          <w:p w14:paraId="03EE0408">
            <w:pPr>
              <w:spacing w:line="360" w:lineRule="auto"/>
              <w:jc w:val="center"/>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1</w:t>
            </w:r>
          </w:p>
        </w:tc>
        <w:tc>
          <w:tcPr>
            <w:tcW w:w="1858" w:type="dxa"/>
            <w:vMerge w:val="restart"/>
            <w:tcBorders>
              <w:top w:val="single" w:color="auto" w:sz="6" w:space="0"/>
            </w:tcBorders>
            <w:shd w:val="clear" w:color="auto" w:fill="FFFFFF"/>
            <w:vAlign w:val="center"/>
          </w:tcPr>
          <w:p w14:paraId="7685E631">
            <w:pPr>
              <w:jc w:val="left"/>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基本资格要求      （证明材料）</w:t>
            </w:r>
          </w:p>
        </w:tc>
        <w:tc>
          <w:tcPr>
            <w:tcW w:w="6096" w:type="dxa"/>
            <w:tcBorders>
              <w:top w:val="single" w:color="auto" w:sz="6" w:space="0"/>
            </w:tcBorders>
            <w:shd w:val="clear" w:color="auto" w:fill="FFFFFF"/>
            <w:vAlign w:val="center"/>
          </w:tcPr>
          <w:p w14:paraId="652297FA">
            <w:pPr>
              <w:snapToGrid w:val="0"/>
              <w:spacing w:line="300" w:lineRule="auto"/>
              <w:jc w:val="left"/>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w:t>
            </w:r>
            <w:r>
              <w:rPr>
                <w:rFonts w:ascii="仿宋" w:hAnsi="仿宋" w:eastAsia="仿宋"/>
                <w:color w:val="000000" w:themeColor="text1"/>
                <w:sz w:val="24"/>
                <w:szCs w:val="24"/>
                <w:highlight w:val="none"/>
              </w:rPr>
              <w:t>（</w:t>
            </w:r>
            <w:r>
              <w:rPr>
                <w:rFonts w:hint="eastAsia" w:ascii="仿宋" w:hAnsi="仿宋" w:eastAsia="仿宋"/>
                <w:color w:val="000000" w:themeColor="text1"/>
                <w:sz w:val="24"/>
                <w:szCs w:val="24"/>
                <w:highlight w:val="none"/>
              </w:rPr>
              <w:t>1</w:t>
            </w:r>
            <w:r>
              <w:rPr>
                <w:rFonts w:ascii="仿宋" w:hAnsi="仿宋" w:eastAsia="仿宋"/>
                <w:color w:val="000000" w:themeColor="text1"/>
                <w:sz w:val="24"/>
                <w:szCs w:val="24"/>
                <w:highlight w:val="none"/>
              </w:rPr>
              <w:t>）</w:t>
            </w:r>
            <w:r>
              <w:rPr>
                <w:rFonts w:hint="eastAsia" w:ascii="仿宋" w:hAnsi="仿宋" w:eastAsia="仿宋"/>
                <w:color w:val="000000" w:themeColor="text1"/>
                <w:sz w:val="24"/>
                <w:szCs w:val="24"/>
                <w:highlight w:val="none"/>
              </w:rPr>
              <w:t>营业执照复印件。</w:t>
            </w:r>
          </w:p>
        </w:tc>
        <w:tc>
          <w:tcPr>
            <w:tcW w:w="1247" w:type="dxa"/>
            <w:tcBorders>
              <w:top w:val="single" w:color="auto" w:sz="6" w:space="0"/>
            </w:tcBorders>
            <w:shd w:val="clear" w:color="auto" w:fill="FFFFFF"/>
            <w:vAlign w:val="center"/>
          </w:tcPr>
          <w:p w14:paraId="31793F8F">
            <w:pPr>
              <w:spacing w:line="360" w:lineRule="auto"/>
              <w:jc w:val="center"/>
              <w:rPr>
                <w:rFonts w:hint="eastAsia" w:ascii="仿宋" w:hAnsi="仿宋" w:eastAsia="仿宋"/>
                <w:b/>
                <w:color w:val="000000" w:themeColor="text1"/>
                <w:sz w:val="24"/>
                <w:szCs w:val="24"/>
                <w:highlight w:val="none"/>
              </w:rPr>
            </w:pPr>
            <w:r>
              <w:rPr>
                <w:rFonts w:hint="eastAsia" w:ascii="仿宋" w:hAnsi="仿宋" w:eastAsia="仿宋"/>
                <w:b/>
                <w:color w:val="000000" w:themeColor="text1"/>
                <w:sz w:val="24"/>
                <w:szCs w:val="24"/>
                <w:highlight w:val="none"/>
              </w:rPr>
              <w:t>/</w:t>
            </w:r>
          </w:p>
        </w:tc>
      </w:tr>
      <w:tr w14:paraId="631ED83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92" w:hRule="atLeast"/>
          <w:jc w:val="center"/>
        </w:trPr>
        <w:tc>
          <w:tcPr>
            <w:tcW w:w="836" w:type="dxa"/>
            <w:vMerge w:val="continue"/>
            <w:shd w:val="clear" w:color="auto" w:fill="FFFFFF"/>
            <w:vAlign w:val="center"/>
          </w:tcPr>
          <w:p w14:paraId="5F915E43">
            <w:pPr>
              <w:spacing w:line="360" w:lineRule="auto"/>
              <w:jc w:val="center"/>
              <w:rPr>
                <w:rFonts w:hint="eastAsia" w:ascii="仿宋" w:hAnsi="仿宋" w:eastAsia="仿宋"/>
                <w:b/>
                <w:color w:val="000000" w:themeColor="text1"/>
                <w:sz w:val="24"/>
                <w:szCs w:val="24"/>
                <w:highlight w:val="none"/>
              </w:rPr>
            </w:pPr>
          </w:p>
        </w:tc>
        <w:tc>
          <w:tcPr>
            <w:tcW w:w="1858" w:type="dxa"/>
            <w:vMerge w:val="continue"/>
            <w:shd w:val="clear" w:color="auto" w:fill="FFFFFF"/>
            <w:vAlign w:val="center"/>
          </w:tcPr>
          <w:p w14:paraId="218C0918">
            <w:pPr>
              <w:spacing w:line="360" w:lineRule="auto"/>
              <w:jc w:val="left"/>
              <w:rPr>
                <w:rFonts w:hint="eastAsia" w:ascii="仿宋" w:hAnsi="仿宋" w:eastAsia="仿宋"/>
                <w:b/>
                <w:color w:val="000000" w:themeColor="text1"/>
                <w:sz w:val="24"/>
                <w:szCs w:val="24"/>
                <w:highlight w:val="none"/>
              </w:rPr>
            </w:pPr>
          </w:p>
        </w:tc>
        <w:tc>
          <w:tcPr>
            <w:tcW w:w="6096" w:type="dxa"/>
            <w:shd w:val="clear" w:color="auto" w:fill="FFFFFF"/>
            <w:vAlign w:val="center"/>
          </w:tcPr>
          <w:p w14:paraId="0CAEAD2A">
            <w:pPr>
              <w:spacing w:line="360" w:lineRule="auto"/>
              <w:jc w:val="left"/>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★（2）符合参与采购活动资格条件的承诺函；</w:t>
            </w:r>
            <w:r>
              <w:rPr>
                <w:rFonts w:hint="eastAsia" w:ascii="仿宋" w:hAnsi="仿宋" w:eastAsia="仿宋" w:cs="Arial"/>
                <w:b/>
                <w:color w:val="000000" w:themeColor="text1"/>
                <w:sz w:val="24"/>
                <w:highlight w:val="none"/>
              </w:rPr>
              <w:t>（</w:t>
            </w:r>
            <w:r>
              <w:rPr>
                <w:rFonts w:hint="eastAsia" w:ascii="仿宋" w:hAnsi="仿宋" w:eastAsia="仿宋" w:cs="Arial"/>
                <w:b/>
                <w:color w:val="000000" w:themeColor="text1"/>
                <w:sz w:val="24"/>
                <w:highlight w:val="none"/>
                <w:u w:val="single"/>
              </w:rPr>
              <w:t>格式见第六章</w:t>
            </w:r>
            <w:r>
              <w:rPr>
                <w:rFonts w:hint="eastAsia" w:ascii="仿宋" w:hAnsi="仿宋" w:eastAsia="仿宋" w:cs="Arial"/>
                <w:b/>
                <w:color w:val="000000" w:themeColor="text1"/>
                <w:sz w:val="24"/>
                <w:highlight w:val="none"/>
              </w:rPr>
              <w:t>）</w:t>
            </w:r>
            <w:r>
              <w:rPr>
                <w:rFonts w:hint="eastAsia" w:ascii="仿宋" w:hAnsi="仿宋" w:eastAsia="仿宋" w:cs="Arial"/>
                <w:color w:val="000000" w:themeColor="text1"/>
                <w:sz w:val="24"/>
                <w:highlight w:val="none"/>
              </w:rPr>
              <w:t>；</w:t>
            </w:r>
          </w:p>
        </w:tc>
        <w:tc>
          <w:tcPr>
            <w:tcW w:w="1247" w:type="dxa"/>
            <w:shd w:val="clear" w:color="auto" w:fill="FFFFFF"/>
            <w:vAlign w:val="center"/>
          </w:tcPr>
          <w:p w14:paraId="1EA0FAC8">
            <w:pPr>
              <w:spacing w:line="360" w:lineRule="auto"/>
              <w:jc w:val="center"/>
              <w:rPr>
                <w:rFonts w:hint="eastAsia" w:ascii="仿宋" w:hAnsi="仿宋" w:eastAsia="仿宋"/>
                <w:b/>
                <w:color w:val="000000" w:themeColor="text1"/>
                <w:sz w:val="24"/>
                <w:szCs w:val="24"/>
                <w:highlight w:val="none"/>
              </w:rPr>
            </w:pPr>
            <w:r>
              <w:rPr>
                <w:rFonts w:ascii="仿宋" w:hAnsi="仿宋" w:eastAsia="仿宋"/>
                <w:b/>
                <w:color w:val="000000" w:themeColor="text1"/>
                <w:sz w:val="24"/>
                <w:szCs w:val="24"/>
                <w:highlight w:val="none"/>
              </w:rPr>
              <w:t>提供</w:t>
            </w:r>
          </w:p>
        </w:tc>
      </w:tr>
      <w:tr w14:paraId="5EE1903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78" w:hRule="atLeast"/>
          <w:jc w:val="center"/>
        </w:trPr>
        <w:tc>
          <w:tcPr>
            <w:tcW w:w="836" w:type="dxa"/>
            <w:shd w:val="clear" w:color="auto" w:fill="FFFFFF"/>
            <w:vAlign w:val="center"/>
          </w:tcPr>
          <w:p w14:paraId="693583D7">
            <w:pPr>
              <w:spacing w:line="360" w:lineRule="auto"/>
              <w:jc w:val="center"/>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2</w:t>
            </w:r>
          </w:p>
        </w:tc>
        <w:tc>
          <w:tcPr>
            <w:tcW w:w="1858" w:type="dxa"/>
            <w:shd w:val="clear" w:color="auto" w:fill="FFFFFF"/>
            <w:vAlign w:val="center"/>
          </w:tcPr>
          <w:p w14:paraId="00D6E457">
            <w:pPr>
              <w:jc w:val="left"/>
              <w:rPr>
                <w:rFonts w:hint="eastAsia" w:ascii="仿宋" w:hAnsi="仿宋" w:eastAsia="仿宋"/>
                <w:color w:val="000000" w:themeColor="text1"/>
                <w:sz w:val="24"/>
                <w:szCs w:val="24"/>
                <w:highlight w:val="none"/>
              </w:rPr>
            </w:pPr>
            <w:r>
              <w:rPr>
                <w:rFonts w:hint="eastAsia" w:ascii="仿宋" w:hAnsi="仿宋" w:eastAsia="仿宋" w:cs="仿宋_GB2312"/>
                <w:color w:val="000000" w:themeColor="text1"/>
                <w:sz w:val="24"/>
                <w:highlight w:val="none"/>
              </w:rPr>
              <w:t>特定资格要求（证明材料）</w:t>
            </w:r>
          </w:p>
        </w:tc>
        <w:tc>
          <w:tcPr>
            <w:tcW w:w="6096" w:type="dxa"/>
            <w:shd w:val="clear" w:color="auto" w:fill="FFFFFF"/>
            <w:vAlign w:val="center"/>
          </w:tcPr>
          <w:p w14:paraId="0388D10A">
            <w:pPr>
              <w:spacing w:line="360" w:lineRule="auto"/>
              <w:jc w:val="left"/>
              <w:rPr>
                <w:rFonts w:hint="eastAsia" w:ascii="仿宋" w:hAnsi="仿宋" w:eastAsia="仿宋"/>
                <w:b/>
                <w:color w:val="000000" w:themeColor="text1"/>
                <w:sz w:val="24"/>
                <w:szCs w:val="24"/>
                <w:highlight w:val="none"/>
              </w:rPr>
            </w:pPr>
            <w:r>
              <w:rPr>
                <w:rFonts w:ascii="仿宋" w:hAnsi="仿宋" w:eastAsia="仿宋"/>
                <w:b/>
                <w:color w:val="000000" w:themeColor="text1"/>
                <w:sz w:val="24"/>
                <w:szCs w:val="24"/>
                <w:highlight w:val="none"/>
              </w:rPr>
              <w:t>无</w:t>
            </w:r>
          </w:p>
        </w:tc>
        <w:tc>
          <w:tcPr>
            <w:tcW w:w="1247" w:type="dxa"/>
            <w:shd w:val="clear" w:color="auto" w:fill="FFFFFF"/>
            <w:vAlign w:val="center"/>
          </w:tcPr>
          <w:p w14:paraId="31C653FD">
            <w:pPr>
              <w:spacing w:line="360" w:lineRule="auto"/>
              <w:jc w:val="center"/>
              <w:rPr>
                <w:rFonts w:hint="eastAsia" w:ascii="仿宋" w:hAnsi="仿宋" w:eastAsia="仿宋"/>
                <w:b/>
                <w:color w:val="000000" w:themeColor="text1"/>
                <w:sz w:val="24"/>
                <w:szCs w:val="24"/>
                <w:highlight w:val="none"/>
              </w:rPr>
            </w:pPr>
            <w:r>
              <w:rPr>
                <w:rFonts w:hint="eastAsia" w:ascii="仿宋" w:hAnsi="仿宋" w:eastAsia="仿宋"/>
                <w:b/>
                <w:color w:val="000000" w:themeColor="text1"/>
                <w:sz w:val="24"/>
                <w:szCs w:val="24"/>
                <w:highlight w:val="none"/>
              </w:rPr>
              <w:t>/</w:t>
            </w:r>
          </w:p>
        </w:tc>
      </w:tr>
      <w:tr w14:paraId="53052E9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254" w:hRule="atLeast"/>
          <w:jc w:val="center"/>
        </w:trPr>
        <w:tc>
          <w:tcPr>
            <w:tcW w:w="10037" w:type="dxa"/>
            <w:gridSpan w:val="4"/>
            <w:shd w:val="clear" w:color="auto" w:fill="FFFFFF"/>
            <w:vAlign w:val="center"/>
          </w:tcPr>
          <w:p w14:paraId="3F6909A0">
            <w:pPr>
              <w:spacing w:line="276" w:lineRule="auto"/>
              <w:rPr>
                <w:rFonts w:hint="eastAsia" w:ascii="仿宋" w:hAnsi="仿宋" w:eastAsia="仿宋"/>
                <w:i/>
                <w:color w:val="000000" w:themeColor="text1"/>
                <w:sz w:val="24"/>
                <w:szCs w:val="24"/>
                <w:highlight w:val="none"/>
              </w:rPr>
            </w:pPr>
            <w:r>
              <w:rPr>
                <w:rFonts w:ascii="仿宋" w:hAnsi="仿宋" w:eastAsia="仿宋"/>
                <w:i/>
                <w:color w:val="000000" w:themeColor="text1"/>
                <w:sz w:val="24"/>
                <w:szCs w:val="24"/>
                <w:highlight w:val="none"/>
              </w:rPr>
              <w:t>注：</w:t>
            </w:r>
            <w:r>
              <w:rPr>
                <w:rFonts w:ascii="仿宋" w:hAnsi="仿宋" w:eastAsia="仿宋"/>
                <w:i/>
                <w:color w:val="000000" w:themeColor="text1"/>
                <w:sz w:val="24"/>
                <w:szCs w:val="24"/>
                <w:highlight w:val="none"/>
                <w:u w:val="single"/>
              </w:rPr>
              <w:t>招标文件已提供格式的，</w:t>
            </w:r>
            <w:r>
              <w:rPr>
                <w:rFonts w:hint="eastAsia" w:ascii="仿宋" w:hAnsi="仿宋" w:eastAsia="仿宋" w:cs="仿宋_GB2312"/>
                <w:i/>
                <w:color w:val="000000" w:themeColor="text1"/>
                <w:sz w:val="24"/>
                <w:szCs w:val="24"/>
                <w:highlight w:val="none"/>
                <w:u w:val="single"/>
                <w:lang w:val="zh-CN"/>
              </w:rPr>
              <w:t>投标人须按格式要求进行填写并加盖单位公章，不得自行更</w:t>
            </w:r>
            <w:r>
              <w:rPr>
                <w:rFonts w:hint="eastAsia" w:ascii="仿宋" w:hAnsi="仿宋" w:eastAsia="仿宋"/>
                <w:i/>
                <w:color w:val="000000" w:themeColor="text1"/>
                <w:sz w:val="24"/>
                <w:szCs w:val="24"/>
                <w:highlight w:val="none"/>
                <w:u w:val="single"/>
              </w:rPr>
              <w:t>改，否则视同未提供；</w:t>
            </w:r>
            <w:r>
              <w:rPr>
                <w:rFonts w:ascii="仿宋" w:hAnsi="仿宋" w:eastAsia="仿宋"/>
                <w:i/>
                <w:color w:val="000000" w:themeColor="text1"/>
                <w:sz w:val="24"/>
                <w:szCs w:val="24"/>
                <w:highlight w:val="none"/>
                <w:u w:val="single"/>
              </w:rPr>
              <w:t>投标人未按照上述要求提供</w:t>
            </w:r>
            <w:r>
              <w:rPr>
                <w:rFonts w:hint="eastAsia" w:ascii="仿宋" w:hAnsi="仿宋" w:eastAsia="仿宋"/>
                <w:i/>
                <w:color w:val="000000" w:themeColor="text1"/>
                <w:sz w:val="24"/>
                <w:szCs w:val="24"/>
                <w:highlight w:val="none"/>
                <w:u w:val="single"/>
              </w:rPr>
              <w:t>相应的有效资格证明材料的，视为投标人不具备招标文件中规定的资格要求，其投标无效</w:t>
            </w:r>
            <w:r>
              <w:rPr>
                <w:rFonts w:hint="eastAsia" w:ascii="仿宋" w:hAnsi="仿宋" w:eastAsia="仿宋"/>
                <w:i/>
                <w:color w:val="000000" w:themeColor="text1"/>
                <w:sz w:val="24"/>
                <w:szCs w:val="24"/>
                <w:highlight w:val="none"/>
              </w:rPr>
              <w:t>。</w:t>
            </w:r>
          </w:p>
        </w:tc>
      </w:tr>
    </w:tbl>
    <w:p w14:paraId="7083255B">
      <w:pPr>
        <w:spacing w:after="260" w:line="500" w:lineRule="exact"/>
        <w:jc w:val="center"/>
        <w:rPr>
          <w:rFonts w:hint="eastAsia" w:ascii="仿宋" w:hAnsi="仿宋" w:eastAsia="仿宋"/>
          <w:b/>
          <w:color w:val="000000" w:themeColor="text1"/>
          <w:sz w:val="32"/>
          <w:szCs w:val="32"/>
          <w:highlight w:val="none"/>
        </w:rPr>
        <w:sectPr>
          <w:pgSz w:w="11906" w:h="16838"/>
          <w:pgMar w:top="1021" w:right="1247" w:bottom="1021" w:left="1247" w:header="567" w:footer="454" w:gutter="0"/>
          <w:pgNumType w:fmt="numberInDash"/>
          <w:cols w:space="720" w:num="1"/>
          <w:titlePg/>
          <w:docGrid w:type="lines" w:linePitch="312" w:charSpace="0"/>
        </w:sectPr>
      </w:pPr>
    </w:p>
    <w:p w14:paraId="5636B3E2">
      <w:pPr>
        <w:spacing w:after="260" w:line="500" w:lineRule="exact"/>
        <w:jc w:val="center"/>
        <w:rPr>
          <w:rFonts w:hint="eastAsia" w:ascii="微软雅黑" w:hAnsi="微软雅黑" w:eastAsia="微软雅黑"/>
          <w:b/>
          <w:color w:val="000000" w:themeColor="text1"/>
          <w:sz w:val="40"/>
          <w:highlight w:val="none"/>
        </w:rPr>
      </w:pPr>
      <w:r>
        <w:rPr>
          <w:rFonts w:hint="eastAsia" w:ascii="仿宋" w:hAnsi="仿宋" w:eastAsia="仿宋"/>
          <w:b/>
          <w:color w:val="000000" w:themeColor="text1"/>
          <w:sz w:val="32"/>
          <w:szCs w:val="32"/>
          <w:highlight w:val="none"/>
        </w:rPr>
        <w:t>1</w:t>
      </w:r>
      <w:r>
        <w:rPr>
          <w:rFonts w:ascii="仿宋" w:hAnsi="仿宋" w:eastAsia="仿宋"/>
          <w:b/>
          <w:color w:val="000000" w:themeColor="text1"/>
          <w:sz w:val="32"/>
          <w:szCs w:val="32"/>
          <w:highlight w:val="none"/>
        </w:rPr>
        <w:t>、符合参与采购活动资格条件的承诺函</w:t>
      </w:r>
    </w:p>
    <w:p w14:paraId="1FBECD2D">
      <w:pPr>
        <w:spacing w:line="360" w:lineRule="auto"/>
        <w:rPr>
          <w:rFonts w:hint="eastAsia" w:ascii="仿宋" w:hAnsi="仿宋" w:eastAsia="仿宋" w:cs="宋体"/>
          <w:b/>
          <w:color w:val="000000" w:themeColor="text1"/>
          <w:sz w:val="24"/>
          <w:szCs w:val="24"/>
          <w:highlight w:val="none"/>
        </w:rPr>
      </w:pPr>
      <w:r>
        <w:rPr>
          <w:rFonts w:hint="eastAsia" w:ascii="仿宋" w:hAnsi="仿宋" w:eastAsia="仿宋"/>
          <w:color w:val="000000" w:themeColor="text1"/>
          <w:sz w:val="24"/>
          <w:szCs w:val="24"/>
          <w:highlight w:val="none"/>
        </w:rPr>
        <w:t>诸暨市安华农贸市场</w:t>
      </w:r>
      <w:r>
        <w:rPr>
          <w:rFonts w:hint="eastAsia" w:ascii="仿宋" w:hAnsi="仿宋" w:eastAsia="仿宋" w:cs="宋体"/>
          <w:b/>
          <w:color w:val="000000" w:themeColor="text1"/>
          <w:sz w:val="24"/>
          <w:szCs w:val="24"/>
          <w:highlight w:val="none"/>
        </w:rPr>
        <w:t>、</w:t>
      </w:r>
      <w:r>
        <w:rPr>
          <w:rFonts w:hint="eastAsia" w:ascii="仿宋" w:hAnsi="仿宋" w:eastAsia="仿宋" w:cs="宋体"/>
          <w:color w:val="000000" w:themeColor="text1"/>
          <w:spacing w:val="8"/>
          <w:sz w:val="24"/>
          <w:szCs w:val="24"/>
          <w:highlight w:val="none"/>
        </w:rPr>
        <w:t>浙江新顺项目管理有限公司：</w:t>
      </w:r>
    </w:p>
    <w:p w14:paraId="3CFDCB38">
      <w:pPr>
        <w:spacing w:line="360" w:lineRule="auto"/>
        <w:ind w:firstLine="512" w:firstLineChars="200"/>
        <w:rPr>
          <w:rFonts w:hint="eastAsia" w:ascii="仿宋" w:hAnsi="仿宋" w:eastAsia="仿宋" w:cs="宋体"/>
          <w:color w:val="000000" w:themeColor="text1"/>
          <w:spacing w:val="8"/>
          <w:sz w:val="24"/>
          <w:szCs w:val="24"/>
          <w:highlight w:val="none"/>
        </w:rPr>
      </w:pPr>
      <w:r>
        <w:rPr>
          <w:rFonts w:hint="eastAsia" w:ascii="仿宋" w:hAnsi="仿宋" w:eastAsia="仿宋" w:cs="宋体"/>
          <w:color w:val="000000" w:themeColor="text1"/>
          <w:spacing w:val="8"/>
          <w:sz w:val="24"/>
          <w:szCs w:val="24"/>
          <w:highlight w:val="none"/>
        </w:rPr>
        <w:t>我方参与</w:t>
      </w:r>
      <w:r>
        <w:rPr>
          <w:rFonts w:hint="eastAsia" w:ascii="仿宋" w:hAnsi="仿宋" w:eastAsia="仿宋" w:cs="宋体"/>
          <w:i/>
          <w:color w:val="000000" w:themeColor="text1"/>
          <w:spacing w:val="8"/>
          <w:sz w:val="24"/>
          <w:szCs w:val="24"/>
          <w:highlight w:val="none"/>
          <w:u w:val="single"/>
        </w:rPr>
        <w:t>（项目名称）   （项目编号：浙江新顺2024-</w:t>
      </w:r>
      <w:r>
        <w:rPr>
          <w:rFonts w:hint="eastAsia" w:ascii="仿宋" w:hAnsi="仿宋" w:eastAsia="仿宋"/>
          <w:i/>
          <w:color w:val="000000" w:themeColor="text1"/>
          <w:sz w:val="24"/>
          <w:szCs w:val="24"/>
          <w:highlight w:val="none"/>
          <w:u w:val="single"/>
        </w:rPr>
        <w:t>____</w:t>
      </w:r>
      <w:r>
        <w:rPr>
          <w:rFonts w:hint="eastAsia" w:ascii="仿宋" w:hAnsi="仿宋" w:eastAsia="仿宋" w:cs="宋体"/>
          <w:i/>
          <w:color w:val="000000" w:themeColor="text1"/>
          <w:spacing w:val="8"/>
          <w:sz w:val="24"/>
          <w:szCs w:val="24"/>
          <w:highlight w:val="none"/>
          <w:u w:val="single"/>
        </w:rPr>
        <w:t>-</w:t>
      </w:r>
      <w:r>
        <w:rPr>
          <w:rFonts w:hint="eastAsia" w:ascii="仿宋" w:hAnsi="仿宋" w:eastAsia="仿宋"/>
          <w:i/>
          <w:color w:val="000000" w:themeColor="text1"/>
          <w:sz w:val="24"/>
          <w:szCs w:val="24"/>
          <w:highlight w:val="none"/>
          <w:u w:val="single"/>
        </w:rPr>
        <w:t>____</w:t>
      </w:r>
      <w:r>
        <w:rPr>
          <w:rFonts w:hint="eastAsia" w:ascii="仿宋" w:hAnsi="仿宋" w:eastAsia="仿宋" w:cs="宋体"/>
          <w:i/>
          <w:color w:val="000000" w:themeColor="text1"/>
          <w:spacing w:val="8"/>
          <w:sz w:val="24"/>
          <w:szCs w:val="24"/>
          <w:highlight w:val="none"/>
          <w:u w:val="single"/>
        </w:rPr>
        <w:t>）</w:t>
      </w:r>
      <w:r>
        <w:rPr>
          <w:rFonts w:hint="eastAsia" w:ascii="仿宋" w:hAnsi="仿宋" w:eastAsia="仿宋" w:cs="宋体"/>
          <w:color w:val="000000" w:themeColor="text1"/>
          <w:spacing w:val="8"/>
          <w:sz w:val="24"/>
          <w:szCs w:val="24"/>
          <w:highlight w:val="none"/>
        </w:rPr>
        <w:t>采购活动，郑重承诺：</w:t>
      </w:r>
    </w:p>
    <w:p w14:paraId="43D5821A">
      <w:pPr>
        <w:spacing w:line="360" w:lineRule="auto"/>
        <w:ind w:firstLine="512" w:firstLineChars="200"/>
        <w:rPr>
          <w:rFonts w:hint="eastAsia" w:ascii="仿宋" w:hAnsi="仿宋" w:eastAsia="仿宋" w:cs="宋体"/>
          <w:color w:val="000000" w:themeColor="text1"/>
          <w:spacing w:val="8"/>
          <w:sz w:val="24"/>
          <w:szCs w:val="24"/>
          <w:highlight w:val="none"/>
        </w:rPr>
      </w:pPr>
      <w:r>
        <w:rPr>
          <w:rFonts w:hint="eastAsia" w:ascii="仿宋" w:hAnsi="仿宋" w:eastAsia="仿宋" w:cs="宋体"/>
          <w:color w:val="000000" w:themeColor="text1"/>
          <w:spacing w:val="8"/>
          <w:sz w:val="24"/>
          <w:szCs w:val="24"/>
          <w:highlight w:val="none"/>
        </w:rPr>
        <w:t>（一）我方具备</w:t>
      </w:r>
      <w:r>
        <w:rPr>
          <w:rFonts w:hint="eastAsia" w:ascii="仿宋" w:hAnsi="仿宋" w:eastAsia="仿宋" w:cs="Arial"/>
          <w:color w:val="000000" w:themeColor="text1"/>
          <w:sz w:val="24"/>
          <w:szCs w:val="24"/>
          <w:highlight w:val="none"/>
          <w:u w:val="single"/>
        </w:rPr>
        <w:t>“</w:t>
      </w:r>
      <w:r>
        <w:rPr>
          <w:rFonts w:hint="eastAsia" w:ascii="仿宋" w:hAnsi="仿宋" w:eastAsia="仿宋"/>
          <w:color w:val="000000" w:themeColor="text1"/>
          <w:sz w:val="24"/>
          <w:szCs w:val="24"/>
          <w:highlight w:val="none"/>
          <w:u w:val="single"/>
        </w:rPr>
        <w:t>投标人</w:t>
      </w:r>
      <w:r>
        <w:rPr>
          <w:rFonts w:hint="eastAsia" w:ascii="仿宋" w:hAnsi="仿宋" w:eastAsia="仿宋" w:cs="Arial"/>
          <w:color w:val="000000" w:themeColor="text1"/>
          <w:sz w:val="24"/>
          <w:szCs w:val="24"/>
          <w:highlight w:val="none"/>
          <w:u w:val="single"/>
        </w:rPr>
        <w:t>资格要求”</w:t>
      </w:r>
      <w:r>
        <w:rPr>
          <w:rFonts w:hint="eastAsia" w:ascii="仿宋" w:hAnsi="仿宋" w:eastAsia="仿宋" w:cs="宋体"/>
          <w:color w:val="000000" w:themeColor="text1"/>
          <w:spacing w:val="8"/>
          <w:sz w:val="24"/>
          <w:szCs w:val="24"/>
          <w:highlight w:val="none"/>
        </w:rPr>
        <w:t>第一条规定的条件：</w:t>
      </w:r>
    </w:p>
    <w:p w14:paraId="5489B250">
      <w:pPr>
        <w:spacing w:line="360" w:lineRule="auto"/>
        <w:ind w:firstLine="512" w:firstLineChars="200"/>
        <w:rPr>
          <w:rFonts w:hint="eastAsia" w:ascii="仿宋" w:hAnsi="仿宋" w:eastAsia="仿宋" w:cs="宋体"/>
          <w:color w:val="000000" w:themeColor="text1"/>
          <w:spacing w:val="8"/>
          <w:sz w:val="24"/>
          <w:szCs w:val="24"/>
          <w:highlight w:val="none"/>
        </w:rPr>
      </w:pPr>
      <w:r>
        <w:rPr>
          <w:rFonts w:hint="eastAsia" w:ascii="仿宋" w:hAnsi="仿宋" w:eastAsia="仿宋" w:cs="宋体"/>
          <w:color w:val="000000" w:themeColor="text1"/>
          <w:spacing w:val="8"/>
          <w:sz w:val="24"/>
          <w:szCs w:val="24"/>
          <w:highlight w:val="none"/>
        </w:rPr>
        <w:t>1.具有独立承担民事责任的能力；</w:t>
      </w:r>
    </w:p>
    <w:p w14:paraId="20E8672A">
      <w:pPr>
        <w:spacing w:line="360" w:lineRule="auto"/>
        <w:ind w:firstLine="512" w:firstLineChars="200"/>
        <w:rPr>
          <w:rFonts w:hint="eastAsia" w:ascii="仿宋" w:hAnsi="仿宋" w:eastAsia="仿宋" w:cs="宋体"/>
          <w:color w:val="000000" w:themeColor="text1"/>
          <w:spacing w:val="8"/>
          <w:sz w:val="24"/>
          <w:szCs w:val="24"/>
          <w:highlight w:val="none"/>
        </w:rPr>
      </w:pPr>
      <w:r>
        <w:rPr>
          <w:rFonts w:hint="eastAsia" w:ascii="仿宋" w:hAnsi="仿宋" w:eastAsia="仿宋" w:cs="宋体"/>
          <w:color w:val="000000" w:themeColor="text1"/>
          <w:spacing w:val="8"/>
          <w:sz w:val="24"/>
          <w:szCs w:val="24"/>
          <w:highlight w:val="none"/>
        </w:rPr>
        <w:t>2.具有良好的商业信誉和健全的财务会计制度；</w:t>
      </w:r>
    </w:p>
    <w:p w14:paraId="31263943">
      <w:pPr>
        <w:spacing w:line="360" w:lineRule="auto"/>
        <w:ind w:firstLine="512" w:firstLineChars="200"/>
        <w:rPr>
          <w:rFonts w:hint="eastAsia" w:ascii="仿宋" w:hAnsi="仿宋" w:eastAsia="仿宋" w:cs="宋体"/>
          <w:color w:val="000000" w:themeColor="text1"/>
          <w:spacing w:val="8"/>
          <w:sz w:val="24"/>
          <w:szCs w:val="24"/>
          <w:highlight w:val="none"/>
        </w:rPr>
      </w:pPr>
      <w:r>
        <w:rPr>
          <w:rFonts w:hint="eastAsia" w:ascii="仿宋" w:hAnsi="仿宋" w:eastAsia="仿宋" w:cs="宋体"/>
          <w:color w:val="000000" w:themeColor="text1"/>
          <w:spacing w:val="8"/>
          <w:sz w:val="24"/>
          <w:szCs w:val="24"/>
          <w:highlight w:val="none"/>
        </w:rPr>
        <w:t>3.具有履行合同所必需的设备和专业技术能力；</w:t>
      </w:r>
    </w:p>
    <w:p w14:paraId="41BBB0F0">
      <w:pPr>
        <w:spacing w:line="360" w:lineRule="auto"/>
        <w:ind w:firstLine="512" w:firstLineChars="200"/>
        <w:rPr>
          <w:rFonts w:hint="eastAsia" w:ascii="仿宋" w:hAnsi="仿宋" w:eastAsia="仿宋" w:cs="宋体"/>
          <w:color w:val="000000" w:themeColor="text1"/>
          <w:spacing w:val="8"/>
          <w:sz w:val="24"/>
          <w:szCs w:val="24"/>
          <w:highlight w:val="none"/>
        </w:rPr>
      </w:pPr>
      <w:r>
        <w:rPr>
          <w:rFonts w:hint="eastAsia" w:ascii="仿宋" w:hAnsi="仿宋" w:eastAsia="仿宋" w:cs="宋体"/>
          <w:color w:val="000000" w:themeColor="text1"/>
          <w:spacing w:val="8"/>
          <w:sz w:val="24"/>
          <w:szCs w:val="24"/>
          <w:highlight w:val="none"/>
        </w:rPr>
        <w:t>4.有依法缴纳税收和社会保障资金的良好记录；</w:t>
      </w:r>
    </w:p>
    <w:p w14:paraId="5735D970">
      <w:pPr>
        <w:spacing w:line="360" w:lineRule="auto"/>
        <w:ind w:firstLine="512" w:firstLineChars="200"/>
        <w:rPr>
          <w:rFonts w:hint="eastAsia" w:ascii="仿宋" w:hAnsi="仿宋" w:eastAsia="仿宋" w:cs="宋体"/>
          <w:color w:val="000000" w:themeColor="text1"/>
          <w:spacing w:val="8"/>
          <w:sz w:val="24"/>
          <w:szCs w:val="24"/>
          <w:highlight w:val="none"/>
        </w:rPr>
      </w:pPr>
      <w:r>
        <w:rPr>
          <w:rFonts w:hint="eastAsia" w:ascii="仿宋" w:hAnsi="仿宋" w:eastAsia="仿宋" w:cs="宋体"/>
          <w:color w:val="000000" w:themeColor="text1"/>
          <w:spacing w:val="8"/>
          <w:sz w:val="24"/>
          <w:szCs w:val="24"/>
          <w:highlight w:val="none"/>
        </w:rPr>
        <w:t>5.参加采购活动前三年内，在经营活动中没有重大违法记录；</w:t>
      </w:r>
    </w:p>
    <w:p w14:paraId="17A5AAD9">
      <w:pPr>
        <w:spacing w:line="360" w:lineRule="auto"/>
        <w:ind w:firstLine="512" w:firstLineChars="200"/>
        <w:rPr>
          <w:rFonts w:hint="eastAsia" w:ascii="仿宋" w:hAnsi="仿宋" w:eastAsia="仿宋" w:cs="宋体"/>
          <w:color w:val="000000" w:themeColor="text1"/>
          <w:spacing w:val="8"/>
          <w:sz w:val="24"/>
          <w:szCs w:val="24"/>
          <w:highlight w:val="none"/>
        </w:rPr>
      </w:pPr>
      <w:r>
        <w:rPr>
          <w:rFonts w:hint="eastAsia" w:ascii="仿宋" w:hAnsi="仿宋" w:eastAsia="仿宋" w:cs="宋体"/>
          <w:color w:val="000000" w:themeColor="text1"/>
          <w:spacing w:val="8"/>
          <w:sz w:val="24"/>
          <w:szCs w:val="24"/>
          <w:highlight w:val="none"/>
        </w:rPr>
        <w:t>6.具有法律、行政法规规定的其他条件。</w:t>
      </w:r>
    </w:p>
    <w:p w14:paraId="59B76B31">
      <w:pPr>
        <w:spacing w:line="300" w:lineRule="auto"/>
        <w:ind w:firstLine="512" w:firstLineChars="200"/>
        <w:rPr>
          <w:color w:val="000000" w:themeColor="text1"/>
          <w:highlight w:val="none"/>
        </w:rPr>
      </w:pPr>
      <w:r>
        <w:rPr>
          <w:rFonts w:hint="eastAsia" w:ascii="仿宋" w:hAnsi="仿宋" w:eastAsia="仿宋" w:cs="宋体"/>
          <w:color w:val="000000" w:themeColor="text1"/>
          <w:spacing w:val="8"/>
          <w:sz w:val="24"/>
          <w:szCs w:val="24"/>
          <w:highlight w:val="none"/>
        </w:rPr>
        <w:t>（二）</w:t>
      </w:r>
      <w:r>
        <w:rPr>
          <w:rFonts w:ascii="仿宋" w:hAnsi="仿宋" w:eastAsia="仿宋" w:cs="宋体"/>
          <w:color w:val="000000" w:themeColor="text1"/>
          <w:spacing w:val="8"/>
          <w:sz w:val="24"/>
          <w:szCs w:val="24"/>
          <w:highlight w:val="none"/>
        </w:rPr>
        <w:t>未被“信用中国”</w:t>
      </w:r>
      <w:r>
        <w:rPr>
          <w:rFonts w:hAnsi="仿宋" w:eastAsia="仿宋"/>
          <w:color w:val="000000" w:themeColor="text1"/>
          <w:spacing w:val="8"/>
          <w:highlight w:val="none"/>
        </w:rPr>
        <w:t>（</w:t>
      </w:r>
      <w:r>
        <w:rPr>
          <w:highlight w:val="none"/>
        </w:rPr>
        <w:fldChar w:fldCharType="begin"/>
      </w:r>
      <w:r>
        <w:rPr>
          <w:highlight w:val="none"/>
        </w:rPr>
        <w:instrText xml:space="preserve"> HYPERLINK "http://www.creditchina.gov.cn" </w:instrText>
      </w:r>
      <w:r>
        <w:rPr>
          <w:highlight w:val="none"/>
        </w:rPr>
        <w:fldChar w:fldCharType="separate"/>
      </w:r>
      <w:r>
        <w:rPr>
          <w:rStyle w:val="56"/>
          <w:rFonts w:eastAsia="仿宋"/>
          <w:color w:val="000000" w:themeColor="text1"/>
          <w:spacing w:val="8"/>
          <w:highlight w:val="none"/>
          <w:u w:val="none"/>
        </w:rPr>
        <w:t>www.creditchina.gov.cn</w:t>
      </w:r>
      <w:r>
        <w:rPr>
          <w:rStyle w:val="56"/>
          <w:rFonts w:eastAsia="仿宋"/>
          <w:color w:val="000000" w:themeColor="text1"/>
          <w:spacing w:val="8"/>
          <w:highlight w:val="none"/>
          <w:u w:val="none"/>
        </w:rPr>
        <w:fldChar w:fldCharType="end"/>
      </w:r>
      <w:r>
        <w:rPr>
          <w:rFonts w:hAnsi="仿宋" w:eastAsia="仿宋"/>
          <w:color w:val="000000" w:themeColor="text1"/>
          <w:spacing w:val="8"/>
          <w:highlight w:val="none"/>
        </w:rPr>
        <w:t>）</w:t>
      </w:r>
      <w:r>
        <w:rPr>
          <w:rFonts w:ascii="仿宋" w:hAnsi="仿宋" w:eastAsia="仿宋" w:cs="宋体"/>
          <w:color w:val="000000" w:themeColor="text1"/>
          <w:spacing w:val="8"/>
          <w:sz w:val="24"/>
          <w:szCs w:val="24"/>
          <w:highlight w:val="none"/>
        </w:rPr>
        <w:t>、中国政府采购网</w:t>
      </w:r>
      <w:r>
        <w:rPr>
          <w:rFonts w:hAnsi="仿宋" w:eastAsia="仿宋"/>
          <w:color w:val="000000" w:themeColor="text1"/>
          <w:spacing w:val="8"/>
          <w:highlight w:val="none"/>
        </w:rPr>
        <w:t>（www.ccgp.gov.cn）</w:t>
      </w:r>
      <w:r>
        <w:rPr>
          <w:rFonts w:ascii="仿宋" w:hAnsi="仿宋" w:eastAsia="仿宋" w:cs="宋体"/>
          <w:color w:val="000000" w:themeColor="text1"/>
          <w:spacing w:val="8"/>
          <w:sz w:val="24"/>
          <w:szCs w:val="24"/>
          <w:highlight w:val="none"/>
        </w:rPr>
        <w:t>列入失信被执行人、重大税收违法案件当事人名单、政府采购严重违法失信行为记录名单。</w:t>
      </w:r>
    </w:p>
    <w:p w14:paraId="5E08175E">
      <w:pPr>
        <w:spacing w:line="360" w:lineRule="auto"/>
        <w:ind w:firstLine="512" w:firstLineChars="200"/>
        <w:rPr>
          <w:rFonts w:hint="eastAsia" w:ascii="仿宋" w:hAnsi="仿宋" w:eastAsia="仿宋" w:cs="宋体"/>
          <w:color w:val="000000" w:themeColor="text1"/>
          <w:spacing w:val="8"/>
          <w:sz w:val="24"/>
          <w:szCs w:val="24"/>
          <w:highlight w:val="none"/>
        </w:rPr>
      </w:pPr>
      <w:r>
        <w:rPr>
          <w:rFonts w:hint="eastAsia" w:ascii="仿宋" w:hAnsi="仿宋" w:eastAsia="仿宋" w:cs="宋体"/>
          <w:color w:val="000000" w:themeColor="text1"/>
          <w:spacing w:val="8"/>
          <w:sz w:val="24"/>
          <w:szCs w:val="24"/>
          <w:highlight w:val="none"/>
        </w:rPr>
        <w:t>（三）不存在以下情况：</w:t>
      </w:r>
    </w:p>
    <w:p w14:paraId="29BE9F5C">
      <w:pPr>
        <w:spacing w:line="360" w:lineRule="auto"/>
        <w:ind w:firstLine="512" w:firstLineChars="200"/>
        <w:rPr>
          <w:rFonts w:hint="eastAsia"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1.</w:t>
      </w:r>
      <w:r>
        <w:rPr>
          <w:rFonts w:ascii="仿宋" w:hAnsi="仿宋" w:eastAsia="仿宋" w:cs="宋体"/>
          <w:color w:val="auto"/>
          <w:spacing w:val="8"/>
          <w:sz w:val="24"/>
          <w:szCs w:val="24"/>
          <w:highlight w:val="none"/>
        </w:rPr>
        <w:t>单位负责人为同一人或者存在直接控股、管理关系的不同供应商参加同一合同项下的采购活动的。</w:t>
      </w:r>
    </w:p>
    <w:p w14:paraId="3855532C">
      <w:pPr>
        <w:spacing w:line="360" w:lineRule="auto"/>
        <w:ind w:firstLine="512" w:firstLineChars="200"/>
        <w:rPr>
          <w:rFonts w:hint="eastAsia" w:ascii="仿宋" w:hAnsi="仿宋" w:eastAsia="仿宋" w:cs="宋体"/>
          <w:color w:val="0000FF"/>
          <w:spacing w:val="8"/>
          <w:sz w:val="24"/>
          <w:szCs w:val="24"/>
          <w:highlight w:val="none"/>
        </w:rPr>
      </w:pPr>
      <w:r>
        <w:rPr>
          <w:rFonts w:hint="eastAsia" w:ascii="仿宋" w:hAnsi="仿宋" w:eastAsia="仿宋" w:cs="宋体"/>
          <w:color w:val="auto"/>
          <w:spacing w:val="8"/>
          <w:sz w:val="24"/>
          <w:szCs w:val="24"/>
          <w:highlight w:val="none"/>
        </w:rPr>
        <w:t>2.为采购项目提供整体设计、规范编制或者项目管理、监理、检测等服务后再参加该采购项目的其他采购活动的。</w:t>
      </w:r>
    </w:p>
    <w:p w14:paraId="4E7AF938">
      <w:pPr>
        <w:ind w:firstLine="420" w:firstLineChars="200"/>
        <w:rPr>
          <w:color w:val="000000" w:themeColor="text1"/>
          <w:highlight w:val="none"/>
        </w:rPr>
      </w:pPr>
    </w:p>
    <w:p w14:paraId="6C69146D">
      <w:pPr>
        <w:spacing w:line="480" w:lineRule="auto"/>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投标人名称：_______</w:t>
      </w:r>
      <w:r>
        <w:rPr>
          <w:rFonts w:hint="eastAsia" w:ascii="仿宋" w:hAnsi="仿宋" w:eastAsia="仿宋"/>
          <w:color w:val="000000" w:themeColor="text1"/>
          <w:sz w:val="24"/>
          <w:szCs w:val="24"/>
          <w:highlight w:val="none"/>
          <w:u w:val="single"/>
        </w:rPr>
        <w:t>（盖公章）</w:t>
      </w:r>
      <w:r>
        <w:rPr>
          <w:rFonts w:hint="eastAsia" w:ascii="仿宋" w:hAnsi="仿宋" w:eastAsia="仿宋"/>
          <w:color w:val="000000" w:themeColor="text1"/>
          <w:sz w:val="24"/>
          <w:szCs w:val="24"/>
          <w:highlight w:val="none"/>
        </w:rPr>
        <w:t>______</w:t>
      </w:r>
    </w:p>
    <w:p w14:paraId="356B9107">
      <w:pPr>
        <w:spacing w:line="480" w:lineRule="auto"/>
        <w:rPr>
          <w:rFonts w:hint="eastAsia" w:ascii="仿宋" w:hAnsi="仿宋" w:eastAsia="仿宋"/>
          <w:color w:val="000000" w:themeColor="text1"/>
          <w:sz w:val="24"/>
          <w:szCs w:val="24"/>
          <w:highlight w:val="none"/>
        </w:rPr>
      </w:pPr>
      <w:r>
        <w:rPr>
          <w:rFonts w:hint="eastAsia" w:ascii="仿宋" w:hAnsi="仿宋" w:eastAsia="仿宋"/>
          <w:color w:val="auto"/>
          <w:sz w:val="24"/>
          <w:szCs w:val="24"/>
          <w:highlight w:val="none"/>
        </w:rPr>
        <w:t>投标人代表：</w:t>
      </w:r>
      <w:r>
        <w:rPr>
          <w:rFonts w:hint="eastAsia" w:ascii="仿宋" w:hAnsi="仿宋" w:eastAsia="仿宋"/>
          <w:color w:val="auto"/>
          <w:sz w:val="24"/>
          <w:szCs w:val="24"/>
          <w:highlight w:val="none"/>
          <w:u w:val="single"/>
        </w:rPr>
        <w:t>签字或</w:t>
      </w:r>
      <w:r>
        <w:rPr>
          <w:rFonts w:hint="eastAsia" w:ascii="仿宋" w:hAnsi="仿宋" w:eastAsia="仿宋"/>
          <w:color w:val="000000" w:themeColor="text1"/>
          <w:sz w:val="24"/>
          <w:szCs w:val="24"/>
          <w:highlight w:val="none"/>
          <w:u w:val="single"/>
        </w:rPr>
        <w:t>盖章</w:t>
      </w:r>
    </w:p>
    <w:p w14:paraId="6BF3345E">
      <w:pPr>
        <w:spacing w:after="260" w:line="500" w:lineRule="exact"/>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日期：_____年_____月_____日</w:t>
      </w:r>
    </w:p>
    <w:p w14:paraId="045EB25F">
      <w:pPr>
        <w:spacing w:line="500" w:lineRule="exact"/>
        <w:rPr>
          <w:rFonts w:hint="eastAsia" w:ascii="仿宋" w:hAnsi="仿宋" w:eastAsia="仿宋"/>
          <w:i/>
          <w:color w:val="000000" w:themeColor="text1"/>
          <w:sz w:val="24"/>
          <w:szCs w:val="24"/>
          <w:highlight w:val="none"/>
          <w:u w:val="single"/>
        </w:rPr>
        <w:sectPr>
          <w:pgSz w:w="11906" w:h="16838"/>
          <w:pgMar w:top="1021" w:right="1247" w:bottom="1021" w:left="1247" w:header="567" w:footer="454" w:gutter="0"/>
          <w:pgNumType w:fmt="numberInDash"/>
          <w:cols w:space="720" w:num="1"/>
          <w:titlePg/>
          <w:docGrid w:type="lines" w:linePitch="312" w:charSpace="0"/>
        </w:sectPr>
      </w:pPr>
      <w:r>
        <w:rPr>
          <w:rFonts w:hint="eastAsia" w:ascii="仿宋" w:hAnsi="仿宋" w:eastAsia="仿宋"/>
          <w:i/>
          <w:color w:val="000000" w:themeColor="text1"/>
          <w:sz w:val="24"/>
          <w:szCs w:val="24"/>
          <w:highlight w:val="none"/>
          <w:u w:val="single"/>
        </w:rPr>
        <w:t>注：按本格式要求提供。</w:t>
      </w:r>
    </w:p>
    <w:p w14:paraId="0D841694">
      <w:pPr>
        <w:widowControl/>
        <w:tabs>
          <w:tab w:val="left" w:pos="450"/>
          <w:tab w:val="left" w:pos="2520"/>
          <w:tab w:val="left" w:pos="8280"/>
        </w:tabs>
        <w:spacing w:after="156" w:afterLines="50" w:line="360" w:lineRule="auto"/>
        <w:jc w:val="center"/>
        <w:rPr>
          <w:rFonts w:hint="eastAsia" w:ascii="仿宋" w:hAnsi="仿宋" w:eastAsia="仿宋"/>
          <w:b/>
          <w:color w:val="000000" w:themeColor="text1"/>
          <w:sz w:val="36"/>
          <w:szCs w:val="36"/>
          <w:highlight w:val="none"/>
        </w:rPr>
      </w:pPr>
      <w:r>
        <w:rPr>
          <w:rFonts w:hint="eastAsia" w:ascii="仿宋" w:hAnsi="仿宋" w:eastAsia="仿宋"/>
          <w:b/>
          <w:color w:val="000000" w:themeColor="text1"/>
          <w:sz w:val="36"/>
          <w:szCs w:val="36"/>
          <w:highlight w:val="none"/>
        </w:rPr>
        <w:t>第三部分   商务技术文件组成内容</w:t>
      </w:r>
    </w:p>
    <w:tbl>
      <w:tblPr>
        <w:tblStyle w:val="49"/>
        <w:tblW w:w="9811"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0"/>
        <w:gridCol w:w="1858"/>
        <w:gridCol w:w="6096"/>
        <w:gridCol w:w="1247"/>
      </w:tblGrid>
      <w:tr w14:paraId="5C7CBCA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10" w:type="dxa"/>
            <w:tcBorders>
              <w:top w:val="double" w:color="auto" w:sz="6" w:space="0"/>
              <w:bottom w:val="single" w:color="auto" w:sz="6" w:space="0"/>
            </w:tcBorders>
            <w:shd w:val="clear" w:color="auto" w:fill="DAECFF"/>
            <w:vAlign w:val="center"/>
          </w:tcPr>
          <w:p w14:paraId="7B85CF1F">
            <w:pPr>
              <w:jc w:val="center"/>
              <w:rPr>
                <w:rFonts w:hint="eastAsia" w:ascii="仿宋" w:hAnsi="仿宋" w:eastAsia="仿宋"/>
                <w:b/>
                <w:color w:val="000000" w:themeColor="text1"/>
                <w:sz w:val="24"/>
                <w:highlight w:val="none"/>
              </w:rPr>
            </w:pPr>
            <w:r>
              <w:rPr>
                <w:rFonts w:ascii="仿宋" w:hAnsi="仿宋" w:eastAsia="仿宋"/>
                <w:b/>
                <w:color w:val="000000" w:themeColor="text1"/>
                <w:sz w:val="24"/>
                <w:highlight w:val="none"/>
              </w:rPr>
              <w:t>序号</w:t>
            </w:r>
          </w:p>
        </w:tc>
        <w:tc>
          <w:tcPr>
            <w:tcW w:w="7954" w:type="dxa"/>
            <w:gridSpan w:val="2"/>
            <w:tcBorders>
              <w:top w:val="double" w:color="auto" w:sz="6" w:space="0"/>
              <w:bottom w:val="single" w:color="auto" w:sz="6" w:space="0"/>
            </w:tcBorders>
            <w:shd w:val="clear" w:color="auto" w:fill="DAECFF"/>
            <w:vAlign w:val="center"/>
          </w:tcPr>
          <w:p w14:paraId="35362744">
            <w:pPr>
              <w:jc w:val="center"/>
              <w:rPr>
                <w:rFonts w:hint="eastAsia" w:ascii="微软雅黑" w:hAnsi="微软雅黑" w:eastAsia="微软雅黑"/>
                <w:b/>
                <w:color w:val="000000" w:themeColor="text1"/>
                <w:sz w:val="28"/>
                <w:szCs w:val="28"/>
                <w:highlight w:val="none"/>
              </w:rPr>
            </w:pPr>
            <w:r>
              <w:rPr>
                <w:rFonts w:hint="eastAsia" w:ascii="微软雅黑" w:hAnsi="微软雅黑" w:eastAsia="微软雅黑"/>
                <w:b/>
                <w:color w:val="000000" w:themeColor="text1"/>
                <w:sz w:val="28"/>
                <w:szCs w:val="28"/>
                <w:highlight w:val="none"/>
              </w:rPr>
              <w:t>《商务技术文件》 组成内容</w:t>
            </w:r>
          </w:p>
        </w:tc>
        <w:tc>
          <w:tcPr>
            <w:tcW w:w="1247" w:type="dxa"/>
            <w:tcBorders>
              <w:top w:val="double" w:color="auto" w:sz="6" w:space="0"/>
              <w:bottom w:val="single" w:color="auto" w:sz="6" w:space="0"/>
            </w:tcBorders>
            <w:shd w:val="clear" w:color="auto" w:fill="DAECFF"/>
            <w:vAlign w:val="center"/>
          </w:tcPr>
          <w:p w14:paraId="304E2E97">
            <w:pPr>
              <w:jc w:val="center"/>
              <w:rPr>
                <w:rFonts w:hint="eastAsia" w:ascii="仿宋" w:hAnsi="仿宋" w:eastAsia="仿宋"/>
                <w:b/>
                <w:color w:val="000000" w:themeColor="text1"/>
                <w:sz w:val="24"/>
                <w:szCs w:val="24"/>
                <w:highlight w:val="none"/>
              </w:rPr>
            </w:pPr>
            <w:r>
              <w:rPr>
                <w:rFonts w:ascii="仿宋" w:hAnsi="仿宋" w:eastAsia="仿宋"/>
                <w:b/>
                <w:color w:val="000000" w:themeColor="text1"/>
                <w:sz w:val="24"/>
                <w:szCs w:val="24"/>
                <w:highlight w:val="none"/>
              </w:rPr>
              <w:t>是否提供格式</w:t>
            </w:r>
          </w:p>
        </w:tc>
      </w:tr>
      <w:tr w14:paraId="775FCCD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10" w:type="dxa"/>
            <w:tcBorders>
              <w:top w:val="single" w:color="auto" w:sz="6" w:space="0"/>
            </w:tcBorders>
            <w:shd w:val="clear" w:color="auto" w:fill="FFFFFF"/>
            <w:vAlign w:val="center"/>
          </w:tcPr>
          <w:p w14:paraId="40AE9435">
            <w:pPr>
              <w:spacing w:line="360" w:lineRule="auto"/>
              <w:jc w:val="center"/>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1</w:t>
            </w:r>
          </w:p>
        </w:tc>
        <w:tc>
          <w:tcPr>
            <w:tcW w:w="7954" w:type="dxa"/>
            <w:gridSpan w:val="2"/>
            <w:tcBorders>
              <w:top w:val="single" w:color="auto" w:sz="6" w:space="0"/>
            </w:tcBorders>
            <w:shd w:val="clear" w:color="auto" w:fill="FFFFFF"/>
            <w:vAlign w:val="center"/>
          </w:tcPr>
          <w:p w14:paraId="14DBC1F4">
            <w:pPr>
              <w:spacing w:line="360" w:lineRule="auto"/>
              <w:jc w:val="left"/>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w:t>
            </w:r>
            <w:r>
              <w:rPr>
                <w:rFonts w:ascii="仿宋" w:hAnsi="仿宋" w:eastAsia="仿宋"/>
                <w:color w:val="000000" w:themeColor="text1"/>
                <w:sz w:val="24"/>
                <w:szCs w:val="24"/>
                <w:highlight w:val="none"/>
              </w:rPr>
              <w:t>投标函</w:t>
            </w:r>
            <w:r>
              <w:rPr>
                <w:rFonts w:ascii="仿宋" w:hAnsi="仿宋" w:eastAsia="仿宋"/>
                <w:b/>
                <w:color w:val="000000" w:themeColor="text1"/>
                <w:sz w:val="24"/>
                <w:szCs w:val="24"/>
                <w:highlight w:val="none"/>
              </w:rPr>
              <w:t>（</w:t>
            </w:r>
            <w:r>
              <w:rPr>
                <w:rFonts w:ascii="仿宋" w:hAnsi="仿宋" w:eastAsia="仿宋"/>
                <w:b/>
                <w:color w:val="000000" w:themeColor="text1"/>
                <w:sz w:val="24"/>
                <w:szCs w:val="24"/>
                <w:highlight w:val="none"/>
                <w:u w:val="single"/>
              </w:rPr>
              <w:t>格式见第六章</w:t>
            </w:r>
            <w:r>
              <w:rPr>
                <w:rFonts w:ascii="仿宋" w:hAnsi="仿宋" w:eastAsia="仿宋"/>
                <w:b/>
                <w:color w:val="000000" w:themeColor="text1"/>
                <w:sz w:val="24"/>
                <w:szCs w:val="24"/>
                <w:highlight w:val="none"/>
              </w:rPr>
              <w:t>）</w:t>
            </w:r>
            <w:r>
              <w:rPr>
                <w:rFonts w:ascii="仿宋" w:hAnsi="仿宋" w:eastAsia="仿宋"/>
                <w:color w:val="000000" w:themeColor="text1"/>
                <w:sz w:val="24"/>
                <w:szCs w:val="24"/>
                <w:highlight w:val="none"/>
              </w:rPr>
              <w:t>；</w:t>
            </w:r>
          </w:p>
        </w:tc>
        <w:tc>
          <w:tcPr>
            <w:tcW w:w="1247" w:type="dxa"/>
            <w:tcBorders>
              <w:top w:val="single" w:color="auto" w:sz="6" w:space="0"/>
            </w:tcBorders>
            <w:shd w:val="clear" w:color="auto" w:fill="FFFFFF"/>
            <w:vAlign w:val="center"/>
          </w:tcPr>
          <w:p w14:paraId="1D9D9CF6">
            <w:pPr>
              <w:spacing w:line="360" w:lineRule="auto"/>
              <w:jc w:val="center"/>
              <w:rPr>
                <w:rFonts w:hint="eastAsia" w:ascii="仿宋" w:hAnsi="仿宋" w:eastAsia="仿宋"/>
                <w:b/>
                <w:color w:val="000000" w:themeColor="text1"/>
                <w:sz w:val="24"/>
                <w:szCs w:val="24"/>
                <w:highlight w:val="none"/>
              </w:rPr>
            </w:pPr>
            <w:r>
              <w:rPr>
                <w:rFonts w:ascii="仿宋" w:hAnsi="仿宋" w:eastAsia="仿宋"/>
                <w:b/>
                <w:color w:val="000000" w:themeColor="text1"/>
                <w:sz w:val="24"/>
                <w:szCs w:val="24"/>
                <w:highlight w:val="none"/>
              </w:rPr>
              <w:t>提供</w:t>
            </w:r>
          </w:p>
        </w:tc>
      </w:tr>
      <w:tr w14:paraId="34B9796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10" w:type="dxa"/>
            <w:shd w:val="clear" w:color="auto" w:fill="FFFFFF"/>
            <w:vAlign w:val="center"/>
          </w:tcPr>
          <w:p w14:paraId="539EAE2A">
            <w:pPr>
              <w:spacing w:line="360" w:lineRule="auto"/>
              <w:jc w:val="center"/>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2</w:t>
            </w:r>
          </w:p>
        </w:tc>
        <w:tc>
          <w:tcPr>
            <w:tcW w:w="7954" w:type="dxa"/>
            <w:gridSpan w:val="2"/>
            <w:shd w:val="clear" w:color="auto" w:fill="FFFFFF"/>
            <w:vAlign w:val="center"/>
          </w:tcPr>
          <w:p w14:paraId="13D90DE5">
            <w:pPr>
              <w:spacing w:line="300" w:lineRule="auto"/>
              <w:jc w:val="left"/>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w:t>
            </w:r>
            <w:r>
              <w:rPr>
                <w:rFonts w:ascii="仿宋" w:hAnsi="仿宋" w:eastAsia="仿宋"/>
                <w:color w:val="auto"/>
                <w:sz w:val="24"/>
                <w:szCs w:val="24"/>
                <w:highlight w:val="none"/>
              </w:rPr>
              <w:t>授权委托书</w:t>
            </w:r>
            <w:r>
              <w:rPr>
                <w:rFonts w:hint="eastAsia" w:ascii="仿宋" w:hAnsi="仿宋" w:eastAsia="仿宋" w:cs="Arial"/>
                <w:color w:val="auto"/>
                <w:sz w:val="24"/>
                <w:highlight w:val="none"/>
              </w:rPr>
              <w:t>或法定代表人（单位负责人）身份证明</w:t>
            </w:r>
            <w:r>
              <w:rPr>
                <w:rFonts w:hint="eastAsia" w:ascii="仿宋" w:hAnsi="仿宋" w:eastAsia="仿宋"/>
                <w:b/>
                <w:color w:val="auto"/>
                <w:sz w:val="24"/>
                <w:szCs w:val="24"/>
                <w:highlight w:val="none"/>
              </w:rPr>
              <w:t>（</w:t>
            </w:r>
            <w:r>
              <w:rPr>
                <w:rFonts w:hint="eastAsia" w:ascii="仿宋" w:hAnsi="仿宋" w:eastAsia="仿宋"/>
                <w:b/>
                <w:color w:val="auto"/>
                <w:sz w:val="24"/>
                <w:szCs w:val="24"/>
                <w:highlight w:val="none"/>
                <w:u w:val="single"/>
              </w:rPr>
              <w:t>格式见第六章</w:t>
            </w:r>
            <w:r>
              <w:rPr>
                <w:rFonts w:hint="eastAsia" w:ascii="仿宋" w:hAnsi="仿宋" w:eastAsia="仿宋"/>
                <w:b/>
                <w:color w:val="auto"/>
                <w:sz w:val="24"/>
                <w:szCs w:val="24"/>
                <w:highlight w:val="none"/>
              </w:rPr>
              <w:t>）</w:t>
            </w:r>
            <w:r>
              <w:rPr>
                <w:rFonts w:hint="eastAsia" w:ascii="仿宋" w:hAnsi="仿宋" w:eastAsia="仿宋"/>
                <w:color w:val="auto"/>
                <w:sz w:val="24"/>
                <w:szCs w:val="24"/>
                <w:highlight w:val="none"/>
              </w:rPr>
              <w:t>；</w:t>
            </w:r>
          </w:p>
        </w:tc>
        <w:tc>
          <w:tcPr>
            <w:tcW w:w="1247" w:type="dxa"/>
            <w:shd w:val="clear" w:color="auto" w:fill="FFFFFF"/>
            <w:vAlign w:val="center"/>
          </w:tcPr>
          <w:p w14:paraId="1C65ABE4">
            <w:pPr>
              <w:spacing w:line="360" w:lineRule="auto"/>
              <w:jc w:val="center"/>
              <w:rPr>
                <w:rFonts w:hint="eastAsia" w:ascii="仿宋" w:hAnsi="仿宋" w:eastAsia="仿宋"/>
                <w:b/>
                <w:color w:val="000000" w:themeColor="text1"/>
                <w:sz w:val="24"/>
                <w:szCs w:val="24"/>
                <w:highlight w:val="none"/>
              </w:rPr>
            </w:pPr>
            <w:r>
              <w:rPr>
                <w:rFonts w:ascii="仿宋" w:hAnsi="仿宋" w:eastAsia="仿宋"/>
                <w:b/>
                <w:color w:val="000000" w:themeColor="text1"/>
                <w:sz w:val="24"/>
                <w:szCs w:val="24"/>
                <w:highlight w:val="none"/>
              </w:rPr>
              <w:t>提供</w:t>
            </w:r>
          </w:p>
        </w:tc>
      </w:tr>
      <w:tr w14:paraId="46ABB97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10" w:type="dxa"/>
            <w:shd w:val="clear" w:color="auto" w:fill="FFFFFF"/>
            <w:vAlign w:val="center"/>
          </w:tcPr>
          <w:p w14:paraId="44E0E3B9">
            <w:pPr>
              <w:spacing w:line="360" w:lineRule="auto"/>
              <w:jc w:val="center"/>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3</w:t>
            </w:r>
          </w:p>
        </w:tc>
        <w:tc>
          <w:tcPr>
            <w:tcW w:w="7954" w:type="dxa"/>
            <w:gridSpan w:val="2"/>
            <w:shd w:val="clear" w:color="auto" w:fill="FFFFFF"/>
            <w:vAlign w:val="center"/>
          </w:tcPr>
          <w:p w14:paraId="1563B8E6">
            <w:pPr>
              <w:spacing w:line="360" w:lineRule="auto"/>
              <w:jc w:val="left"/>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★商务技术偏离表</w:t>
            </w:r>
            <w:r>
              <w:rPr>
                <w:rFonts w:hint="eastAsia" w:ascii="仿宋" w:hAnsi="仿宋" w:eastAsia="仿宋" w:cs="Arial"/>
                <w:b/>
                <w:color w:val="000000" w:themeColor="text1"/>
                <w:sz w:val="24"/>
                <w:highlight w:val="none"/>
              </w:rPr>
              <w:t>（</w:t>
            </w:r>
            <w:r>
              <w:rPr>
                <w:rFonts w:hint="eastAsia" w:ascii="仿宋" w:hAnsi="仿宋" w:eastAsia="仿宋" w:cs="Arial"/>
                <w:b/>
                <w:color w:val="000000" w:themeColor="text1"/>
                <w:sz w:val="24"/>
                <w:highlight w:val="none"/>
                <w:u w:val="single"/>
              </w:rPr>
              <w:t>格式见第六章</w:t>
            </w:r>
            <w:r>
              <w:rPr>
                <w:rFonts w:hint="eastAsia" w:ascii="仿宋" w:hAnsi="仿宋" w:eastAsia="仿宋" w:cs="Arial"/>
                <w:b/>
                <w:color w:val="000000" w:themeColor="text1"/>
                <w:sz w:val="24"/>
                <w:highlight w:val="none"/>
              </w:rPr>
              <w:t>）</w:t>
            </w:r>
            <w:r>
              <w:rPr>
                <w:rFonts w:hint="eastAsia" w:ascii="仿宋" w:hAnsi="仿宋" w:eastAsia="仿宋"/>
                <w:color w:val="000000" w:themeColor="text1"/>
                <w:sz w:val="24"/>
                <w:szCs w:val="24"/>
                <w:highlight w:val="none"/>
              </w:rPr>
              <w:t>；</w:t>
            </w:r>
          </w:p>
        </w:tc>
        <w:tc>
          <w:tcPr>
            <w:tcW w:w="1247" w:type="dxa"/>
            <w:shd w:val="clear" w:color="auto" w:fill="FFFFFF"/>
            <w:vAlign w:val="center"/>
          </w:tcPr>
          <w:p w14:paraId="3A722236">
            <w:pPr>
              <w:spacing w:line="360" w:lineRule="auto"/>
              <w:jc w:val="center"/>
              <w:rPr>
                <w:rFonts w:hint="eastAsia" w:ascii="仿宋" w:hAnsi="仿宋" w:eastAsia="仿宋"/>
                <w:b/>
                <w:color w:val="000000" w:themeColor="text1"/>
                <w:sz w:val="24"/>
                <w:szCs w:val="24"/>
                <w:highlight w:val="none"/>
              </w:rPr>
            </w:pPr>
            <w:r>
              <w:rPr>
                <w:rFonts w:ascii="仿宋" w:hAnsi="仿宋" w:eastAsia="仿宋"/>
                <w:b/>
                <w:color w:val="000000" w:themeColor="text1"/>
                <w:sz w:val="24"/>
                <w:szCs w:val="24"/>
                <w:highlight w:val="none"/>
              </w:rPr>
              <w:t>提供</w:t>
            </w:r>
          </w:p>
        </w:tc>
      </w:tr>
      <w:tr w14:paraId="7876FB7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577" w:hRule="atLeast"/>
          <w:jc w:val="center"/>
        </w:trPr>
        <w:tc>
          <w:tcPr>
            <w:tcW w:w="610" w:type="dxa"/>
            <w:shd w:val="clear" w:color="auto" w:fill="FFFFFF"/>
            <w:vAlign w:val="center"/>
          </w:tcPr>
          <w:p w14:paraId="6DCBF264">
            <w:pPr>
              <w:spacing w:line="360" w:lineRule="auto"/>
              <w:jc w:val="center"/>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4</w:t>
            </w:r>
          </w:p>
        </w:tc>
        <w:tc>
          <w:tcPr>
            <w:tcW w:w="1858" w:type="dxa"/>
            <w:shd w:val="clear" w:color="auto" w:fill="FFFFFF"/>
            <w:vAlign w:val="center"/>
          </w:tcPr>
          <w:p w14:paraId="76914F16">
            <w:pPr>
              <w:jc w:val="left"/>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评分标准相应的商务技术资料</w:t>
            </w:r>
          </w:p>
        </w:tc>
        <w:tc>
          <w:tcPr>
            <w:tcW w:w="6096" w:type="dxa"/>
            <w:shd w:val="clear" w:color="auto" w:fill="FFFFFF"/>
            <w:vAlign w:val="center"/>
          </w:tcPr>
          <w:p w14:paraId="0BF13BC6">
            <w:pPr>
              <w:spacing w:line="360" w:lineRule="auto"/>
              <w:jc w:val="left"/>
              <w:rPr>
                <w:rFonts w:hint="eastAsia" w:ascii="仿宋" w:hAnsi="仿宋" w:eastAsia="仿宋"/>
                <w:color w:val="000000" w:themeColor="text1"/>
                <w:sz w:val="24"/>
                <w:szCs w:val="24"/>
                <w:highlight w:val="none"/>
              </w:rPr>
            </w:pPr>
            <w:r>
              <w:rPr>
                <w:rFonts w:hint="eastAsia" w:ascii="仿宋" w:hAnsi="仿宋" w:eastAsia="仿宋"/>
                <w:color w:val="auto"/>
                <w:sz w:val="24"/>
                <w:szCs w:val="24"/>
                <w:highlight w:val="none"/>
                <w:u w:val="single"/>
              </w:rPr>
              <w:t>按商务技术评分细则</w:t>
            </w:r>
            <w:r>
              <w:rPr>
                <w:rFonts w:hint="eastAsia" w:ascii="仿宋" w:hAnsi="仿宋" w:eastAsia="仿宋" w:cs="宋体"/>
                <w:color w:val="auto"/>
                <w:sz w:val="24"/>
                <w:szCs w:val="24"/>
                <w:highlight w:val="none"/>
                <w:u w:val="single"/>
              </w:rPr>
              <w:t>提供评分标准中相应的商务技术资料</w:t>
            </w:r>
            <w:r>
              <w:rPr>
                <w:rFonts w:hint="eastAsia" w:ascii="仿宋" w:hAnsi="仿宋" w:eastAsia="仿宋" w:cs="宋体"/>
                <w:color w:val="000000" w:themeColor="text1"/>
                <w:sz w:val="24"/>
                <w:szCs w:val="24"/>
                <w:highlight w:val="none"/>
                <w:u w:val="single"/>
              </w:rPr>
              <w:t>（详见第三章）</w:t>
            </w:r>
            <w:r>
              <w:rPr>
                <w:rFonts w:hint="eastAsia" w:ascii="仿宋" w:hAnsi="仿宋" w:eastAsia="仿宋" w:cs="宋体"/>
                <w:color w:val="000000" w:themeColor="text1"/>
                <w:sz w:val="24"/>
                <w:szCs w:val="24"/>
                <w:highlight w:val="none"/>
              </w:rPr>
              <w:t>。</w:t>
            </w:r>
          </w:p>
        </w:tc>
        <w:tc>
          <w:tcPr>
            <w:tcW w:w="1247" w:type="dxa"/>
            <w:shd w:val="clear" w:color="auto" w:fill="FFFFFF"/>
            <w:vAlign w:val="center"/>
          </w:tcPr>
          <w:p w14:paraId="0273BBCD">
            <w:pPr>
              <w:spacing w:line="360" w:lineRule="auto"/>
              <w:jc w:val="center"/>
              <w:rPr>
                <w:rFonts w:hint="eastAsia" w:ascii="仿宋" w:hAnsi="仿宋" w:eastAsia="仿宋"/>
                <w:b/>
                <w:color w:val="000000" w:themeColor="text1"/>
                <w:sz w:val="24"/>
                <w:szCs w:val="24"/>
                <w:highlight w:val="none"/>
              </w:rPr>
            </w:pPr>
            <w:r>
              <w:rPr>
                <w:rFonts w:hint="eastAsia" w:ascii="仿宋" w:hAnsi="仿宋" w:eastAsia="仿宋"/>
                <w:b/>
                <w:color w:val="000000" w:themeColor="text1"/>
                <w:sz w:val="24"/>
                <w:szCs w:val="24"/>
                <w:highlight w:val="none"/>
              </w:rPr>
              <w:t>/</w:t>
            </w:r>
          </w:p>
        </w:tc>
      </w:tr>
      <w:tr w14:paraId="07F65ED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10" w:type="dxa"/>
            <w:shd w:val="clear" w:color="auto" w:fill="FFFFFF"/>
            <w:vAlign w:val="center"/>
          </w:tcPr>
          <w:p w14:paraId="46865695">
            <w:pPr>
              <w:spacing w:line="360" w:lineRule="auto"/>
              <w:jc w:val="center"/>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5</w:t>
            </w:r>
          </w:p>
        </w:tc>
        <w:tc>
          <w:tcPr>
            <w:tcW w:w="7954" w:type="dxa"/>
            <w:gridSpan w:val="2"/>
            <w:shd w:val="clear" w:color="auto" w:fill="FFFFFF"/>
            <w:vAlign w:val="center"/>
          </w:tcPr>
          <w:p w14:paraId="61CBA876">
            <w:pPr>
              <w:spacing w:line="360" w:lineRule="auto"/>
              <w:jc w:val="left"/>
              <w:rPr>
                <w:rFonts w:hint="eastAsia" w:ascii="仿宋" w:hAnsi="仿宋" w:eastAsia="仿宋"/>
                <w:color w:val="000000" w:themeColor="text1"/>
                <w:sz w:val="24"/>
                <w:szCs w:val="24"/>
                <w:highlight w:val="none"/>
              </w:rPr>
            </w:pPr>
            <w:r>
              <w:rPr>
                <w:rFonts w:ascii="仿宋" w:hAnsi="仿宋" w:eastAsia="仿宋"/>
                <w:color w:val="000000" w:themeColor="text1"/>
                <w:sz w:val="24"/>
                <w:szCs w:val="24"/>
                <w:highlight w:val="none"/>
              </w:rPr>
              <w:t>其他与商务技术有关的资料或说明（如有，格式自拟）</w:t>
            </w:r>
            <w:r>
              <w:rPr>
                <w:rFonts w:hint="eastAsia" w:ascii="仿宋" w:hAnsi="仿宋" w:eastAsia="仿宋"/>
                <w:color w:val="000000" w:themeColor="text1"/>
                <w:sz w:val="24"/>
                <w:szCs w:val="24"/>
                <w:highlight w:val="none"/>
              </w:rPr>
              <w:t>。</w:t>
            </w:r>
          </w:p>
        </w:tc>
        <w:tc>
          <w:tcPr>
            <w:tcW w:w="1247" w:type="dxa"/>
            <w:shd w:val="clear" w:color="auto" w:fill="FFFFFF"/>
            <w:vAlign w:val="center"/>
          </w:tcPr>
          <w:p w14:paraId="2B53AF64">
            <w:pPr>
              <w:spacing w:line="360" w:lineRule="auto"/>
              <w:jc w:val="center"/>
              <w:rPr>
                <w:rFonts w:hint="eastAsia" w:ascii="仿宋" w:hAnsi="仿宋" w:eastAsia="仿宋"/>
                <w:b/>
                <w:color w:val="000000" w:themeColor="text1"/>
                <w:sz w:val="24"/>
                <w:szCs w:val="24"/>
                <w:highlight w:val="none"/>
              </w:rPr>
            </w:pPr>
            <w:r>
              <w:rPr>
                <w:rFonts w:hint="eastAsia" w:ascii="仿宋" w:hAnsi="仿宋" w:eastAsia="仿宋"/>
                <w:b/>
                <w:color w:val="000000" w:themeColor="text1"/>
                <w:sz w:val="24"/>
                <w:szCs w:val="24"/>
                <w:highlight w:val="none"/>
              </w:rPr>
              <w:t>/</w:t>
            </w:r>
          </w:p>
        </w:tc>
      </w:tr>
      <w:tr w14:paraId="41069E1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171" w:hRule="atLeast"/>
          <w:jc w:val="center"/>
        </w:trPr>
        <w:tc>
          <w:tcPr>
            <w:tcW w:w="9811" w:type="dxa"/>
            <w:gridSpan w:val="4"/>
            <w:shd w:val="clear" w:color="auto" w:fill="FFFFFF"/>
            <w:vAlign w:val="center"/>
          </w:tcPr>
          <w:p w14:paraId="0AC17800">
            <w:pPr>
              <w:spacing w:line="276" w:lineRule="auto"/>
              <w:rPr>
                <w:rFonts w:hint="eastAsia" w:ascii="仿宋" w:hAnsi="仿宋" w:eastAsia="仿宋"/>
                <w:color w:val="000000" w:themeColor="text1"/>
                <w:sz w:val="24"/>
                <w:szCs w:val="24"/>
                <w:highlight w:val="none"/>
              </w:rPr>
            </w:pPr>
            <w:r>
              <w:rPr>
                <w:rFonts w:hint="eastAsia" w:ascii="仿宋" w:hAnsi="仿宋" w:eastAsia="仿宋"/>
                <w:i/>
                <w:color w:val="000000" w:themeColor="text1"/>
                <w:sz w:val="24"/>
                <w:szCs w:val="24"/>
                <w:highlight w:val="none"/>
              </w:rPr>
              <w:t>注：</w:t>
            </w:r>
            <w:r>
              <w:rPr>
                <w:rFonts w:hint="eastAsia" w:ascii="仿宋" w:hAnsi="仿宋" w:eastAsia="仿宋"/>
                <w:i/>
                <w:color w:val="000000" w:themeColor="text1"/>
                <w:sz w:val="24"/>
                <w:szCs w:val="24"/>
                <w:highlight w:val="none"/>
                <w:u w:val="single"/>
              </w:rPr>
              <w:t>投标人需按上述要求（包含但不限于）提供相应材料；招标文件已提供格式的，</w:t>
            </w:r>
            <w:r>
              <w:rPr>
                <w:rFonts w:hint="eastAsia" w:ascii="仿宋" w:hAnsi="仿宋" w:eastAsia="仿宋"/>
                <w:i/>
                <w:color w:val="000000" w:themeColor="text1"/>
                <w:sz w:val="24"/>
                <w:szCs w:val="24"/>
                <w:highlight w:val="none"/>
                <w:u w:val="single"/>
                <w:lang w:val="zh-CN"/>
              </w:rPr>
              <w:t>投标人须按格式说明或要求进行编制填写并加盖单位公章</w:t>
            </w:r>
            <w:r>
              <w:rPr>
                <w:rFonts w:hint="eastAsia" w:ascii="仿宋" w:hAnsi="仿宋" w:eastAsia="仿宋"/>
                <w:i/>
                <w:color w:val="000000" w:themeColor="text1"/>
                <w:sz w:val="24"/>
                <w:szCs w:val="24"/>
                <w:highlight w:val="none"/>
                <w:u w:val="single"/>
              </w:rPr>
              <w:t>，否则视同未提供</w:t>
            </w:r>
            <w:r>
              <w:rPr>
                <w:rFonts w:hint="eastAsia" w:ascii="仿宋" w:hAnsi="仿宋" w:eastAsia="仿宋"/>
                <w:i/>
                <w:color w:val="000000" w:themeColor="text1"/>
                <w:sz w:val="24"/>
                <w:szCs w:val="24"/>
                <w:highlight w:val="none"/>
              </w:rPr>
              <w:t>。</w:t>
            </w:r>
          </w:p>
        </w:tc>
      </w:tr>
    </w:tbl>
    <w:p w14:paraId="46E0E6E9">
      <w:pPr>
        <w:spacing w:after="260" w:line="500" w:lineRule="exact"/>
        <w:rPr>
          <w:rFonts w:hint="eastAsia" w:ascii="仿宋" w:hAnsi="仿宋" w:eastAsia="仿宋"/>
          <w:b/>
          <w:color w:val="000000" w:themeColor="text1"/>
          <w:sz w:val="32"/>
          <w:szCs w:val="32"/>
          <w:highlight w:val="none"/>
        </w:rPr>
        <w:sectPr>
          <w:pgSz w:w="11906" w:h="16838"/>
          <w:pgMar w:top="1021" w:right="1247" w:bottom="1021" w:left="1247" w:header="567" w:footer="454" w:gutter="0"/>
          <w:pgNumType w:fmt="numberInDash"/>
          <w:cols w:space="720" w:num="1"/>
          <w:titlePg/>
          <w:docGrid w:type="lines" w:linePitch="312" w:charSpace="0"/>
        </w:sectPr>
      </w:pPr>
    </w:p>
    <w:p w14:paraId="7415CAF8">
      <w:pPr>
        <w:spacing w:after="260" w:line="500" w:lineRule="exact"/>
        <w:jc w:val="center"/>
        <w:rPr>
          <w:rFonts w:hint="eastAsia" w:ascii="仿宋" w:hAnsi="仿宋" w:eastAsia="仿宋"/>
          <w:b/>
          <w:color w:val="000000" w:themeColor="text1"/>
          <w:sz w:val="32"/>
          <w:szCs w:val="32"/>
          <w:highlight w:val="none"/>
        </w:rPr>
      </w:pPr>
      <w:r>
        <w:rPr>
          <w:rFonts w:hint="eastAsia" w:ascii="仿宋" w:hAnsi="仿宋" w:eastAsia="仿宋"/>
          <w:b/>
          <w:color w:val="000000" w:themeColor="text1"/>
          <w:sz w:val="32"/>
          <w:szCs w:val="32"/>
          <w:highlight w:val="none"/>
        </w:rPr>
        <w:t>1、投标函</w:t>
      </w:r>
    </w:p>
    <w:p w14:paraId="1380DFDB">
      <w:pPr>
        <w:spacing w:line="360" w:lineRule="auto"/>
        <w:rPr>
          <w:rFonts w:hint="eastAsia" w:ascii="仿宋" w:hAnsi="仿宋" w:eastAsia="仿宋" w:cs="宋体"/>
          <w:color w:val="000000" w:themeColor="text1"/>
          <w:spacing w:val="8"/>
          <w:sz w:val="24"/>
          <w:szCs w:val="24"/>
          <w:highlight w:val="none"/>
        </w:rPr>
      </w:pPr>
      <w:r>
        <w:rPr>
          <w:rFonts w:hint="eastAsia" w:ascii="仿宋" w:hAnsi="仿宋" w:eastAsia="仿宋"/>
          <w:color w:val="000000" w:themeColor="text1"/>
          <w:sz w:val="24"/>
          <w:szCs w:val="24"/>
          <w:highlight w:val="none"/>
        </w:rPr>
        <w:t>诸暨市安华农贸市场</w:t>
      </w:r>
      <w:r>
        <w:rPr>
          <w:rFonts w:hint="eastAsia" w:ascii="仿宋" w:hAnsi="仿宋" w:eastAsia="仿宋" w:cs="宋体"/>
          <w:color w:val="000000" w:themeColor="text1"/>
          <w:spacing w:val="8"/>
          <w:sz w:val="24"/>
          <w:szCs w:val="24"/>
          <w:highlight w:val="none"/>
        </w:rPr>
        <w:t>、浙江新顺项目管理有限公司：</w:t>
      </w:r>
    </w:p>
    <w:p w14:paraId="3279868E">
      <w:pPr>
        <w:spacing w:line="360" w:lineRule="auto"/>
        <w:ind w:firstLine="512" w:firstLineChars="200"/>
        <w:rPr>
          <w:rFonts w:hint="eastAsia" w:ascii="仿宋" w:hAnsi="仿宋" w:eastAsia="仿宋" w:cs="宋体"/>
          <w:color w:val="000000" w:themeColor="text1"/>
          <w:sz w:val="24"/>
          <w:szCs w:val="24"/>
          <w:highlight w:val="none"/>
        </w:rPr>
      </w:pPr>
      <w:r>
        <w:rPr>
          <w:rFonts w:hint="eastAsia" w:ascii="仿宋" w:hAnsi="仿宋" w:eastAsia="仿宋" w:cs="宋体"/>
          <w:color w:val="000000" w:themeColor="text1"/>
          <w:spacing w:val="8"/>
          <w:sz w:val="24"/>
          <w:szCs w:val="24"/>
          <w:highlight w:val="none"/>
        </w:rPr>
        <w:t>我方参加你方组织的</w:t>
      </w:r>
      <w:r>
        <w:rPr>
          <w:rFonts w:hint="eastAsia" w:ascii="仿宋" w:hAnsi="仿宋" w:eastAsia="仿宋" w:cs="宋体"/>
          <w:i/>
          <w:color w:val="000000" w:themeColor="text1"/>
          <w:spacing w:val="8"/>
          <w:sz w:val="24"/>
          <w:szCs w:val="24"/>
          <w:highlight w:val="none"/>
          <w:u w:val="single"/>
        </w:rPr>
        <w:t>（项目名称）   （项目编号：浙江新顺2024-</w:t>
      </w:r>
      <w:r>
        <w:rPr>
          <w:rFonts w:hint="eastAsia" w:ascii="仿宋" w:hAnsi="仿宋" w:eastAsia="仿宋"/>
          <w:i/>
          <w:color w:val="000000" w:themeColor="text1"/>
          <w:sz w:val="24"/>
          <w:szCs w:val="24"/>
          <w:highlight w:val="none"/>
          <w:u w:val="single"/>
        </w:rPr>
        <w:t>____</w:t>
      </w:r>
      <w:r>
        <w:rPr>
          <w:rFonts w:hint="eastAsia" w:ascii="仿宋" w:hAnsi="仿宋" w:eastAsia="仿宋" w:cs="宋体"/>
          <w:i/>
          <w:color w:val="000000" w:themeColor="text1"/>
          <w:spacing w:val="8"/>
          <w:sz w:val="24"/>
          <w:szCs w:val="24"/>
          <w:highlight w:val="none"/>
          <w:u w:val="single"/>
        </w:rPr>
        <w:t>-</w:t>
      </w:r>
      <w:r>
        <w:rPr>
          <w:rFonts w:hint="eastAsia" w:ascii="仿宋" w:hAnsi="仿宋" w:eastAsia="仿宋"/>
          <w:i/>
          <w:color w:val="000000" w:themeColor="text1"/>
          <w:sz w:val="24"/>
          <w:szCs w:val="24"/>
          <w:highlight w:val="none"/>
          <w:u w:val="single"/>
        </w:rPr>
        <w:t>____</w:t>
      </w:r>
      <w:r>
        <w:rPr>
          <w:rFonts w:hint="eastAsia" w:ascii="仿宋" w:hAnsi="仿宋" w:eastAsia="仿宋" w:cs="宋体"/>
          <w:i/>
          <w:color w:val="000000" w:themeColor="text1"/>
          <w:spacing w:val="8"/>
          <w:sz w:val="24"/>
          <w:szCs w:val="24"/>
          <w:highlight w:val="none"/>
          <w:u w:val="single"/>
        </w:rPr>
        <w:t>）</w:t>
      </w:r>
      <w:r>
        <w:rPr>
          <w:rFonts w:hint="eastAsia" w:ascii="仿宋" w:hAnsi="仿宋" w:eastAsia="仿宋"/>
          <w:color w:val="000000" w:themeColor="text1"/>
          <w:sz w:val="24"/>
          <w:szCs w:val="24"/>
          <w:highlight w:val="none"/>
        </w:rPr>
        <w:t>招标的有关活动，并对此项目进行投标。为此：</w:t>
      </w:r>
    </w:p>
    <w:p w14:paraId="28164A94">
      <w:pPr>
        <w:tabs>
          <w:tab w:val="left" w:pos="900"/>
        </w:tabs>
        <w:spacing w:line="360" w:lineRule="auto"/>
        <w:ind w:firstLine="480" w:firstLineChars="200"/>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1、</w:t>
      </w:r>
      <w:r>
        <w:rPr>
          <w:rFonts w:hint="eastAsia" w:ascii="仿宋" w:hAnsi="仿宋" w:eastAsia="仿宋"/>
          <w:color w:val="000000" w:themeColor="text1"/>
          <w:sz w:val="24"/>
          <w:highlight w:val="none"/>
        </w:rPr>
        <w:t>我方承诺投标有效期从提交投标文件的截止之日起</w:t>
      </w:r>
      <w:r>
        <w:rPr>
          <w:rFonts w:hint="eastAsia" w:ascii="仿宋" w:hAnsi="仿宋" w:eastAsia="仿宋"/>
          <w:i/>
          <w:color w:val="000000" w:themeColor="text1"/>
          <w:sz w:val="24"/>
          <w:highlight w:val="none"/>
          <w:u w:val="single"/>
        </w:rPr>
        <w:t>90</w:t>
      </w:r>
      <w:r>
        <w:rPr>
          <w:rFonts w:hint="eastAsia" w:ascii="仿宋" w:hAnsi="仿宋" w:eastAsia="仿宋"/>
          <w:color w:val="000000" w:themeColor="text1"/>
          <w:sz w:val="24"/>
          <w:highlight w:val="none"/>
        </w:rPr>
        <w:t>天，本投标文件在投标有效期满之前均具有约束力。</w:t>
      </w:r>
    </w:p>
    <w:p w14:paraId="0A7652F0">
      <w:pPr>
        <w:spacing w:line="360" w:lineRule="auto"/>
        <w:ind w:firstLine="480" w:firstLineChars="200"/>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2、我方承诺已经具备招标文件规定的投标人应当具备的资格条件。</w:t>
      </w:r>
    </w:p>
    <w:p w14:paraId="448D13AC">
      <w:pPr>
        <w:spacing w:line="360" w:lineRule="auto"/>
        <w:ind w:firstLine="480" w:firstLineChars="200"/>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3、我方严格按照招标文件的规定报价，并提供招标文件规定的全部投标文件。</w:t>
      </w:r>
    </w:p>
    <w:p w14:paraId="3521E313">
      <w:pPr>
        <w:spacing w:line="360" w:lineRule="auto"/>
        <w:ind w:firstLine="480" w:firstLineChars="200"/>
        <w:rPr>
          <w:rFonts w:hint="eastAsia" w:ascii="仿宋" w:hAnsi="仿宋" w:eastAsia="仿宋"/>
          <w:color w:val="000000" w:themeColor="text1"/>
          <w:sz w:val="24"/>
          <w:highlight w:val="none"/>
        </w:rPr>
      </w:pPr>
      <w:r>
        <w:rPr>
          <w:rFonts w:hint="eastAsia" w:ascii="仿宋" w:hAnsi="仿宋" w:eastAsia="仿宋"/>
          <w:color w:val="000000" w:themeColor="text1"/>
          <w:sz w:val="24"/>
          <w:szCs w:val="24"/>
          <w:highlight w:val="none"/>
        </w:rPr>
        <w:t>4、</w:t>
      </w:r>
      <w:r>
        <w:rPr>
          <w:rFonts w:hint="eastAsia" w:ascii="仿宋" w:hAnsi="仿宋" w:eastAsia="仿宋"/>
          <w:color w:val="000000" w:themeColor="text1"/>
          <w:sz w:val="24"/>
          <w:highlight w:val="none"/>
        </w:rPr>
        <w:t>我方承诺除商务技术偏离表列出的偏离外，我方响应招标文件的全部要求。</w:t>
      </w:r>
    </w:p>
    <w:p w14:paraId="2A84914B">
      <w:pPr>
        <w:spacing w:line="360" w:lineRule="auto"/>
        <w:ind w:firstLine="480" w:firstLineChars="200"/>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5、</w:t>
      </w:r>
      <w:r>
        <w:rPr>
          <w:rFonts w:hint="eastAsia" w:ascii="仿宋" w:hAnsi="仿宋" w:eastAsia="仿宋" w:cs="仿宋"/>
          <w:color w:val="000000" w:themeColor="text1"/>
          <w:sz w:val="24"/>
          <w:szCs w:val="24"/>
          <w:highlight w:val="none"/>
        </w:rPr>
        <w:t>我方已详细阅读全部招标文件，包括招标文件“更正公告”（如果有）、参考资料及有关附件，确认无误。</w:t>
      </w:r>
    </w:p>
    <w:p w14:paraId="34F5C0C1">
      <w:pPr>
        <w:spacing w:line="360" w:lineRule="auto"/>
        <w:ind w:firstLine="480" w:firstLineChars="200"/>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6、如我方中标，我方承诺：</w:t>
      </w:r>
    </w:p>
    <w:p w14:paraId="0E73A158">
      <w:pPr>
        <w:spacing w:line="360" w:lineRule="auto"/>
        <w:ind w:firstLine="480" w:firstLineChars="200"/>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（1）在收到中标通知书后，在中标通知书规定的期限内与你方签订合同；</w:t>
      </w:r>
    </w:p>
    <w:p w14:paraId="470E1377">
      <w:pPr>
        <w:spacing w:line="360" w:lineRule="auto"/>
        <w:ind w:firstLine="480" w:firstLineChars="200"/>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（2）在签订合同时不向你方提出附加条件；</w:t>
      </w:r>
    </w:p>
    <w:p w14:paraId="2F523F7E">
      <w:pPr>
        <w:spacing w:line="360" w:lineRule="auto"/>
        <w:ind w:firstLine="480" w:firstLineChars="200"/>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（3）按照招标文件要求提交履约保证金；</w:t>
      </w:r>
    </w:p>
    <w:p w14:paraId="74AA2EDF">
      <w:pPr>
        <w:spacing w:line="360" w:lineRule="auto"/>
        <w:ind w:firstLine="480" w:firstLineChars="200"/>
        <w:rPr>
          <w:rFonts w:hint="eastAsia" w:ascii="仿宋" w:hAnsi="仿宋" w:eastAsia="仿宋"/>
          <w:color w:val="000000" w:themeColor="text1"/>
          <w:sz w:val="24"/>
          <w:szCs w:val="24"/>
          <w:highlight w:val="none"/>
        </w:rPr>
      </w:pPr>
      <w:r>
        <w:rPr>
          <w:rFonts w:hint="eastAsia" w:ascii="仿宋" w:hAnsi="仿宋" w:eastAsia="仿宋"/>
          <w:color w:val="000000" w:themeColor="text1"/>
          <w:sz w:val="24"/>
          <w:highlight w:val="none"/>
        </w:rPr>
        <w:t>（4）在合同约定的期限内完成合同规定的全部义务。</w:t>
      </w:r>
    </w:p>
    <w:p w14:paraId="57DEC825">
      <w:pPr>
        <w:spacing w:line="360" w:lineRule="auto"/>
        <w:ind w:firstLine="480" w:firstLineChars="200"/>
        <w:rPr>
          <w:rFonts w:hint="eastAsia" w:ascii="仿宋" w:hAnsi="仿宋" w:eastAsia="仿宋" w:cs="宋体"/>
          <w:color w:val="000000" w:themeColor="text1"/>
          <w:sz w:val="24"/>
          <w:szCs w:val="24"/>
          <w:highlight w:val="none"/>
        </w:rPr>
      </w:pPr>
      <w:r>
        <w:rPr>
          <w:rFonts w:hint="eastAsia" w:ascii="仿宋" w:hAnsi="仿宋" w:eastAsia="仿宋"/>
          <w:color w:val="000000" w:themeColor="text1"/>
          <w:sz w:val="24"/>
          <w:szCs w:val="24"/>
          <w:highlight w:val="none"/>
        </w:rPr>
        <w:t>7、我方同意向你方提供任何与该项目投标有关的数据或资料。若你方需要，愿意提供我方做出的一切承诺的证明材料。</w:t>
      </w:r>
    </w:p>
    <w:p w14:paraId="237978FA">
      <w:pPr>
        <w:spacing w:line="360" w:lineRule="auto"/>
        <w:ind w:firstLine="480" w:firstLineChars="200"/>
        <w:rPr>
          <w:rFonts w:hint="eastAsia" w:ascii="仿宋" w:hAnsi="仿宋" w:eastAsia="仿宋" w:cs="宋体"/>
          <w:color w:val="000000" w:themeColor="text1"/>
          <w:sz w:val="24"/>
          <w:szCs w:val="24"/>
          <w:highlight w:val="none"/>
        </w:rPr>
      </w:pPr>
      <w:r>
        <w:rPr>
          <w:rFonts w:hint="eastAsia" w:ascii="仿宋" w:hAnsi="仿宋" w:eastAsia="仿宋" w:cs="宋体"/>
          <w:color w:val="000000" w:themeColor="text1"/>
          <w:sz w:val="24"/>
          <w:szCs w:val="24"/>
          <w:highlight w:val="none"/>
        </w:rPr>
        <w:t>8、与本次投标有关的一切正式往来通讯，请寄：</w:t>
      </w:r>
    </w:p>
    <w:p w14:paraId="4E9F90F9">
      <w:pPr>
        <w:spacing w:line="360" w:lineRule="auto"/>
        <w:ind w:firstLine="544" w:firstLineChars="227"/>
        <w:rPr>
          <w:rFonts w:hint="eastAsia" w:ascii="仿宋" w:hAnsi="仿宋" w:eastAsia="仿宋"/>
          <w:color w:val="000000" w:themeColor="text1"/>
          <w:sz w:val="24"/>
          <w:szCs w:val="24"/>
          <w:highlight w:val="none"/>
          <w:u w:val="single"/>
        </w:rPr>
      </w:pPr>
      <w:r>
        <w:rPr>
          <w:rFonts w:hint="eastAsia" w:ascii="仿宋" w:hAnsi="仿宋" w:eastAsia="仿宋"/>
          <w:color w:val="000000" w:themeColor="text1"/>
          <w:sz w:val="24"/>
          <w:szCs w:val="24"/>
          <w:highlight w:val="none"/>
        </w:rPr>
        <w:t>地址：_______________ 邮编：_______________</w:t>
      </w:r>
    </w:p>
    <w:p w14:paraId="0580F16A">
      <w:pPr>
        <w:spacing w:line="360" w:lineRule="auto"/>
        <w:ind w:firstLine="425"/>
        <w:rPr>
          <w:rFonts w:hint="eastAsia" w:ascii="仿宋" w:hAnsi="仿宋" w:eastAsia="仿宋"/>
          <w:color w:val="000000" w:themeColor="text1"/>
          <w:sz w:val="24"/>
          <w:szCs w:val="24"/>
          <w:highlight w:val="none"/>
          <w:u w:val="single"/>
        </w:rPr>
      </w:pPr>
      <w:r>
        <w:rPr>
          <w:rFonts w:hint="eastAsia" w:ascii="仿宋" w:hAnsi="仿宋" w:eastAsia="仿宋"/>
          <w:color w:val="000000" w:themeColor="text1"/>
          <w:sz w:val="24"/>
          <w:szCs w:val="24"/>
          <w:highlight w:val="none"/>
        </w:rPr>
        <w:t xml:space="preserve"> 电话：_______________ 传真：_______________</w:t>
      </w:r>
    </w:p>
    <w:p w14:paraId="2A8695E4">
      <w:pPr>
        <w:spacing w:line="360" w:lineRule="auto"/>
        <w:ind w:firstLine="547" w:firstLineChars="227"/>
        <w:rPr>
          <w:rFonts w:hint="eastAsia" w:ascii="仿宋" w:hAnsi="仿宋" w:eastAsia="仿宋"/>
          <w:b/>
          <w:color w:val="000000" w:themeColor="text1"/>
          <w:sz w:val="24"/>
          <w:szCs w:val="24"/>
          <w:highlight w:val="none"/>
        </w:rPr>
      </w:pPr>
      <w:r>
        <w:rPr>
          <w:rFonts w:ascii="仿宋" w:hAnsi="仿宋" w:eastAsia="仿宋"/>
          <w:b/>
          <w:color w:val="000000" w:themeColor="text1"/>
          <w:sz w:val="24"/>
          <w:szCs w:val="24"/>
          <w:highlight w:val="none"/>
        </w:rPr>
        <w:t>电子邮箱：</w:t>
      </w:r>
      <w:r>
        <w:rPr>
          <w:rFonts w:hint="eastAsia" w:ascii="仿宋" w:hAnsi="仿宋" w:eastAsia="仿宋"/>
          <w:b/>
          <w:color w:val="000000" w:themeColor="text1"/>
          <w:sz w:val="24"/>
          <w:szCs w:val="24"/>
          <w:highlight w:val="none"/>
        </w:rPr>
        <w:t>_______________</w:t>
      </w:r>
    </w:p>
    <w:p w14:paraId="3405B72B">
      <w:pPr>
        <w:spacing w:line="480" w:lineRule="auto"/>
        <w:ind w:firstLine="544" w:firstLineChars="227"/>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投标人名称：_______</w:t>
      </w:r>
      <w:r>
        <w:rPr>
          <w:rFonts w:hint="eastAsia" w:ascii="仿宋" w:hAnsi="仿宋" w:eastAsia="仿宋"/>
          <w:color w:val="000000" w:themeColor="text1"/>
          <w:sz w:val="24"/>
          <w:szCs w:val="24"/>
          <w:highlight w:val="none"/>
          <w:u w:val="single"/>
        </w:rPr>
        <w:t>（盖公章）</w:t>
      </w:r>
      <w:r>
        <w:rPr>
          <w:rFonts w:hint="eastAsia" w:ascii="仿宋" w:hAnsi="仿宋" w:eastAsia="仿宋"/>
          <w:color w:val="000000" w:themeColor="text1"/>
          <w:sz w:val="24"/>
          <w:szCs w:val="24"/>
          <w:highlight w:val="none"/>
        </w:rPr>
        <w:t>_______</w:t>
      </w:r>
    </w:p>
    <w:p w14:paraId="3262F0C1">
      <w:pPr>
        <w:spacing w:line="480" w:lineRule="auto"/>
        <w:ind w:firstLine="544" w:firstLineChars="227"/>
        <w:rPr>
          <w:rFonts w:hint="eastAsia" w:ascii="仿宋" w:hAnsi="仿宋" w:eastAsia="仿宋"/>
          <w:color w:val="auto"/>
          <w:sz w:val="24"/>
          <w:szCs w:val="24"/>
          <w:highlight w:val="none"/>
          <w:u w:val="single"/>
        </w:rPr>
      </w:pPr>
      <w:r>
        <w:rPr>
          <w:rFonts w:hint="eastAsia" w:ascii="仿宋" w:hAnsi="仿宋" w:eastAsia="仿宋"/>
          <w:color w:val="auto"/>
          <w:sz w:val="24"/>
          <w:szCs w:val="24"/>
          <w:highlight w:val="none"/>
        </w:rPr>
        <w:t>投标人代表：</w:t>
      </w:r>
      <w:r>
        <w:rPr>
          <w:rFonts w:hint="eastAsia" w:ascii="仿宋" w:hAnsi="仿宋" w:eastAsia="仿宋"/>
          <w:color w:val="auto"/>
          <w:sz w:val="24"/>
          <w:szCs w:val="24"/>
          <w:highlight w:val="none"/>
          <w:u w:val="single"/>
        </w:rPr>
        <w:t xml:space="preserve">     签字或盖章    </w:t>
      </w:r>
    </w:p>
    <w:p w14:paraId="14E43F1B">
      <w:pPr>
        <w:spacing w:line="480" w:lineRule="auto"/>
        <w:ind w:firstLine="480" w:firstLineChars="200"/>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日期：______年______月______日</w:t>
      </w:r>
    </w:p>
    <w:p w14:paraId="780A5EFB">
      <w:pPr>
        <w:spacing w:line="480" w:lineRule="auto"/>
        <w:ind w:firstLine="480" w:firstLineChars="200"/>
        <w:rPr>
          <w:rFonts w:hint="eastAsia" w:ascii="宋体" w:hAnsi="宋体"/>
          <w:color w:val="000000" w:themeColor="text1"/>
          <w:sz w:val="24"/>
          <w:szCs w:val="24"/>
          <w:highlight w:val="none"/>
        </w:rPr>
      </w:pPr>
      <w:r>
        <w:rPr>
          <w:rFonts w:hint="eastAsia" w:ascii="仿宋" w:hAnsi="仿宋" w:eastAsia="仿宋"/>
          <w:i/>
          <w:color w:val="000000" w:themeColor="text1"/>
          <w:sz w:val="24"/>
          <w:szCs w:val="24"/>
          <w:highlight w:val="none"/>
          <w:u w:val="single"/>
        </w:rPr>
        <w:t>注：按本格式和要求提供。</w:t>
      </w:r>
    </w:p>
    <w:p w14:paraId="09C91A42">
      <w:pPr>
        <w:spacing w:line="360" w:lineRule="auto"/>
        <w:ind w:firstLine="480" w:firstLineChars="200"/>
        <w:rPr>
          <w:rFonts w:hint="eastAsia" w:ascii="宋体" w:hAnsi="宋体"/>
          <w:color w:val="000000" w:themeColor="text1"/>
          <w:sz w:val="24"/>
          <w:szCs w:val="24"/>
          <w:highlight w:val="none"/>
        </w:rPr>
        <w:sectPr>
          <w:pgSz w:w="11906" w:h="16838"/>
          <w:pgMar w:top="1021" w:right="1247" w:bottom="1021" w:left="1247" w:header="567" w:footer="454" w:gutter="0"/>
          <w:pgNumType w:fmt="numberInDash"/>
          <w:cols w:space="720" w:num="1"/>
          <w:titlePg/>
          <w:docGrid w:type="lines" w:linePitch="312" w:charSpace="0"/>
        </w:sectPr>
      </w:pPr>
    </w:p>
    <w:p w14:paraId="3BF40818">
      <w:pPr>
        <w:spacing w:after="260" w:line="500" w:lineRule="exact"/>
        <w:jc w:val="center"/>
        <w:rPr>
          <w:rFonts w:hint="eastAsia" w:ascii="仿宋" w:hAnsi="仿宋" w:eastAsia="仿宋"/>
          <w:color w:val="000000" w:themeColor="text1"/>
          <w:sz w:val="28"/>
          <w:szCs w:val="28"/>
          <w:highlight w:val="none"/>
        </w:rPr>
      </w:pPr>
      <w:r>
        <w:rPr>
          <w:rFonts w:hint="eastAsia" w:ascii="仿宋" w:hAnsi="仿宋" w:eastAsia="仿宋"/>
          <w:b/>
          <w:color w:val="000000" w:themeColor="text1"/>
          <w:sz w:val="32"/>
          <w:szCs w:val="32"/>
          <w:highlight w:val="none"/>
        </w:rPr>
        <w:t>2、</w:t>
      </w:r>
      <w:r>
        <w:rPr>
          <w:rFonts w:ascii="仿宋" w:hAnsi="仿宋" w:eastAsia="仿宋"/>
          <w:b/>
          <w:color w:val="000000" w:themeColor="text1"/>
          <w:sz w:val="32"/>
          <w:szCs w:val="32"/>
          <w:highlight w:val="none"/>
        </w:rPr>
        <w:t>授权委托书</w:t>
      </w:r>
      <w:r>
        <w:rPr>
          <w:rFonts w:hint="eastAsia" w:ascii="仿宋" w:hAnsi="仿宋" w:eastAsia="仿宋"/>
          <w:b/>
          <w:color w:val="000000" w:themeColor="text1"/>
          <w:sz w:val="32"/>
          <w:szCs w:val="32"/>
          <w:highlight w:val="none"/>
        </w:rPr>
        <w:t>或法定代表人（单位负责人）身份证明</w:t>
      </w:r>
    </w:p>
    <w:p w14:paraId="57E4191B">
      <w:pPr>
        <w:spacing w:after="260" w:line="500" w:lineRule="exact"/>
        <w:jc w:val="center"/>
        <w:rPr>
          <w:rFonts w:hint="eastAsia" w:ascii="仿宋" w:hAnsi="仿宋" w:eastAsia="仿宋"/>
          <w:color w:val="auto"/>
          <w:sz w:val="28"/>
          <w:szCs w:val="28"/>
          <w:highlight w:val="none"/>
        </w:rPr>
      </w:pPr>
      <w:r>
        <w:rPr>
          <w:rFonts w:hint="eastAsia" w:ascii="仿宋" w:hAnsi="仿宋" w:eastAsia="仿宋"/>
          <w:b/>
          <w:color w:val="000000" w:themeColor="text1"/>
          <w:sz w:val="32"/>
          <w:szCs w:val="32"/>
          <w:highlight w:val="none"/>
        </w:rPr>
        <w:t>授权委托书</w:t>
      </w:r>
    </w:p>
    <w:p w14:paraId="63653410">
      <w:pPr>
        <w:spacing w:line="360" w:lineRule="auto"/>
        <w:rPr>
          <w:rFonts w:hint="eastAsia" w:ascii="仿宋" w:hAnsi="仿宋" w:eastAsia="仿宋" w:cs="宋体"/>
          <w:color w:val="auto"/>
          <w:spacing w:val="8"/>
          <w:sz w:val="24"/>
          <w:szCs w:val="24"/>
          <w:highlight w:val="none"/>
        </w:rPr>
      </w:pPr>
      <w:r>
        <w:rPr>
          <w:rFonts w:hint="eastAsia" w:ascii="仿宋" w:hAnsi="仿宋" w:eastAsia="仿宋"/>
          <w:color w:val="000000" w:themeColor="text1"/>
          <w:sz w:val="24"/>
          <w:szCs w:val="24"/>
          <w:highlight w:val="none"/>
        </w:rPr>
        <w:t>诸暨市安华农贸市场</w:t>
      </w:r>
      <w:r>
        <w:rPr>
          <w:rFonts w:hint="eastAsia" w:ascii="仿宋" w:hAnsi="仿宋" w:eastAsia="仿宋" w:cs="宋体"/>
          <w:color w:val="auto"/>
          <w:spacing w:val="8"/>
          <w:sz w:val="24"/>
          <w:szCs w:val="24"/>
          <w:highlight w:val="none"/>
        </w:rPr>
        <w:t>、浙江新顺项目管理有限公司：</w:t>
      </w:r>
    </w:p>
    <w:p w14:paraId="5D523C87">
      <w:pPr>
        <w:spacing w:line="360" w:lineRule="auto"/>
        <w:rPr>
          <w:rFonts w:hint="eastAsia" w:ascii="仿宋" w:hAnsi="仿宋" w:eastAsia="仿宋" w:cs="宋体"/>
          <w:color w:val="auto"/>
          <w:spacing w:val="8"/>
          <w:sz w:val="24"/>
          <w:szCs w:val="24"/>
          <w:highlight w:val="none"/>
        </w:rPr>
      </w:pPr>
    </w:p>
    <w:p w14:paraId="132A7D6C">
      <w:pPr>
        <w:spacing w:line="360" w:lineRule="auto"/>
        <w:ind w:firstLine="480" w:firstLineChars="200"/>
        <w:rPr>
          <w:rFonts w:hint="eastAsia" w:ascii="仿宋" w:hAnsi="仿宋" w:eastAsia="仿宋" w:cs="宋体"/>
          <w:color w:val="000000" w:themeColor="text1"/>
          <w:sz w:val="24"/>
          <w:szCs w:val="24"/>
          <w:highlight w:val="none"/>
        </w:rPr>
      </w:pPr>
      <w:r>
        <w:rPr>
          <w:rFonts w:hint="eastAsia" w:ascii="仿宋" w:hAnsi="仿宋" w:eastAsia="仿宋" w:cs="宋体"/>
          <w:color w:val="000000" w:themeColor="text1"/>
          <w:sz w:val="24"/>
          <w:szCs w:val="24"/>
          <w:highlight w:val="none"/>
        </w:rPr>
        <w:t>我</w:t>
      </w:r>
      <w:r>
        <w:rPr>
          <w:rFonts w:ascii="仿宋" w:hAnsi="仿宋" w:eastAsia="仿宋"/>
          <w:color w:val="000000" w:themeColor="text1"/>
          <w:sz w:val="24"/>
          <w:szCs w:val="24"/>
          <w:highlight w:val="none"/>
          <w:u w:val="single"/>
        </w:rPr>
        <w:t xml:space="preserve">   (</w:t>
      </w:r>
      <w:r>
        <w:rPr>
          <w:rFonts w:hint="eastAsia" w:ascii="仿宋" w:hAnsi="仿宋" w:eastAsia="仿宋"/>
          <w:color w:val="000000" w:themeColor="text1"/>
          <w:sz w:val="24"/>
          <w:szCs w:val="24"/>
          <w:highlight w:val="none"/>
          <w:u w:val="single"/>
        </w:rPr>
        <w:t>姓名</w:t>
      </w:r>
      <w:r>
        <w:rPr>
          <w:rFonts w:ascii="仿宋" w:hAnsi="仿宋" w:eastAsia="仿宋"/>
          <w:color w:val="000000" w:themeColor="text1"/>
          <w:sz w:val="24"/>
          <w:szCs w:val="24"/>
          <w:highlight w:val="none"/>
          <w:u w:val="single"/>
        </w:rPr>
        <w:t>)</w:t>
      </w:r>
      <w:r>
        <w:rPr>
          <w:rFonts w:hint="eastAsia" w:ascii="仿宋" w:hAnsi="仿宋" w:eastAsia="仿宋"/>
          <w:color w:val="000000" w:themeColor="text1"/>
          <w:sz w:val="24"/>
          <w:szCs w:val="24"/>
          <w:highlight w:val="none"/>
          <w:u w:val="single"/>
        </w:rPr>
        <w:t>　 （身份证号码：    ）</w:t>
      </w:r>
      <w:r>
        <w:rPr>
          <w:rFonts w:hint="eastAsia" w:ascii="仿宋" w:hAnsi="仿宋" w:eastAsia="仿宋" w:cs="宋体"/>
          <w:color w:val="000000" w:themeColor="text1"/>
          <w:sz w:val="24"/>
          <w:szCs w:val="24"/>
          <w:highlight w:val="none"/>
        </w:rPr>
        <w:t>系</w:t>
      </w:r>
      <w:r>
        <w:rPr>
          <w:rFonts w:hint="eastAsia" w:ascii="仿宋" w:hAnsi="仿宋" w:eastAsia="仿宋" w:cs="宋体"/>
          <w:color w:val="000000" w:themeColor="text1"/>
          <w:sz w:val="24"/>
          <w:szCs w:val="24"/>
          <w:highlight w:val="none"/>
          <w:u w:val="single"/>
        </w:rPr>
        <w:t xml:space="preserve">   (投标人名称)　</w:t>
      </w:r>
      <w:r>
        <w:rPr>
          <w:rFonts w:hint="eastAsia" w:ascii="仿宋" w:hAnsi="仿宋" w:eastAsia="仿宋" w:cs="宋体"/>
          <w:color w:val="000000" w:themeColor="text1"/>
          <w:sz w:val="24"/>
          <w:szCs w:val="24"/>
          <w:highlight w:val="none"/>
        </w:rPr>
        <w:t>的</w:t>
      </w:r>
      <w:r>
        <w:rPr>
          <w:rFonts w:hint="eastAsia" w:ascii="仿宋" w:hAnsi="仿宋" w:eastAsia="仿宋"/>
          <w:color w:val="auto"/>
          <w:sz w:val="24"/>
          <w:szCs w:val="24"/>
          <w:highlight w:val="none"/>
          <w:u w:val="single"/>
        </w:rPr>
        <w:t xml:space="preserve">  （法定代表人或单位负责人）  </w:t>
      </w:r>
      <w:r>
        <w:rPr>
          <w:rFonts w:hint="eastAsia" w:ascii="仿宋" w:hAnsi="仿宋" w:eastAsia="仿宋"/>
          <w:color w:val="000000" w:themeColor="text1"/>
          <w:sz w:val="24"/>
          <w:szCs w:val="24"/>
          <w:highlight w:val="none"/>
        </w:rPr>
        <w:t>，</w:t>
      </w:r>
      <w:r>
        <w:rPr>
          <w:rFonts w:hint="eastAsia" w:ascii="仿宋" w:hAnsi="仿宋" w:eastAsia="仿宋" w:cs="宋体"/>
          <w:color w:val="000000" w:themeColor="text1"/>
          <w:sz w:val="24"/>
          <w:szCs w:val="24"/>
          <w:highlight w:val="none"/>
        </w:rPr>
        <w:t>现授权委托</w:t>
      </w:r>
      <w:r>
        <w:rPr>
          <w:rFonts w:ascii="仿宋" w:hAnsi="仿宋" w:eastAsia="仿宋"/>
          <w:color w:val="000000" w:themeColor="text1"/>
          <w:sz w:val="24"/>
          <w:szCs w:val="24"/>
          <w:highlight w:val="none"/>
          <w:u w:val="single"/>
        </w:rPr>
        <w:t xml:space="preserve">   (</w:t>
      </w:r>
      <w:r>
        <w:rPr>
          <w:rFonts w:hint="eastAsia" w:ascii="仿宋" w:hAnsi="仿宋" w:eastAsia="仿宋"/>
          <w:color w:val="000000" w:themeColor="text1"/>
          <w:sz w:val="24"/>
          <w:szCs w:val="24"/>
          <w:highlight w:val="none"/>
          <w:u w:val="single"/>
        </w:rPr>
        <w:t>姓名</w:t>
      </w:r>
      <w:r>
        <w:rPr>
          <w:rFonts w:ascii="仿宋" w:hAnsi="仿宋" w:eastAsia="仿宋"/>
          <w:color w:val="000000" w:themeColor="text1"/>
          <w:sz w:val="24"/>
          <w:szCs w:val="24"/>
          <w:highlight w:val="none"/>
          <w:u w:val="single"/>
        </w:rPr>
        <w:t>)</w:t>
      </w:r>
      <w:r>
        <w:rPr>
          <w:rFonts w:hint="eastAsia" w:ascii="仿宋" w:hAnsi="仿宋" w:eastAsia="仿宋"/>
          <w:color w:val="000000" w:themeColor="text1"/>
          <w:sz w:val="24"/>
          <w:szCs w:val="24"/>
          <w:highlight w:val="none"/>
          <w:u w:val="single"/>
        </w:rPr>
        <w:t xml:space="preserve">  　 （身份证号码：     ）</w:t>
      </w:r>
      <w:r>
        <w:rPr>
          <w:rFonts w:hint="eastAsia" w:ascii="仿宋" w:hAnsi="仿宋" w:eastAsia="仿宋"/>
          <w:color w:val="000000" w:themeColor="text1"/>
          <w:sz w:val="24"/>
          <w:szCs w:val="24"/>
          <w:highlight w:val="none"/>
        </w:rPr>
        <w:t>为全权代表，</w:t>
      </w:r>
      <w:r>
        <w:rPr>
          <w:rFonts w:hint="eastAsia" w:ascii="仿宋" w:hAnsi="仿宋" w:eastAsia="仿宋" w:cs="宋体"/>
          <w:color w:val="000000" w:themeColor="text1"/>
          <w:sz w:val="24"/>
          <w:szCs w:val="24"/>
          <w:highlight w:val="none"/>
        </w:rPr>
        <w:t>以我方的名义参加贵方组织的</w:t>
      </w:r>
      <w:r>
        <w:rPr>
          <w:rFonts w:hint="eastAsia" w:ascii="仿宋" w:hAnsi="仿宋" w:eastAsia="仿宋" w:cs="宋体"/>
          <w:color w:val="000000" w:themeColor="text1"/>
          <w:sz w:val="24"/>
          <w:szCs w:val="24"/>
          <w:highlight w:val="none"/>
          <w:u w:val="single"/>
        </w:rPr>
        <w:t xml:space="preserve">    　(项目名称)        </w:t>
      </w:r>
      <w:r>
        <w:rPr>
          <w:rFonts w:hint="eastAsia" w:ascii="仿宋" w:hAnsi="仿宋" w:eastAsia="仿宋" w:cs="宋体"/>
          <w:color w:val="000000" w:themeColor="text1"/>
          <w:sz w:val="24"/>
          <w:szCs w:val="24"/>
          <w:highlight w:val="none"/>
        </w:rPr>
        <w:t>的投标活动，并代表我方全权办理针对上述项目的投标、开标、评标、签约等具体事务和签署相关文件。</w:t>
      </w:r>
    </w:p>
    <w:p w14:paraId="00327691">
      <w:pPr>
        <w:snapToGrid w:val="0"/>
        <w:spacing w:line="360" w:lineRule="auto"/>
        <w:rPr>
          <w:rFonts w:hint="eastAsia" w:ascii="仿宋" w:hAnsi="仿宋" w:eastAsia="仿宋" w:cs="宋体"/>
          <w:color w:val="000000" w:themeColor="text1"/>
          <w:sz w:val="24"/>
          <w:szCs w:val="24"/>
          <w:highlight w:val="none"/>
        </w:rPr>
      </w:pPr>
      <w:r>
        <w:rPr>
          <w:rFonts w:hint="eastAsia" w:ascii="仿宋" w:hAnsi="仿宋" w:eastAsia="仿宋" w:cs="宋体"/>
          <w:color w:val="000000" w:themeColor="text1"/>
          <w:sz w:val="24"/>
          <w:szCs w:val="24"/>
          <w:highlight w:val="none"/>
        </w:rPr>
        <w:t xml:space="preserve">    我方对被授权人的签名事项负全部责任。</w:t>
      </w:r>
    </w:p>
    <w:p w14:paraId="425472A7">
      <w:pPr>
        <w:snapToGrid w:val="0"/>
        <w:spacing w:line="360" w:lineRule="auto"/>
        <w:ind w:firstLine="480"/>
        <w:rPr>
          <w:rFonts w:hint="eastAsia" w:ascii="仿宋" w:hAnsi="仿宋" w:eastAsia="仿宋" w:cs="宋体"/>
          <w:color w:val="000000" w:themeColor="text1"/>
          <w:sz w:val="24"/>
          <w:szCs w:val="24"/>
          <w:highlight w:val="none"/>
        </w:rPr>
      </w:pPr>
      <w:r>
        <w:rPr>
          <w:rFonts w:hint="eastAsia" w:ascii="仿宋" w:hAnsi="仿宋" w:eastAsia="仿宋" w:cs="宋体"/>
          <w:color w:val="000000" w:themeColor="text1"/>
          <w:sz w:val="24"/>
          <w:szCs w:val="24"/>
          <w:highlight w:val="none"/>
        </w:rPr>
        <w:t>在撤销授权的书面通知以前，本授权书一直有效。被授权人在授权书有效期内签署的所有文件不因授权的撤销而失效。</w:t>
      </w:r>
    </w:p>
    <w:p w14:paraId="4C7A93C3">
      <w:pPr>
        <w:snapToGrid w:val="0"/>
        <w:spacing w:line="360" w:lineRule="auto"/>
        <w:ind w:firstLine="480"/>
        <w:rPr>
          <w:rFonts w:hint="eastAsia" w:ascii="仿宋" w:hAnsi="仿宋" w:eastAsia="仿宋" w:cs="宋体"/>
          <w:color w:val="000000" w:themeColor="text1"/>
          <w:sz w:val="24"/>
          <w:szCs w:val="24"/>
          <w:highlight w:val="none"/>
        </w:rPr>
      </w:pPr>
      <w:r>
        <w:rPr>
          <w:rFonts w:hint="eastAsia" w:ascii="仿宋" w:hAnsi="仿宋" w:eastAsia="仿宋" w:cs="宋体"/>
          <w:color w:val="000000" w:themeColor="text1"/>
          <w:sz w:val="24"/>
          <w:szCs w:val="24"/>
          <w:highlight w:val="none"/>
        </w:rPr>
        <w:t>被授权人无转委托权，特此委托。</w:t>
      </w:r>
    </w:p>
    <w:p w14:paraId="5291ACE0">
      <w:pPr>
        <w:spacing w:line="360" w:lineRule="auto"/>
        <w:ind w:firstLine="472" w:firstLineChars="196"/>
        <w:rPr>
          <w:rFonts w:hint="eastAsia" w:ascii="仿宋" w:hAnsi="仿宋" w:eastAsia="仿宋"/>
          <w:b/>
          <w:i/>
          <w:color w:val="000000" w:themeColor="text1"/>
          <w:sz w:val="24"/>
          <w:szCs w:val="24"/>
          <w:highlight w:val="none"/>
          <w:u w:val="single"/>
        </w:rPr>
      </w:pPr>
      <w:r>
        <w:rPr>
          <w:rFonts w:hint="eastAsia" w:ascii="仿宋" w:hAnsi="仿宋" w:eastAsia="仿宋"/>
          <w:b/>
          <w:i/>
          <w:color w:val="000000" w:themeColor="text1"/>
          <w:sz w:val="24"/>
          <w:szCs w:val="24"/>
          <w:highlight w:val="none"/>
          <w:u w:val="single"/>
        </w:rPr>
        <w:t>后附：法定代表人（或单位负责人）和被授权人的身份证（正反面）复印件。</w:t>
      </w:r>
    </w:p>
    <w:p w14:paraId="27C373E2">
      <w:pPr>
        <w:spacing w:line="360" w:lineRule="auto"/>
        <w:rPr>
          <w:rFonts w:hint="eastAsia" w:ascii="仿宋" w:hAnsi="仿宋" w:eastAsia="仿宋" w:cs="宋体"/>
          <w:color w:val="000000" w:themeColor="text1"/>
          <w:sz w:val="24"/>
          <w:szCs w:val="24"/>
          <w:highlight w:val="none"/>
        </w:rPr>
      </w:pPr>
    </w:p>
    <w:p w14:paraId="2CEA4A20">
      <w:pPr>
        <w:spacing w:line="360" w:lineRule="auto"/>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法定代表人（或单位负责人）：</w:t>
      </w:r>
      <w:r>
        <w:rPr>
          <w:rFonts w:ascii="仿宋" w:hAnsi="仿宋" w:eastAsia="仿宋"/>
          <w:color w:val="000000" w:themeColor="text1"/>
          <w:sz w:val="24"/>
          <w:szCs w:val="24"/>
          <w:highlight w:val="none"/>
          <w:u w:val="single"/>
        </w:rPr>
        <w:t>(</w:t>
      </w:r>
      <w:r>
        <w:rPr>
          <w:rFonts w:hint="eastAsia" w:ascii="仿宋" w:hAnsi="仿宋" w:eastAsia="仿宋"/>
          <w:color w:val="000000" w:themeColor="text1"/>
          <w:sz w:val="24"/>
          <w:szCs w:val="24"/>
          <w:highlight w:val="none"/>
          <w:u w:val="single"/>
        </w:rPr>
        <w:t>签字或盖章</w:t>
      </w:r>
      <w:r>
        <w:rPr>
          <w:rFonts w:ascii="仿宋" w:hAnsi="仿宋" w:eastAsia="仿宋"/>
          <w:color w:val="000000" w:themeColor="text1"/>
          <w:sz w:val="24"/>
          <w:szCs w:val="24"/>
          <w:highlight w:val="none"/>
          <w:u w:val="single"/>
        </w:rPr>
        <w:t>)</w:t>
      </w:r>
    </w:p>
    <w:p w14:paraId="7FB124F7">
      <w:pPr>
        <w:spacing w:line="360" w:lineRule="auto"/>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被授权人：</w:t>
      </w:r>
      <w:r>
        <w:rPr>
          <w:rFonts w:ascii="仿宋" w:hAnsi="仿宋" w:eastAsia="仿宋"/>
          <w:color w:val="000000" w:themeColor="text1"/>
          <w:sz w:val="24"/>
          <w:szCs w:val="24"/>
          <w:highlight w:val="none"/>
          <w:u w:val="single"/>
        </w:rPr>
        <w:t>(</w:t>
      </w:r>
      <w:r>
        <w:rPr>
          <w:rFonts w:hint="eastAsia" w:ascii="仿宋" w:hAnsi="仿宋" w:eastAsia="仿宋"/>
          <w:color w:val="000000" w:themeColor="text1"/>
          <w:sz w:val="24"/>
          <w:szCs w:val="24"/>
          <w:highlight w:val="none"/>
          <w:u w:val="single"/>
        </w:rPr>
        <w:t>签字或盖章</w:t>
      </w:r>
      <w:r>
        <w:rPr>
          <w:rFonts w:ascii="仿宋" w:hAnsi="仿宋" w:eastAsia="仿宋"/>
          <w:color w:val="000000" w:themeColor="text1"/>
          <w:sz w:val="24"/>
          <w:szCs w:val="24"/>
          <w:highlight w:val="none"/>
          <w:u w:val="single"/>
        </w:rPr>
        <w:t>)</w:t>
      </w:r>
      <w:r>
        <w:rPr>
          <w:rFonts w:hint="eastAsia" w:ascii="仿宋" w:hAnsi="仿宋" w:eastAsia="仿宋"/>
          <w:color w:val="000000" w:themeColor="text1"/>
          <w:sz w:val="24"/>
          <w:szCs w:val="24"/>
          <w:highlight w:val="none"/>
        </w:rPr>
        <w:t>　</w:t>
      </w:r>
    </w:p>
    <w:p w14:paraId="76AC3011">
      <w:pPr>
        <w:spacing w:line="360" w:lineRule="auto"/>
        <w:rPr>
          <w:rFonts w:hint="eastAsia" w:ascii="仿宋" w:hAnsi="仿宋" w:eastAsia="仿宋"/>
          <w:color w:val="000000" w:themeColor="text1"/>
          <w:sz w:val="24"/>
          <w:szCs w:val="24"/>
          <w:highlight w:val="none"/>
        </w:rPr>
      </w:pPr>
    </w:p>
    <w:p w14:paraId="422E87D6">
      <w:pPr>
        <w:spacing w:line="360" w:lineRule="auto"/>
        <w:ind w:right="960" w:firstLine="4920" w:firstLineChars="2050"/>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投标人名称：____</w:t>
      </w:r>
      <w:r>
        <w:rPr>
          <w:rFonts w:hint="eastAsia" w:ascii="仿宋" w:hAnsi="仿宋" w:eastAsia="仿宋"/>
          <w:color w:val="000000" w:themeColor="text1"/>
          <w:sz w:val="24"/>
          <w:szCs w:val="24"/>
          <w:highlight w:val="none"/>
          <w:u w:val="single"/>
        </w:rPr>
        <w:t>（盖公章）_</w:t>
      </w:r>
      <w:r>
        <w:rPr>
          <w:rFonts w:hint="eastAsia" w:ascii="仿宋" w:hAnsi="仿宋" w:eastAsia="仿宋"/>
          <w:color w:val="000000" w:themeColor="text1"/>
          <w:sz w:val="24"/>
          <w:szCs w:val="24"/>
          <w:highlight w:val="none"/>
        </w:rPr>
        <w:t>___</w:t>
      </w:r>
    </w:p>
    <w:p w14:paraId="3E3B5D9C">
      <w:pPr>
        <w:spacing w:line="360" w:lineRule="auto"/>
        <w:ind w:firstLine="425"/>
        <w:jc w:val="left"/>
        <w:rPr>
          <w:rFonts w:hint="eastAsia" w:ascii="仿宋" w:hAnsi="仿宋" w:eastAsia="仿宋" w:cs="Arial"/>
          <w:color w:val="auto"/>
          <w:sz w:val="24"/>
          <w:szCs w:val="22"/>
          <w:highlight w:val="none"/>
        </w:rPr>
      </w:pPr>
      <w:r>
        <w:rPr>
          <w:rFonts w:hint="eastAsia" w:ascii="仿宋" w:hAnsi="仿宋" w:eastAsia="仿宋"/>
          <w:color w:val="000000" w:themeColor="text1"/>
          <w:sz w:val="24"/>
          <w:szCs w:val="24"/>
          <w:highlight w:val="none"/>
        </w:rPr>
        <w:t xml:space="preserve">                                      日期：_____年_____月_____日</w:t>
      </w:r>
    </w:p>
    <w:p w14:paraId="5F703B02">
      <w:pPr>
        <w:spacing w:line="360" w:lineRule="auto"/>
        <w:ind w:firstLine="425"/>
        <w:jc w:val="left"/>
        <w:rPr>
          <w:rFonts w:hint="eastAsia" w:ascii="仿宋" w:hAnsi="仿宋" w:eastAsia="仿宋"/>
          <w:b/>
          <w:i/>
          <w:color w:val="000000" w:themeColor="text1"/>
          <w:sz w:val="24"/>
          <w:szCs w:val="24"/>
          <w:highlight w:val="none"/>
          <w:u w:val="single"/>
        </w:rPr>
      </w:pPr>
    </w:p>
    <w:p w14:paraId="6F09D184">
      <w:pPr>
        <w:spacing w:line="360" w:lineRule="auto"/>
        <w:ind w:firstLine="425"/>
        <w:jc w:val="left"/>
        <w:rPr>
          <w:rFonts w:hint="eastAsia" w:ascii="仿宋" w:hAnsi="仿宋" w:eastAsia="仿宋"/>
          <w:b/>
          <w:i/>
          <w:color w:val="000000" w:themeColor="text1"/>
          <w:sz w:val="24"/>
          <w:szCs w:val="24"/>
          <w:highlight w:val="none"/>
          <w:u w:val="single"/>
        </w:rPr>
      </w:pPr>
    </w:p>
    <w:p w14:paraId="66D2558C">
      <w:pPr>
        <w:spacing w:line="300" w:lineRule="auto"/>
        <w:rPr>
          <w:rFonts w:hint="eastAsia" w:ascii="仿宋" w:hAnsi="仿宋" w:eastAsia="仿宋"/>
          <w:i/>
          <w:color w:val="auto"/>
          <w:sz w:val="24"/>
          <w:szCs w:val="24"/>
          <w:highlight w:val="none"/>
        </w:rPr>
      </w:pPr>
      <w:r>
        <w:rPr>
          <w:rFonts w:hint="eastAsia" w:ascii="仿宋" w:hAnsi="仿宋" w:eastAsia="仿宋"/>
          <w:bCs/>
          <w:i/>
          <w:color w:val="000000" w:themeColor="text1"/>
          <w:spacing w:val="-6"/>
          <w:sz w:val="24"/>
          <w:szCs w:val="24"/>
          <w:highlight w:val="none"/>
        </w:rPr>
        <w:t>注：</w:t>
      </w:r>
    </w:p>
    <w:p w14:paraId="3BC1E15C">
      <w:pPr>
        <w:spacing w:line="300" w:lineRule="auto"/>
        <w:ind w:firstLine="480" w:firstLineChars="200"/>
        <w:rPr>
          <w:rFonts w:hint="eastAsia" w:ascii="仿宋" w:hAnsi="仿宋" w:eastAsia="仿宋"/>
          <w:i/>
          <w:color w:val="auto"/>
          <w:sz w:val="24"/>
          <w:szCs w:val="24"/>
          <w:highlight w:val="none"/>
          <w:u w:val="single"/>
        </w:rPr>
      </w:pPr>
      <w:r>
        <w:rPr>
          <w:rFonts w:hint="eastAsia" w:ascii="仿宋" w:hAnsi="仿宋" w:eastAsia="仿宋"/>
          <w:i/>
          <w:color w:val="auto"/>
          <w:sz w:val="24"/>
          <w:szCs w:val="24"/>
          <w:highlight w:val="none"/>
        </w:rPr>
        <w:t>1、</w:t>
      </w:r>
      <w:r>
        <w:rPr>
          <w:rFonts w:ascii="仿宋" w:hAnsi="仿宋" w:eastAsia="仿宋"/>
          <w:bCs/>
          <w:i/>
          <w:color w:val="auto"/>
          <w:sz w:val="24"/>
          <w:szCs w:val="24"/>
          <w:highlight w:val="none"/>
          <w:u w:val="single"/>
        </w:rPr>
        <w:t>投标人代表为法</w:t>
      </w:r>
      <w:r>
        <w:rPr>
          <w:rFonts w:ascii="仿宋" w:hAnsi="仿宋" w:eastAsia="仿宋"/>
          <w:i/>
          <w:color w:val="auto"/>
          <w:sz w:val="24"/>
          <w:szCs w:val="24"/>
          <w:highlight w:val="none"/>
          <w:u w:val="single"/>
        </w:rPr>
        <w:t>定</w:t>
      </w:r>
      <w:r>
        <w:rPr>
          <w:rFonts w:ascii="仿宋" w:hAnsi="仿宋" w:eastAsia="仿宋"/>
          <w:bCs/>
          <w:i/>
          <w:color w:val="auto"/>
          <w:sz w:val="24"/>
          <w:szCs w:val="24"/>
          <w:highlight w:val="none"/>
          <w:u w:val="single"/>
        </w:rPr>
        <w:t>代表人（单位负责人）的，只需提供法</w:t>
      </w:r>
      <w:r>
        <w:rPr>
          <w:rFonts w:ascii="仿宋" w:hAnsi="仿宋" w:eastAsia="仿宋"/>
          <w:i/>
          <w:color w:val="auto"/>
          <w:sz w:val="24"/>
          <w:szCs w:val="24"/>
          <w:highlight w:val="none"/>
          <w:u w:val="single"/>
        </w:rPr>
        <w:t>定</w:t>
      </w:r>
      <w:r>
        <w:rPr>
          <w:rFonts w:ascii="仿宋" w:hAnsi="仿宋" w:eastAsia="仿宋"/>
          <w:bCs/>
          <w:i/>
          <w:color w:val="auto"/>
          <w:sz w:val="24"/>
          <w:szCs w:val="24"/>
          <w:highlight w:val="none"/>
          <w:u w:val="single"/>
        </w:rPr>
        <w:t>代表</w:t>
      </w:r>
      <w:r>
        <w:rPr>
          <w:rFonts w:ascii="仿宋" w:hAnsi="仿宋" w:eastAsia="仿宋"/>
          <w:i/>
          <w:color w:val="auto"/>
          <w:sz w:val="24"/>
          <w:szCs w:val="24"/>
          <w:highlight w:val="none"/>
          <w:u w:val="single"/>
        </w:rPr>
        <w:t>人（单位负责人）</w:t>
      </w:r>
      <w:r>
        <w:rPr>
          <w:rFonts w:ascii="仿宋" w:hAnsi="仿宋" w:eastAsia="仿宋"/>
          <w:bCs/>
          <w:i/>
          <w:color w:val="auto"/>
          <w:sz w:val="24"/>
          <w:szCs w:val="24"/>
          <w:highlight w:val="none"/>
          <w:u w:val="single"/>
        </w:rPr>
        <w:t>身份证（正反面）复印件（加盖单位公章）</w:t>
      </w:r>
      <w:r>
        <w:rPr>
          <w:rFonts w:ascii="仿宋" w:hAnsi="仿宋" w:eastAsia="仿宋"/>
          <w:i/>
          <w:color w:val="auto"/>
          <w:sz w:val="24"/>
          <w:szCs w:val="24"/>
          <w:highlight w:val="none"/>
        </w:rPr>
        <w:t>。</w:t>
      </w:r>
    </w:p>
    <w:p w14:paraId="4E2057EA">
      <w:pPr>
        <w:spacing w:line="300" w:lineRule="auto"/>
        <w:ind w:firstLine="480" w:firstLineChars="200"/>
        <w:jc w:val="left"/>
        <w:rPr>
          <w:rFonts w:hint="eastAsia" w:ascii="仿宋" w:hAnsi="仿宋" w:eastAsia="仿宋" w:cs="Arial"/>
          <w:color w:val="auto"/>
          <w:sz w:val="24"/>
          <w:szCs w:val="22"/>
          <w:highlight w:val="none"/>
        </w:rPr>
      </w:pPr>
      <w:r>
        <w:rPr>
          <w:rFonts w:hint="eastAsia" w:ascii="仿宋" w:hAnsi="仿宋" w:eastAsia="仿宋"/>
          <w:i/>
          <w:color w:val="auto"/>
          <w:sz w:val="24"/>
          <w:szCs w:val="24"/>
          <w:highlight w:val="none"/>
        </w:rPr>
        <w:t>2、</w:t>
      </w:r>
      <w:r>
        <w:rPr>
          <w:rFonts w:ascii="仿宋" w:hAnsi="仿宋" w:eastAsia="仿宋"/>
          <w:i/>
          <w:color w:val="auto"/>
          <w:sz w:val="24"/>
          <w:szCs w:val="24"/>
          <w:highlight w:val="none"/>
          <w:u w:val="single"/>
        </w:rPr>
        <w:t>投标人代表不是法定代表人（单位负责人）的，</w:t>
      </w:r>
      <w:r>
        <w:rPr>
          <w:rFonts w:hint="eastAsia" w:ascii="仿宋" w:hAnsi="仿宋" w:eastAsia="仿宋"/>
          <w:bCs/>
          <w:i/>
          <w:color w:val="auto"/>
          <w:spacing w:val="-6"/>
          <w:sz w:val="24"/>
          <w:szCs w:val="24"/>
          <w:highlight w:val="none"/>
          <w:u w:val="single"/>
        </w:rPr>
        <w:t>应当按上述格式要求编制、提交</w:t>
      </w:r>
      <w:r>
        <w:rPr>
          <w:rFonts w:ascii="仿宋" w:hAnsi="仿宋" w:eastAsia="仿宋"/>
          <w:bCs/>
          <w:i/>
          <w:color w:val="auto"/>
          <w:spacing w:val="-6"/>
          <w:sz w:val="24"/>
          <w:szCs w:val="24"/>
          <w:highlight w:val="none"/>
          <w:u w:val="single"/>
        </w:rPr>
        <w:t>授权委托书</w:t>
      </w:r>
      <w:r>
        <w:rPr>
          <w:rFonts w:hint="eastAsia" w:ascii="仿宋" w:hAnsi="仿宋" w:eastAsia="仿宋"/>
          <w:bCs/>
          <w:i/>
          <w:color w:val="auto"/>
          <w:spacing w:val="-6"/>
          <w:sz w:val="24"/>
          <w:szCs w:val="24"/>
          <w:highlight w:val="none"/>
        </w:rPr>
        <w:t>。</w:t>
      </w:r>
    </w:p>
    <w:p w14:paraId="66FB198D">
      <w:pPr>
        <w:widowControl/>
        <w:tabs>
          <w:tab w:val="left" w:pos="350"/>
          <w:tab w:val="left" w:pos="8280"/>
        </w:tabs>
        <w:spacing w:after="624" w:afterLines="200" w:line="360" w:lineRule="auto"/>
        <w:ind w:firstLine="561" w:firstLineChars="245"/>
        <w:rPr>
          <w:rFonts w:hint="eastAsia" w:ascii="仿宋" w:hAnsi="仿宋" w:eastAsia="仿宋"/>
          <w:b/>
          <w:bCs/>
          <w:i/>
          <w:color w:val="auto"/>
          <w:spacing w:val="-6"/>
          <w:sz w:val="24"/>
          <w:szCs w:val="24"/>
          <w:highlight w:val="none"/>
        </w:rPr>
        <w:sectPr>
          <w:pgSz w:w="11906" w:h="16838"/>
          <w:pgMar w:top="1247" w:right="1247" w:bottom="1247" w:left="1247" w:header="567" w:footer="454" w:gutter="0"/>
          <w:pgNumType w:fmt="numberInDash"/>
          <w:cols w:space="720" w:num="1"/>
          <w:titlePg/>
          <w:docGrid w:type="lines" w:linePitch="312" w:charSpace="0"/>
        </w:sectPr>
      </w:pPr>
    </w:p>
    <w:p w14:paraId="1DA840DA">
      <w:pPr>
        <w:spacing w:after="260" w:line="500" w:lineRule="exact"/>
        <w:jc w:val="center"/>
        <w:rPr>
          <w:rFonts w:hint="eastAsia" w:ascii="仿宋" w:hAnsi="仿宋" w:eastAsia="仿宋"/>
          <w:b/>
          <w:color w:val="000000" w:themeColor="text1"/>
          <w:sz w:val="32"/>
          <w:szCs w:val="32"/>
          <w:highlight w:val="none"/>
        </w:rPr>
      </w:pPr>
      <w:r>
        <w:rPr>
          <w:rFonts w:hint="eastAsia" w:ascii="仿宋" w:hAnsi="仿宋" w:eastAsia="仿宋"/>
          <w:b/>
          <w:color w:val="000000" w:themeColor="text1"/>
          <w:sz w:val="32"/>
          <w:szCs w:val="32"/>
          <w:highlight w:val="none"/>
        </w:rPr>
        <w:t>3、商务技术偏离表</w:t>
      </w:r>
    </w:p>
    <w:tbl>
      <w:tblPr>
        <w:tblStyle w:val="49"/>
        <w:tblW w:w="93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3233"/>
        <w:gridCol w:w="3402"/>
        <w:gridCol w:w="1985"/>
      </w:tblGrid>
      <w:tr w14:paraId="40DAE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709" w:type="dxa"/>
            <w:vAlign w:val="center"/>
          </w:tcPr>
          <w:p w14:paraId="7952B399">
            <w:pPr>
              <w:spacing w:line="276" w:lineRule="auto"/>
              <w:jc w:val="center"/>
              <w:rPr>
                <w:rFonts w:hint="eastAsia" w:ascii="仿宋" w:hAnsi="仿宋" w:eastAsia="仿宋"/>
                <w:color w:val="000000" w:themeColor="text1"/>
                <w:w w:val="90"/>
                <w:sz w:val="24"/>
                <w:highlight w:val="none"/>
              </w:rPr>
            </w:pPr>
            <w:r>
              <w:rPr>
                <w:rFonts w:hint="eastAsia" w:ascii="仿宋" w:hAnsi="仿宋" w:eastAsia="仿宋"/>
                <w:color w:val="000000" w:themeColor="text1"/>
                <w:w w:val="90"/>
                <w:sz w:val="24"/>
                <w:highlight w:val="none"/>
              </w:rPr>
              <w:t>序号</w:t>
            </w:r>
          </w:p>
        </w:tc>
        <w:tc>
          <w:tcPr>
            <w:tcW w:w="3233" w:type="dxa"/>
            <w:vAlign w:val="center"/>
          </w:tcPr>
          <w:p w14:paraId="4180833C">
            <w:pPr>
              <w:spacing w:line="276" w:lineRule="auto"/>
              <w:jc w:val="center"/>
              <w:rPr>
                <w:rFonts w:hint="eastAsia" w:ascii="仿宋" w:hAnsi="仿宋" w:eastAsia="仿宋"/>
                <w:color w:val="000000" w:themeColor="text1"/>
                <w:w w:val="90"/>
                <w:sz w:val="24"/>
                <w:highlight w:val="none"/>
              </w:rPr>
            </w:pPr>
            <w:r>
              <w:rPr>
                <w:rFonts w:hint="eastAsia" w:ascii="仿宋" w:hAnsi="仿宋" w:eastAsia="仿宋"/>
                <w:color w:val="000000" w:themeColor="text1"/>
                <w:w w:val="90"/>
                <w:sz w:val="24"/>
                <w:highlight w:val="none"/>
              </w:rPr>
              <w:t>招标文件章节及具体内容</w:t>
            </w:r>
          </w:p>
        </w:tc>
        <w:tc>
          <w:tcPr>
            <w:tcW w:w="3402" w:type="dxa"/>
            <w:vAlign w:val="center"/>
          </w:tcPr>
          <w:p w14:paraId="53FC94C5">
            <w:pPr>
              <w:spacing w:line="276" w:lineRule="auto"/>
              <w:jc w:val="center"/>
              <w:rPr>
                <w:rFonts w:hint="eastAsia" w:ascii="仿宋" w:hAnsi="仿宋" w:eastAsia="仿宋"/>
                <w:color w:val="000000" w:themeColor="text1"/>
                <w:w w:val="90"/>
                <w:sz w:val="24"/>
                <w:highlight w:val="none"/>
              </w:rPr>
            </w:pPr>
            <w:r>
              <w:rPr>
                <w:rFonts w:hint="eastAsia" w:ascii="仿宋" w:hAnsi="仿宋" w:eastAsia="仿宋"/>
                <w:color w:val="000000" w:themeColor="text1"/>
                <w:w w:val="90"/>
                <w:sz w:val="24"/>
                <w:highlight w:val="none"/>
              </w:rPr>
              <w:t>投标文件章节及具体内容</w:t>
            </w:r>
          </w:p>
        </w:tc>
        <w:tc>
          <w:tcPr>
            <w:tcW w:w="1985" w:type="dxa"/>
            <w:vAlign w:val="center"/>
          </w:tcPr>
          <w:p w14:paraId="02370854">
            <w:pPr>
              <w:spacing w:line="276" w:lineRule="auto"/>
              <w:jc w:val="center"/>
              <w:rPr>
                <w:rFonts w:hint="eastAsia" w:ascii="仿宋" w:hAnsi="仿宋" w:eastAsia="仿宋"/>
                <w:color w:val="000000" w:themeColor="text1"/>
                <w:w w:val="90"/>
                <w:sz w:val="24"/>
                <w:highlight w:val="none"/>
              </w:rPr>
            </w:pPr>
            <w:r>
              <w:rPr>
                <w:rFonts w:hint="eastAsia" w:ascii="仿宋" w:hAnsi="仿宋" w:eastAsia="仿宋"/>
                <w:color w:val="000000" w:themeColor="text1"/>
                <w:w w:val="90"/>
                <w:sz w:val="24"/>
                <w:highlight w:val="none"/>
              </w:rPr>
              <w:t>偏离说明</w:t>
            </w:r>
          </w:p>
        </w:tc>
      </w:tr>
      <w:tr w14:paraId="3244C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9" w:type="dxa"/>
            <w:vAlign w:val="center"/>
          </w:tcPr>
          <w:p w14:paraId="1C875F60">
            <w:pPr>
              <w:spacing w:line="276" w:lineRule="auto"/>
              <w:jc w:val="center"/>
              <w:rPr>
                <w:rFonts w:hint="eastAsia" w:ascii="仿宋" w:hAnsi="仿宋" w:eastAsia="仿宋"/>
                <w:color w:val="000000" w:themeColor="text1"/>
                <w:w w:val="90"/>
                <w:sz w:val="24"/>
                <w:highlight w:val="none"/>
              </w:rPr>
            </w:pPr>
            <w:r>
              <w:rPr>
                <w:rFonts w:hint="eastAsia" w:ascii="仿宋" w:hAnsi="仿宋" w:eastAsia="仿宋"/>
                <w:color w:val="000000" w:themeColor="text1"/>
                <w:w w:val="90"/>
                <w:sz w:val="24"/>
                <w:highlight w:val="none"/>
              </w:rPr>
              <w:t>1</w:t>
            </w:r>
          </w:p>
        </w:tc>
        <w:tc>
          <w:tcPr>
            <w:tcW w:w="3233" w:type="dxa"/>
            <w:vAlign w:val="center"/>
          </w:tcPr>
          <w:p w14:paraId="106D27C1">
            <w:pPr>
              <w:spacing w:line="276" w:lineRule="auto"/>
              <w:jc w:val="left"/>
              <w:rPr>
                <w:rFonts w:hint="eastAsia" w:ascii="仿宋" w:hAnsi="仿宋" w:eastAsia="仿宋"/>
                <w:color w:val="000000" w:themeColor="text1"/>
                <w:w w:val="90"/>
                <w:sz w:val="24"/>
                <w:highlight w:val="none"/>
              </w:rPr>
            </w:pPr>
          </w:p>
        </w:tc>
        <w:tc>
          <w:tcPr>
            <w:tcW w:w="3402" w:type="dxa"/>
            <w:vAlign w:val="center"/>
          </w:tcPr>
          <w:p w14:paraId="4FD0CC21">
            <w:pPr>
              <w:spacing w:line="276" w:lineRule="auto"/>
              <w:jc w:val="center"/>
              <w:rPr>
                <w:rFonts w:hint="eastAsia" w:ascii="仿宋" w:hAnsi="仿宋" w:eastAsia="仿宋"/>
                <w:color w:val="000000" w:themeColor="text1"/>
                <w:w w:val="90"/>
                <w:sz w:val="24"/>
                <w:highlight w:val="none"/>
              </w:rPr>
            </w:pPr>
          </w:p>
        </w:tc>
        <w:tc>
          <w:tcPr>
            <w:tcW w:w="1985" w:type="dxa"/>
            <w:vAlign w:val="center"/>
          </w:tcPr>
          <w:p w14:paraId="313E3896">
            <w:pPr>
              <w:spacing w:line="276" w:lineRule="auto"/>
              <w:jc w:val="center"/>
              <w:rPr>
                <w:rFonts w:hint="eastAsia" w:ascii="仿宋" w:hAnsi="仿宋" w:eastAsia="仿宋"/>
                <w:color w:val="000000" w:themeColor="text1"/>
                <w:w w:val="90"/>
                <w:sz w:val="24"/>
                <w:highlight w:val="none"/>
              </w:rPr>
            </w:pPr>
          </w:p>
        </w:tc>
      </w:tr>
      <w:tr w14:paraId="7C15A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9" w:type="dxa"/>
            <w:vAlign w:val="center"/>
          </w:tcPr>
          <w:p w14:paraId="667A6E9F">
            <w:pPr>
              <w:spacing w:line="276" w:lineRule="auto"/>
              <w:jc w:val="center"/>
              <w:rPr>
                <w:rFonts w:hint="eastAsia" w:ascii="仿宋" w:hAnsi="仿宋" w:eastAsia="仿宋"/>
                <w:color w:val="000000" w:themeColor="text1"/>
                <w:w w:val="90"/>
                <w:sz w:val="24"/>
                <w:highlight w:val="none"/>
              </w:rPr>
            </w:pPr>
            <w:r>
              <w:rPr>
                <w:rFonts w:hint="eastAsia" w:ascii="仿宋" w:hAnsi="仿宋" w:eastAsia="仿宋"/>
                <w:color w:val="000000" w:themeColor="text1"/>
                <w:w w:val="90"/>
                <w:sz w:val="24"/>
                <w:highlight w:val="none"/>
              </w:rPr>
              <w:t>2</w:t>
            </w:r>
          </w:p>
        </w:tc>
        <w:tc>
          <w:tcPr>
            <w:tcW w:w="3233" w:type="dxa"/>
            <w:vAlign w:val="center"/>
          </w:tcPr>
          <w:p w14:paraId="721335BE">
            <w:pPr>
              <w:spacing w:line="276" w:lineRule="auto"/>
              <w:jc w:val="left"/>
              <w:rPr>
                <w:rFonts w:hint="eastAsia" w:ascii="仿宋" w:hAnsi="仿宋" w:eastAsia="仿宋"/>
                <w:color w:val="000000" w:themeColor="text1"/>
                <w:w w:val="90"/>
                <w:sz w:val="24"/>
                <w:highlight w:val="none"/>
              </w:rPr>
            </w:pPr>
          </w:p>
        </w:tc>
        <w:tc>
          <w:tcPr>
            <w:tcW w:w="3402" w:type="dxa"/>
            <w:vAlign w:val="center"/>
          </w:tcPr>
          <w:p w14:paraId="15A7CAD4">
            <w:pPr>
              <w:spacing w:line="276" w:lineRule="auto"/>
              <w:jc w:val="center"/>
              <w:rPr>
                <w:rFonts w:hint="eastAsia" w:ascii="仿宋" w:hAnsi="仿宋" w:eastAsia="仿宋"/>
                <w:color w:val="000000" w:themeColor="text1"/>
                <w:w w:val="90"/>
                <w:sz w:val="24"/>
                <w:highlight w:val="none"/>
              </w:rPr>
            </w:pPr>
          </w:p>
        </w:tc>
        <w:tc>
          <w:tcPr>
            <w:tcW w:w="1985" w:type="dxa"/>
            <w:vAlign w:val="center"/>
          </w:tcPr>
          <w:p w14:paraId="77AEBD85">
            <w:pPr>
              <w:spacing w:line="276" w:lineRule="auto"/>
              <w:jc w:val="center"/>
              <w:rPr>
                <w:rFonts w:hint="eastAsia" w:ascii="仿宋" w:hAnsi="仿宋" w:eastAsia="仿宋"/>
                <w:color w:val="000000" w:themeColor="text1"/>
                <w:w w:val="90"/>
                <w:sz w:val="24"/>
                <w:highlight w:val="none"/>
              </w:rPr>
            </w:pPr>
          </w:p>
        </w:tc>
      </w:tr>
      <w:tr w14:paraId="6FE41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9" w:type="dxa"/>
            <w:vAlign w:val="center"/>
          </w:tcPr>
          <w:p w14:paraId="4B0BBCEA">
            <w:pPr>
              <w:spacing w:line="276" w:lineRule="auto"/>
              <w:jc w:val="center"/>
              <w:rPr>
                <w:rFonts w:hint="eastAsia" w:ascii="仿宋" w:hAnsi="仿宋" w:eastAsia="仿宋"/>
                <w:color w:val="000000" w:themeColor="text1"/>
                <w:w w:val="90"/>
                <w:sz w:val="24"/>
                <w:highlight w:val="none"/>
              </w:rPr>
            </w:pPr>
            <w:r>
              <w:rPr>
                <w:rFonts w:hint="eastAsia" w:ascii="仿宋" w:hAnsi="仿宋" w:eastAsia="仿宋"/>
                <w:color w:val="000000" w:themeColor="text1"/>
                <w:w w:val="90"/>
                <w:sz w:val="24"/>
                <w:highlight w:val="none"/>
              </w:rPr>
              <w:t>3</w:t>
            </w:r>
          </w:p>
        </w:tc>
        <w:tc>
          <w:tcPr>
            <w:tcW w:w="3233" w:type="dxa"/>
            <w:vAlign w:val="center"/>
          </w:tcPr>
          <w:p w14:paraId="5ABDE175">
            <w:pPr>
              <w:spacing w:line="276" w:lineRule="auto"/>
              <w:jc w:val="left"/>
              <w:rPr>
                <w:rFonts w:hint="eastAsia" w:ascii="仿宋" w:hAnsi="仿宋" w:eastAsia="仿宋"/>
                <w:color w:val="000000" w:themeColor="text1"/>
                <w:w w:val="90"/>
                <w:sz w:val="24"/>
                <w:highlight w:val="none"/>
              </w:rPr>
            </w:pPr>
          </w:p>
        </w:tc>
        <w:tc>
          <w:tcPr>
            <w:tcW w:w="3402" w:type="dxa"/>
            <w:vAlign w:val="center"/>
          </w:tcPr>
          <w:p w14:paraId="61D02091">
            <w:pPr>
              <w:spacing w:line="276" w:lineRule="auto"/>
              <w:jc w:val="center"/>
              <w:rPr>
                <w:rFonts w:hint="eastAsia" w:ascii="仿宋" w:hAnsi="仿宋" w:eastAsia="仿宋"/>
                <w:color w:val="000000" w:themeColor="text1"/>
                <w:w w:val="90"/>
                <w:sz w:val="24"/>
                <w:highlight w:val="none"/>
              </w:rPr>
            </w:pPr>
          </w:p>
        </w:tc>
        <w:tc>
          <w:tcPr>
            <w:tcW w:w="1985" w:type="dxa"/>
            <w:vAlign w:val="center"/>
          </w:tcPr>
          <w:p w14:paraId="2EA2BF65">
            <w:pPr>
              <w:spacing w:line="276" w:lineRule="auto"/>
              <w:jc w:val="center"/>
              <w:rPr>
                <w:rFonts w:hint="eastAsia" w:ascii="仿宋" w:hAnsi="仿宋" w:eastAsia="仿宋"/>
                <w:color w:val="000000" w:themeColor="text1"/>
                <w:w w:val="90"/>
                <w:sz w:val="24"/>
                <w:highlight w:val="none"/>
              </w:rPr>
            </w:pPr>
          </w:p>
        </w:tc>
      </w:tr>
      <w:tr w14:paraId="383C6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9" w:type="dxa"/>
            <w:vAlign w:val="center"/>
          </w:tcPr>
          <w:p w14:paraId="39A78CA5">
            <w:pPr>
              <w:spacing w:line="276" w:lineRule="auto"/>
              <w:jc w:val="center"/>
              <w:rPr>
                <w:rFonts w:hint="eastAsia" w:ascii="仿宋" w:hAnsi="仿宋" w:eastAsia="仿宋"/>
                <w:color w:val="000000" w:themeColor="text1"/>
                <w:w w:val="90"/>
                <w:sz w:val="24"/>
                <w:highlight w:val="none"/>
              </w:rPr>
            </w:pPr>
            <w:r>
              <w:rPr>
                <w:rFonts w:hint="eastAsia" w:ascii="仿宋" w:hAnsi="仿宋" w:eastAsia="仿宋"/>
                <w:color w:val="000000" w:themeColor="text1"/>
                <w:w w:val="90"/>
                <w:sz w:val="24"/>
                <w:highlight w:val="none"/>
              </w:rPr>
              <w:t>4</w:t>
            </w:r>
          </w:p>
        </w:tc>
        <w:tc>
          <w:tcPr>
            <w:tcW w:w="3233" w:type="dxa"/>
            <w:vAlign w:val="center"/>
          </w:tcPr>
          <w:p w14:paraId="247011AD">
            <w:pPr>
              <w:spacing w:line="276" w:lineRule="auto"/>
              <w:jc w:val="left"/>
              <w:rPr>
                <w:rFonts w:hint="eastAsia" w:ascii="仿宋" w:hAnsi="仿宋" w:eastAsia="仿宋"/>
                <w:color w:val="000000" w:themeColor="text1"/>
                <w:w w:val="90"/>
                <w:sz w:val="24"/>
                <w:highlight w:val="none"/>
              </w:rPr>
            </w:pPr>
          </w:p>
        </w:tc>
        <w:tc>
          <w:tcPr>
            <w:tcW w:w="3402" w:type="dxa"/>
            <w:vAlign w:val="center"/>
          </w:tcPr>
          <w:p w14:paraId="606D616E">
            <w:pPr>
              <w:spacing w:line="276" w:lineRule="auto"/>
              <w:jc w:val="center"/>
              <w:rPr>
                <w:rFonts w:hint="eastAsia" w:ascii="仿宋" w:hAnsi="仿宋" w:eastAsia="仿宋"/>
                <w:color w:val="000000" w:themeColor="text1"/>
                <w:w w:val="90"/>
                <w:sz w:val="24"/>
                <w:highlight w:val="none"/>
              </w:rPr>
            </w:pPr>
          </w:p>
        </w:tc>
        <w:tc>
          <w:tcPr>
            <w:tcW w:w="1985" w:type="dxa"/>
            <w:vAlign w:val="center"/>
          </w:tcPr>
          <w:p w14:paraId="1E24A6EF">
            <w:pPr>
              <w:spacing w:line="276" w:lineRule="auto"/>
              <w:jc w:val="center"/>
              <w:rPr>
                <w:rFonts w:hint="eastAsia" w:ascii="仿宋" w:hAnsi="仿宋" w:eastAsia="仿宋"/>
                <w:color w:val="000000" w:themeColor="text1"/>
                <w:w w:val="90"/>
                <w:sz w:val="24"/>
                <w:highlight w:val="none"/>
              </w:rPr>
            </w:pPr>
          </w:p>
        </w:tc>
      </w:tr>
      <w:tr w14:paraId="104EC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9" w:type="dxa"/>
            <w:vAlign w:val="center"/>
          </w:tcPr>
          <w:p w14:paraId="5E721DFB">
            <w:pPr>
              <w:spacing w:line="276" w:lineRule="auto"/>
              <w:jc w:val="center"/>
              <w:rPr>
                <w:rFonts w:hint="eastAsia" w:ascii="仿宋" w:hAnsi="仿宋" w:eastAsia="仿宋"/>
                <w:color w:val="000000" w:themeColor="text1"/>
                <w:w w:val="90"/>
                <w:sz w:val="24"/>
                <w:highlight w:val="none"/>
              </w:rPr>
            </w:pPr>
            <w:r>
              <w:rPr>
                <w:rFonts w:hint="eastAsia" w:ascii="仿宋" w:hAnsi="仿宋" w:eastAsia="仿宋"/>
                <w:color w:val="000000" w:themeColor="text1"/>
                <w:w w:val="90"/>
                <w:sz w:val="24"/>
                <w:highlight w:val="none"/>
              </w:rPr>
              <w:t>5</w:t>
            </w:r>
          </w:p>
        </w:tc>
        <w:tc>
          <w:tcPr>
            <w:tcW w:w="3233" w:type="dxa"/>
            <w:vAlign w:val="center"/>
          </w:tcPr>
          <w:p w14:paraId="3DFFA294">
            <w:pPr>
              <w:spacing w:line="276" w:lineRule="auto"/>
              <w:jc w:val="left"/>
              <w:rPr>
                <w:rFonts w:hint="eastAsia" w:ascii="仿宋" w:hAnsi="仿宋" w:eastAsia="仿宋"/>
                <w:color w:val="000000" w:themeColor="text1"/>
                <w:w w:val="90"/>
                <w:sz w:val="24"/>
                <w:highlight w:val="none"/>
              </w:rPr>
            </w:pPr>
          </w:p>
        </w:tc>
        <w:tc>
          <w:tcPr>
            <w:tcW w:w="3402" w:type="dxa"/>
            <w:vAlign w:val="center"/>
          </w:tcPr>
          <w:p w14:paraId="69377AF8">
            <w:pPr>
              <w:spacing w:line="276" w:lineRule="auto"/>
              <w:jc w:val="center"/>
              <w:rPr>
                <w:rFonts w:hint="eastAsia" w:ascii="仿宋" w:hAnsi="仿宋" w:eastAsia="仿宋"/>
                <w:color w:val="000000" w:themeColor="text1"/>
                <w:w w:val="90"/>
                <w:sz w:val="24"/>
                <w:highlight w:val="none"/>
              </w:rPr>
            </w:pPr>
          </w:p>
        </w:tc>
        <w:tc>
          <w:tcPr>
            <w:tcW w:w="1985" w:type="dxa"/>
            <w:vAlign w:val="center"/>
          </w:tcPr>
          <w:p w14:paraId="611CF753">
            <w:pPr>
              <w:spacing w:line="276" w:lineRule="auto"/>
              <w:jc w:val="center"/>
              <w:rPr>
                <w:rFonts w:hint="eastAsia" w:ascii="仿宋" w:hAnsi="仿宋" w:eastAsia="仿宋"/>
                <w:color w:val="000000" w:themeColor="text1"/>
                <w:w w:val="90"/>
                <w:sz w:val="24"/>
                <w:highlight w:val="none"/>
              </w:rPr>
            </w:pPr>
          </w:p>
        </w:tc>
      </w:tr>
      <w:tr w14:paraId="318A4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9" w:type="dxa"/>
            <w:vAlign w:val="center"/>
          </w:tcPr>
          <w:p w14:paraId="4D0C0312">
            <w:pPr>
              <w:spacing w:line="276" w:lineRule="auto"/>
              <w:jc w:val="center"/>
              <w:rPr>
                <w:rFonts w:hint="eastAsia" w:ascii="仿宋" w:hAnsi="仿宋" w:eastAsia="仿宋"/>
                <w:color w:val="000000" w:themeColor="text1"/>
                <w:w w:val="90"/>
                <w:sz w:val="24"/>
                <w:highlight w:val="none"/>
              </w:rPr>
            </w:pPr>
            <w:r>
              <w:rPr>
                <w:rFonts w:hint="eastAsia" w:ascii="仿宋" w:hAnsi="仿宋" w:eastAsia="仿宋"/>
                <w:color w:val="000000" w:themeColor="text1"/>
                <w:w w:val="90"/>
                <w:sz w:val="24"/>
                <w:highlight w:val="none"/>
              </w:rPr>
              <w:t>6</w:t>
            </w:r>
          </w:p>
        </w:tc>
        <w:tc>
          <w:tcPr>
            <w:tcW w:w="3233" w:type="dxa"/>
            <w:vAlign w:val="center"/>
          </w:tcPr>
          <w:p w14:paraId="39314B92">
            <w:pPr>
              <w:spacing w:line="276" w:lineRule="auto"/>
              <w:jc w:val="left"/>
              <w:rPr>
                <w:rFonts w:hint="eastAsia" w:ascii="仿宋" w:hAnsi="仿宋" w:eastAsia="仿宋"/>
                <w:color w:val="000000" w:themeColor="text1"/>
                <w:w w:val="90"/>
                <w:sz w:val="24"/>
                <w:highlight w:val="none"/>
              </w:rPr>
            </w:pPr>
          </w:p>
        </w:tc>
        <w:tc>
          <w:tcPr>
            <w:tcW w:w="3402" w:type="dxa"/>
            <w:vAlign w:val="center"/>
          </w:tcPr>
          <w:p w14:paraId="2F397054">
            <w:pPr>
              <w:spacing w:line="276" w:lineRule="auto"/>
              <w:jc w:val="center"/>
              <w:rPr>
                <w:rFonts w:hint="eastAsia" w:ascii="仿宋" w:hAnsi="仿宋" w:eastAsia="仿宋"/>
                <w:color w:val="000000" w:themeColor="text1"/>
                <w:w w:val="90"/>
                <w:sz w:val="24"/>
                <w:highlight w:val="none"/>
              </w:rPr>
            </w:pPr>
          </w:p>
        </w:tc>
        <w:tc>
          <w:tcPr>
            <w:tcW w:w="1985" w:type="dxa"/>
            <w:vAlign w:val="center"/>
          </w:tcPr>
          <w:p w14:paraId="5EBE29A1">
            <w:pPr>
              <w:spacing w:line="276" w:lineRule="auto"/>
              <w:jc w:val="center"/>
              <w:rPr>
                <w:rFonts w:hint="eastAsia" w:ascii="仿宋" w:hAnsi="仿宋" w:eastAsia="仿宋"/>
                <w:color w:val="000000" w:themeColor="text1"/>
                <w:w w:val="90"/>
                <w:sz w:val="24"/>
                <w:highlight w:val="none"/>
              </w:rPr>
            </w:pPr>
          </w:p>
        </w:tc>
      </w:tr>
      <w:tr w14:paraId="126C8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9" w:type="dxa"/>
            <w:vAlign w:val="center"/>
          </w:tcPr>
          <w:p w14:paraId="3B813FB0">
            <w:pPr>
              <w:spacing w:line="276" w:lineRule="auto"/>
              <w:jc w:val="center"/>
              <w:rPr>
                <w:rFonts w:hint="eastAsia" w:ascii="仿宋" w:hAnsi="仿宋" w:eastAsia="仿宋"/>
                <w:color w:val="000000" w:themeColor="text1"/>
                <w:w w:val="90"/>
                <w:sz w:val="24"/>
                <w:highlight w:val="none"/>
              </w:rPr>
            </w:pPr>
            <w:r>
              <w:rPr>
                <w:rFonts w:hint="eastAsia" w:ascii="仿宋" w:hAnsi="仿宋" w:eastAsia="仿宋"/>
                <w:color w:val="000000" w:themeColor="text1"/>
                <w:w w:val="90"/>
                <w:sz w:val="24"/>
                <w:highlight w:val="none"/>
              </w:rPr>
              <w:t>7</w:t>
            </w:r>
          </w:p>
        </w:tc>
        <w:tc>
          <w:tcPr>
            <w:tcW w:w="3233" w:type="dxa"/>
            <w:vAlign w:val="center"/>
          </w:tcPr>
          <w:p w14:paraId="384B9483">
            <w:pPr>
              <w:spacing w:line="276" w:lineRule="auto"/>
              <w:jc w:val="left"/>
              <w:rPr>
                <w:rFonts w:hint="eastAsia" w:ascii="仿宋" w:hAnsi="仿宋" w:eastAsia="仿宋"/>
                <w:color w:val="000000" w:themeColor="text1"/>
                <w:w w:val="90"/>
                <w:sz w:val="24"/>
                <w:highlight w:val="none"/>
              </w:rPr>
            </w:pPr>
          </w:p>
        </w:tc>
        <w:tc>
          <w:tcPr>
            <w:tcW w:w="3402" w:type="dxa"/>
            <w:vAlign w:val="center"/>
          </w:tcPr>
          <w:p w14:paraId="7BCC83CB">
            <w:pPr>
              <w:spacing w:line="276" w:lineRule="auto"/>
              <w:jc w:val="center"/>
              <w:rPr>
                <w:rFonts w:hint="eastAsia" w:ascii="仿宋" w:hAnsi="仿宋" w:eastAsia="仿宋"/>
                <w:color w:val="000000" w:themeColor="text1"/>
                <w:w w:val="90"/>
                <w:sz w:val="24"/>
                <w:highlight w:val="none"/>
              </w:rPr>
            </w:pPr>
          </w:p>
        </w:tc>
        <w:tc>
          <w:tcPr>
            <w:tcW w:w="1985" w:type="dxa"/>
            <w:vAlign w:val="center"/>
          </w:tcPr>
          <w:p w14:paraId="12ADB0F2">
            <w:pPr>
              <w:spacing w:line="276" w:lineRule="auto"/>
              <w:jc w:val="center"/>
              <w:rPr>
                <w:rFonts w:hint="eastAsia" w:ascii="仿宋" w:hAnsi="仿宋" w:eastAsia="仿宋"/>
                <w:color w:val="000000" w:themeColor="text1"/>
                <w:w w:val="90"/>
                <w:sz w:val="24"/>
                <w:highlight w:val="none"/>
              </w:rPr>
            </w:pPr>
          </w:p>
        </w:tc>
      </w:tr>
      <w:tr w14:paraId="64470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9" w:type="dxa"/>
            <w:vAlign w:val="center"/>
          </w:tcPr>
          <w:p w14:paraId="2583BBE3">
            <w:pPr>
              <w:spacing w:line="276" w:lineRule="auto"/>
              <w:jc w:val="center"/>
              <w:rPr>
                <w:rFonts w:hint="eastAsia" w:ascii="仿宋" w:hAnsi="仿宋" w:eastAsia="仿宋"/>
                <w:color w:val="000000" w:themeColor="text1"/>
                <w:w w:val="90"/>
                <w:sz w:val="24"/>
                <w:highlight w:val="none"/>
              </w:rPr>
            </w:pPr>
            <w:r>
              <w:rPr>
                <w:rFonts w:hint="eastAsia" w:ascii="仿宋" w:hAnsi="仿宋" w:eastAsia="仿宋"/>
                <w:color w:val="000000" w:themeColor="text1"/>
                <w:w w:val="90"/>
                <w:sz w:val="24"/>
                <w:highlight w:val="none"/>
              </w:rPr>
              <w:t>8</w:t>
            </w:r>
          </w:p>
        </w:tc>
        <w:tc>
          <w:tcPr>
            <w:tcW w:w="3233" w:type="dxa"/>
            <w:vAlign w:val="center"/>
          </w:tcPr>
          <w:p w14:paraId="7A80CCF2">
            <w:pPr>
              <w:spacing w:line="276" w:lineRule="auto"/>
              <w:jc w:val="left"/>
              <w:rPr>
                <w:rFonts w:hint="eastAsia" w:ascii="仿宋" w:hAnsi="仿宋" w:eastAsia="仿宋"/>
                <w:color w:val="000000" w:themeColor="text1"/>
                <w:w w:val="90"/>
                <w:sz w:val="24"/>
                <w:highlight w:val="none"/>
              </w:rPr>
            </w:pPr>
          </w:p>
        </w:tc>
        <w:tc>
          <w:tcPr>
            <w:tcW w:w="3402" w:type="dxa"/>
            <w:vAlign w:val="center"/>
          </w:tcPr>
          <w:p w14:paraId="7B12A2F3">
            <w:pPr>
              <w:spacing w:line="276" w:lineRule="auto"/>
              <w:jc w:val="center"/>
              <w:rPr>
                <w:rFonts w:hint="eastAsia" w:ascii="仿宋" w:hAnsi="仿宋" w:eastAsia="仿宋"/>
                <w:color w:val="000000" w:themeColor="text1"/>
                <w:w w:val="90"/>
                <w:sz w:val="24"/>
                <w:highlight w:val="none"/>
              </w:rPr>
            </w:pPr>
          </w:p>
        </w:tc>
        <w:tc>
          <w:tcPr>
            <w:tcW w:w="1985" w:type="dxa"/>
            <w:vAlign w:val="center"/>
          </w:tcPr>
          <w:p w14:paraId="7CE92D60">
            <w:pPr>
              <w:spacing w:line="276" w:lineRule="auto"/>
              <w:jc w:val="center"/>
              <w:rPr>
                <w:rFonts w:hint="eastAsia" w:ascii="仿宋" w:hAnsi="仿宋" w:eastAsia="仿宋"/>
                <w:color w:val="000000" w:themeColor="text1"/>
                <w:w w:val="90"/>
                <w:sz w:val="24"/>
                <w:highlight w:val="none"/>
              </w:rPr>
            </w:pPr>
          </w:p>
        </w:tc>
      </w:tr>
      <w:tr w14:paraId="3D0A7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9" w:type="dxa"/>
            <w:vAlign w:val="center"/>
          </w:tcPr>
          <w:p w14:paraId="7437B629">
            <w:pPr>
              <w:spacing w:line="276" w:lineRule="auto"/>
              <w:jc w:val="center"/>
              <w:rPr>
                <w:rFonts w:hint="eastAsia" w:ascii="仿宋" w:hAnsi="仿宋" w:eastAsia="仿宋"/>
                <w:color w:val="000000" w:themeColor="text1"/>
                <w:w w:val="90"/>
                <w:sz w:val="24"/>
                <w:highlight w:val="none"/>
              </w:rPr>
            </w:pPr>
            <w:r>
              <w:rPr>
                <w:rFonts w:ascii="仿宋" w:hAnsi="仿宋" w:eastAsia="仿宋"/>
                <w:color w:val="000000" w:themeColor="text1"/>
                <w:w w:val="90"/>
                <w:sz w:val="24"/>
                <w:highlight w:val="none"/>
              </w:rPr>
              <w:t>…</w:t>
            </w:r>
          </w:p>
        </w:tc>
        <w:tc>
          <w:tcPr>
            <w:tcW w:w="3233" w:type="dxa"/>
            <w:vAlign w:val="center"/>
          </w:tcPr>
          <w:p w14:paraId="38D55D66">
            <w:pPr>
              <w:spacing w:line="276" w:lineRule="auto"/>
              <w:jc w:val="left"/>
              <w:rPr>
                <w:rFonts w:hint="eastAsia" w:ascii="仿宋" w:hAnsi="仿宋" w:eastAsia="仿宋"/>
                <w:color w:val="000000" w:themeColor="text1"/>
                <w:w w:val="90"/>
                <w:sz w:val="24"/>
                <w:highlight w:val="none"/>
              </w:rPr>
            </w:pPr>
            <w:r>
              <w:rPr>
                <w:rFonts w:hint="eastAsia" w:ascii="仿宋" w:hAnsi="仿宋" w:eastAsia="仿宋"/>
                <w:color w:val="000000" w:themeColor="text1"/>
                <w:w w:val="90"/>
                <w:sz w:val="24"/>
                <w:highlight w:val="none"/>
              </w:rPr>
              <w:t>……</w:t>
            </w:r>
          </w:p>
        </w:tc>
        <w:tc>
          <w:tcPr>
            <w:tcW w:w="3402" w:type="dxa"/>
            <w:vAlign w:val="center"/>
          </w:tcPr>
          <w:p w14:paraId="22A78891">
            <w:pPr>
              <w:spacing w:line="276" w:lineRule="auto"/>
              <w:jc w:val="left"/>
              <w:rPr>
                <w:rFonts w:hint="eastAsia" w:ascii="仿宋" w:hAnsi="仿宋" w:eastAsia="仿宋"/>
                <w:color w:val="000000" w:themeColor="text1"/>
                <w:w w:val="90"/>
                <w:sz w:val="24"/>
                <w:highlight w:val="none"/>
              </w:rPr>
            </w:pPr>
            <w:r>
              <w:rPr>
                <w:rFonts w:hint="eastAsia" w:ascii="仿宋" w:hAnsi="仿宋" w:eastAsia="仿宋"/>
                <w:color w:val="000000" w:themeColor="text1"/>
                <w:w w:val="90"/>
                <w:sz w:val="24"/>
                <w:highlight w:val="none"/>
              </w:rPr>
              <w:t>……</w:t>
            </w:r>
          </w:p>
        </w:tc>
        <w:tc>
          <w:tcPr>
            <w:tcW w:w="1985" w:type="dxa"/>
            <w:vAlign w:val="center"/>
          </w:tcPr>
          <w:p w14:paraId="499C77E9">
            <w:pPr>
              <w:spacing w:line="276" w:lineRule="auto"/>
              <w:jc w:val="left"/>
              <w:rPr>
                <w:rFonts w:hint="eastAsia" w:ascii="仿宋" w:hAnsi="仿宋" w:eastAsia="仿宋"/>
                <w:color w:val="000000" w:themeColor="text1"/>
                <w:w w:val="90"/>
                <w:sz w:val="24"/>
                <w:highlight w:val="none"/>
              </w:rPr>
            </w:pPr>
            <w:r>
              <w:rPr>
                <w:rFonts w:hint="eastAsia" w:ascii="仿宋" w:hAnsi="仿宋" w:eastAsia="仿宋"/>
                <w:color w:val="000000" w:themeColor="text1"/>
                <w:w w:val="90"/>
                <w:sz w:val="24"/>
                <w:highlight w:val="none"/>
              </w:rPr>
              <w:t>……</w:t>
            </w:r>
          </w:p>
        </w:tc>
      </w:tr>
    </w:tbl>
    <w:p w14:paraId="3565552C">
      <w:pPr>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注：</w:t>
      </w:r>
    </w:p>
    <w:p w14:paraId="26A94B26">
      <w:pPr>
        <w:pStyle w:val="25"/>
        <w:spacing w:line="400" w:lineRule="exact"/>
        <w:rPr>
          <w:rFonts w:hint="eastAsia" w:ascii="仿宋" w:hAnsi="仿宋" w:eastAsia="仿宋"/>
          <w:color w:val="000000" w:themeColor="text1"/>
          <w:szCs w:val="24"/>
          <w:highlight w:val="none"/>
        </w:rPr>
      </w:pPr>
      <w:r>
        <w:rPr>
          <w:rFonts w:hint="eastAsia" w:ascii="仿宋" w:hAnsi="仿宋" w:eastAsia="仿宋"/>
          <w:color w:val="000000" w:themeColor="text1"/>
          <w:szCs w:val="24"/>
          <w:highlight w:val="none"/>
        </w:rPr>
        <w:t>1、此表与招标文件“采购需求”相应标项内的所有技术规格、商务条款（含技术、功能、配置、售后服务、安装、验收等）相比较且一一对应逐条填列，并在“偏离情况”栏注明“正偏离”、“负偏离”或“无偏离”。</w:t>
      </w:r>
    </w:p>
    <w:p w14:paraId="3E0F5C2B">
      <w:pPr>
        <w:pStyle w:val="25"/>
        <w:spacing w:line="400" w:lineRule="exact"/>
        <w:rPr>
          <w:rFonts w:hint="eastAsia" w:ascii="仿宋" w:hAnsi="仿宋" w:eastAsia="仿宋"/>
          <w:color w:val="000000" w:themeColor="text1"/>
          <w:szCs w:val="24"/>
          <w:highlight w:val="none"/>
        </w:rPr>
      </w:pPr>
      <w:r>
        <w:rPr>
          <w:rFonts w:hint="eastAsia" w:ascii="仿宋" w:hAnsi="仿宋" w:eastAsia="仿宋"/>
          <w:color w:val="000000" w:themeColor="text1"/>
          <w:szCs w:val="24"/>
          <w:highlight w:val="none"/>
        </w:rPr>
        <w:t>2、投标人递交的技术规格书中应真实逐条列明，否则由投标人自行承担相关风险。</w:t>
      </w:r>
    </w:p>
    <w:p w14:paraId="2962B648">
      <w:pPr>
        <w:pStyle w:val="25"/>
        <w:spacing w:line="400" w:lineRule="exact"/>
        <w:rPr>
          <w:rFonts w:hint="eastAsia" w:ascii="仿宋" w:hAnsi="仿宋" w:eastAsia="仿宋"/>
          <w:color w:val="000000" w:themeColor="text1"/>
          <w:szCs w:val="24"/>
          <w:highlight w:val="none"/>
        </w:rPr>
      </w:pPr>
      <w:r>
        <w:rPr>
          <w:rFonts w:hint="eastAsia" w:ascii="仿宋" w:hAnsi="仿宋" w:eastAsia="仿宋"/>
          <w:color w:val="000000" w:themeColor="text1"/>
          <w:szCs w:val="24"/>
          <w:highlight w:val="none"/>
        </w:rPr>
        <w:t>3、此表在不改变格式的情况下可自行制作。</w:t>
      </w:r>
    </w:p>
    <w:p w14:paraId="00F3831D">
      <w:pPr>
        <w:pStyle w:val="25"/>
        <w:spacing w:line="400" w:lineRule="exact"/>
        <w:rPr>
          <w:rFonts w:hint="eastAsia" w:ascii="仿宋" w:hAnsi="仿宋" w:eastAsia="仿宋"/>
          <w:color w:val="000000" w:themeColor="text1"/>
          <w:sz w:val="28"/>
          <w:highlight w:val="none"/>
        </w:rPr>
      </w:pPr>
      <w:r>
        <w:rPr>
          <w:rFonts w:hint="eastAsia" w:ascii="仿宋" w:hAnsi="仿宋" w:eastAsia="仿宋"/>
          <w:color w:val="000000" w:themeColor="text1"/>
          <w:szCs w:val="24"/>
          <w:highlight w:val="none"/>
        </w:rPr>
        <w:t>4、此表置于商务技术文件中。</w:t>
      </w:r>
    </w:p>
    <w:p w14:paraId="16AC1B4B">
      <w:pPr>
        <w:spacing w:line="480" w:lineRule="auto"/>
        <w:rPr>
          <w:rFonts w:hint="eastAsia" w:ascii="仿宋" w:hAnsi="仿宋" w:eastAsia="仿宋"/>
          <w:color w:val="000000" w:themeColor="text1"/>
          <w:sz w:val="24"/>
          <w:szCs w:val="24"/>
          <w:highlight w:val="none"/>
        </w:rPr>
      </w:pPr>
    </w:p>
    <w:p w14:paraId="5C0CE25A">
      <w:pPr>
        <w:spacing w:line="480" w:lineRule="auto"/>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投标人名称：______</w:t>
      </w:r>
      <w:r>
        <w:rPr>
          <w:rFonts w:hint="eastAsia" w:ascii="仿宋" w:hAnsi="仿宋" w:eastAsia="仿宋"/>
          <w:color w:val="000000" w:themeColor="text1"/>
          <w:sz w:val="24"/>
          <w:szCs w:val="24"/>
          <w:highlight w:val="none"/>
          <w:u w:val="single"/>
        </w:rPr>
        <w:t>（盖公章）</w:t>
      </w:r>
      <w:r>
        <w:rPr>
          <w:rFonts w:hint="eastAsia" w:ascii="仿宋" w:hAnsi="仿宋" w:eastAsia="仿宋"/>
          <w:color w:val="000000" w:themeColor="text1"/>
          <w:sz w:val="24"/>
          <w:szCs w:val="24"/>
          <w:highlight w:val="none"/>
        </w:rPr>
        <w:t>______</w:t>
      </w:r>
    </w:p>
    <w:p w14:paraId="77110DD7">
      <w:pPr>
        <w:spacing w:line="480" w:lineRule="auto"/>
        <w:rPr>
          <w:rFonts w:hint="eastAsia" w:ascii="仿宋" w:hAnsi="仿宋" w:eastAsia="仿宋"/>
          <w:color w:val="000000" w:themeColor="text1"/>
          <w:sz w:val="24"/>
          <w:szCs w:val="24"/>
          <w:highlight w:val="none"/>
        </w:rPr>
      </w:pPr>
      <w:r>
        <w:rPr>
          <w:rFonts w:hint="eastAsia" w:ascii="仿宋" w:hAnsi="仿宋" w:eastAsia="仿宋"/>
          <w:color w:val="auto"/>
          <w:sz w:val="24"/>
          <w:szCs w:val="24"/>
          <w:highlight w:val="none"/>
        </w:rPr>
        <w:t>投标人代表：</w:t>
      </w:r>
      <w:r>
        <w:rPr>
          <w:rFonts w:hint="eastAsia" w:ascii="仿宋" w:hAnsi="仿宋" w:eastAsia="仿宋"/>
          <w:color w:val="auto"/>
          <w:sz w:val="24"/>
          <w:szCs w:val="24"/>
          <w:highlight w:val="none"/>
          <w:u w:val="single"/>
        </w:rPr>
        <w:t>签字或</w:t>
      </w:r>
      <w:r>
        <w:rPr>
          <w:rFonts w:hint="eastAsia" w:ascii="仿宋" w:hAnsi="仿宋" w:eastAsia="仿宋"/>
          <w:color w:val="000000" w:themeColor="text1"/>
          <w:sz w:val="24"/>
          <w:szCs w:val="24"/>
          <w:highlight w:val="none"/>
          <w:u w:val="single"/>
        </w:rPr>
        <w:t>盖章</w:t>
      </w:r>
    </w:p>
    <w:p w14:paraId="3D391EAA">
      <w:pPr>
        <w:spacing w:line="360" w:lineRule="auto"/>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日期：_____年_____月_____日</w:t>
      </w:r>
    </w:p>
    <w:p w14:paraId="10F058BA">
      <w:pPr>
        <w:rPr>
          <w:rFonts w:hint="eastAsia" w:ascii="仿宋" w:hAnsi="仿宋" w:eastAsia="仿宋"/>
          <w:color w:val="000000" w:themeColor="text1"/>
          <w:sz w:val="24"/>
          <w:szCs w:val="24"/>
          <w:highlight w:val="none"/>
        </w:rPr>
      </w:pPr>
    </w:p>
    <w:p w14:paraId="332EEC7B">
      <w:pPr>
        <w:ind w:firstLine="480" w:firstLineChars="200"/>
        <w:rPr>
          <w:rFonts w:hint="eastAsia" w:ascii="仿宋" w:hAnsi="仿宋" w:eastAsia="仿宋"/>
          <w:i/>
          <w:color w:val="000000" w:themeColor="text1"/>
          <w:sz w:val="24"/>
          <w:szCs w:val="24"/>
          <w:highlight w:val="none"/>
        </w:rPr>
        <w:sectPr>
          <w:pgSz w:w="11906" w:h="16838"/>
          <w:pgMar w:top="1021" w:right="1247" w:bottom="1021" w:left="1247" w:header="567" w:footer="454" w:gutter="0"/>
          <w:pgNumType w:fmt="numberInDash"/>
          <w:cols w:space="720" w:num="1"/>
          <w:titlePg/>
          <w:docGrid w:type="lines" w:linePitch="312" w:charSpace="0"/>
        </w:sectPr>
      </w:pPr>
    </w:p>
    <w:p w14:paraId="6D365A31">
      <w:pPr>
        <w:widowControl/>
        <w:tabs>
          <w:tab w:val="left" w:pos="450"/>
          <w:tab w:val="left" w:pos="2520"/>
          <w:tab w:val="left" w:pos="8280"/>
        </w:tabs>
        <w:spacing w:after="156" w:afterLines="50" w:line="360" w:lineRule="auto"/>
        <w:jc w:val="center"/>
        <w:rPr>
          <w:rFonts w:hint="eastAsia" w:ascii="仿宋" w:hAnsi="仿宋" w:eastAsia="仿宋"/>
          <w:color w:val="000000" w:themeColor="text1"/>
          <w:highlight w:val="none"/>
        </w:rPr>
      </w:pPr>
      <w:r>
        <w:rPr>
          <w:rFonts w:hint="eastAsia" w:ascii="仿宋" w:hAnsi="仿宋" w:eastAsia="仿宋"/>
          <w:b/>
          <w:color w:val="000000" w:themeColor="text1"/>
          <w:sz w:val="36"/>
          <w:szCs w:val="36"/>
          <w:highlight w:val="none"/>
        </w:rPr>
        <w:t>第四部分   报价文件组成内容</w:t>
      </w:r>
    </w:p>
    <w:tbl>
      <w:tblPr>
        <w:tblStyle w:val="49"/>
        <w:tblW w:w="9811"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0"/>
        <w:gridCol w:w="7954"/>
        <w:gridCol w:w="1247"/>
      </w:tblGrid>
      <w:tr w14:paraId="2A9A899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10" w:type="dxa"/>
            <w:tcBorders>
              <w:top w:val="double" w:color="auto" w:sz="6" w:space="0"/>
              <w:bottom w:val="single" w:color="auto" w:sz="6" w:space="0"/>
            </w:tcBorders>
            <w:shd w:val="clear" w:color="auto" w:fill="DAECFF"/>
            <w:vAlign w:val="center"/>
          </w:tcPr>
          <w:p w14:paraId="603CDD06">
            <w:pPr>
              <w:jc w:val="center"/>
              <w:rPr>
                <w:rFonts w:hint="eastAsia" w:ascii="仿宋" w:hAnsi="仿宋" w:eastAsia="仿宋"/>
                <w:b/>
                <w:color w:val="000000" w:themeColor="text1"/>
                <w:sz w:val="24"/>
                <w:highlight w:val="none"/>
              </w:rPr>
            </w:pPr>
            <w:r>
              <w:rPr>
                <w:rFonts w:ascii="仿宋" w:hAnsi="仿宋" w:eastAsia="仿宋"/>
                <w:b/>
                <w:color w:val="000000" w:themeColor="text1"/>
                <w:sz w:val="24"/>
                <w:highlight w:val="none"/>
              </w:rPr>
              <w:t>序号</w:t>
            </w:r>
          </w:p>
        </w:tc>
        <w:tc>
          <w:tcPr>
            <w:tcW w:w="7954" w:type="dxa"/>
            <w:tcBorders>
              <w:top w:val="double" w:color="auto" w:sz="6" w:space="0"/>
              <w:bottom w:val="single" w:color="auto" w:sz="6" w:space="0"/>
            </w:tcBorders>
            <w:shd w:val="clear" w:color="auto" w:fill="DAECFF"/>
            <w:vAlign w:val="center"/>
          </w:tcPr>
          <w:p w14:paraId="46FC4AA0">
            <w:pPr>
              <w:jc w:val="center"/>
              <w:rPr>
                <w:rFonts w:hint="eastAsia" w:ascii="微软雅黑" w:hAnsi="微软雅黑" w:eastAsia="微软雅黑"/>
                <w:b/>
                <w:color w:val="000000" w:themeColor="text1"/>
                <w:sz w:val="28"/>
                <w:szCs w:val="28"/>
                <w:highlight w:val="none"/>
              </w:rPr>
            </w:pPr>
            <w:r>
              <w:rPr>
                <w:rFonts w:hint="eastAsia" w:ascii="微软雅黑" w:hAnsi="微软雅黑" w:eastAsia="微软雅黑"/>
                <w:b/>
                <w:color w:val="000000" w:themeColor="text1"/>
                <w:sz w:val="28"/>
                <w:szCs w:val="28"/>
                <w:highlight w:val="none"/>
              </w:rPr>
              <w:t>《报价文件》 组成内容</w:t>
            </w:r>
          </w:p>
        </w:tc>
        <w:tc>
          <w:tcPr>
            <w:tcW w:w="1247" w:type="dxa"/>
            <w:tcBorders>
              <w:top w:val="double" w:color="auto" w:sz="6" w:space="0"/>
              <w:bottom w:val="single" w:color="auto" w:sz="6" w:space="0"/>
            </w:tcBorders>
            <w:shd w:val="clear" w:color="auto" w:fill="DAECFF"/>
            <w:vAlign w:val="center"/>
          </w:tcPr>
          <w:p w14:paraId="23B03D49">
            <w:pPr>
              <w:jc w:val="center"/>
              <w:rPr>
                <w:rFonts w:hint="eastAsia" w:ascii="仿宋" w:hAnsi="仿宋" w:eastAsia="仿宋"/>
                <w:b/>
                <w:color w:val="000000" w:themeColor="text1"/>
                <w:sz w:val="24"/>
                <w:szCs w:val="24"/>
                <w:highlight w:val="none"/>
              </w:rPr>
            </w:pPr>
            <w:r>
              <w:rPr>
                <w:rFonts w:ascii="仿宋" w:hAnsi="仿宋" w:eastAsia="仿宋"/>
                <w:b/>
                <w:color w:val="000000" w:themeColor="text1"/>
                <w:sz w:val="24"/>
                <w:szCs w:val="24"/>
                <w:highlight w:val="none"/>
              </w:rPr>
              <w:t>是否提供格式</w:t>
            </w:r>
          </w:p>
        </w:tc>
      </w:tr>
      <w:tr w14:paraId="1AAC0AE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10" w:type="dxa"/>
            <w:tcBorders>
              <w:top w:val="single" w:color="auto" w:sz="6" w:space="0"/>
            </w:tcBorders>
            <w:shd w:val="clear" w:color="auto" w:fill="FFFFFF"/>
            <w:vAlign w:val="center"/>
          </w:tcPr>
          <w:p w14:paraId="12E1CC99">
            <w:pPr>
              <w:spacing w:line="480" w:lineRule="auto"/>
              <w:jc w:val="center"/>
              <w:rPr>
                <w:rFonts w:hint="eastAsia" w:ascii="仿宋" w:hAnsi="仿宋" w:eastAsia="仿宋"/>
                <w:b/>
                <w:color w:val="000000" w:themeColor="text1"/>
                <w:sz w:val="24"/>
                <w:szCs w:val="24"/>
                <w:highlight w:val="none"/>
              </w:rPr>
            </w:pPr>
            <w:r>
              <w:rPr>
                <w:rFonts w:hint="eastAsia" w:ascii="仿宋" w:hAnsi="仿宋" w:eastAsia="仿宋"/>
                <w:b/>
                <w:color w:val="000000" w:themeColor="text1"/>
                <w:sz w:val="24"/>
                <w:szCs w:val="24"/>
                <w:highlight w:val="none"/>
              </w:rPr>
              <w:t>1</w:t>
            </w:r>
          </w:p>
        </w:tc>
        <w:tc>
          <w:tcPr>
            <w:tcW w:w="7954" w:type="dxa"/>
            <w:tcBorders>
              <w:top w:val="single" w:color="auto" w:sz="6" w:space="0"/>
            </w:tcBorders>
            <w:shd w:val="clear" w:color="auto" w:fill="FFFFFF"/>
            <w:vAlign w:val="center"/>
          </w:tcPr>
          <w:p w14:paraId="12EA855C">
            <w:pPr>
              <w:spacing w:line="480" w:lineRule="auto"/>
              <w:jc w:val="left"/>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w:t>
            </w:r>
            <w:r>
              <w:rPr>
                <w:rFonts w:ascii="仿宋" w:hAnsi="仿宋" w:eastAsia="仿宋"/>
                <w:color w:val="000000" w:themeColor="text1"/>
                <w:sz w:val="24"/>
                <w:szCs w:val="24"/>
                <w:highlight w:val="none"/>
              </w:rPr>
              <w:t>开标一览表</w:t>
            </w:r>
            <w:r>
              <w:rPr>
                <w:rFonts w:ascii="仿宋" w:hAnsi="仿宋" w:eastAsia="仿宋"/>
                <w:b/>
                <w:color w:val="000000" w:themeColor="text1"/>
                <w:sz w:val="24"/>
                <w:szCs w:val="24"/>
                <w:highlight w:val="none"/>
              </w:rPr>
              <w:t>（</w:t>
            </w:r>
            <w:r>
              <w:rPr>
                <w:rFonts w:ascii="仿宋" w:hAnsi="仿宋" w:eastAsia="仿宋"/>
                <w:b/>
                <w:color w:val="000000" w:themeColor="text1"/>
                <w:sz w:val="24"/>
                <w:szCs w:val="24"/>
                <w:highlight w:val="none"/>
                <w:u w:val="single"/>
              </w:rPr>
              <w:t>格式见第六章</w:t>
            </w:r>
            <w:r>
              <w:rPr>
                <w:rFonts w:ascii="仿宋" w:hAnsi="仿宋" w:eastAsia="仿宋"/>
                <w:b/>
                <w:color w:val="000000" w:themeColor="text1"/>
                <w:sz w:val="24"/>
                <w:szCs w:val="24"/>
                <w:highlight w:val="none"/>
              </w:rPr>
              <w:t>）；</w:t>
            </w:r>
          </w:p>
        </w:tc>
        <w:tc>
          <w:tcPr>
            <w:tcW w:w="1247" w:type="dxa"/>
            <w:tcBorders>
              <w:top w:val="single" w:color="auto" w:sz="6" w:space="0"/>
            </w:tcBorders>
            <w:shd w:val="clear" w:color="auto" w:fill="FFFFFF"/>
            <w:vAlign w:val="center"/>
          </w:tcPr>
          <w:p w14:paraId="2A792D3D">
            <w:pPr>
              <w:spacing w:line="480" w:lineRule="auto"/>
              <w:jc w:val="center"/>
              <w:rPr>
                <w:rFonts w:hint="eastAsia" w:ascii="仿宋" w:hAnsi="仿宋" w:eastAsia="仿宋"/>
                <w:b/>
                <w:color w:val="000000" w:themeColor="text1"/>
                <w:sz w:val="24"/>
                <w:szCs w:val="24"/>
                <w:highlight w:val="none"/>
              </w:rPr>
            </w:pPr>
            <w:r>
              <w:rPr>
                <w:rFonts w:ascii="仿宋" w:hAnsi="仿宋" w:eastAsia="仿宋"/>
                <w:b/>
                <w:color w:val="000000" w:themeColor="text1"/>
                <w:sz w:val="24"/>
                <w:szCs w:val="24"/>
                <w:highlight w:val="none"/>
              </w:rPr>
              <w:t>提供</w:t>
            </w:r>
          </w:p>
        </w:tc>
      </w:tr>
      <w:tr w14:paraId="5449857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10" w:type="dxa"/>
            <w:shd w:val="clear" w:color="auto" w:fill="FFFFFF"/>
            <w:vAlign w:val="center"/>
          </w:tcPr>
          <w:p w14:paraId="5377149D">
            <w:pPr>
              <w:spacing w:line="480" w:lineRule="auto"/>
              <w:jc w:val="center"/>
              <w:rPr>
                <w:rFonts w:hint="eastAsia" w:ascii="仿宋" w:hAnsi="仿宋" w:eastAsia="仿宋"/>
                <w:b/>
                <w:color w:val="000000" w:themeColor="text1"/>
                <w:sz w:val="24"/>
                <w:szCs w:val="24"/>
                <w:highlight w:val="none"/>
              </w:rPr>
            </w:pPr>
            <w:r>
              <w:rPr>
                <w:rFonts w:hint="eastAsia" w:ascii="仿宋" w:hAnsi="仿宋" w:eastAsia="仿宋"/>
                <w:b/>
                <w:color w:val="000000" w:themeColor="text1"/>
                <w:sz w:val="24"/>
                <w:szCs w:val="24"/>
                <w:highlight w:val="none"/>
              </w:rPr>
              <w:t>2</w:t>
            </w:r>
          </w:p>
        </w:tc>
        <w:tc>
          <w:tcPr>
            <w:tcW w:w="7954" w:type="dxa"/>
            <w:shd w:val="clear" w:color="auto" w:fill="FFFFFF"/>
            <w:vAlign w:val="center"/>
          </w:tcPr>
          <w:p w14:paraId="7E743763">
            <w:pPr>
              <w:spacing w:line="480" w:lineRule="auto"/>
              <w:jc w:val="left"/>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★投标承诺书</w:t>
            </w:r>
            <w:r>
              <w:rPr>
                <w:rFonts w:ascii="仿宋" w:hAnsi="仿宋" w:eastAsia="仿宋"/>
                <w:b/>
                <w:color w:val="000000" w:themeColor="text1"/>
                <w:sz w:val="24"/>
                <w:szCs w:val="24"/>
                <w:highlight w:val="none"/>
              </w:rPr>
              <w:t>（</w:t>
            </w:r>
            <w:r>
              <w:rPr>
                <w:rFonts w:ascii="仿宋" w:hAnsi="仿宋" w:eastAsia="仿宋"/>
                <w:b/>
                <w:color w:val="000000" w:themeColor="text1"/>
                <w:sz w:val="24"/>
                <w:szCs w:val="24"/>
                <w:highlight w:val="none"/>
                <w:u w:val="single"/>
              </w:rPr>
              <w:t>格式见第六章</w:t>
            </w:r>
            <w:r>
              <w:rPr>
                <w:rFonts w:ascii="仿宋" w:hAnsi="仿宋" w:eastAsia="仿宋"/>
                <w:b/>
                <w:color w:val="000000" w:themeColor="text1"/>
                <w:sz w:val="24"/>
                <w:szCs w:val="24"/>
                <w:highlight w:val="none"/>
              </w:rPr>
              <w:t>）；</w:t>
            </w:r>
          </w:p>
        </w:tc>
        <w:tc>
          <w:tcPr>
            <w:tcW w:w="1247" w:type="dxa"/>
            <w:shd w:val="clear" w:color="auto" w:fill="FFFFFF"/>
            <w:vAlign w:val="center"/>
          </w:tcPr>
          <w:p w14:paraId="7FAB417C">
            <w:pPr>
              <w:spacing w:line="480" w:lineRule="auto"/>
              <w:jc w:val="center"/>
              <w:rPr>
                <w:rFonts w:hint="eastAsia" w:ascii="仿宋" w:hAnsi="仿宋" w:eastAsia="仿宋"/>
                <w:b/>
                <w:color w:val="000000" w:themeColor="text1"/>
                <w:sz w:val="24"/>
                <w:szCs w:val="24"/>
                <w:highlight w:val="none"/>
              </w:rPr>
            </w:pPr>
            <w:r>
              <w:rPr>
                <w:rFonts w:ascii="仿宋" w:hAnsi="仿宋" w:eastAsia="仿宋"/>
                <w:b/>
                <w:color w:val="000000" w:themeColor="text1"/>
                <w:sz w:val="24"/>
                <w:szCs w:val="24"/>
                <w:highlight w:val="none"/>
              </w:rPr>
              <w:t>提供</w:t>
            </w:r>
          </w:p>
        </w:tc>
      </w:tr>
      <w:tr w14:paraId="56F6A38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171" w:hRule="atLeast"/>
          <w:jc w:val="center"/>
        </w:trPr>
        <w:tc>
          <w:tcPr>
            <w:tcW w:w="9811" w:type="dxa"/>
            <w:gridSpan w:val="3"/>
            <w:shd w:val="clear" w:color="auto" w:fill="FFFFFF"/>
            <w:vAlign w:val="center"/>
          </w:tcPr>
          <w:p w14:paraId="02671A23">
            <w:pPr>
              <w:spacing w:line="276" w:lineRule="auto"/>
              <w:rPr>
                <w:rFonts w:hint="eastAsia" w:ascii="仿宋" w:hAnsi="仿宋" w:eastAsia="仿宋"/>
                <w:color w:val="000000" w:themeColor="text1"/>
                <w:sz w:val="24"/>
                <w:szCs w:val="24"/>
                <w:highlight w:val="none"/>
              </w:rPr>
            </w:pPr>
            <w:r>
              <w:rPr>
                <w:rFonts w:ascii="仿宋" w:hAnsi="仿宋" w:eastAsia="仿宋"/>
                <w:i/>
                <w:color w:val="000000" w:themeColor="text1"/>
                <w:sz w:val="24"/>
                <w:szCs w:val="24"/>
                <w:highlight w:val="none"/>
              </w:rPr>
              <w:t>注：</w:t>
            </w:r>
            <w:r>
              <w:rPr>
                <w:rFonts w:ascii="仿宋" w:hAnsi="仿宋" w:eastAsia="仿宋"/>
                <w:i/>
                <w:color w:val="000000" w:themeColor="text1"/>
                <w:sz w:val="24"/>
                <w:szCs w:val="24"/>
                <w:highlight w:val="none"/>
                <w:u w:val="single"/>
              </w:rPr>
              <w:t>投标人</w:t>
            </w:r>
            <w:r>
              <w:rPr>
                <w:rFonts w:hint="eastAsia" w:ascii="仿宋" w:hAnsi="仿宋" w:eastAsia="仿宋"/>
                <w:i/>
                <w:color w:val="000000" w:themeColor="text1"/>
                <w:sz w:val="24"/>
                <w:szCs w:val="24"/>
                <w:highlight w:val="none"/>
                <w:u w:val="single"/>
              </w:rPr>
              <w:t>需按上述要求（包含但不限于）提供相应材料；招标文件</w:t>
            </w:r>
            <w:r>
              <w:rPr>
                <w:rFonts w:ascii="仿宋" w:hAnsi="仿宋" w:eastAsia="仿宋"/>
                <w:i/>
                <w:color w:val="000000" w:themeColor="text1"/>
                <w:sz w:val="24"/>
                <w:szCs w:val="24"/>
                <w:highlight w:val="none"/>
                <w:u w:val="single"/>
              </w:rPr>
              <w:t>已提供格式的，</w:t>
            </w:r>
            <w:r>
              <w:rPr>
                <w:rFonts w:hint="eastAsia" w:ascii="仿宋" w:hAnsi="仿宋" w:eastAsia="仿宋" w:cs="仿宋_GB2312"/>
                <w:i/>
                <w:color w:val="000000" w:themeColor="text1"/>
                <w:sz w:val="24"/>
                <w:szCs w:val="24"/>
                <w:highlight w:val="none"/>
                <w:u w:val="single"/>
                <w:lang w:val="zh-CN"/>
              </w:rPr>
              <w:t>投标人须按格式说明或要求进行编制填写并加盖单位公章，否则视同未提供</w:t>
            </w:r>
            <w:r>
              <w:rPr>
                <w:rFonts w:hint="eastAsia" w:ascii="仿宋" w:hAnsi="仿宋" w:eastAsia="仿宋"/>
                <w:i/>
                <w:color w:val="000000" w:themeColor="text1"/>
                <w:sz w:val="24"/>
                <w:szCs w:val="24"/>
                <w:highlight w:val="none"/>
              </w:rPr>
              <w:t>。</w:t>
            </w:r>
          </w:p>
        </w:tc>
      </w:tr>
    </w:tbl>
    <w:p w14:paraId="0BA0F3CF">
      <w:pPr>
        <w:tabs>
          <w:tab w:val="left" w:pos="3870"/>
          <w:tab w:val="left" w:pos="4085"/>
        </w:tabs>
        <w:snapToGrid w:val="0"/>
        <w:spacing w:line="300" w:lineRule="auto"/>
        <w:jc w:val="left"/>
        <w:rPr>
          <w:rFonts w:hint="eastAsia" w:ascii="仿宋" w:hAnsi="仿宋" w:eastAsia="仿宋"/>
          <w:color w:val="000000" w:themeColor="text1"/>
          <w:sz w:val="24"/>
          <w:szCs w:val="24"/>
          <w:highlight w:val="none"/>
        </w:rPr>
      </w:pPr>
    </w:p>
    <w:p w14:paraId="355821D8">
      <w:pPr>
        <w:spacing w:line="360" w:lineRule="auto"/>
        <w:rPr>
          <w:rFonts w:hint="eastAsia" w:ascii="宋体" w:hAnsi="宋体"/>
          <w:color w:val="000000" w:themeColor="text1"/>
          <w:sz w:val="24"/>
          <w:szCs w:val="24"/>
          <w:highlight w:val="none"/>
        </w:rPr>
        <w:sectPr>
          <w:pgSz w:w="11906" w:h="16838"/>
          <w:pgMar w:top="1021" w:right="1247" w:bottom="1021" w:left="1247" w:header="567" w:footer="454" w:gutter="0"/>
          <w:pgNumType w:fmt="numberInDash"/>
          <w:cols w:space="720" w:num="1"/>
          <w:titlePg/>
          <w:docGrid w:type="lines" w:linePitch="312" w:charSpace="0"/>
        </w:sectPr>
      </w:pPr>
      <w:r>
        <w:rPr>
          <w:rFonts w:ascii="宋体" w:hAnsi="宋体"/>
          <w:color w:val="000000" w:themeColor="text1"/>
          <w:sz w:val="24"/>
          <w:szCs w:val="24"/>
          <w:highlight w:val="none"/>
        </w:rPr>
        <w:br w:type="page"/>
      </w:r>
    </w:p>
    <w:p w14:paraId="6AAE622C">
      <w:pPr>
        <w:pStyle w:val="3"/>
        <w:spacing w:before="156" w:line="500" w:lineRule="exact"/>
        <w:jc w:val="center"/>
        <w:rPr>
          <w:rFonts w:hint="eastAsia" w:ascii="仿宋" w:hAnsi="仿宋" w:eastAsia="仿宋"/>
          <w:bCs w:val="0"/>
          <w:color w:val="000000" w:themeColor="text1"/>
          <w:kern w:val="0"/>
          <w:highlight w:val="none"/>
        </w:rPr>
      </w:pPr>
      <w:r>
        <w:rPr>
          <w:rFonts w:hint="eastAsia" w:ascii="仿宋" w:hAnsi="仿宋" w:eastAsia="仿宋"/>
          <w:bCs w:val="0"/>
          <w:color w:val="000000" w:themeColor="text1"/>
          <w:kern w:val="0"/>
          <w:highlight w:val="none"/>
        </w:rPr>
        <w:t>1、开标一览表</w:t>
      </w:r>
    </w:p>
    <w:p w14:paraId="32B3DAB2">
      <w:pPr>
        <w:spacing w:line="360" w:lineRule="auto"/>
        <w:rPr>
          <w:rFonts w:hint="eastAsia" w:ascii="仿宋" w:hAnsi="仿宋" w:eastAsia="仿宋"/>
          <w:color w:val="000000" w:themeColor="text1"/>
          <w:sz w:val="24"/>
          <w:szCs w:val="24"/>
          <w:highlight w:val="none"/>
          <w:lang w:eastAsia="zh-CN"/>
        </w:rPr>
      </w:pPr>
      <w:r>
        <w:rPr>
          <w:rFonts w:hint="eastAsia" w:ascii="仿宋" w:hAnsi="仿宋" w:eastAsia="仿宋"/>
          <w:color w:val="000000" w:themeColor="text1"/>
          <w:sz w:val="24"/>
          <w:szCs w:val="24"/>
          <w:highlight w:val="none"/>
        </w:rPr>
        <w:t>项目名称：</w:t>
      </w:r>
      <w:r>
        <w:rPr>
          <w:rFonts w:hint="eastAsia" w:ascii="仿宋" w:hAnsi="仿宋" w:eastAsia="仿宋" w:cs="仿宋"/>
          <w:bCs/>
          <w:i/>
          <w:sz w:val="24"/>
          <w:szCs w:val="24"/>
          <w:highlight w:val="none"/>
          <w:u w:val="single"/>
          <w:lang w:eastAsia="zh-CN"/>
        </w:rPr>
        <w:t>诸暨市安华农贸市场委托第三方管理采购项目（第二次）</w:t>
      </w:r>
    </w:p>
    <w:p w14:paraId="14C482D1">
      <w:pPr>
        <w:spacing w:after="312" w:afterLines="100" w:line="360" w:lineRule="auto"/>
        <w:rPr>
          <w:rFonts w:hint="eastAsia" w:ascii="仿宋" w:hAnsi="仿宋" w:eastAsia="仿宋"/>
          <w:i/>
          <w:color w:val="000000" w:themeColor="text1"/>
          <w:sz w:val="24"/>
          <w:szCs w:val="24"/>
          <w:highlight w:val="none"/>
          <w:lang w:eastAsia="zh-CN"/>
        </w:rPr>
      </w:pPr>
      <w:r>
        <w:rPr>
          <w:rFonts w:hint="eastAsia" w:ascii="仿宋" w:hAnsi="仿宋" w:eastAsia="仿宋"/>
          <w:color w:val="000000" w:themeColor="text1"/>
          <w:sz w:val="24"/>
          <w:szCs w:val="24"/>
          <w:highlight w:val="none"/>
        </w:rPr>
        <w:t>项目编号：</w:t>
      </w:r>
      <w:r>
        <w:rPr>
          <w:rFonts w:hint="eastAsia" w:ascii="仿宋" w:hAnsi="仿宋" w:eastAsia="仿宋" w:cs="宋体"/>
          <w:i/>
          <w:color w:val="000000" w:themeColor="text1"/>
          <w:spacing w:val="8"/>
          <w:sz w:val="24"/>
          <w:szCs w:val="24"/>
          <w:highlight w:val="none"/>
          <w:u w:val="single"/>
          <w:lang w:eastAsia="zh-CN"/>
        </w:rPr>
        <w:t>浙江新顺2024-12-0301</w:t>
      </w:r>
    </w:p>
    <w:tbl>
      <w:tblPr>
        <w:tblStyle w:val="49"/>
        <w:tblW w:w="9761" w:type="dxa"/>
        <w:jc w:val="center"/>
        <w:tblLayout w:type="fixed"/>
        <w:tblCellMar>
          <w:top w:w="0" w:type="dxa"/>
          <w:left w:w="0" w:type="dxa"/>
          <w:bottom w:w="0" w:type="dxa"/>
          <w:right w:w="0" w:type="dxa"/>
        </w:tblCellMar>
      </w:tblPr>
      <w:tblGrid>
        <w:gridCol w:w="459"/>
        <w:gridCol w:w="4111"/>
        <w:gridCol w:w="2976"/>
        <w:gridCol w:w="2215"/>
      </w:tblGrid>
      <w:tr w14:paraId="3873F5A6">
        <w:tblPrEx>
          <w:tblCellMar>
            <w:top w:w="0" w:type="dxa"/>
            <w:left w:w="0" w:type="dxa"/>
            <w:bottom w:w="0" w:type="dxa"/>
            <w:right w:w="0" w:type="dxa"/>
          </w:tblCellMar>
        </w:tblPrEx>
        <w:trPr>
          <w:trHeight w:val="240" w:hRule="atLeast"/>
          <w:jc w:val="center"/>
        </w:trPr>
        <w:tc>
          <w:tcPr>
            <w:tcW w:w="459" w:type="dxa"/>
            <w:tcBorders>
              <w:top w:val="single" w:color="auto" w:sz="4" w:space="0"/>
              <w:left w:val="single" w:color="auto" w:sz="4" w:space="0"/>
              <w:bottom w:val="single" w:color="auto" w:sz="4" w:space="0"/>
              <w:right w:val="single" w:color="auto" w:sz="4" w:space="0"/>
            </w:tcBorders>
            <w:vAlign w:val="center"/>
          </w:tcPr>
          <w:p w14:paraId="5527D1C3">
            <w:pPr>
              <w:jc w:val="center"/>
              <w:rPr>
                <w:rFonts w:hint="eastAsia" w:ascii="仿宋" w:hAnsi="仿宋" w:eastAsia="仿宋" w:cs="Arial Unicode MS"/>
                <w:b/>
                <w:sz w:val="24"/>
                <w:szCs w:val="24"/>
                <w:highlight w:val="none"/>
              </w:rPr>
            </w:pPr>
            <w:r>
              <w:rPr>
                <w:rFonts w:hint="eastAsia" w:ascii="仿宋" w:hAnsi="仿宋" w:eastAsia="仿宋" w:cs="Arial Unicode MS"/>
                <w:b/>
                <w:sz w:val="24"/>
                <w:szCs w:val="24"/>
                <w:highlight w:val="none"/>
              </w:rPr>
              <w:t>序号</w:t>
            </w:r>
          </w:p>
        </w:tc>
        <w:tc>
          <w:tcPr>
            <w:tcW w:w="4111" w:type="dxa"/>
            <w:tcBorders>
              <w:top w:val="single" w:color="auto" w:sz="4" w:space="0"/>
              <w:left w:val="single" w:color="auto" w:sz="4" w:space="0"/>
              <w:bottom w:val="single" w:color="auto" w:sz="4" w:space="0"/>
              <w:right w:val="single" w:color="auto" w:sz="4" w:space="0"/>
            </w:tcBorders>
            <w:vAlign w:val="center"/>
          </w:tcPr>
          <w:p w14:paraId="73A709F1">
            <w:pPr>
              <w:pStyle w:val="63"/>
              <w:spacing w:line="240" w:lineRule="auto"/>
              <w:ind w:left="63" w:right="63"/>
              <w:rPr>
                <w:rFonts w:hint="eastAsia" w:ascii="仿宋" w:hAnsi="仿宋" w:eastAsia="仿宋"/>
                <w:b/>
                <w:color w:val="000000"/>
                <w:sz w:val="24"/>
                <w:szCs w:val="24"/>
                <w:highlight w:val="none"/>
              </w:rPr>
            </w:pPr>
            <w:r>
              <w:rPr>
                <w:rFonts w:ascii="仿宋" w:hAnsi="仿宋" w:eastAsia="仿宋"/>
                <w:b/>
                <w:color w:val="000000"/>
                <w:sz w:val="24"/>
                <w:szCs w:val="24"/>
                <w:highlight w:val="none"/>
              </w:rPr>
              <w:t>标项名称</w:t>
            </w:r>
          </w:p>
        </w:tc>
        <w:tc>
          <w:tcPr>
            <w:tcW w:w="2976" w:type="dxa"/>
            <w:tcBorders>
              <w:top w:val="single" w:color="auto" w:sz="4" w:space="0"/>
              <w:left w:val="single" w:color="auto" w:sz="4" w:space="0"/>
              <w:bottom w:val="single" w:color="auto" w:sz="4" w:space="0"/>
              <w:right w:val="single" w:color="auto" w:sz="4" w:space="0"/>
            </w:tcBorders>
            <w:vAlign w:val="center"/>
          </w:tcPr>
          <w:p w14:paraId="6A35562A">
            <w:pPr>
              <w:pStyle w:val="63"/>
              <w:spacing w:line="240" w:lineRule="auto"/>
              <w:ind w:left="63" w:right="63"/>
              <w:rPr>
                <w:rFonts w:hint="eastAsia" w:ascii="仿宋" w:hAnsi="仿宋" w:eastAsia="仿宋"/>
                <w:b/>
                <w:color w:val="000000"/>
                <w:sz w:val="24"/>
                <w:szCs w:val="24"/>
                <w:highlight w:val="none"/>
              </w:rPr>
            </w:pPr>
            <w:r>
              <w:rPr>
                <w:rFonts w:ascii="仿宋" w:hAnsi="仿宋" w:eastAsia="仿宋"/>
                <w:b/>
                <w:color w:val="000000"/>
                <w:sz w:val="24"/>
                <w:szCs w:val="24"/>
                <w:highlight w:val="none"/>
              </w:rPr>
              <w:t>每年报价</w:t>
            </w:r>
          </w:p>
        </w:tc>
        <w:tc>
          <w:tcPr>
            <w:tcW w:w="2215" w:type="dxa"/>
            <w:tcBorders>
              <w:top w:val="single" w:color="auto" w:sz="4" w:space="0"/>
              <w:left w:val="single" w:color="auto" w:sz="4" w:space="0"/>
              <w:bottom w:val="single" w:color="auto" w:sz="4" w:space="0"/>
              <w:right w:val="single" w:color="auto" w:sz="4" w:space="0"/>
            </w:tcBorders>
            <w:vAlign w:val="center"/>
          </w:tcPr>
          <w:p w14:paraId="1B376D97">
            <w:pPr>
              <w:pStyle w:val="63"/>
              <w:spacing w:line="240" w:lineRule="auto"/>
              <w:ind w:left="63" w:right="63"/>
              <w:rPr>
                <w:rFonts w:hint="eastAsia" w:ascii="仿宋" w:hAnsi="仿宋" w:eastAsia="仿宋"/>
                <w:b/>
                <w:color w:val="000000"/>
                <w:sz w:val="24"/>
                <w:szCs w:val="24"/>
                <w:highlight w:val="none"/>
              </w:rPr>
            </w:pPr>
            <w:r>
              <w:rPr>
                <w:rFonts w:ascii="仿宋" w:hAnsi="仿宋" w:eastAsia="仿宋"/>
                <w:b/>
                <w:color w:val="000000"/>
                <w:sz w:val="24"/>
                <w:szCs w:val="24"/>
                <w:highlight w:val="none"/>
              </w:rPr>
              <w:t>备注</w:t>
            </w:r>
          </w:p>
        </w:tc>
      </w:tr>
      <w:tr w14:paraId="0C161B51">
        <w:tblPrEx>
          <w:tblCellMar>
            <w:top w:w="0" w:type="dxa"/>
            <w:left w:w="0" w:type="dxa"/>
            <w:bottom w:w="0" w:type="dxa"/>
            <w:right w:w="0" w:type="dxa"/>
          </w:tblCellMar>
        </w:tblPrEx>
        <w:trPr>
          <w:trHeight w:val="1560" w:hRule="atLeast"/>
          <w:jc w:val="center"/>
        </w:trPr>
        <w:tc>
          <w:tcPr>
            <w:tcW w:w="459" w:type="dxa"/>
            <w:tcBorders>
              <w:top w:val="single" w:color="auto" w:sz="4" w:space="0"/>
              <w:left w:val="single" w:color="auto" w:sz="4" w:space="0"/>
              <w:right w:val="single" w:color="auto" w:sz="4" w:space="0"/>
            </w:tcBorders>
            <w:vAlign w:val="center"/>
          </w:tcPr>
          <w:p w14:paraId="53A3B932">
            <w:pPr>
              <w:jc w:val="center"/>
              <w:rPr>
                <w:rFonts w:hint="eastAsia" w:ascii="仿宋" w:hAnsi="仿宋" w:eastAsia="仿宋" w:cs="Arial Unicode MS"/>
                <w:sz w:val="24"/>
                <w:szCs w:val="24"/>
                <w:highlight w:val="none"/>
              </w:rPr>
            </w:pPr>
            <w:r>
              <w:rPr>
                <w:rFonts w:hint="eastAsia" w:ascii="仿宋" w:hAnsi="仿宋" w:eastAsia="仿宋" w:cs="Arial Unicode MS"/>
                <w:sz w:val="24"/>
                <w:szCs w:val="24"/>
                <w:highlight w:val="none"/>
              </w:rPr>
              <w:t>1</w:t>
            </w:r>
          </w:p>
        </w:tc>
        <w:tc>
          <w:tcPr>
            <w:tcW w:w="4111" w:type="dxa"/>
            <w:tcBorders>
              <w:top w:val="single" w:color="auto" w:sz="4" w:space="0"/>
              <w:left w:val="single" w:color="auto" w:sz="4" w:space="0"/>
              <w:right w:val="single" w:color="auto" w:sz="4" w:space="0"/>
            </w:tcBorders>
            <w:vAlign w:val="center"/>
          </w:tcPr>
          <w:p w14:paraId="4B048F7A">
            <w:pPr>
              <w:pStyle w:val="63"/>
              <w:spacing w:line="240" w:lineRule="auto"/>
              <w:ind w:left="63" w:right="63"/>
              <w:rPr>
                <w:rFonts w:hint="eastAsia" w:ascii="仿宋" w:hAnsi="仿宋" w:eastAsia="仿宋"/>
                <w:color w:val="000000"/>
                <w:sz w:val="24"/>
                <w:szCs w:val="24"/>
                <w:highlight w:val="none"/>
                <w:lang w:eastAsia="zh-CN"/>
              </w:rPr>
            </w:pPr>
            <w:r>
              <w:rPr>
                <w:rFonts w:hint="eastAsia" w:ascii="仿宋" w:hAnsi="仿宋" w:eastAsia="仿宋" w:cs="宋体"/>
                <w:bCs/>
                <w:sz w:val="24"/>
                <w:szCs w:val="24"/>
                <w:highlight w:val="none"/>
                <w:lang w:eastAsia="zh-CN"/>
              </w:rPr>
              <w:t>诸暨市安华农贸市场委托第三方管理采购项目</w:t>
            </w:r>
            <w:bookmarkStart w:id="18" w:name="_GoBack"/>
            <w:bookmarkEnd w:id="18"/>
          </w:p>
        </w:tc>
        <w:tc>
          <w:tcPr>
            <w:tcW w:w="2976" w:type="dxa"/>
            <w:tcBorders>
              <w:top w:val="single" w:color="auto" w:sz="4" w:space="0"/>
              <w:left w:val="single" w:color="auto" w:sz="4" w:space="0"/>
              <w:right w:val="single" w:color="auto" w:sz="4" w:space="0"/>
            </w:tcBorders>
            <w:vAlign w:val="center"/>
          </w:tcPr>
          <w:p w14:paraId="09010CC5">
            <w:pPr>
              <w:pStyle w:val="63"/>
              <w:spacing w:line="240" w:lineRule="auto"/>
              <w:ind w:left="63" w:right="63"/>
              <w:jc w:val="left"/>
              <w:rPr>
                <w:rFonts w:hint="eastAsia" w:ascii="仿宋" w:hAnsi="仿宋" w:eastAsia="仿宋"/>
                <w:color w:val="000000"/>
                <w:sz w:val="24"/>
                <w:szCs w:val="24"/>
                <w:highlight w:val="none"/>
              </w:rPr>
            </w:pPr>
            <w:r>
              <w:rPr>
                <w:rFonts w:hint="eastAsia" w:ascii="宋体" w:hAnsi="宋体" w:eastAsia="仿宋" w:cs="仿宋"/>
                <w:bCs/>
                <w:sz w:val="24"/>
                <w:szCs w:val="24"/>
                <w:highlight w:val="none"/>
              </w:rPr>
              <w:t>_________</w:t>
            </w:r>
            <w:r>
              <w:rPr>
                <w:rFonts w:ascii="仿宋" w:hAnsi="仿宋" w:eastAsia="仿宋"/>
                <w:b/>
                <w:color w:val="000000"/>
                <w:sz w:val="24"/>
                <w:szCs w:val="24"/>
                <w:highlight w:val="none"/>
              </w:rPr>
              <w:t>元</w:t>
            </w:r>
            <w:r>
              <w:rPr>
                <w:rFonts w:hint="eastAsia" w:ascii="仿宋" w:hAnsi="仿宋" w:eastAsia="仿宋"/>
                <w:b/>
                <w:color w:val="000000"/>
                <w:sz w:val="24"/>
                <w:szCs w:val="24"/>
                <w:highlight w:val="none"/>
              </w:rPr>
              <w:t>/年</w:t>
            </w:r>
          </w:p>
        </w:tc>
        <w:tc>
          <w:tcPr>
            <w:tcW w:w="2215" w:type="dxa"/>
            <w:tcBorders>
              <w:top w:val="single" w:color="auto" w:sz="4" w:space="0"/>
              <w:left w:val="single" w:color="auto" w:sz="4" w:space="0"/>
              <w:right w:val="single" w:color="auto" w:sz="4" w:space="0"/>
            </w:tcBorders>
            <w:vAlign w:val="center"/>
          </w:tcPr>
          <w:p w14:paraId="0853A60E">
            <w:pPr>
              <w:pStyle w:val="63"/>
              <w:spacing w:after="0" w:line="240" w:lineRule="auto"/>
              <w:ind w:left="0" w:right="0"/>
              <w:jc w:val="both"/>
              <w:rPr>
                <w:rFonts w:hint="eastAsia" w:ascii="仿宋" w:hAnsi="仿宋" w:eastAsia="仿宋"/>
                <w:color w:val="000000"/>
                <w:sz w:val="24"/>
                <w:szCs w:val="24"/>
                <w:highlight w:val="none"/>
              </w:rPr>
            </w:pPr>
            <w:r>
              <w:rPr>
                <w:rFonts w:hint="eastAsia" w:ascii="仿宋" w:hAnsi="仿宋" w:eastAsia="仿宋" w:cs="宋体"/>
                <w:kern w:val="0"/>
                <w:sz w:val="24"/>
                <w:szCs w:val="24"/>
                <w:highlight w:val="none"/>
              </w:rPr>
              <w:t>每年报价不得超过每年最高限价。</w:t>
            </w:r>
          </w:p>
        </w:tc>
      </w:tr>
      <w:tr w14:paraId="14FBDAD9">
        <w:tblPrEx>
          <w:tblCellMar>
            <w:top w:w="0" w:type="dxa"/>
            <w:left w:w="0" w:type="dxa"/>
            <w:bottom w:w="0" w:type="dxa"/>
            <w:right w:w="0" w:type="dxa"/>
          </w:tblCellMar>
        </w:tblPrEx>
        <w:trPr>
          <w:trHeight w:val="714" w:hRule="atLeast"/>
          <w:jc w:val="center"/>
        </w:trPr>
        <w:tc>
          <w:tcPr>
            <w:tcW w:w="9761" w:type="dxa"/>
            <w:gridSpan w:val="4"/>
            <w:tcBorders>
              <w:top w:val="single" w:color="auto" w:sz="4" w:space="0"/>
              <w:left w:val="single" w:color="auto" w:sz="4" w:space="0"/>
              <w:bottom w:val="single" w:color="auto" w:sz="4" w:space="0"/>
              <w:right w:val="single" w:color="auto" w:sz="4" w:space="0"/>
            </w:tcBorders>
            <w:vAlign w:val="center"/>
          </w:tcPr>
          <w:p w14:paraId="472296B1">
            <w:pPr>
              <w:spacing w:line="360" w:lineRule="auto"/>
              <w:ind w:right="400" w:firstLine="120" w:firstLineChars="50"/>
              <w:jc w:val="center"/>
              <w:rPr>
                <w:rFonts w:hint="eastAsia" w:ascii="仿宋" w:hAnsi="仿宋" w:eastAsia="仿宋" w:cs="Arial Unicode MS"/>
                <w:b/>
                <w:sz w:val="24"/>
                <w:szCs w:val="24"/>
                <w:highlight w:val="none"/>
              </w:rPr>
            </w:pPr>
            <w:r>
              <w:rPr>
                <w:rFonts w:hint="eastAsia" w:ascii="仿宋" w:hAnsi="仿宋" w:eastAsia="仿宋" w:cs="Arial Unicode MS"/>
                <w:b/>
                <w:sz w:val="24"/>
                <w:szCs w:val="24"/>
                <w:highlight w:val="none"/>
              </w:rPr>
              <w:t>投标总价（两年）</w:t>
            </w:r>
          </w:p>
        </w:tc>
      </w:tr>
      <w:tr w14:paraId="3B32E962">
        <w:tblPrEx>
          <w:tblCellMar>
            <w:top w:w="0" w:type="dxa"/>
            <w:left w:w="0" w:type="dxa"/>
            <w:bottom w:w="0" w:type="dxa"/>
            <w:right w:w="0" w:type="dxa"/>
          </w:tblCellMar>
        </w:tblPrEx>
        <w:trPr>
          <w:trHeight w:val="714" w:hRule="atLeast"/>
          <w:jc w:val="center"/>
        </w:trPr>
        <w:tc>
          <w:tcPr>
            <w:tcW w:w="9761" w:type="dxa"/>
            <w:gridSpan w:val="4"/>
            <w:tcBorders>
              <w:top w:val="single" w:color="auto" w:sz="4" w:space="0"/>
              <w:left w:val="single" w:color="auto" w:sz="4" w:space="0"/>
              <w:bottom w:val="single" w:color="auto" w:sz="4" w:space="0"/>
              <w:right w:val="single" w:color="auto" w:sz="4" w:space="0"/>
            </w:tcBorders>
            <w:vAlign w:val="center"/>
          </w:tcPr>
          <w:p w14:paraId="1D076271">
            <w:pPr>
              <w:spacing w:before="156" w:beforeLines="50" w:line="480" w:lineRule="auto"/>
              <w:ind w:right="403" w:firstLine="120" w:firstLineChars="50"/>
              <w:jc w:val="left"/>
              <w:rPr>
                <w:rFonts w:hint="eastAsia" w:ascii="仿宋" w:hAnsi="仿宋" w:eastAsia="仿宋" w:cs="Arial Unicode MS"/>
                <w:b/>
                <w:sz w:val="24"/>
                <w:szCs w:val="24"/>
                <w:highlight w:val="none"/>
              </w:rPr>
            </w:pPr>
            <w:r>
              <w:rPr>
                <w:rFonts w:hint="eastAsia" w:ascii="仿宋" w:hAnsi="仿宋" w:eastAsia="仿宋" w:cs="Arial Unicode MS"/>
                <w:b/>
                <w:sz w:val="24"/>
                <w:szCs w:val="24"/>
                <w:highlight w:val="none"/>
              </w:rPr>
              <w:t>小写金额：</w:t>
            </w:r>
            <w:r>
              <w:rPr>
                <w:rFonts w:hint="eastAsia" w:ascii="宋体" w:hAnsi="宋体" w:eastAsia="仿宋" w:cs="仿宋"/>
                <w:b/>
                <w:bCs/>
                <w:sz w:val="24"/>
                <w:szCs w:val="24"/>
                <w:highlight w:val="none"/>
                <w:u w:val="single"/>
              </w:rPr>
              <w:t>__________________</w:t>
            </w:r>
          </w:p>
          <w:p w14:paraId="3F5857F3">
            <w:pPr>
              <w:spacing w:before="156" w:beforeLines="50" w:line="480" w:lineRule="auto"/>
              <w:ind w:right="403" w:firstLine="120" w:firstLineChars="50"/>
              <w:jc w:val="left"/>
              <w:rPr>
                <w:rFonts w:hint="eastAsia" w:ascii="仿宋" w:hAnsi="仿宋" w:eastAsia="仿宋" w:cs="Arial Unicode MS"/>
                <w:b/>
                <w:sz w:val="24"/>
                <w:szCs w:val="24"/>
                <w:highlight w:val="none"/>
              </w:rPr>
            </w:pPr>
            <w:r>
              <w:rPr>
                <w:rFonts w:hint="eastAsia" w:ascii="仿宋" w:hAnsi="仿宋" w:eastAsia="仿宋" w:cs="Arial Unicode MS"/>
                <w:b/>
                <w:sz w:val="24"/>
                <w:szCs w:val="24"/>
                <w:highlight w:val="none"/>
              </w:rPr>
              <w:t>大写金额：__________________</w:t>
            </w:r>
          </w:p>
        </w:tc>
      </w:tr>
    </w:tbl>
    <w:p w14:paraId="6E08F513">
      <w:pPr>
        <w:spacing w:before="156" w:beforeLines="50" w:line="276" w:lineRule="auto"/>
        <w:rPr>
          <w:rFonts w:hint="eastAsia" w:ascii="仿宋" w:hAnsi="仿宋" w:eastAsia="仿宋"/>
          <w:i/>
          <w:color w:val="000000" w:themeColor="text1"/>
          <w:sz w:val="24"/>
          <w:szCs w:val="24"/>
          <w:highlight w:val="none"/>
        </w:rPr>
      </w:pPr>
    </w:p>
    <w:p w14:paraId="500D9B76">
      <w:pPr>
        <w:spacing w:before="156" w:beforeLines="50" w:line="276" w:lineRule="auto"/>
        <w:rPr>
          <w:rFonts w:hint="eastAsia" w:ascii="仿宋" w:hAnsi="仿宋" w:eastAsia="仿宋"/>
          <w:i/>
          <w:color w:val="000000" w:themeColor="text1"/>
          <w:sz w:val="24"/>
          <w:szCs w:val="24"/>
          <w:highlight w:val="none"/>
        </w:rPr>
      </w:pPr>
      <w:r>
        <w:rPr>
          <w:rFonts w:ascii="仿宋" w:hAnsi="仿宋" w:eastAsia="仿宋"/>
          <w:i/>
          <w:color w:val="000000" w:themeColor="text1"/>
          <w:sz w:val="24"/>
          <w:szCs w:val="24"/>
          <w:highlight w:val="none"/>
        </w:rPr>
        <w:t>注：</w:t>
      </w:r>
    </w:p>
    <w:p w14:paraId="64D5C40D">
      <w:pPr>
        <w:spacing w:line="276" w:lineRule="auto"/>
        <w:rPr>
          <w:rFonts w:hint="eastAsia" w:ascii="仿宋" w:hAnsi="仿宋" w:eastAsia="仿宋"/>
          <w:i/>
          <w:color w:val="000000" w:themeColor="text1"/>
          <w:sz w:val="24"/>
          <w:szCs w:val="24"/>
          <w:highlight w:val="none"/>
        </w:rPr>
      </w:pPr>
      <w:r>
        <w:rPr>
          <w:rFonts w:hint="eastAsia" w:ascii="仿宋" w:hAnsi="仿宋" w:eastAsia="仿宋"/>
          <w:i/>
          <w:color w:val="000000" w:themeColor="text1"/>
          <w:sz w:val="24"/>
          <w:szCs w:val="24"/>
          <w:highlight w:val="none"/>
        </w:rPr>
        <w:t>1、投标人需按本表格式填写，不得自行更改。</w:t>
      </w:r>
    </w:p>
    <w:p w14:paraId="6D70863A">
      <w:pPr>
        <w:spacing w:line="276" w:lineRule="auto"/>
        <w:rPr>
          <w:rFonts w:hint="eastAsia" w:ascii="仿宋" w:hAnsi="仿宋" w:eastAsia="仿宋"/>
          <w:i/>
          <w:color w:val="000000" w:themeColor="text1"/>
          <w:sz w:val="24"/>
          <w:szCs w:val="24"/>
          <w:highlight w:val="none"/>
        </w:rPr>
      </w:pPr>
      <w:r>
        <w:rPr>
          <w:rFonts w:hint="eastAsia" w:ascii="仿宋" w:hAnsi="仿宋" w:eastAsia="仿宋"/>
          <w:i/>
          <w:color w:val="000000" w:themeColor="text1"/>
          <w:sz w:val="24"/>
          <w:szCs w:val="24"/>
          <w:highlight w:val="none"/>
        </w:rPr>
        <w:t>2、投标报价包括履行本项目所有规定服务所产生的全部税金、利润和费用，是履行合同的最终价格。投标人应充分考虑并将</w:t>
      </w:r>
      <w:r>
        <w:rPr>
          <w:rFonts w:hint="eastAsia" w:ascii="仿宋" w:hAnsi="仿宋" w:eastAsia="仿宋"/>
          <w:i/>
          <w:color w:val="000000" w:themeColor="text1"/>
          <w:sz w:val="24"/>
          <w:szCs w:val="24"/>
          <w:highlight w:val="none"/>
          <w:lang w:val="zh-CN"/>
        </w:rPr>
        <w:t>有关本项目实施所涉及的一切费用均计入投标报价。</w:t>
      </w:r>
    </w:p>
    <w:p w14:paraId="1C0D4370">
      <w:pPr>
        <w:spacing w:line="276" w:lineRule="auto"/>
        <w:rPr>
          <w:rFonts w:hint="eastAsia" w:ascii="仿宋" w:hAnsi="仿宋" w:eastAsia="仿宋"/>
          <w:i/>
          <w:color w:val="000000" w:themeColor="text1"/>
          <w:sz w:val="24"/>
          <w:szCs w:val="24"/>
          <w:highlight w:val="none"/>
        </w:rPr>
      </w:pPr>
      <w:r>
        <w:rPr>
          <w:rFonts w:hint="eastAsia" w:ascii="仿宋" w:hAnsi="仿宋" w:eastAsia="仿宋"/>
          <w:i/>
          <w:color w:val="000000" w:themeColor="text1"/>
          <w:sz w:val="24"/>
          <w:szCs w:val="24"/>
          <w:highlight w:val="none"/>
        </w:rPr>
        <w:t>3、</w:t>
      </w:r>
      <w:r>
        <w:rPr>
          <w:rFonts w:hint="eastAsia" w:ascii="仿宋" w:hAnsi="仿宋" w:eastAsia="仿宋"/>
          <w:i/>
          <w:color w:val="000000" w:themeColor="text1"/>
          <w:sz w:val="24"/>
          <w:szCs w:val="24"/>
          <w:highlight w:val="none"/>
          <w:lang w:val="zh-CN"/>
        </w:rPr>
        <w:t>投标报价不得超过最高限价，否则按无效报价处理</w:t>
      </w:r>
      <w:r>
        <w:rPr>
          <w:rFonts w:hint="eastAsia" w:ascii="仿宋" w:hAnsi="仿宋" w:eastAsia="仿宋"/>
          <w:i/>
          <w:color w:val="000000" w:themeColor="text1"/>
          <w:sz w:val="24"/>
          <w:szCs w:val="24"/>
          <w:highlight w:val="none"/>
        </w:rPr>
        <w:t>。</w:t>
      </w:r>
    </w:p>
    <w:p w14:paraId="5023BB35">
      <w:pPr>
        <w:spacing w:line="276" w:lineRule="auto"/>
        <w:rPr>
          <w:rFonts w:hint="eastAsia" w:ascii="仿宋" w:hAnsi="仿宋" w:eastAsia="仿宋"/>
          <w:color w:val="000000" w:themeColor="text1"/>
          <w:sz w:val="24"/>
          <w:szCs w:val="24"/>
          <w:highlight w:val="none"/>
        </w:rPr>
      </w:pPr>
    </w:p>
    <w:p w14:paraId="52806B0B">
      <w:pPr>
        <w:spacing w:line="480" w:lineRule="auto"/>
        <w:rPr>
          <w:rFonts w:hint="eastAsia" w:ascii="仿宋" w:hAnsi="仿宋" w:eastAsia="仿宋"/>
          <w:color w:val="000000" w:themeColor="text1"/>
          <w:sz w:val="24"/>
          <w:szCs w:val="24"/>
          <w:highlight w:val="none"/>
        </w:rPr>
      </w:pPr>
    </w:p>
    <w:p w14:paraId="13D160BA">
      <w:pPr>
        <w:spacing w:line="480" w:lineRule="auto"/>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投标人名称：</w:t>
      </w:r>
      <w:r>
        <w:rPr>
          <w:rFonts w:hint="eastAsia" w:ascii="仿宋" w:hAnsi="仿宋" w:eastAsia="仿宋"/>
          <w:color w:val="000000" w:themeColor="text1"/>
          <w:sz w:val="24"/>
          <w:szCs w:val="24"/>
          <w:highlight w:val="none"/>
          <w:u w:val="single"/>
        </w:rPr>
        <w:t xml:space="preserve">     （盖公章）     </w:t>
      </w:r>
    </w:p>
    <w:p w14:paraId="0DEEED73">
      <w:pPr>
        <w:spacing w:line="480" w:lineRule="auto"/>
        <w:rPr>
          <w:rFonts w:hint="eastAsia" w:ascii="仿宋" w:hAnsi="仿宋" w:eastAsia="仿宋"/>
          <w:color w:val="000000" w:themeColor="text1"/>
          <w:sz w:val="24"/>
          <w:szCs w:val="24"/>
          <w:highlight w:val="none"/>
        </w:rPr>
      </w:pPr>
      <w:r>
        <w:rPr>
          <w:rFonts w:hint="eastAsia" w:ascii="仿宋" w:hAnsi="仿宋" w:eastAsia="仿宋"/>
          <w:color w:val="auto"/>
          <w:sz w:val="24"/>
          <w:szCs w:val="24"/>
          <w:highlight w:val="none"/>
        </w:rPr>
        <w:t>投标人代表：</w:t>
      </w:r>
      <w:r>
        <w:rPr>
          <w:rFonts w:hint="eastAsia" w:ascii="仿宋" w:hAnsi="仿宋" w:eastAsia="仿宋"/>
          <w:color w:val="auto"/>
          <w:sz w:val="24"/>
          <w:szCs w:val="24"/>
          <w:highlight w:val="none"/>
          <w:u w:val="single"/>
        </w:rPr>
        <w:t>签</w:t>
      </w:r>
      <w:r>
        <w:rPr>
          <w:rFonts w:hint="eastAsia" w:ascii="仿宋" w:hAnsi="仿宋" w:eastAsia="仿宋"/>
          <w:color w:val="000000" w:themeColor="text1"/>
          <w:sz w:val="24"/>
          <w:szCs w:val="24"/>
          <w:highlight w:val="none"/>
          <w:u w:val="single"/>
        </w:rPr>
        <w:t>字或盖章</w:t>
      </w:r>
    </w:p>
    <w:p w14:paraId="15F004A9">
      <w:pPr>
        <w:spacing w:line="480" w:lineRule="auto"/>
        <w:rPr>
          <w:rFonts w:hint="eastAsia"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日期：_____年_____月_____日</w:t>
      </w:r>
    </w:p>
    <w:p w14:paraId="43CCB702">
      <w:pPr>
        <w:spacing w:line="276" w:lineRule="auto"/>
        <w:rPr>
          <w:rFonts w:hint="eastAsia" w:ascii="仿宋" w:hAnsi="仿宋" w:eastAsia="仿宋"/>
          <w:bCs/>
          <w:color w:val="000000" w:themeColor="text1"/>
          <w:highlight w:val="none"/>
        </w:rPr>
        <w:sectPr>
          <w:pgSz w:w="11906" w:h="16838"/>
          <w:pgMar w:top="1021" w:right="1247" w:bottom="1021" w:left="1247" w:header="567" w:footer="454" w:gutter="0"/>
          <w:pgNumType w:fmt="numberInDash"/>
          <w:cols w:space="720" w:num="1"/>
          <w:titlePg/>
          <w:docGrid w:type="lines" w:linePitch="312" w:charSpace="0"/>
        </w:sectPr>
      </w:pPr>
    </w:p>
    <w:p w14:paraId="0E673119">
      <w:pPr>
        <w:spacing w:after="260" w:line="500" w:lineRule="exact"/>
        <w:jc w:val="center"/>
        <w:rPr>
          <w:rFonts w:hint="eastAsia" w:ascii="仿宋" w:hAnsi="仿宋" w:eastAsia="仿宋"/>
          <w:b/>
          <w:color w:val="000000" w:themeColor="text1"/>
          <w:sz w:val="32"/>
          <w:szCs w:val="32"/>
          <w:highlight w:val="none"/>
        </w:rPr>
      </w:pPr>
      <w:r>
        <w:rPr>
          <w:rFonts w:hint="eastAsia" w:ascii="仿宋" w:hAnsi="仿宋" w:eastAsia="仿宋"/>
          <w:b/>
          <w:color w:val="000000" w:themeColor="text1"/>
          <w:sz w:val="32"/>
          <w:szCs w:val="32"/>
          <w:highlight w:val="none"/>
        </w:rPr>
        <w:t>2、投标承诺书</w:t>
      </w:r>
    </w:p>
    <w:p w14:paraId="03037A59">
      <w:pPr>
        <w:ind w:firstLine="420" w:firstLineChars="200"/>
        <w:rPr>
          <w:rFonts w:hint="eastAsia" w:ascii="仿宋" w:hAnsi="仿宋" w:eastAsia="仿宋"/>
          <w:color w:val="000000" w:themeColor="text1"/>
          <w:highlight w:val="none"/>
        </w:rPr>
      </w:pPr>
      <w:r>
        <w:rPr>
          <w:rFonts w:hint="eastAsia" w:ascii="仿宋" w:hAnsi="仿宋" w:eastAsia="仿宋"/>
          <w:color w:val="000000" w:themeColor="text1"/>
          <w:highlight w:val="none"/>
        </w:rPr>
        <w:t>我方已详细阅读了</w:t>
      </w:r>
      <w:r>
        <w:rPr>
          <w:rFonts w:hint="eastAsia" w:ascii="仿宋" w:hAnsi="仿宋" w:eastAsia="仿宋"/>
          <w:color w:val="000000" w:themeColor="text1"/>
          <w:highlight w:val="none"/>
          <w:u w:val="single"/>
        </w:rPr>
        <w:t>（项目名称）</w:t>
      </w:r>
      <w:r>
        <w:rPr>
          <w:rFonts w:hint="eastAsia" w:ascii="仿宋" w:hAnsi="仿宋" w:eastAsia="仿宋"/>
          <w:color w:val="000000" w:themeColor="text1"/>
          <w:highlight w:val="none"/>
        </w:rPr>
        <w:t>_____（项目编号：</w:t>
      </w:r>
      <w:r>
        <w:rPr>
          <w:rFonts w:hint="eastAsia" w:ascii="仿宋" w:hAnsi="仿宋" w:eastAsia="仿宋" w:cs="宋体"/>
          <w:color w:val="000000" w:themeColor="text1"/>
          <w:spacing w:val="8"/>
          <w:highlight w:val="none"/>
          <w:u w:val="single"/>
        </w:rPr>
        <w:t>浙江新顺2024-</w:t>
      </w:r>
      <w:r>
        <w:rPr>
          <w:rFonts w:hint="eastAsia" w:ascii="仿宋" w:hAnsi="仿宋" w:eastAsia="仿宋"/>
          <w:color w:val="000000" w:themeColor="text1"/>
          <w:highlight w:val="none"/>
          <w:u w:val="single"/>
        </w:rPr>
        <w:t>___</w:t>
      </w:r>
      <w:r>
        <w:rPr>
          <w:rFonts w:hint="eastAsia" w:ascii="仿宋" w:hAnsi="仿宋" w:eastAsia="仿宋" w:cs="宋体"/>
          <w:color w:val="000000" w:themeColor="text1"/>
          <w:spacing w:val="8"/>
          <w:highlight w:val="none"/>
          <w:u w:val="single"/>
        </w:rPr>
        <w:t>-</w:t>
      </w:r>
      <w:r>
        <w:rPr>
          <w:rFonts w:hint="eastAsia" w:ascii="仿宋" w:hAnsi="仿宋" w:eastAsia="仿宋"/>
          <w:color w:val="000000" w:themeColor="text1"/>
          <w:highlight w:val="none"/>
          <w:u w:val="single"/>
        </w:rPr>
        <w:t>___</w:t>
      </w:r>
      <w:r>
        <w:rPr>
          <w:rFonts w:hint="eastAsia" w:ascii="仿宋" w:hAnsi="仿宋" w:eastAsia="仿宋"/>
          <w:color w:val="000000" w:themeColor="text1"/>
          <w:highlight w:val="none"/>
        </w:rPr>
        <w:t>）招标文件，现参加该项目投标，并就有关事项作出如下承诺：</w:t>
      </w:r>
    </w:p>
    <w:p w14:paraId="68FAF0B7">
      <w:pPr>
        <w:ind w:firstLine="420" w:firstLineChars="200"/>
        <w:rPr>
          <w:rFonts w:hint="eastAsia" w:ascii="仿宋" w:hAnsi="仿宋" w:eastAsia="仿宋"/>
          <w:color w:val="000000" w:themeColor="text1"/>
          <w:highlight w:val="none"/>
        </w:rPr>
      </w:pPr>
      <w:r>
        <w:rPr>
          <w:rFonts w:hint="eastAsia" w:ascii="仿宋" w:hAnsi="仿宋" w:eastAsia="仿宋"/>
          <w:color w:val="000000" w:themeColor="text1"/>
          <w:highlight w:val="none"/>
        </w:rPr>
        <w:t>一、我方在该项目招投标及合同履约过程中，不会出现以下行为，否则我方愿意接受该行为被记录为不良行为，并在不良行为记录时限内放弃在诸暨市安华农贸市场投标的资格。</w:t>
      </w:r>
    </w:p>
    <w:p w14:paraId="621B4791">
      <w:pPr>
        <w:ind w:firstLine="420" w:firstLineChars="200"/>
        <w:rPr>
          <w:rFonts w:hint="eastAsia" w:ascii="仿宋" w:hAnsi="仿宋" w:eastAsia="仿宋"/>
          <w:color w:val="000000" w:themeColor="text1"/>
          <w:highlight w:val="none"/>
        </w:rPr>
      </w:pPr>
      <w:r>
        <w:rPr>
          <w:rFonts w:hint="eastAsia" w:ascii="仿宋" w:hAnsi="仿宋" w:eastAsia="仿宋"/>
          <w:color w:val="000000" w:themeColor="text1"/>
          <w:highlight w:val="none"/>
        </w:rPr>
        <w:t>（</w:t>
      </w:r>
      <w:r>
        <w:rPr>
          <w:rFonts w:ascii="仿宋" w:hAnsi="仿宋" w:eastAsia="仿宋"/>
          <w:color w:val="000000" w:themeColor="text1"/>
          <w:highlight w:val="none"/>
        </w:rPr>
        <w:t>1</w:t>
      </w:r>
      <w:r>
        <w:rPr>
          <w:rFonts w:hint="eastAsia" w:ascii="仿宋" w:hAnsi="仿宋" w:eastAsia="仿宋"/>
          <w:color w:val="000000" w:themeColor="text1"/>
          <w:highlight w:val="none"/>
        </w:rPr>
        <w:t>）已报名但无故放弃投标(开标前已有书面说明并证实的除外)一年内累计3次以上的；</w:t>
      </w:r>
    </w:p>
    <w:p w14:paraId="6DA7F0C5">
      <w:pPr>
        <w:ind w:firstLine="420" w:firstLineChars="200"/>
        <w:rPr>
          <w:rFonts w:hint="eastAsia" w:ascii="仿宋" w:hAnsi="仿宋" w:eastAsia="仿宋"/>
          <w:color w:val="000000" w:themeColor="text1"/>
          <w:highlight w:val="none"/>
        </w:rPr>
      </w:pPr>
      <w:r>
        <w:rPr>
          <w:rFonts w:hint="eastAsia" w:ascii="仿宋" w:hAnsi="仿宋" w:eastAsia="仿宋"/>
          <w:color w:val="000000" w:themeColor="text1"/>
          <w:highlight w:val="none"/>
        </w:rPr>
        <w:t>（</w:t>
      </w:r>
      <w:r>
        <w:rPr>
          <w:rFonts w:ascii="仿宋" w:hAnsi="仿宋" w:eastAsia="仿宋"/>
          <w:color w:val="000000" w:themeColor="text1"/>
          <w:highlight w:val="none"/>
        </w:rPr>
        <w:t>2</w:t>
      </w:r>
      <w:r>
        <w:rPr>
          <w:rFonts w:hint="eastAsia" w:ascii="仿宋" w:hAnsi="仿宋" w:eastAsia="仿宋"/>
          <w:color w:val="000000" w:themeColor="text1"/>
          <w:highlight w:val="none"/>
        </w:rPr>
        <w:t>）在招标采购过程中，与采购人进行协商谈判的；</w:t>
      </w:r>
    </w:p>
    <w:p w14:paraId="27A75213">
      <w:pPr>
        <w:ind w:firstLine="420" w:firstLineChars="200"/>
        <w:rPr>
          <w:rFonts w:hint="eastAsia" w:ascii="仿宋" w:hAnsi="仿宋" w:eastAsia="仿宋"/>
          <w:color w:val="000000" w:themeColor="text1"/>
          <w:highlight w:val="none"/>
        </w:rPr>
      </w:pPr>
      <w:r>
        <w:rPr>
          <w:rFonts w:hint="eastAsia" w:ascii="仿宋" w:hAnsi="仿宋" w:eastAsia="仿宋"/>
          <w:color w:val="000000" w:themeColor="text1"/>
          <w:highlight w:val="none"/>
        </w:rPr>
        <w:t>（</w:t>
      </w:r>
      <w:r>
        <w:rPr>
          <w:rFonts w:ascii="仿宋" w:hAnsi="仿宋" w:eastAsia="仿宋"/>
          <w:color w:val="000000" w:themeColor="text1"/>
          <w:highlight w:val="none"/>
        </w:rPr>
        <w:t>3</w:t>
      </w:r>
      <w:r>
        <w:rPr>
          <w:rFonts w:hint="eastAsia" w:ascii="仿宋" w:hAnsi="仿宋" w:eastAsia="仿宋"/>
          <w:color w:val="000000" w:themeColor="text1"/>
          <w:highlight w:val="none"/>
        </w:rPr>
        <w:t>）投标有效期内撤回其投标文件的；</w:t>
      </w:r>
    </w:p>
    <w:p w14:paraId="2281BA47">
      <w:pPr>
        <w:ind w:firstLine="420" w:firstLineChars="200"/>
        <w:rPr>
          <w:rFonts w:hint="eastAsia" w:ascii="仿宋" w:hAnsi="仿宋" w:eastAsia="仿宋"/>
          <w:color w:val="000000" w:themeColor="text1"/>
          <w:highlight w:val="none"/>
        </w:rPr>
      </w:pPr>
      <w:r>
        <w:rPr>
          <w:rFonts w:hint="eastAsia" w:ascii="仿宋" w:hAnsi="仿宋" w:eastAsia="仿宋"/>
          <w:color w:val="000000" w:themeColor="text1"/>
          <w:highlight w:val="none"/>
        </w:rPr>
        <w:t>（4）拒绝有关部门监督检查或提供虚假情况的；</w:t>
      </w:r>
    </w:p>
    <w:p w14:paraId="5211CBC4">
      <w:pPr>
        <w:ind w:firstLine="420" w:firstLineChars="200"/>
        <w:rPr>
          <w:rFonts w:hint="eastAsia" w:ascii="仿宋" w:hAnsi="仿宋" w:eastAsia="仿宋"/>
          <w:color w:val="000000" w:themeColor="text1"/>
          <w:highlight w:val="none"/>
        </w:rPr>
      </w:pPr>
      <w:r>
        <w:rPr>
          <w:rFonts w:hint="eastAsia" w:ascii="仿宋" w:hAnsi="仿宋" w:eastAsia="仿宋"/>
          <w:color w:val="000000" w:themeColor="text1"/>
          <w:highlight w:val="none"/>
        </w:rPr>
        <w:t>（5）不积极配合采购单位做好标的验收工作的；</w:t>
      </w:r>
    </w:p>
    <w:p w14:paraId="34240D53">
      <w:pPr>
        <w:ind w:firstLine="420" w:firstLineChars="200"/>
        <w:rPr>
          <w:rFonts w:hint="eastAsia" w:ascii="仿宋" w:hAnsi="仿宋" w:eastAsia="仿宋"/>
          <w:color w:val="000000" w:themeColor="text1"/>
          <w:highlight w:val="none"/>
        </w:rPr>
      </w:pPr>
      <w:r>
        <w:rPr>
          <w:rFonts w:hint="eastAsia" w:ascii="仿宋" w:hAnsi="仿宋" w:eastAsia="仿宋"/>
          <w:color w:val="000000" w:themeColor="text1"/>
          <w:highlight w:val="none"/>
        </w:rPr>
        <w:t>（6）在有关部门的监督检查或考核中被通报批评或处以警告及以上处罚的；</w:t>
      </w:r>
    </w:p>
    <w:p w14:paraId="0CCE71D5">
      <w:pPr>
        <w:ind w:firstLine="420" w:firstLineChars="200"/>
        <w:rPr>
          <w:rFonts w:hint="eastAsia" w:ascii="仿宋" w:hAnsi="仿宋" w:eastAsia="仿宋"/>
          <w:color w:val="000000" w:themeColor="text1"/>
          <w:highlight w:val="none"/>
        </w:rPr>
      </w:pPr>
      <w:r>
        <w:rPr>
          <w:rFonts w:hint="eastAsia" w:ascii="仿宋" w:hAnsi="仿宋" w:eastAsia="仿宋"/>
          <w:color w:val="000000" w:themeColor="text1"/>
          <w:highlight w:val="none"/>
        </w:rPr>
        <w:t>（7）不遵守投标会场纪律，无理取闹，扰乱交易秩序的；</w:t>
      </w:r>
    </w:p>
    <w:p w14:paraId="08D93B29">
      <w:pPr>
        <w:ind w:firstLine="420" w:firstLineChars="200"/>
        <w:rPr>
          <w:rFonts w:hint="eastAsia" w:ascii="仿宋" w:hAnsi="仿宋" w:eastAsia="仿宋"/>
          <w:color w:val="000000" w:themeColor="text1"/>
          <w:highlight w:val="none"/>
        </w:rPr>
      </w:pPr>
      <w:r>
        <w:rPr>
          <w:rFonts w:hint="eastAsia" w:ascii="仿宋" w:hAnsi="仿宋" w:eastAsia="仿宋"/>
          <w:color w:val="000000" w:themeColor="text1"/>
          <w:highlight w:val="none"/>
        </w:rPr>
        <w:t>（8）中标后无正当理由放弃中标，或不与采购人签订采购合同，或在签订合同时提出附加条件或更改合同实质性内容，或拒不提交所要求的履约保证金的；</w:t>
      </w:r>
    </w:p>
    <w:p w14:paraId="03BA8D96">
      <w:pPr>
        <w:ind w:firstLine="420" w:firstLineChars="200"/>
        <w:rPr>
          <w:rFonts w:hint="eastAsia" w:ascii="仿宋" w:hAnsi="仿宋" w:eastAsia="仿宋"/>
          <w:color w:val="000000" w:themeColor="text1"/>
          <w:highlight w:val="none"/>
        </w:rPr>
      </w:pPr>
      <w:r>
        <w:rPr>
          <w:rFonts w:hint="eastAsia" w:ascii="仿宋" w:hAnsi="仿宋" w:eastAsia="仿宋"/>
          <w:color w:val="000000" w:themeColor="text1"/>
          <w:highlight w:val="none"/>
        </w:rPr>
        <w:t>（</w:t>
      </w:r>
      <w:r>
        <w:rPr>
          <w:rFonts w:ascii="仿宋" w:hAnsi="仿宋" w:eastAsia="仿宋"/>
          <w:color w:val="000000" w:themeColor="text1"/>
          <w:highlight w:val="none"/>
        </w:rPr>
        <w:t>9</w:t>
      </w:r>
      <w:r>
        <w:rPr>
          <w:rFonts w:hint="eastAsia" w:ascii="仿宋" w:hAnsi="仿宋" w:eastAsia="仿宋"/>
          <w:color w:val="000000" w:themeColor="text1"/>
          <w:highlight w:val="none"/>
        </w:rPr>
        <w:t>）虚假投诉、恶意投诉或未按层级和相关程序逐级质疑、投诉而影响采购工作正常进行或造成不良影响的；</w:t>
      </w:r>
    </w:p>
    <w:p w14:paraId="4DA8BE7B">
      <w:pPr>
        <w:ind w:firstLine="420" w:firstLineChars="200"/>
        <w:rPr>
          <w:rFonts w:hint="eastAsia" w:ascii="仿宋" w:hAnsi="仿宋" w:eastAsia="仿宋"/>
          <w:color w:val="000000" w:themeColor="text1"/>
          <w:highlight w:val="none"/>
        </w:rPr>
      </w:pPr>
      <w:r>
        <w:rPr>
          <w:rFonts w:hint="eastAsia" w:ascii="仿宋" w:hAnsi="仿宋" w:eastAsia="仿宋"/>
          <w:color w:val="000000" w:themeColor="text1"/>
          <w:highlight w:val="none"/>
        </w:rPr>
        <w:t>（</w:t>
      </w:r>
      <w:r>
        <w:rPr>
          <w:rFonts w:ascii="仿宋" w:hAnsi="仿宋" w:eastAsia="仿宋"/>
          <w:color w:val="000000" w:themeColor="text1"/>
          <w:highlight w:val="none"/>
        </w:rPr>
        <w:t>10</w:t>
      </w:r>
      <w:r>
        <w:rPr>
          <w:rFonts w:hint="eastAsia" w:ascii="仿宋" w:hAnsi="仿宋" w:eastAsia="仿宋"/>
          <w:color w:val="000000" w:themeColor="text1"/>
          <w:highlight w:val="none"/>
        </w:rPr>
        <w:t>）不按照与采购人订立的合同履行义务（包括提供标的、售后服务、技术支持等），严重违反合同规定和廉政合同要求的；</w:t>
      </w:r>
    </w:p>
    <w:p w14:paraId="4955A5B3">
      <w:pPr>
        <w:ind w:firstLine="420" w:firstLineChars="200"/>
        <w:rPr>
          <w:rFonts w:hint="eastAsia" w:ascii="仿宋" w:hAnsi="仿宋" w:eastAsia="仿宋"/>
          <w:color w:val="000000" w:themeColor="text1"/>
          <w:highlight w:val="none"/>
        </w:rPr>
      </w:pPr>
      <w:r>
        <w:rPr>
          <w:rFonts w:hint="eastAsia" w:ascii="仿宋" w:hAnsi="仿宋" w:eastAsia="仿宋"/>
          <w:color w:val="000000" w:themeColor="text1"/>
          <w:highlight w:val="none"/>
        </w:rPr>
        <w:t>（11）项目负责人不到位，或擅自变换项目负责人，或不认真履行职责造成采购人损失的；</w:t>
      </w:r>
    </w:p>
    <w:p w14:paraId="09687F2E">
      <w:pPr>
        <w:ind w:firstLine="420" w:firstLineChars="200"/>
        <w:rPr>
          <w:rFonts w:hint="eastAsia" w:ascii="仿宋" w:hAnsi="仿宋" w:eastAsia="仿宋"/>
          <w:color w:val="000000" w:themeColor="text1"/>
          <w:highlight w:val="none"/>
        </w:rPr>
      </w:pPr>
      <w:r>
        <w:rPr>
          <w:rFonts w:hint="eastAsia" w:ascii="仿宋" w:hAnsi="仿宋" w:eastAsia="仿宋"/>
          <w:color w:val="000000" w:themeColor="text1"/>
          <w:highlight w:val="none"/>
        </w:rPr>
        <w:t>（12）发生经营状况重大变化以及重要担保、重大合同纠纷或诉讼、信用等级和资质变化等可能影响履约能力的重大事项，未及时向诸暨市安华农贸市场提供书面报告，因而造成采购人损失的；</w:t>
      </w:r>
    </w:p>
    <w:p w14:paraId="5771408D">
      <w:pPr>
        <w:ind w:firstLine="420" w:firstLineChars="200"/>
        <w:rPr>
          <w:rFonts w:hint="eastAsia" w:ascii="仿宋" w:hAnsi="仿宋" w:eastAsia="仿宋"/>
          <w:color w:val="000000" w:themeColor="text1"/>
          <w:highlight w:val="none"/>
        </w:rPr>
      </w:pPr>
      <w:r>
        <w:rPr>
          <w:rFonts w:hint="eastAsia" w:ascii="仿宋" w:hAnsi="仿宋" w:eastAsia="仿宋"/>
          <w:color w:val="000000" w:themeColor="text1"/>
          <w:highlight w:val="none"/>
        </w:rPr>
        <w:t>（13）与采购人、其他供应商或者采购代理机构相互串通的；</w:t>
      </w:r>
    </w:p>
    <w:p w14:paraId="0B875539">
      <w:pPr>
        <w:ind w:firstLine="420" w:firstLineChars="200"/>
        <w:rPr>
          <w:rFonts w:hint="eastAsia" w:ascii="仿宋" w:hAnsi="仿宋" w:eastAsia="仿宋"/>
          <w:color w:val="000000" w:themeColor="text1"/>
          <w:highlight w:val="none"/>
        </w:rPr>
      </w:pPr>
      <w:r>
        <w:rPr>
          <w:rFonts w:hint="eastAsia" w:ascii="仿宋" w:hAnsi="仿宋" w:eastAsia="仿宋"/>
          <w:color w:val="000000" w:themeColor="text1"/>
          <w:highlight w:val="none"/>
        </w:rPr>
        <w:t>（14）采取不正当手段排挤其他供应商，进行不公平竞争的；</w:t>
      </w:r>
    </w:p>
    <w:p w14:paraId="63363C26">
      <w:pPr>
        <w:ind w:firstLine="420" w:firstLineChars="200"/>
        <w:rPr>
          <w:rFonts w:hint="eastAsia" w:ascii="仿宋" w:hAnsi="仿宋" w:eastAsia="仿宋"/>
          <w:color w:val="000000" w:themeColor="text1"/>
          <w:highlight w:val="none"/>
        </w:rPr>
      </w:pPr>
      <w:r>
        <w:rPr>
          <w:rFonts w:hint="eastAsia" w:ascii="仿宋" w:hAnsi="仿宋" w:eastAsia="仿宋"/>
          <w:color w:val="000000" w:themeColor="text1"/>
          <w:highlight w:val="none"/>
        </w:rPr>
        <w:t>（15）中标后与采购人另行订立背离合同实质内容的协议的；</w:t>
      </w:r>
    </w:p>
    <w:p w14:paraId="700846F1">
      <w:pPr>
        <w:ind w:firstLine="420" w:firstLineChars="200"/>
        <w:rPr>
          <w:rFonts w:hint="eastAsia" w:ascii="仿宋" w:hAnsi="仿宋" w:eastAsia="仿宋"/>
          <w:color w:val="000000" w:themeColor="text1"/>
          <w:highlight w:val="none"/>
        </w:rPr>
      </w:pPr>
      <w:r>
        <w:rPr>
          <w:rFonts w:hint="eastAsia" w:ascii="仿宋" w:hAnsi="仿宋" w:eastAsia="仿宋"/>
          <w:color w:val="000000" w:themeColor="text1"/>
          <w:highlight w:val="none"/>
        </w:rPr>
        <w:t>（</w:t>
      </w:r>
      <w:r>
        <w:rPr>
          <w:rFonts w:ascii="仿宋" w:hAnsi="仿宋" w:eastAsia="仿宋"/>
          <w:color w:val="000000" w:themeColor="text1"/>
          <w:highlight w:val="none"/>
        </w:rPr>
        <w:t>1</w:t>
      </w:r>
      <w:r>
        <w:rPr>
          <w:rFonts w:hint="eastAsia" w:ascii="仿宋" w:hAnsi="仿宋" w:eastAsia="仿宋"/>
          <w:color w:val="000000" w:themeColor="text1"/>
          <w:highlight w:val="none"/>
        </w:rPr>
        <w:t>6）事先有承诺，而事后违反承诺内容的；</w:t>
      </w:r>
    </w:p>
    <w:p w14:paraId="56451B02">
      <w:pPr>
        <w:ind w:firstLine="420" w:firstLineChars="200"/>
        <w:rPr>
          <w:rFonts w:hint="eastAsia" w:ascii="仿宋" w:hAnsi="仿宋" w:eastAsia="仿宋"/>
          <w:color w:val="000000" w:themeColor="text1"/>
          <w:highlight w:val="none"/>
        </w:rPr>
      </w:pPr>
      <w:r>
        <w:rPr>
          <w:rFonts w:hint="eastAsia" w:ascii="仿宋" w:hAnsi="仿宋" w:eastAsia="仿宋"/>
          <w:color w:val="000000" w:themeColor="text1"/>
          <w:highlight w:val="none"/>
        </w:rPr>
        <w:t>（17）将中标项目转包或违反规定进行分包的；</w:t>
      </w:r>
    </w:p>
    <w:p w14:paraId="5D90C7C9">
      <w:pPr>
        <w:ind w:firstLine="420" w:firstLineChars="200"/>
        <w:rPr>
          <w:rFonts w:hint="eastAsia" w:ascii="仿宋" w:hAnsi="仿宋" w:eastAsia="仿宋"/>
          <w:color w:val="000000" w:themeColor="text1"/>
          <w:highlight w:val="none"/>
        </w:rPr>
      </w:pPr>
      <w:r>
        <w:rPr>
          <w:rFonts w:hint="eastAsia" w:ascii="仿宋" w:hAnsi="仿宋" w:eastAsia="仿宋"/>
          <w:color w:val="000000" w:themeColor="text1"/>
          <w:highlight w:val="none"/>
        </w:rPr>
        <w:t>（18）以他人名义投标或允许他人以自己名义投标，或者以其他方式弄虚作假的；</w:t>
      </w:r>
    </w:p>
    <w:p w14:paraId="55CB4E60">
      <w:pPr>
        <w:ind w:firstLine="420" w:firstLineChars="200"/>
        <w:rPr>
          <w:rFonts w:hint="eastAsia" w:ascii="仿宋" w:hAnsi="仿宋" w:eastAsia="仿宋"/>
          <w:color w:val="000000" w:themeColor="text1"/>
          <w:highlight w:val="none"/>
        </w:rPr>
      </w:pPr>
      <w:r>
        <w:rPr>
          <w:rFonts w:hint="eastAsia" w:ascii="仿宋" w:hAnsi="仿宋" w:eastAsia="仿宋"/>
          <w:color w:val="000000" w:themeColor="text1"/>
          <w:highlight w:val="none"/>
        </w:rPr>
        <w:t>（19）未按照采购合同约定及时提供全部货物的，或无故拖延工期的；</w:t>
      </w:r>
    </w:p>
    <w:p w14:paraId="3E34DBB3">
      <w:pPr>
        <w:ind w:firstLine="420" w:firstLineChars="200"/>
        <w:rPr>
          <w:rFonts w:hint="eastAsia" w:ascii="仿宋" w:hAnsi="仿宋" w:eastAsia="仿宋"/>
          <w:color w:val="000000" w:themeColor="text1"/>
          <w:highlight w:val="none"/>
        </w:rPr>
      </w:pPr>
      <w:r>
        <w:rPr>
          <w:rFonts w:hint="eastAsia" w:ascii="仿宋" w:hAnsi="仿宋" w:eastAsia="仿宋"/>
          <w:color w:val="000000" w:themeColor="text1"/>
          <w:highlight w:val="none"/>
        </w:rPr>
        <w:t>（20）无故不提供中标要求的型号、配置等产品的，或有拆换、调换、截留产品零部件和备品备件的行为的；</w:t>
      </w:r>
    </w:p>
    <w:p w14:paraId="109D6B61">
      <w:pPr>
        <w:ind w:firstLine="420" w:firstLineChars="200"/>
        <w:rPr>
          <w:rFonts w:hint="eastAsia" w:ascii="仿宋" w:hAnsi="仿宋" w:eastAsia="仿宋"/>
          <w:color w:val="000000" w:themeColor="text1"/>
          <w:highlight w:val="none"/>
        </w:rPr>
      </w:pPr>
      <w:r>
        <w:rPr>
          <w:rFonts w:hint="eastAsia" w:ascii="仿宋" w:hAnsi="仿宋" w:eastAsia="仿宋"/>
          <w:color w:val="000000" w:themeColor="text1"/>
          <w:highlight w:val="none"/>
        </w:rPr>
        <w:t>（21）为获取自身利益，向采购人及其他有利害关系的单位或个人提供不正当利益的；</w:t>
      </w:r>
    </w:p>
    <w:p w14:paraId="206BFA60">
      <w:pPr>
        <w:ind w:firstLine="420" w:firstLineChars="200"/>
        <w:rPr>
          <w:rFonts w:hint="eastAsia" w:ascii="仿宋" w:hAnsi="仿宋" w:eastAsia="仿宋"/>
          <w:color w:val="000000" w:themeColor="text1"/>
          <w:highlight w:val="none"/>
        </w:rPr>
      </w:pPr>
      <w:r>
        <w:rPr>
          <w:rFonts w:hint="eastAsia" w:ascii="仿宋" w:hAnsi="仿宋" w:eastAsia="仿宋"/>
          <w:color w:val="000000" w:themeColor="text1"/>
          <w:highlight w:val="none"/>
        </w:rPr>
        <w:t>（22）提供假冒伪劣产品或走私物品的；</w:t>
      </w:r>
    </w:p>
    <w:p w14:paraId="750445BF">
      <w:pPr>
        <w:ind w:firstLine="420" w:firstLineChars="200"/>
        <w:rPr>
          <w:rFonts w:hint="eastAsia" w:ascii="仿宋" w:hAnsi="仿宋" w:eastAsia="仿宋"/>
          <w:color w:val="000000" w:themeColor="text1"/>
          <w:highlight w:val="none"/>
        </w:rPr>
      </w:pPr>
      <w:r>
        <w:rPr>
          <w:rFonts w:hint="eastAsia" w:ascii="仿宋" w:hAnsi="仿宋" w:eastAsia="仿宋"/>
          <w:color w:val="000000" w:themeColor="text1"/>
          <w:highlight w:val="none"/>
        </w:rPr>
        <w:t>（23）擅自变更、中止、终止或解除采购合同的；</w:t>
      </w:r>
    </w:p>
    <w:p w14:paraId="2840746B">
      <w:pPr>
        <w:ind w:firstLine="420" w:firstLineChars="200"/>
        <w:rPr>
          <w:rFonts w:hint="eastAsia" w:ascii="仿宋" w:hAnsi="仿宋" w:eastAsia="仿宋"/>
          <w:color w:val="000000" w:themeColor="text1"/>
          <w:highlight w:val="none"/>
        </w:rPr>
      </w:pPr>
      <w:r>
        <w:rPr>
          <w:rFonts w:hint="eastAsia" w:ascii="仿宋" w:hAnsi="仿宋" w:eastAsia="仿宋"/>
          <w:color w:val="000000" w:themeColor="text1"/>
          <w:highlight w:val="none"/>
        </w:rPr>
        <w:t>（24）向有关人员行贿或者提供不正当利益谋取中标的；</w:t>
      </w:r>
    </w:p>
    <w:p w14:paraId="29C0D74F">
      <w:pPr>
        <w:ind w:firstLine="420" w:firstLineChars="200"/>
        <w:rPr>
          <w:rFonts w:hint="eastAsia" w:ascii="仿宋" w:hAnsi="仿宋" w:eastAsia="仿宋"/>
          <w:color w:val="000000" w:themeColor="text1"/>
          <w:highlight w:val="none"/>
        </w:rPr>
      </w:pPr>
      <w:r>
        <w:rPr>
          <w:rFonts w:hint="eastAsia" w:ascii="仿宋" w:hAnsi="仿宋" w:eastAsia="仿宋"/>
          <w:color w:val="000000" w:themeColor="text1"/>
          <w:highlight w:val="none"/>
        </w:rPr>
        <w:t>（25）在采购活动期间，对管理机构、采购人、其他投标人、评标专家、中介机构等采购相关机构和人员，采取诋毁、诽谤、胁迫、暴力等不正当手段的；</w:t>
      </w:r>
    </w:p>
    <w:p w14:paraId="7E848F24">
      <w:pPr>
        <w:ind w:firstLine="420" w:firstLineChars="200"/>
        <w:rPr>
          <w:rFonts w:hint="eastAsia" w:ascii="仿宋" w:hAnsi="仿宋" w:eastAsia="仿宋"/>
          <w:color w:val="000000" w:themeColor="text1"/>
          <w:highlight w:val="none"/>
        </w:rPr>
      </w:pPr>
      <w:r>
        <w:rPr>
          <w:rFonts w:hint="eastAsia" w:ascii="仿宋" w:hAnsi="仿宋" w:eastAsia="仿宋"/>
          <w:color w:val="000000" w:themeColor="text1"/>
          <w:highlight w:val="none"/>
        </w:rPr>
        <w:t>（26）采购单位招投标管理部门认定的其他违反采购管理的行为。</w:t>
      </w:r>
    </w:p>
    <w:p w14:paraId="64D27229">
      <w:pPr>
        <w:ind w:firstLine="420" w:firstLineChars="200"/>
        <w:rPr>
          <w:rFonts w:hint="eastAsia" w:ascii="仿宋" w:hAnsi="仿宋" w:eastAsia="仿宋"/>
          <w:color w:val="000000" w:themeColor="text1"/>
          <w:highlight w:val="none"/>
        </w:rPr>
      </w:pPr>
      <w:r>
        <w:rPr>
          <w:rFonts w:hint="eastAsia" w:ascii="仿宋" w:hAnsi="仿宋" w:eastAsia="仿宋"/>
          <w:color w:val="000000" w:themeColor="text1"/>
          <w:highlight w:val="none"/>
        </w:rPr>
        <w:t>出现（</w:t>
      </w:r>
      <w:r>
        <w:rPr>
          <w:rFonts w:ascii="仿宋" w:hAnsi="仿宋" w:eastAsia="仿宋"/>
          <w:color w:val="000000" w:themeColor="text1"/>
          <w:highlight w:val="none"/>
        </w:rPr>
        <w:t>1</w:t>
      </w:r>
      <w:r>
        <w:rPr>
          <w:rFonts w:hint="eastAsia" w:ascii="仿宋" w:hAnsi="仿宋" w:eastAsia="仿宋"/>
          <w:color w:val="000000" w:themeColor="text1"/>
          <w:highlight w:val="none"/>
        </w:rPr>
        <w:t>）</w:t>
      </w:r>
      <w:r>
        <w:rPr>
          <w:rFonts w:ascii="仿宋" w:hAnsi="仿宋" w:eastAsia="仿宋"/>
          <w:color w:val="000000" w:themeColor="text1"/>
          <w:highlight w:val="none"/>
        </w:rPr>
        <w:t>~</w:t>
      </w:r>
      <w:r>
        <w:rPr>
          <w:rFonts w:hint="eastAsia" w:ascii="仿宋" w:hAnsi="仿宋" w:eastAsia="仿宋"/>
          <w:color w:val="000000" w:themeColor="text1"/>
          <w:highlight w:val="none"/>
        </w:rPr>
        <w:t>（6）行为之一，记录时限为6个月；出现（7）</w:t>
      </w:r>
      <w:r>
        <w:rPr>
          <w:rFonts w:ascii="仿宋" w:hAnsi="仿宋" w:eastAsia="仿宋"/>
          <w:color w:val="000000" w:themeColor="text1"/>
          <w:highlight w:val="none"/>
        </w:rPr>
        <w:t>~</w:t>
      </w:r>
      <w:r>
        <w:rPr>
          <w:rFonts w:hint="eastAsia" w:ascii="仿宋" w:hAnsi="仿宋" w:eastAsia="仿宋"/>
          <w:color w:val="000000" w:themeColor="text1"/>
          <w:highlight w:val="none"/>
        </w:rPr>
        <w:t>（12）行为之一，记录时限为1年；出现（13）</w:t>
      </w:r>
      <w:r>
        <w:rPr>
          <w:rFonts w:ascii="仿宋" w:hAnsi="仿宋" w:eastAsia="仿宋"/>
          <w:color w:val="000000" w:themeColor="text1"/>
          <w:highlight w:val="none"/>
        </w:rPr>
        <w:t>~</w:t>
      </w:r>
      <w:r>
        <w:rPr>
          <w:rFonts w:hint="eastAsia" w:ascii="仿宋" w:hAnsi="仿宋" w:eastAsia="仿宋"/>
          <w:color w:val="000000" w:themeColor="text1"/>
          <w:highlight w:val="none"/>
        </w:rPr>
        <w:t>（17）行为之一，记录时限为2年；出现（18）</w:t>
      </w:r>
      <w:r>
        <w:rPr>
          <w:rFonts w:ascii="仿宋" w:hAnsi="仿宋" w:eastAsia="仿宋"/>
          <w:color w:val="000000" w:themeColor="text1"/>
          <w:highlight w:val="none"/>
        </w:rPr>
        <w:t>~</w:t>
      </w:r>
      <w:r>
        <w:rPr>
          <w:rFonts w:hint="eastAsia" w:ascii="仿宋" w:hAnsi="仿宋" w:eastAsia="仿宋"/>
          <w:color w:val="000000" w:themeColor="text1"/>
          <w:highlight w:val="none"/>
        </w:rPr>
        <w:t>（21）行为之一，记录时限为3年；出现（22）</w:t>
      </w:r>
      <w:r>
        <w:rPr>
          <w:rFonts w:ascii="仿宋" w:hAnsi="仿宋" w:eastAsia="仿宋"/>
          <w:color w:val="000000" w:themeColor="text1"/>
          <w:highlight w:val="none"/>
        </w:rPr>
        <w:t>~</w:t>
      </w:r>
      <w:r>
        <w:rPr>
          <w:rFonts w:hint="eastAsia" w:ascii="仿宋" w:hAnsi="仿宋" w:eastAsia="仿宋"/>
          <w:color w:val="000000" w:themeColor="text1"/>
          <w:highlight w:val="none"/>
        </w:rPr>
        <w:t>（25）行为之一，记录时限为5年；出现（26）行为，酌情处理。时限以被记录为不良行为之日起算，在记录时限内再次被计为不良行为的，记录时限应从上次记录时限截止日起算。</w:t>
      </w:r>
    </w:p>
    <w:p w14:paraId="2170EE38">
      <w:pPr>
        <w:ind w:firstLine="420" w:firstLineChars="200"/>
        <w:rPr>
          <w:rFonts w:hint="eastAsia" w:ascii="仿宋" w:hAnsi="仿宋" w:eastAsia="仿宋"/>
          <w:color w:val="000000" w:themeColor="text1"/>
          <w:highlight w:val="none"/>
        </w:rPr>
      </w:pPr>
      <w:r>
        <w:rPr>
          <w:rFonts w:hint="eastAsia" w:ascii="仿宋" w:hAnsi="仿宋" w:eastAsia="仿宋"/>
          <w:color w:val="000000" w:themeColor="text1"/>
          <w:highlight w:val="none"/>
        </w:rPr>
        <w:t>二、我方承诺接受招标文件及澄清修改部分（如有）的全部条款（包括投标文件递交截止时间、保证金、资格条件、评审成交标准以及采购需求等其他所有条款）且无任何异议。如果我方在递交投标文件后还对招标文件提出质疑的，愿意接受相关部门不予受理的决定。</w:t>
      </w:r>
    </w:p>
    <w:p w14:paraId="4DE8B56C">
      <w:pPr>
        <w:ind w:firstLine="420" w:firstLineChars="200"/>
        <w:rPr>
          <w:rFonts w:hint="eastAsia" w:ascii="仿宋" w:hAnsi="仿宋" w:eastAsia="仿宋"/>
          <w:color w:val="000000" w:themeColor="text1"/>
          <w:highlight w:val="none"/>
        </w:rPr>
      </w:pPr>
      <w:r>
        <w:rPr>
          <w:rFonts w:hint="eastAsia" w:ascii="仿宋" w:hAnsi="仿宋" w:eastAsia="仿宋"/>
          <w:color w:val="000000" w:themeColor="text1"/>
          <w:highlight w:val="none"/>
        </w:rPr>
        <w:t>三、我方及其他利害关系人如对该项目的中标公示有异议，将在招标文件规定的公示期限内提出符合以下条件的有效质疑，否则我方愿意接受相关部门不予受理的决定。</w:t>
      </w:r>
    </w:p>
    <w:p w14:paraId="3DEE8659">
      <w:pPr>
        <w:ind w:firstLine="420" w:firstLineChars="200"/>
        <w:rPr>
          <w:rFonts w:hint="eastAsia" w:ascii="仿宋" w:hAnsi="仿宋" w:eastAsia="仿宋"/>
          <w:color w:val="000000" w:themeColor="text1"/>
          <w:highlight w:val="none"/>
        </w:rPr>
      </w:pPr>
      <w:r>
        <w:rPr>
          <w:rFonts w:hint="eastAsia" w:ascii="仿宋" w:hAnsi="仿宋" w:eastAsia="仿宋"/>
          <w:color w:val="000000" w:themeColor="text1"/>
          <w:highlight w:val="none"/>
        </w:rPr>
        <w:t>1、质疑人须为采购响应人和其他利害关系人；</w:t>
      </w:r>
    </w:p>
    <w:p w14:paraId="479EB66A">
      <w:pPr>
        <w:ind w:firstLine="420" w:firstLineChars="200"/>
        <w:rPr>
          <w:rFonts w:hint="eastAsia" w:ascii="仿宋" w:hAnsi="仿宋" w:eastAsia="仿宋"/>
          <w:color w:val="000000" w:themeColor="text1"/>
          <w:highlight w:val="none"/>
        </w:rPr>
      </w:pPr>
      <w:r>
        <w:rPr>
          <w:rFonts w:hint="eastAsia" w:ascii="仿宋" w:hAnsi="仿宋" w:eastAsia="仿宋"/>
          <w:color w:val="000000" w:themeColor="text1"/>
          <w:highlight w:val="none"/>
        </w:rPr>
        <w:t>2、质疑时，应当递交质疑书，质疑书应当包括下列内容：</w:t>
      </w:r>
    </w:p>
    <w:p w14:paraId="22A69318">
      <w:pPr>
        <w:ind w:firstLine="420" w:firstLineChars="200"/>
        <w:rPr>
          <w:rFonts w:hint="eastAsia" w:ascii="仿宋" w:hAnsi="仿宋" w:eastAsia="仿宋"/>
          <w:color w:val="000000" w:themeColor="text1"/>
          <w:highlight w:val="none"/>
        </w:rPr>
      </w:pPr>
      <w:r>
        <w:rPr>
          <w:rFonts w:hint="eastAsia" w:ascii="仿宋" w:hAnsi="仿宋" w:eastAsia="仿宋"/>
          <w:color w:val="000000" w:themeColor="text1"/>
          <w:highlight w:val="none"/>
        </w:rPr>
        <w:t>（</w:t>
      </w:r>
      <w:r>
        <w:rPr>
          <w:rFonts w:ascii="仿宋" w:hAnsi="仿宋" w:eastAsia="仿宋"/>
          <w:color w:val="000000" w:themeColor="text1"/>
          <w:highlight w:val="none"/>
        </w:rPr>
        <w:t>1</w:t>
      </w:r>
      <w:r>
        <w:rPr>
          <w:rFonts w:hint="eastAsia" w:ascii="仿宋" w:hAnsi="仿宋" w:eastAsia="仿宋"/>
          <w:color w:val="000000" w:themeColor="text1"/>
          <w:highlight w:val="none"/>
        </w:rPr>
        <w:t>）质疑人的名称、地址及有效联系方式；</w:t>
      </w:r>
    </w:p>
    <w:p w14:paraId="7A404325">
      <w:pPr>
        <w:ind w:firstLine="420" w:firstLineChars="200"/>
        <w:rPr>
          <w:rFonts w:hint="eastAsia" w:ascii="仿宋" w:hAnsi="仿宋" w:eastAsia="仿宋"/>
          <w:color w:val="000000" w:themeColor="text1"/>
          <w:highlight w:val="none"/>
        </w:rPr>
      </w:pPr>
      <w:r>
        <w:rPr>
          <w:rFonts w:hint="eastAsia" w:ascii="仿宋" w:hAnsi="仿宋" w:eastAsia="仿宋"/>
          <w:color w:val="000000" w:themeColor="text1"/>
          <w:highlight w:val="none"/>
        </w:rPr>
        <w:t>（</w:t>
      </w:r>
      <w:r>
        <w:rPr>
          <w:rFonts w:ascii="仿宋" w:hAnsi="仿宋" w:eastAsia="仿宋"/>
          <w:color w:val="000000" w:themeColor="text1"/>
          <w:highlight w:val="none"/>
        </w:rPr>
        <w:t>2</w:t>
      </w:r>
      <w:r>
        <w:rPr>
          <w:rFonts w:hint="eastAsia" w:ascii="仿宋" w:hAnsi="仿宋" w:eastAsia="仿宋"/>
          <w:color w:val="000000" w:themeColor="text1"/>
          <w:highlight w:val="none"/>
        </w:rPr>
        <w:t>）被质疑人的名称、地址及联系方式；</w:t>
      </w:r>
    </w:p>
    <w:p w14:paraId="6706769D">
      <w:pPr>
        <w:ind w:firstLine="420" w:firstLineChars="200"/>
        <w:rPr>
          <w:rFonts w:hint="eastAsia" w:ascii="仿宋" w:hAnsi="仿宋" w:eastAsia="仿宋"/>
          <w:color w:val="000000" w:themeColor="text1"/>
          <w:highlight w:val="none"/>
        </w:rPr>
      </w:pPr>
      <w:r>
        <w:rPr>
          <w:rFonts w:hint="eastAsia" w:ascii="仿宋" w:hAnsi="仿宋" w:eastAsia="仿宋"/>
          <w:color w:val="000000" w:themeColor="text1"/>
          <w:highlight w:val="none"/>
        </w:rPr>
        <w:t>（</w:t>
      </w:r>
      <w:r>
        <w:rPr>
          <w:rFonts w:ascii="仿宋" w:hAnsi="仿宋" w:eastAsia="仿宋"/>
          <w:color w:val="000000" w:themeColor="text1"/>
          <w:highlight w:val="none"/>
        </w:rPr>
        <w:t>3</w:t>
      </w:r>
      <w:r>
        <w:rPr>
          <w:rFonts w:hint="eastAsia" w:ascii="仿宋" w:hAnsi="仿宋" w:eastAsia="仿宋"/>
          <w:color w:val="000000" w:themeColor="text1"/>
          <w:highlight w:val="none"/>
        </w:rPr>
        <w:t>）质疑事项的基本事实；</w:t>
      </w:r>
    </w:p>
    <w:p w14:paraId="2F35153F">
      <w:pPr>
        <w:ind w:firstLine="420" w:firstLineChars="200"/>
        <w:rPr>
          <w:rFonts w:hint="eastAsia" w:ascii="仿宋" w:hAnsi="仿宋" w:eastAsia="仿宋"/>
          <w:color w:val="000000" w:themeColor="text1"/>
          <w:highlight w:val="none"/>
        </w:rPr>
      </w:pPr>
      <w:r>
        <w:rPr>
          <w:rFonts w:hint="eastAsia" w:ascii="仿宋" w:hAnsi="仿宋" w:eastAsia="仿宋"/>
          <w:color w:val="000000" w:themeColor="text1"/>
          <w:highlight w:val="none"/>
        </w:rPr>
        <w:t>（</w:t>
      </w:r>
      <w:r>
        <w:rPr>
          <w:rFonts w:ascii="仿宋" w:hAnsi="仿宋" w:eastAsia="仿宋"/>
          <w:color w:val="000000" w:themeColor="text1"/>
          <w:highlight w:val="none"/>
        </w:rPr>
        <w:t>4</w:t>
      </w:r>
      <w:r>
        <w:rPr>
          <w:rFonts w:hint="eastAsia" w:ascii="仿宋" w:hAnsi="仿宋" w:eastAsia="仿宋"/>
          <w:color w:val="000000" w:themeColor="text1"/>
          <w:highlight w:val="none"/>
        </w:rPr>
        <w:t>）相关请求及主张；</w:t>
      </w:r>
    </w:p>
    <w:p w14:paraId="5CB09BBB">
      <w:pPr>
        <w:ind w:firstLine="420" w:firstLineChars="200"/>
        <w:rPr>
          <w:rFonts w:hint="eastAsia" w:ascii="仿宋" w:hAnsi="仿宋" w:eastAsia="仿宋"/>
          <w:color w:val="000000" w:themeColor="text1"/>
          <w:highlight w:val="none"/>
        </w:rPr>
      </w:pPr>
      <w:r>
        <w:rPr>
          <w:rFonts w:hint="eastAsia" w:ascii="仿宋" w:hAnsi="仿宋" w:eastAsia="仿宋"/>
          <w:color w:val="000000" w:themeColor="text1"/>
          <w:highlight w:val="none"/>
        </w:rPr>
        <w:t>（</w:t>
      </w:r>
      <w:r>
        <w:rPr>
          <w:rFonts w:ascii="仿宋" w:hAnsi="仿宋" w:eastAsia="仿宋"/>
          <w:color w:val="000000" w:themeColor="text1"/>
          <w:highlight w:val="none"/>
        </w:rPr>
        <w:t>5</w:t>
      </w:r>
      <w:r>
        <w:rPr>
          <w:rFonts w:hint="eastAsia" w:ascii="仿宋" w:hAnsi="仿宋" w:eastAsia="仿宋"/>
          <w:color w:val="000000" w:themeColor="text1"/>
          <w:highlight w:val="none"/>
        </w:rPr>
        <w:t>）有效线索和相关证明材料；</w:t>
      </w:r>
    </w:p>
    <w:p w14:paraId="77DBAB3D">
      <w:pPr>
        <w:ind w:firstLine="420" w:firstLineChars="200"/>
        <w:rPr>
          <w:rFonts w:hint="eastAsia" w:ascii="仿宋" w:hAnsi="仿宋" w:eastAsia="仿宋"/>
          <w:color w:val="000000" w:themeColor="text1"/>
          <w:highlight w:val="none"/>
        </w:rPr>
      </w:pPr>
      <w:r>
        <w:rPr>
          <w:rFonts w:hint="eastAsia" w:ascii="仿宋" w:hAnsi="仿宋" w:eastAsia="仿宋"/>
          <w:color w:val="000000" w:themeColor="text1"/>
          <w:highlight w:val="none"/>
        </w:rPr>
        <w:t>（</w:t>
      </w:r>
      <w:r>
        <w:rPr>
          <w:rFonts w:ascii="仿宋" w:hAnsi="仿宋" w:eastAsia="仿宋"/>
          <w:color w:val="000000" w:themeColor="text1"/>
          <w:highlight w:val="none"/>
        </w:rPr>
        <w:t>6</w:t>
      </w:r>
      <w:r>
        <w:rPr>
          <w:rFonts w:hint="eastAsia" w:ascii="仿宋" w:hAnsi="仿宋" w:eastAsia="仿宋"/>
          <w:color w:val="000000" w:themeColor="text1"/>
          <w:highlight w:val="none"/>
        </w:rPr>
        <w:t>）质疑人是法人的，质疑书必须由其法定代表人或者授权代表签字并加盖公章；其他组织或者个人质疑的，质疑书必须由其主要负责人或者质疑人本人签字，并附有效身份证明复印件。</w:t>
      </w:r>
    </w:p>
    <w:p w14:paraId="2486C1D5">
      <w:pPr>
        <w:spacing w:line="340" w:lineRule="exact"/>
        <w:ind w:firstLine="723" w:firstLineChars="400"/>
        <w:rPr>
          <w:rFonts w:hint="eastAsia" w:ascii="仿宋" w:hAnsi="仿宋" w:eastAsia="仿宋"/>
          <w:b/>
          <w:color w:val="000000" w:themeColor="text1"/>
          <w:sz w:val="18"/>
          <w:szCs w:val="18"/>
          <w:highlight w:val="none"/>
        </w:rPr>
      </w:pPr>
    </w:p>
    <w:p w14:paraId="1929C276">
      <w:pPr>
        <w:spacing w:line="340" w:lineRule="exact"/>
        <w:ind w:firstLine="840" w:firstLineChars="400"/>
        <w:rPr>
          <w:rFonts w:hint="eastAsia" w:ascii="仿宋" w:hAnsi="仿宋" w:eastAsia="仿宋"/>
          <w:color w:val="000000" w:themeColor="text1"/>
          <w:highlight w:val="none"/>
        </w:rPr>
      </w:pPr>
    </w:p>
    <w:p w14:paraId="2B619F5F">
      <w:pPr>
        <w:spacing w:line="340" w:lineRule="exact"/>
        <w:ind w:firstLine="840" w:firstLineChars="400"/>
        <w:rPr>
          <w:rFonts w:hint="eastAsia" w:ascii="仿宋" w:hAnsi="仿宋" w:eastAsia="仿宋"/>
          <w:color w:val="000000" w:themeColor="text1"/>
          <w:highlight w:val="none"/>
        </w:rPr>
      </w:pPr>
    </w:p>
    <w:p w14:paraId="0F1AA933">
      <w:pPr>
        <w:spacing w:line="480" w:lineRule="auto"/>
        <w:rPr>
          <w:rFonts w:hint="eastAsia" w:ascii="仿宋" w:hAnsi="仿宋" w:eastAsia="仿宋"/>
          <w:color w:val="000000" w:themeColor="text1"/>
          <w:sz w:val="24"/>
          <w:szCs w:val="24"/>
        </w:rPr>
      </w:pPr>
      <w:r>
        <w:rPr>
          <w:rFonts w:hint="eastAsia" w:ascii="仿宋" w:hAnsi="仿宋" w:eastAsia="仿宋"/>
          <w:color w:val="000000" w:themeColor="text1"/>
          <w:sz w:val="24"/>
          <w:szCs w:val="24"/>
        </w:rPr>
        <w:t>投标人名称：</w:t>
      </w:r>
      <w:r>
        <w:rPr>
          <w:rFonts w:hint="eastAsia" w:ascii="仿宋" w:hAnsi="仿宋" w:eastAsia="仿宋"/>
          <w:color w:val="000000" w:themeColor="text1"/>
          <w:sz w:val="24"/>
          <w:szCs w:val="24"/>
          <w:u w:val="single"/>
        </w:rPr>
        <w:t xml:space="preserve">     （盖公章）     </w:t>
      </w:r>
    </w:p>
    <w:p w14:paraId="0CE98CE8">
      <w:pPr>
        <w:spacing w:line="480" w:lineRule="auto"/>
        <w:rPr>
          <w:rFonts w:hint="eastAsia" w:ascii="仿宋" w:hAnsi="仿宋" w:eastAsia="仿宋"/>
          <w:color w:val="000000" w:themeColor="text1"/>
          <w:sz w:val="24"/>
          <w:szCs w:val="24"/>
        </w:rPr>
      </w:pPr>
      <w:r>
        <w:rPr>
          <w:rFonts w:hint="eastAsia" w:ascii="仿宋" w:hAnsi="仿宋" w:eastAsia="仿宋"/>
          <w:color w:val="auto"/>
          <w:sz w:val="24"/>
          <w:szCs w:val="24"/>
        </w:rPr>
        <w:t>投标人代表：</w:t>
      </w:r>
      <w:r>
        <w:rPr>
          <w:rFonts w:hint="eastAsia" w:ascii="仿宋" w:hAnsi="仿宋" w:eastAsia="仿宋"/>
          <w:color w:val="auto"/>
          <w:sz w:val="24"/>
          <w:szCs w:val="24"/>
          <w:u w:val="single"/>
        </w:rPr>
        <w:t>签字</w:t>
      </w:r>
      <w:r>
        <w:rPr>
          <w:rFonts w:hint="eastAsia" w:ascii="仿宋" w:hAnsi="仿宋" w:eastAsia="仿宋"/>
          <w:color w:val="000000" w:themeColor="text1"/>
          <w:sz w:val="24"/>
          <w:szCs w:val="24"/>
          <w:u w:val="single"/>
        </w:rPr>
        <w:t>或盖章</w:t>
      </w:r>
    </w:p>
    <w:p w14:paraId="55AC7209">
      <w:pPr>
        <w:spacing w:line="480" w:lineRule="auto"/>
        <w:rPr>
          <w:rFonts w:hint="eastAsia" w:ascii="仿宋" w:hAnsi="仿宋" w:eastAsia="仿宋"/>
          <w:color w:val="000000" w:themeColor="text1"/>
          <w:sz w:val="24"/>
          <w:szCs w:val="24"/>
        </w:rPr>
      </w:pPr>
      <w:r>
        <w:rPr>
          <w:rFonts w:hint="eastAsia" w:ascii="仿宋" w:hAnsi="仿宋" w:eastAsia="仿宋"/>
          <w:color w:val="000000" w:themeColor="text1"/>
          <w:sz w:val="24"/>
          <w:szCs w:val="24"/>
        </w:rPr>
        <w:t>日期：_____年_____月_____日</w:t>
      </w:r>
    </w:p>
    <w:p w14:paraId="499B4460">
      <w:pPr>
        <w:spacing w:before="312" w:beforeLines="100" w:line="480" w:lineRule="auto"/>
        <w:rPr>
          <w:color w:val="000000" w:themeColor="text1"/>
          <w:sz w:val="24"/>
          <w:szCs w:val="24"/>
        </w:rPr>
      </w:pPr>
      <w:r>
        <w:rPr>
          <w:rFonts w:hint="eastAsia" w:ascii="仿宋" w:hAnsi="仿宋" w:eastAsia="仿宋"/>
          <w:i/>
          <w:color w:val="000000" w:themeColor="text1"/>
          <w:sz w:val="24"/>
          <w:szCs w:val="24"/>
          <w:u w:val="single"/>
        </w:rPr>
        <w:t>注：按本格式和要求提供。</w:t>
      </w:r>
    </w:p>
    <w:p w14:paraId="6D2CF0A1">
      <w:pPr>
        <w:rPr>
          <w:color w:val="000000" w:themeColor="text1"/>
        </w:rPr>
        <w:sectPr>
          <w:pgSz w:w="11906" w:h="16838"/>
          <w:pgMar w:top="1021" w:right="1247" w:bottom="1021" w:left="1247" w:header="567" w:footer="454" w:gutter="0"/>
          <w:pgNumType w:fmt="numberInDash"/>
          <w:cols w:space="720" w:num="1"/>
          <w:titlePg/>
          <w:docGrid w:type="lines" w:linePitch="312" w:charSpace="0"/>
        </w:sectPr>
      </w:pPr>
    </w:p>
    <w:p w14:paraId="24CB6C11">
      <w:pPr>
        <w:spacing w:line="480" w:lineRule="auto"/>
        <w:jc w:val="center"/>
        <w:rPr>
          <w:rFonts w:hint="eastAsia" w:ascii="宋体" w:hAnsi="宋体"/>
          <w:color w:val="000000" w:themeColor="text1"/>
        </w:rPr>
      </w:pPr>
      <w:r>
        <w:rPr>
          <w:rFonts w:hint="eastAsia" w:ascii="仿宋" w:hAnsi="仿宋" w:eastAsia="仿宋"/>
          <w:b/>
          <w:color w:val="000000" w:themeColor="text1"/>
          <w:sz w:val="28"/>
          <w:szCs w:val="28"/>
        </w:rPr>
        <w:t>附：投标人认为需要说明的其他文件和说明（格式自拟）</w:t>
      </w:r>
    </w:p>
    <w:sectPr>
      <w:pgSz w:w="11906" w:h="16838"/>
      <w:pgMar w:top="1021" w:right="1247" w:bottom="1021" w:left="1247" w:header="567" w:footer="454"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81023"/>
    </w:sdtPr>
    <w:sdtContent>
      <w:p w14:paraId="7ED45DFB">
        <w:pPr>
          <w:pStyle w:val="30"/>
          <w:ind w:firstLine="360"/>
          <w:jc w:val="center"/>
          <w:rPr>
            <w:rFonts w:hint="eastAsia"/>
          </w:rPr>
        </w:pPr>
      </w:p>
    </w:sdtContent>
  </w:sdt>
  <w:p w14:paraId="6D35BC17">
    <w:pPr>
      <w:pStyle w:val="3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93F89">
    <w:pPr>
      <w:pStyle w:val="30"/>
      <w:jc w:val="center"/>
      <w:rPr>
        <w:rFonts w:hint="eastAsia"/>
      </w:rPr>
    </w:pPr>
    <w:r>
      <w:fldChar w:fldCharType="begin"/>
    </w:r>
    <w:r>
      <w:instrText xml:space="preserve">PAGE   \* MERGEFORMAT</w:instrText>
    </w:r>
    <w:r>
      <w:fldChar w:fldCharType="separate"/>
    </w:r>
    <w:r>
      <w:rPr>
        <w:lang w:val="zh-CN"/>
      </w:rPr>
      <w:t>-</w:t>
    </w:r>
    <w:r>
      <w:t xml:space="preserve"> 26 -</w:t>
    </w:r>
    <w:r>
      <w:fldChar w:fldCharType="end"/>
    </w:r>
  </w:p>
  <w:p w14:paraId="4DED620C">
    <w:pPr>
      <w:pStyle w:val="3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8F49D">
    <w:pPr>
      <w:pStyle w:val="30"/>
      <w:framePr w:wrap="around" w:vAnchor="text" w:hAnchor="margin" w:xAlign="center" w:y="1"/>
      <w:rPr>
        <w:rStyle w:val="53"/>
        <w:rFonts w:hint="eastAsia"/>
      </w:rPr>
    </w:pPr>
    <w:r>
      <w:fldChar w:fldCharType="begin"/>
    </w:r>
    <w:r>
      <w:rPr>
        <w:rStyle w:val="53"/>
      </w:rPr>
      <w:instrText xml:space="preserve">PAGE  </w:instrText>
    </w:r>
    <w:r>
      <w:fldChar w:fldCharType="end"/>
    </w:r>
  </w:p>
  <w:p w14:paraId="01B4578A">
    <w:pPr>
      <w:pStyle w:val="3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B840E">
    <w:pPr>
      <w:pStyle w:val="30"/>
      <w:jc w:val="center"/>
      <w:rPr>
        <w:rFonts w:hint="eastAsia"/>
      </w:rPr>
    </w:pPr>
    <w:r>
      <w:fldChar w:fldCharType="begin"/>
    </w:r>
    <w:r>
      <w:instrText xml:space="preserve">PAGE   \* MERGEFORMAT</w:instrText>
    </w:r>
    <w:r>
      <w:fldChar w:fldCharType="separate"/>
    </w:r>
    <w:r>
      <w:rPr>
        <w:lang w:val="zh-CN"/>
      </w:rPr>
      <w:t>-</w:t>
    </w:r>
    <w:r>
      <w:t xml:space="preserve"> 33 -</w:t>
    </w:r>
    <w:r>
      <w:fldChar w:fldCharType="end"/>
    </w:r>
  </w:p>
  <w:p w14:paraId="0AFE29A8">
    <w:pPr>
      <w:pStyle w:val="30"/>
      <w:jc w:val="center"/>
      <w:rPr>
        <w:rFonts w:hint="eastAsia" w:eastAsia="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0E04D">
    <w:pPr>
      <w:pStyle w:val="30"/>
      <w:ind w:right="360" w:firstLine="3870" w:firstLineChars="2150"/>
      <w:rPr>
        <w:rFonts w:hint="eastAsia"/>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- 38 -</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41</w:t>
    </w:r>
    <w:r>
      <w:rPr>
        <w:kern w:val="0"/>
        <w:szCs w:val="21"/>
      </w:rPr>
      <w:fldChar w:fldCharType="end"/>
    </w:r>
    <w:r>
      <w:rPr>
        <w:rFonts w:hint="eastAsia"/>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92520">
    <w:pPr>
      <w:pStyle w:val="30"/>
      <w:framePr w:wrap="around" w:vAnchor="text" w:hAnchor="margin" w:xAlign="right" w:y="1"/>
      <w:rPr>
        <w:rStyle w:val="53"/>
        <w:rFonts w:hint="eastAsia"/>
      </w:rPr>
    </w:pPr>
    <w:r>
      <w:rPr>
        <w:rStyle w:val="53"/>
      </w:rPr>
      <w:fldChar w:fldCharType="begin"/>
    </w:r>
    <w:r>
      <w:rPr>
        <w:rStyle w:val="53"/>
      </w:rPr>
      <w:instrText xml:space="preserve">PAGE  </w:instrText>
    </w:r>
    <w:r>
      <w:rPr>
        <w:rStyle w:val="53"/>
      </w:rPr>
      <w:fldChar w:fldCharType="end"/>
    </w:r>
  </w:p>
  <w:p w14:paraId="2EBBE080">
    <w:pPr>
      <w:pStyle w:val="30"/>
      <w:ind w:right="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C0A32">
    <w:pPr>
      <w:pStyle w:val="31"/>
      <w:rPr>
        <w:rFonts w:hint="eastAsia" w:ascii="宋体" w:hAnsi="宋体" w:eastAsia="宋体"/>
      </w:rPr>
    </w:pPr>
    <w:r>
      <w:rPr>
        <w:rFonts w:hint="eastAsia" w:ascii="宋体" w:hAnsi="宋体" w:eastAsia="宋体"/>
      </w:rPr>
      <w:t>浙江新顺项目管理有限公司招标文件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00B02">
    <w:pPr>
      <w:pStyle w:val="31"/>
      <w:rPr>
        <w:rFonts w:hint="eastAsia" w:ascii="宋体" w:hAnsi="宋体" w:eastAsia="宋体"/>
      </w:rPr>
    </w:pPr>
    <w:r>
      <w:rPr>
        <w:rFonts w:hint="eastAsia" w:ascii="宋体" w:hAnsi="宋体" w:eastAsia="宋体"/>
      </w:rPr>
      <w:t>浙江新顺项目管理有限公司招标文件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C0F4B">
    <w:pPr>
      <w:pStyle w:val="31"/>
      <w:rPr>
        <w:rFonts w:hint="eastAsia" w:ascii="宋体" w:hAnsi="宋体" w:eastAsia="宋体"/>
      </w:rPr>
    </w:pPr>
    <w:r>
      <w:rPr>
        <w:rFonts w:hint="eastAsia" w:ascii="宋体" w:hAnsi="宋体" w:eastAsia="宋体"/>
      </w:rPr>
      <w:t>浙江新顺项目管理有限公司招标文件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24CE6A"/>
    <w:multiLevelType w:val="singleLevel"/>
    <w:tmpl w:val="9B24CE6A"/>
    <w:lvl w:ilvl="0" w:tentative="0">
      <w:start w:val="3"/>
      <w:numFmt w:val="chineseCounting"/>
      <w:suff w:val="space"/>
      <w:lvlText w:val="（%1）"/>
      <w:lvlJc w:val="left"/>
      <w:rPr>
        <w:rFonts w:hint="eastAsia"/>
      </w:rPr>
    </w:lvl>
  </w:abstractNum>
  <w:abstractNum w:abstractNumId="1">
    <w:nsid w:val="FFFFFF7E"/>
    <w:multiLevelType w:val="singleLevel"/>
    <w:tmpl w:val="FFFFFF7E"/>
    <w:lvl w:ilvl="0" w:tentative="0">
      <w:start w:val="1"/>
      <w:numFmt w:val="decimal"/>
      <w:pStyle w:val="207"/>
      <w:lvlText w:val="%1."/>
      <w:lvlJc w:val="left"/>
      <w:pPr>
        <w:tabs>
          <w:tab w:val="left" w:pos="1200"/>
        </w:tabs>
        <w:ind w:left="1200" w:hanging="360"/>
      </w:pPr>
    </w:lvl>
  </w:abstractNum>
  <w:abstractNum w:abstractNumId="2">
    <w:nsid w:val="00000006"/>
    <w:multiLevelType w:val="singleLevel"/>
    <w:tmpl w:val="00000006"/>
    <w:lvl w:ilvl="0" w:tentative="0">
      <w:start w:val="1"/>
      <w:numFmt w:val="decimal"/>
      <w:pStyle w:val="22"/>
      <w:lvlText w:val="%1."/>
      <w:lvlJc w:val="left"/>
      <w:pPr>
        <w:tabs>
          <w:tab w:val="left" w:pos="1200"/>
        </w:tabs>
        <w:ind w:left="1200" w:hanging="360"/>
      </w:pPr>
    </w:lvl>
  </w:abstractNum>
  <w:abstractNum w:abstractNumId="3">
    <w:nsid w:val="00000008"/>
    <w:multiLevelType w:val="multilevel"/>
    <w:tmpl w:val="00000008"/>
    <w:lvl w:ilvl="0" w:tentative="0">
      <w:start w:val="1"/>
      <w:numFmt w:val="bullet"/>
      <w:pStyle w:val="121"/>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00000009"/>
    <w:multiLevelType w:val="multilevel"/>
    <w:tmpl w:val="00000009"/>
    <w:lvl w:ilvl="0" w:tentative="0">
      <w:start w:val="1"/>
      <w:numFmt w:val="decimal"/>
      <w:pStyle w:val="14"/>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A"/>
    <w:multiLevelType w:val="multilevel"/>
    <w:tmpl w:val="0000000A"/>
    <w:lvl w:ilvl="0" w:tentative="0">
      <w:start w:val="1"/>
      <w:numFmt w:val="decimal"/>
      <w:pStyle w:val="164"/>
      <w:lvlText w:val="%1、"/>
      <w:lvlJc w:val="left"/>
      <w:pPr>
        <w:tabs>
          <w:tab w:val="left" w:pos="360"/>
        </w:tabs>
        <w:ind w:left="360" w:hanging="360"/>
      </w:pPr>
      <w:rPr>
        <w:rFonts w:ascii="Times New Roman" w:hAnsi="Times New Roman" w:eastAsia="黑体" w:cs="Times New Roman"/>
      </w:rPr>
    </w:lvl>
    <w:lvl w:ilvl="1" w:tentative="0">
      <w:start w:val="2005"/>
      <w:numFmt w:val="decimal"/>
      <w:pStyle w:val="32"/>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ascii="仿宋_GB2312" w:hAnsi="宋体" w:eastAsia="仿宋_GB2312"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A760F1C"/>
    <w:multiLevelType w:val="multilevel"/>
    <w:tmpl w:val="0A760F1C"/>
    <w:lvl w:ilvl="0" w:tentative="0">
      <w:start w:val="1"/>
      <w:numFmt w:val="decimal"/>
      <w:pStyle w:val="225"/>
      <w:suff w:val="space"/>
      <w:lvlText w:val="第%1章"/>
      <w:lvlJc w:val="center"/>
      <w:pPr>
        <w:ind w:left="0" w:firstLine="288"/>
      </w:pPr>
      <w:rPr>
        <w:rFonts w:hint="eastAsia" w:ascii="黑体" w:hAnsi="黑体" w:eastAsia="黑体"/>
        <w:sz w:val="36"/>
      </w:rPr>
    </w:lvl>
    <w:lvl w:ilvl="1" w:tentative="0">
      <w:start w:val="1"/>
      <w:numFmt w:val="decimal"/>
      <w:pStyle w:val="236"/>
      <w:suff w:val="space"/>
      <w:lvlText w:val="%1.%2"/>
      <w:lvlJc w:val="left"/>
      <w:pPr>
        <w:ind w:left="0" w:firstLine="0"/>
      </w:pPr>
      <w:rPr>
        <w:rFonts w:hint="eastAsia" w:ascii="黑体" w:hAnsi="黑体" w:eastAsia="黑体"/>
        <w:sz w:val="30"/>
      </w:rPr>
    </w:lvl>
    <w:lvl w:ilvl="2" w:tentative="0">
      <w:start w:val="1"/>
      <w:numFmt w:val="decimal"/>
      <w:pStyle w:val="218"/>
      <w:suff w:val="space"/>
      <w:lvlText w:val="%1.%2.%3"/>
      <w:lvlJc w:val="left"/>
      <w:pPr>
        <w:ind w:left="0" w:firstLine="0"/>
      </w:pPr>
      <w:rPr>
        <w:rFonts w:hint="eastAsia" w:ascii="黑体" w:hAnsi="黑体" w:eastAsia="黑体"/>
        <w:sz w:val="28"/>
      </w:rPr>
    </w:lvl>
    <w:lvl w:ilvl="3" w:tentative="0">
      <w:start w:val="1"/>
      <w:numFmt w:val="decimal"/>
      <w:suff w:val="space"/>
      <w:lvlText w:val="%1.%2.%3.%4"/>
      <w:lvlJc w:val="left"/>
      <w:pPr>
        <w:ind w:left="0" w:firstLine="0"/>
      </w:pPr>
      <w:rPr>
        <w:rFonts w:hint="eastAsia" w:ascii="黑体" w:hAnsi="黑体" w:eastAsia="黑体"/>
        <w:sz w:val="24"/>
      </w:rPr>
    </w:lvl>
    <w:lvl w:ilvl="4" w:tentative="0">
      <w:start w:val="1"/>
      <w:numFmt w:val="decimal"/>
      <w:pStyle w:val="229"/>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pStyle w:val="217"/>
      <w:lvlText w:val="%1.%2.%3.%4.%5.%6.%7"/>
      <w:lvlJc w:val="left"/>
      <w:pPr>
        <w:ind w:left="0" w:firstLine="0"/>
      </w:pPr>
      <w:rPr>
        <w:rFonts w:hint="eastAsia"/>
      </w:rPr>
    </w:lvl>
    <w:lvl w:ilvl="7" w:tentative="0">
      <w:start w:val="1"/>
      <w:numFmt w:val="decimal"/>
      <w:pStyle w:val="231"/>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7">
    <w:nsid w:val="2D16F882"/>
    <w:multiLevelType w:val="singleLevel"/>
    <w:tmpl w:val="2D16F882"/>
    <w:lvl w:ilvl="0" w:tentative="0">
      <w:start w:val="1"/>
      <w:numFmt w:val="chineseCounting"/>
      <w:suff w:val="space"/>
      <w:lvlText w:val="第%1章"/>
      <w:lvlJc w:val="left"/>
      <w:rPr>
        <w:rFonts w:hint="eastAsia"/>
      </w:rPr>
    </w:lvl>
  </w:abstractNum>
  <w:abstractNum w:abstractNumId="8">
    <w:nsid w:val="4798592B"/>
    <w:multiLevelType w:val="multilevel"/>
    <w:tmpl w:val="4798592B"/>
    <w:lvl w:ilvl="0" w:tentative="0">
      <w:start w:val="1"/>
      <w:numFmt w:val="decimal"/>
      <w:pStyle w:val="204"/>
      <w:lvlText w:val="%1、"/>
      <w:lvlJc w:val="left"/>
      <w:pPr>
        <w:tabs>
          <w:tab w:val="left" w:pos="360"/>
        </w:tabs>
        <w:ind w:left="360" w:hanging="360"/>
      </w:pPr>
      <w:rPr>
        <w:rFonts w:ascii="Times New Roman" w:hAnsi="Times New Roman" w:eastAsia="黑体" w:cs="Times New Roman"/>
      </w:rPr>
    </w:lvl>
    <w:lvl w:ilvl="1" w:tentative="0">
      <w:start w:val="2005"/>
      <w:numFmt w:val="decimal"/>
      <w:pStyle w:val="235"/>
      <w:lvlText w:val="%2年"/>
      <w:lvlJc w:val="left"/>
      <w:pPr>
        <w:tabs>
          <w:tab w:val="left" w:pos="1620"/>
        </w:tabs>
        <w:ind w:left="1620" w:hanging="1200"/>
      </w:pPr>
      <w:rPr>
        <w:rFonts w:hint="eastAsia"/>
      </w:rPr>
    </w:lvl>
    <w:lvl w:ilvl="2" w:tentative="0">
      <w:start w:val="1"/>
      <w:numFmt w:val="decimal"/>
      <w:pStyle w:val="206"/>
      <w:lvlText w:val="（%3）"/>
      <w:lvlJc w:val="left"/>
      <w:pPr>
        <w:tabs>
          <w:tab w:val="left" w:pos="1560"/>
        </w:tabs>
        <w:ind w:left="1560" w:hanging="720"/>
      </w:pPr>
      <w:rPr>
        <w:rFonts w:hint="eastAsia"/>
      </w:rPr>
    </w:lvl>
    <w:lvl w:ilvl="3" w:tentative="0">
      <w:start w:val="1"/>
      <w:numFmt w:val="decimal"/>
      <w:pStyle w:val="228"/>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F56743F"/>
    <w:multiLevelType w:val="multilevel"/>
    <w:tmpl w:val="6F56743F"/>
    <w:lvl w:ilvl="0" w:tentative="0">
      <w:start w:val="1"/>
      <w:numFmt w:val="decimalEnclosedCircle"/>
      <w:pStyle w:val="216"/>
      <w:lvlText w:val="%1"/>
      <w:lvlJc w:val="left"/>
      <w:pPr>
        <w:tabs>
          <w:tab w:val="left" w:pos="780"/>
        </w:tabs>
        <w:ind w:left="780" w:hanging="360"/>
      </w:pPr>
      <w:rPr>
        <w:rFonts w:ascii="宋体" w:hAnsi="宋体" w:eastAsia="宋体"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70E0079F"/>
    <w:multiLevelType w:val="multilevel"/>
    <w:tmpl w:val="70E0079F"/>
    <w:lvl w:ilvl="0" w:tentative="0">
      <w:start w:val="4"/>
      <w:numFmt w:val="japaneseCounting"/>
      <w:pStyle w:val="187"/>
      <w:lvlText w:val="%1、"/>
      <w:lvlJc w:val="left"/>
      <w:pPr>
        <w:tabs>
          <w:tab w:val="left" w:pos="885"/>
        </w:tabs>
        <w:ind w:left="885" w:hanging="885"/>
      </w:pPr>
      <w:rPr>
        <w:rFonts w:hint="default"/>
        <w:sz w:val="4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66F4AFF"/>
    <w:multiLevelType w:val="multilevel"/>
    <w:tmpl w:val="766F4AFF"/>
    <w:lvl w:ilvl="0" w:tentative="0">
      <w:start w:val="1"/>
      <w:numFmt w:val="decimal"/>
      <w:pStyle w:val="208"/>
      <w:lvlText w:val="%1、"/>
      <w:lvlJc w:val="left"/>
      <w:pPr>
        <w:tabs>
          <w:tab w:val="left" w:pos="780"/>
        </w:tabs>
        <w:ind w:left="780" w:hanging="360"/>
      </w:pPr>
      <w:rPr>
        <w:rFonts w:ascii="Times New Roman" w:hAnsi="Times New Roman" w:eastAsia="Times New Roman"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4"/>
  </w:num>
  <w:num w:numId="2">
    <w:abstractNumId w:val="2"/>
  </w:num>
  <w:num w:numId="3">
    <w:abstractNumId w:val="5"/>
  </w:num>
  <w:num w:numId="4">
    <w:abstractNumId w:val="3"/>
  </w:num>
  <w:num w:numId="5">
    <w:abstractNumId w:val="10"/>
  </w:num>
  <w:num w:numId="6">
    <w:abstractNumId w:val="8"/>
  </w:num>
  <w:num w:numId="7">
    <w:abstractNumId w:val="1"/>
  </w:num>
  <w:num w:numId="8">
    <w:abstractNumId w:val="11"/>
  </w:num>
  <w:num w:numId="9">
    <w:abstractNumId w:val="9"/>
  </w:num>
  <w:num w:numId="10">
    <w:abstractNumId w:val="6"/>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E2NmViZGVjYWI5MWVlYjJhNzllZjJmZGFkNzNmMzMifQ=="/>
  </w:docVars>
  <w:rsids>
    <w:rsidRoot w:val="00AF11CB"/>
    <w:rsid w:val="00000280"/>
    <w:rsid w:val="0000100A"/>
    <w:rsid w:val="00001A6B"/>
    <w:rsid w:val="0000251F"/>
    <w:rsid w:val="000028A6"/>
    <w:rsid w:val="00005B57"/>
    <w:rsid w:val="00005B5F"/>
    <w:rsid w:val="00005C5A"/>
    <w:rsid w:val="000065CE"/>
    <w:rsid w:val="0000700B"/>
    <w:rsid w:val="00007D4D"/>
    <w:rsid w:val="00010165"/>
    <w:rsid w:val="000107EB"/>
    <w:rsid w:val="00011C5D"/>
    <w:rsid w:val="0001280F"/>
    <w:rsid w:val="00013283"/>
    <w:rsid w:val="00013B94"/>
    <w:rsid w:val="00013F6C"/>
    <w:rsid w:val="00014DB1"/>
    <w:rsid w:val="00015942"/>
    <w:rsid w:val="00015D52"/>
    <w:rsid w:val="00015F57"/>
    <w:rsid w:val="00016463"/>
    <w:rsid w:val="00016605"/>
    <w:rsid w:val="00016978"/>
    <w:rsid w:val="000177BC"/>
    <w:rsid w:val="00021D1B"/>
    <w:rsid w:val="000229BF"/>
    <w:rsid w:val="0002311D"/>
    <w:rsid w:val="00023FD3"/>
    <w:rsid w:val="00024020"/>
    <w:rsid w:val="00024342"/>
    <w:rsid w:val="00024636"/>
    <w:rsid w:val="00024810"/>
    <w:rsid w:val="000266DB"/>
    <w:rsid w:val="00026CE4"/>
    <w:rsid w:val="00027117"/>
    <w:rsid w:val="0002720F"/>
    <w:rsid w:val="0002753F"/>
    <w:rsid w:val="00027925"/>
    <w:rsid w:val="0002792C"/>
    <w:rsid w:val="0003006E"/>
    <w:rsid w:val="00031017"/>
    <w:rsid w:val="00031046"/>
    <w:rsid w:val="0003162E"/>
    <w:rsid w:val="00032298"/>
    <w:rsid w:val="00032A88"/>
    <w:rsid w:val="00033375"/>
    <w:rsid w:val="0003350A"/>
    <w:rsid w:val="00033C44"/>
    <w:rsid w:val="00034665"/>
    <w:rsid w:val="00034A3B"/>
    <w:rsid w:val="00034A4E"/>
    <w:rsid w:val="0003579C"/>
    <w:rsid w:val="0003583C"/>
    <w:rsid w:val="00035CF6"/>
    <w:rsid w:val="00035D37"/>
    <w:rsid w:val="00036003"/>
    <w:rsid w:val="00037339"/>
    <w:rsid w:val="00037564"/>
    <w:rsid w:val="00037D68"/>
    <w:rsid w:val="00040F18"/>
    <w:rsid w:val="00041892"/>
    <w:rsid w:val="00041A5B"/>
    <w:rsid w:val="00041A6F"/>
    <w:rsid w:val="00041BCD"/>
    <w:rsid w:val="00042A0A"/>
    <w:rsid w:val="000434CF"/>
    <w:rsid w:val="000437D2"/>
    <w:rsid w:val="00043C7F"/>
    <w:rsid w:val="000445FA"/>
    <w:rsid w:val="00044DC0"/>
    <w:rsid w:val="00045296"/>
    <w:rsid w:val="00045484"/>
    <w:rsid w:val="000454DD"/>
    <w:rsid w:val="000457A5"/>
    <w:rsid w:val="00045CD8"/>
    <w:rsid w:val="0004640D"/>
    <w:rsid w:val="00047353"/>
    <w:rsid w:val="00050006"/>
    <w:rsid w:val="000503E0"/>
    <w:rsid w:val="00050CD6"/>
    <w:rsid w:val="00050EAF"/>
    <w:rsid w:val="00051E4D"/>
    <w:rsid w:val="000524BC"/>
    <w:rsid w:val="000538C1"/>
    <w:rsid w:val="0005447B"/>
    <w:rsid w:val="000547F8"/>
    <w:rsid w:val="00055A95"/>
    <w:rsid w:val="000562AF"/>
    <w:rsid w:val="00056670"/>
    <w:rsid w:val="00056DDA"/>
    <w:rsid w:val="000608FF"/>
    <w:rsid w:val="000616A3"/>
    <w:rsid w:val="00061801"/>
    <w:rsid w:val="00061AC7"/>
    <w:rsid w:val="00061C4E"/>
    <w:rsid w:val="00061E79"/>
    <w:rsid w:val="0006248D"/>
    <w:rsid w:val="000625B4"/>
    <w:rsid w:val="000626B1"/>
    <w:rsid w:val="00062AC7"/>
    <w:rsid w:val="00062DD6"/>
    <w:rsid w:val="0006428E"/>
    <w:rsid w:val="000643A6"/>
    <w:rsid w:val="000648A6"/>
    <w:rsid w:val="00065171"/>
    <w:rsid w:val="000651F4"/>
    <w:rsid w:val="0006615E"/>
    <w:rsid w:val="0006780E"/>
    <w:rsid w:val="00067943"/>
    <w:rsid w:val="00067E44"/>
    <w:rsid w:val="0007002E"/>
    <w:rsid w:val="000707A4"/>
    <w:rsid w:val="00071530"/>
    <w:rsid w:val="00071AD0"/>
    <w:rsid w:val="00072465"/>
    <w:rsid w:val="000726C1"/>
    <w:rsid w:val="000727B5"/>
    <w:rsid w:val="0007436D"/>
    <w:rsid w:val="00074B03"/>
    <w:rsid w:val="000753A6"/>
    <w:rsid w:val="00075607"/>
    <w:rsid w:val="000758CA"/>
    <w:rsid w:val="000767EB"/>
    <w:rsid w:val="0007713F"/>
    <w:rsid w:val="000802FA"/>
    <w:rsid w:val="000806C3"/>
    <w:rsid w:val="00081748"/>
    <w:rsid w:val="00081F01"/>
    <w:rsid w:val="00082372"/>
    <w:rsid w:val="000824D9"/>
    <w:rsid w:val="000826F6"/>
    <w:rsid w:val="00082C3B"/>
    <w:rsid w:val="00082C9B"/>
    <w:rsid w:val="0008317F"/>
    <w:rsid w:val="00083723"/>
    <w:rsid w:val="000842E7"/>
    <w:rsid w:val="00085153"/>
    <w:rsid w:val="00085DDE"/>
    <w:rsid w:val="00085E04"/>
    <w:rsid w:val="000879F5"/>
    <w:rsid w:val="0009026A"/>
    <w:rsid w:val="0009082B"/>
    <w:rsid w:val="00091A51"/>
    <w:rsid w:val="00092278"/>
    <w:rsid w:val="000925FE"/>
    <w:rsid w:val="000927E2"/>
    <w:rsid w:val="00093DE5"/>
    <w:rsid w:val="00093FC0"/>
    <w:rsid w:val="000943A0"/>
    <w:rsid w:val="00094698"/>
    <w:rsid w:val="0009558D"/>
    <w:rsid w:val="00095F70"/>
    <w:rsid w:val="00096A46"/>
    <w:rsid w:val="00096E4C"/>
    <w:rsid w:val="00096E89"/>
    <w:rsid w:val="00097AD8"/>
    <w:rsid w:val="00097DBF"/>
    <w:rsid w:val="000A0731"/>
    <w:rsid w:val="000A2044"/>
    <w:rsid w:val="000A24C7"/>
    <w:rsid w:val="000A2E9F"/>
    <w:rsid w:val="000A3127"/>
    <w:rsid w:val="000A3309"/>
    <w:rsid w:val="000A357F"/>
    <w:rsid w:val="000A3923"/>
    <w:rsid w:val="000A3E6D"/>
    <w:rsid w:val="000A52B1"/>
    <w:rsid w:val="000A5BB3"/>
    <w:rsid w:val="000A5E0E"/>
    <w:rsid w:val="000A7D8D"/>
    <w:rsid w:val="000B02FC"/>
    <w:rsid w:val="000B0640"/>
    <w:rsid w:val="000B0ECD"/>
    <w:rsid w:val="000B162C"/>
    <w:rsid w:val="000B165C"/>
    <w:rsid w:val="000B1828"/>
    <w:rsid w:val="000B1F6A"/>
    <w:rsid w:val="000B3328"/>
    <w:rsid w:val="000B43E6"/>
    <w:rsid w:val="000B55AA"/>
    <w:rsid w:val="000B582A"/>
    <w:rsid w:val="000B596C"/>
    <w:rsid w:val="000B627D"/>
    <w:rsid w:val="000B638E"/>
    <w:rsid w:val="000B67CD"/>
    <w:rsid w:val="000C09CF"/>
    <w:rsid w:val="000C0D70"/>
    <w:rsid w:val="000C0E52"/>
    <w:rsid w:val="000C17F7"/>
    <w:rsid w:val="000C346C"/>
    <w:rsid w:val="000C364F"/>
    <w:rsid w:val="000C389C"/>
    <w:rsid w:val="000C4522"/>
    <w:rsid w:val="000C46EE"/>
    <w:rsid w:val="000C4BB2"/>
    <w:rsid w:val="000C4C9B"/>
    <w:rsid w:val="000C4DD7"/>
    <w:rsid w:val="000C528A"/>
    <w:rsid w:val="000C60F1"/>
    <w:rsid w:val="000C6159"/>
    <w:rsid w:val="000C63B0"/>
    <w:rsid w:val="000C708C"/>
    <w:rsid w:val="000C7757"/>
    <w:rsid w:val="000C788C"/>
    <w:rsid w:val="000D04B4"/>
    <w:rsid w:val="000D2A8F"/>
    <w:rsid w:val="000D2E6C"/>
    <w:rsid w:val="000D30B3"/>
    <w:rsid w:val="000D4B6A"/>
    <w:rsid w:val="000D559F"/>
    <w:rsid w:val="000D5A3D"/>
    <w:rsid w:val="000D60E9"/>
    <w:rsid w:val="000D64FB"/>
    <w:rsid w:val="000D75CD"/>
    <w:rsid w:val="000D7858"/>
    <w:rsid w:val="000E0272"/>
    <w:rsid w:val="000E2324"/>
    <w:rsid w:val="000E263A"/>
    <w:rsid w:val="000E2B38"/>
    <w:rsid w:val="000E2BE6"/>
    <w:rsid w:val="000E303A"/>
    <w:rsid w:val="000E352E"/>
    <w:rsid w:val="000E3564"/>
    <w:rsid w:val="000E35BB"/>
    <w:rsid w:val="000E3CD6"/>
    <w:rsid w:val="000E4058"/>
    <w:rsid w:val="000E40A3"/>
    <w:rsid w:val="000E52D6"/>
    <w:rsid w:val="000E537F"/>
    <w:rsid w:val="000E53C0"/>
    <w:rsid w:val="000E6B36"/>
    <w:rsid w:val="000E6E38"/>
    <w:rsid w:val="000E70DB"/>
    <w:rsid w:val="000F0800"/>
    <w:rsid w:val="000F0D5B"/>
    <w:rsid w:val="000F14BB"/>
    <w:rsid w:val="000F1F43"/>
    <w:rsid w:val="000F358B"/>
    <w:rsid w:val="000F386B"/>
    <w:rsid w:val="000F438C"/>
    <w:rsid w:val="000F4FA0"/>
    <w:rsid w:val="000F5553"/>
    <w:rsid w:val="000F5C29"/>
    <w:rsid w:val="000F6828"/>
    <w:rsid w:val="000F71AD"/>
    <w:rsid w:val="00100F6E"/>
    <w:rsid w:val="00101736"/>
    <w:rsid w:val="00101A78"/>
    <w:rsid w:val="001025D0"/>
    <w:rsid w:val="00102721"/>
    <w:rsid w:val="00103573"/>
    <w:rsid w:val="00104BE0"/>
    <w:rsid w:val="00104CCB"/>
    <w:rsid w:val="00105062"/>
    <w:rsid w:val="001050FC"/>
    <w:rsid w:val="00105237"/>
    <w:rsid w:val="001054C2"/>
    <w:rsid w:val="00105E2C"/>
    <w:rsid w:val="0010617C"/>
    <w:rsid w:val="001067C7"/>
    <w:rsid w:val="00106DDD"/>
    <w:rsid w:val="00107E70"/>
    <w:rsid w:val="00110B2B"/>
    <w:rsid w:val="00110D7B"/>
    <w:rsid w:val="00111A52"/>
    <w:rsid w:val="00111C68"/>
    <w:rsid w:val="001126E2"/>
    <w:rsid w:val="001128A4"/>
    <w:rsid w:val="00112AA9"/>
    <w:rsid w:val="0011338F"/>
    <w:rsid w:val="0011404F"/>
    <w:rsid w:val="0011416B"/>
    <w:rsid w:val="00115660"/>
    <w:rsid w:val="00115778"/>
    <w:rsid w:val="00116128"/>
    <w:rsid w:val="00116827"/>
    <w:rsid w:val="00116994"/>
    <w:rsid w:val="001211A3"/>
    <w:rsid w:val="00121410"/>
    <w:rsid w:val="00121797"/>
    <w:rsid w:val="00121C22"/>
    <w:rsid w:val="0012211E"/>
    <w:rsid w:val="00122832"/>
    <w:rsid w:val="0012360F"/>
    <w:rsid w:val="001238C6"/>
    <w:rsid w:val="00123BD2"/>
    <w:rsid w:val="0012436A"/>
    <w:rsid w:val="00125A7D"/>
    <w:rsid w:val="00125C5A"/>
    <w:rsid w:val="00126933"/>
    <w:rsid w:val="0013066F"/>
    <w:rsid w:val="00130D92"/>
    <w:rsid w:val="0013164F"/>
    <w:rsid w:val="00131803"/>
    <w:rsid w:val="001330BF"/>
    <w:rsid w:val="001331A1"/>
    <w:rsid w:val="00133D99"/>
    <w:rsid w:val="00134FBC"/>
    <w:rsid w:val="00135961"/>
    <w:rsid w:val="00135A5D"/>
    <w:rsid w:val="00135F12"/>
    <w:rsid w:val="001360BE"/>
    <w:rsid w:val="00136277"/>
    <w:rsid w:val="00136333"/>
    <w:rsid w:val="001363B5"/>
    <w:rsid w:val="00137464"/>
    <w:rsid w:val="0013751F"/>
    <w:rsid w:val="00137DDD"/>
    <w:rsid w:val="00140328"/>
    <w:rsid w:val="00140500"/>
    <w:rsid w:val="0014171A"/>
    <w:rsid w:val="00141F65"/>
    <w:rsid w:val="0014253F"/>
    <w:rsid w:val="00143359"/>
    <w:rsid w:val="00143F94"/>
    <w:rsid w:val="00144A6D"/>
    <w:rsid w:val="00144B1D"/>
    <w:rsid w:val="00145409"/>
    <w:rsid w:val="00146425"/>
    <w:rsid w:val="00146863"/>
    <w:rsid w:val="00147531"/>
    <w:rsid w:val="00147B63"/>
    <w:rsid w:val="00147E82"/>
    <w:rsid w:val="00150947"/>
    <w:rsid w:val="00150FF4"/>
    <w:rsid w:val="0015127F"/>
    <w:rsid w:val="00151546"/>
    <w:rsid w:val="00152577"/>
    <w:rsid w:val="00153648"/>
    <w:rsid w:val="00153EBB"/>
    <w:rsid w:val="00153EE5"/>
    <w:rsid w:val="00154F7E"/>
    <w:rsid w:val="00155402"/>
    <w:rsid w:val="001556DE"/>
    <w:rsid w:val="0015584C"/>
    <w:rsid w:val="00156103"/>
    <w:rsid w:val="001563CB"/>
    <w:rsid w:val="00156B5A"/>
    <w:rsid w:val="00156CBA"/>
    <w:rsid w:val="00156DCC"/>
    <w:rsid w:val="00160249"/>
    <w:rsid w:val="00160C6C"/>
    <w:rsid w:val="00160FC6"/>
    <w:rsid w:val="0016111A"/>
    <w:rsid w:val="0016135F"/>
    <w:rsid w:val="00161553"/>
    <w:rsid w:val="001616B5"/>
    <w:rsid w:val="00161F6D"/>
    <w:rsid w:val="001620C3"/>
    <w:rsid w:val="0016248F"/>
    <w:rsid w:val="00164708"/>
    <w:rsid w:val="001650FE"/>
    <w:rsid w:val="0016539B"/>
    <w:rsid w:val="00165947"/>
    <w:rsid w:val="00166C08"/>
    <w:rsid w:val="00171232"/>
    <w:rsid w:val="001712F7"/>
    <w:rsid w:val="00171F6C"/>
    <w:rsid w:val="00173A1A"/>
    <w:rsid w:val="00174068"/>
    <w:rsid w:val="00175340"/>
    <w:rsid w:val="00175490"/>
    <w:rsid w:val="00175E55"/>
    <w:rsid w:val="00175FE7"/>
    <w:rsid w:val="0017656E"/>
    <w:rsid w:val="001765F9"/>
    <w:rsid w:val="00176842"/>
    <w:rsid w:val="001768C9"/>
    <w:rsid w:val="001801E8"/>
    <w:rsid w:val="00180985"/>
    <w:rsid w:val="0018174D"/>
    <w:rsid w:val="0018192D"/>
    <w:rsid w:val="00182050"/>
    <w:rsid w:val="00182520"/>
    <w:rsid w:val="00182674"/>
    <w:rsid w:val="001838AC"/>
    <w:rsid w:val="0018543B"/>
    <w:rsid w:val="00185A66"/>
    <w:rsid w:val="00185EDC"/>
    <w:rsid w:val="00186541"/>
    <w:rsid w:val="001870FD"/>
    <w:rsid w:val="00190411"/>
    <w:rsid w:val="00190A47"/>
    <w:rsid w:val="0019146E"/>
    <w:rsid w:val="00191CDC"/>
    <w:rsid w:val="001924C0"/>
    <w:rsid w:val="001924FF"/>
    <w:rsid w:val="0019272C"/>
    <w:rsid w:val="00192BD2"/>
    <w:rsid w:val="00192E4B"/>
    <w:rsid w:val="001933CB"/>
    <w:rsid w:val="00193660"/>
    <w:rsid w:val="00193856"/>
    <w:rsid w:val="00193885"/>
    <w:rsid w:val="0019393B"/>
    <w:rsid w:val="0019393C"/>
    <w:rsid w:val="00193F02"/>
    <w:rsid w:val="00194A71"/>
    <w:rsid w:val="00195251"/>
    <w:rsid w:val="00196781"/>
    <w:rsid w:val="0019682B"/>
    <w:rsid w:val="00196EED"/>
    <w:rsid w:val="0019791B"/>
    <w:rsid w:val="001A0820"/>
    <w:rsid w:val="001A09FA"/>
    <w:rsid w:val="001A0BC6"/>
    <w:rsid w:val="001A0EE3"/>
    <w:rsid w:val="001A14AF"/>
    <w:rsid w:val="001A1DFF"/>
    <w:rsid w:val="001A1E75"/>
    <w:rsid w:val="001A3F8A"/>
    <w:rsid w:val="001A4548"/>
    <w:rsid w:val="001A49F8"/>
    <w:rsid w:val="001A4F44"/>
    <w:rsid w:val="001A628B"/>
    <w:rsid w:val="001A6D76"/>
    <w:rsid w:val="001A744F"/>
    <w:rsid w:val="001A7C78"/>
    <w:rsid w:val="001B034E"/>
    <w:rsid w:val="001B0966"/>
    <w:rsid w:val="001B20D4"/>
    <w:rsid w:val="001B22A8"/>
    <w:rsid w:val="001B41E9"/>
    <w:rsid w:val="001B63CD"/>
    <w:rsid w:val="001B7BF7"/>
    <w:rsid w:val="001C00BC"/>
    <w:rsid w:val="001C1373"/>
    <w:rsid w:val="001C1977"/>
    <w:rsid w:val="001C1B0D"/>
    <w:rsid w:val="001C1E04"/>
    <w:rsid w:val="001C2D10"/>
    <w:rsid w:val="001C2EB3"/>
    <w:rsid w:val="001C40B5"/>
    <w:rsid w:val="001C497E"/>
    <w:rsid w:val="001C4D29"/>
    <w:rsid w:val="001C4FCC"/>
    <w:rsid w:val="001C5405"/>
    <w:rsid w:val="001C583B"/>
    <w:rsid w:val="001C5A96"/>
    <w:rsid w:val="001C6252"/>
    <w:rsid w:val="001C6695"/>
    <w:rsid w:val="001C70A4"/>
    <w:rsid w:val="001C7F6F"/>
    <w:rsid w:val="001D0999"/>
    <w:rsid w:val="001D2340"/>
    <w:rsid w:val="001D25E8"/>
    <w:rsid w:val="001D280F"/>
    <w:rsid w:val="001D31B7"/>
    <w:rsid w:val="001D4E10"/>
    <w:rsid w:val="001D55F0"/>
    <w:rsid w:val="001D5E9F"/>
    <w:rsid w:val="001D61ED"/>
    <w:rsid w:val="001E1986"/>
    <w:rsid w:val="001E31EB"/>
    <w:rsid w:val="001E33C6"/>
    <w:rsid w:val="001E3AB7"/>
    <w:rsid w:val="001E3D5E"/>
    <w:rsid w:val="001E3FFE"/>
    <w:rsid w:val="001E430E"/>
    <w:rsid w:val="001E431D"/>
    <w:rsid w:val="001E4D94"/>
    <w:rsid w:val="001E5312"/>
    <w:rsid w:val="001E5568"/>
    <w:rsid w:val="001E596C"/>
    <w:rsid w:val="001E5A1B"/>
    <w:rsid w:val="001E656E"/>
    <w:rsid w:val="001E65A1"/>
    <w:rsid w:val="001E66BF"/>
    <w:rsid w:val="001E6983"/>
    <w:rsid w:val="001E6DEE"/>
    <w:rsid w:val="001F0373"/>
    <w:rsid w:val="001F0A2B"/>
    <w:rsid w:val="001F0BB1"/>
    <w:rsid w:val="001F0DB6"/>
    <w:rsid w:val="001F0EC0"/>
    <w:rsid w:val="001F10C5"/>
    <w:rsid w:val="001F30F1"/>
    <w:rsid w:val="001F34AF"/>
    <w:rsid w:val="001F34C2"/>
    <w:rsid w:val="001F3B57"/>
    <w:rsid w:val="001F3BFA"/>
    <w:rsid w:val="001F44F2"/>
    <w:rsid w:val="001F4582"/>
    <w:rsid w:val="001F4DF6"/>
    <w:rsid w:val="001F53B0"/>
    <w:rsid w:val="001F5930"/>
    <w:rsid w:val="001F5CD1"/>
    <w:rsid w:val="001F648C"/>
    <w:rsid w:val="001F6F31"/>
    <w:rsid w:val="001F73F4"/>
    <w:rsid w:val="002008A3"/>
    <w:rsid w:val="00200EC2"/>
    <w:rsid w:val="0020174F"/>
    <w:rsid w:val="002029EB"/>
    <w:rsid w:val="00203649"/>
    <w:rsid w:val="002036B7"/>
    <w:rsid w:val="00203929"/>
    <w:rsid w:val="002043F7"/>
    <w:rsid w:val="00204B81"/>
    <w:rsid w:val="00205F69"/>
    <w:rsid w:val="0020620D"/>
    <w:rsid w:val="00206D55"/>
    <w:rsid w:val="0020711A"/>
    <w:rsid w:val="00207355"/>
    <w:rsid w:val="00207DA6"/>
    <w:rsid w:val="002111B3"/>
    <w:rsid w:val="002116F7"/>
    <w:rsid w:val="00211931"/>
    <w:rsid w:val="0021262A"/>
    <w:rsid w:val="0021293E"/>
    <w:rsid w:val="00212B6E"/>
    <w:rsid w:val="002135E4"/>
    <w:rsid w:val="00213AA0"/>
    <w:rsid w:val="00213C0D"/>
    <w:rsid w:val="00214240"/>
    <w:rsid w:val="00214FAC"/>
    <w:rsid w:val="0021594A"/>
    <w:rsid w:val="00216111"/>
    <w:rsid w:val="00217BFA"/>
    <w:rsid w:val="0022009B"/>
    <w:rsid w:val="00221267"/>
    <w:rsid w:val="00221B32"/>
    <w:rsid w:val="00221E2D"/>
    <w:rsid w:val="00222709"/>
    <w:rsid w:val="0022276F"/>
    <w:rsid w:val="00222B3E"/>
    <w:rsid w:val="00223C72"/>
    <w:rsid w:val="0022401C"/>
    <w:rsid w:val="0022439B"/>
    <w:rsid w:val="00224C45"/>
    <w:rsid w:val="00224D60"/>
    <w:rsid w:val="00224E29"/>
    <w:rsid w:val="002252B4"/>
    <w:rsid w:val="002262FC"/>
    <w:rsid w:val="00227C53"/>
    <w:rsid w:val="0023000E"/>
    <w:rsid w:val="0023035C"/>
    <w:rsid w:val="00231201"/>
    <w:rsid w:val="002315DB"/>
    <w:rsid w:val="002319DF"/>
    <w:rsid w:val="002325D5"/>
    <w:rsid w:val="00233946"/>
    <w:rsid w:val="002343BF"/>
    <w:rsid w:val="00235550"/>
    <w:rsid w:val="00236657"/>
    <w:rsid w:val="00237A0D"/>
    <w:rsid w:val="00237F20"/>
    <w:rsid w:val="00240799"/>
    <w:rsid w:val="002415C9"/>
    <w:rsid w:val="00241BED"/>
    <w:rsid w:val="00243FF9"/>
    <w:rsid w:val="002449C2"/>
    <w:rsid w:val="00244EED"/>
    <w:rsid w:val="00245561"/>
    <w:rsid w:val="002455C8"/>
    <w:rsid w:val="00245C83"/>
    <w:rsid w:val="00245F69"/>
    <w:rsid w:val="00247F6E"/>
    <w:rsid w:val="00247FA6"/>
    <w:rsid w:val="00250454"/>
    <w:rsid w:val="00250CB1"/>
    <w:rsid w:val="002521FA"/>
    <w:rsid w:val="00252386"/>
    <w:rsid w:val="0025269C"/>
    <w:rsid w:val="00252DE4"/>
    <w:rsid w:val="00253BAA"/>
    <w:rsid w:val="00253D4B"/>
    <w:rsid w:val="00253E57"/>
    <w:rsid w:val="00254475"/>
    <w:rsid w:val="0025448D"/>
    <w:rsid w:val="00254A6B"/>
    <w:rsid w:val="00255BEF"/>
    <w:rsid w:val="00256219"/>
    <w:rsid w:val="00256A9B"/>
    <w:rsid w:val="002578BB"/>
    <w:rsid w:val="002607E3"/>
    <w:rsid w:val="00260D01"/>
    <w:rsid w:val="00260F75"/>
    <w:rsid w:val="002614EF"/>
    <w:rsid w:val="00261948"/>
    <w:rsid w:val="00261A0C"/>
    <w:rsid w:val="002632F5"/>
    <w:rsid w:val="00263893"/>
    <w:rsid w:val="002649FF"/>
    <w:rsid w:val="00265835"/>
    <w:rsid w:val="00266596"/>
    <w:rsid w:val="002668A0"/>
    <w:rsid w:val="00267DDD"/>
    <w:rsid w:val="00270DF6"/>
    <w:rsid w:val="002734ED"/>
    <w:rsid w:val="00273996"/>
    <w:rsid w:val="00275271"/>
    <w:rsid w:val="002752EC"/>
    <w:rsid w:val="002755DD"/>
    <w:rsid w:val="00275BC6"/>
    <w:rsid w:val="00276263"/>
    <w:rsid w:val="00276660"/>
    <w:rsid w:val="00276D61"/>
    <w:rsid w:val="00276D99"/>
    <w:rsid w:val="00277180"/>
    <w:rsid w:val="00277599"/>
    <w:rsid w:val="0027775D"/>
    <w:rsid w:val="00277F01"/>
    <w:rsid w:val="002805A0"/>
    <w:rsid w:val="00280CEE"/>
    <w:rsid w:val="00281028"/>
    <w:rsid w:val="002810BE"/>
    <w:rsid w:val="00281103"/>
    <w:rsid w:val="0028209D"/>
    <w:rsid w:val="00282657"/>
    <w:rsid w:val="00282A5B"/>
    <w:rsid w:val="00284006"/>
    <w:rsid w:val="00284356"/>
    <w:rsid w:val="00284D94"/>
    <w:rsid w:val="00285032"/>
    <w:rsid w:val="0028515D"/>
    <w:rsid w:val="002867AC"/>
    <w:rsid w:val="002874BB"/>
    <w:rsid w:val="0028763A"/>
    <w:rsid w:val="00287944"/>
    <w:rsid w:val="002904FF"/>
    <w:rsid w:val="002920F4"/>
    <w:rsid w:val="00292391"/>
    <w:rsid w:val="00292534"/>
    <w:rsid w:val="0029255A"/>
    <w:rsid w:val="0029280A"/>
    <w:rsid w:val="002947EC"/>
    <w:rsid w:val="00294E43"/>
    <w:rsid w:val="00294EE7"/>
    <w:rsid w:val="00295122"/>
    <w:rsid w:val="00295737"/>
    <w:rsid w:val="002A0874"/>
    <w:rsid w:val="002A1253"/>
    <w:rsid w:val="002A14E9"/>
    <w:rsid w:val="002A38F9"/>
    <w:rsid w:val="002A42BC"/>
    <w:rsid w:val="002A4E08"/>
    <w:rsid w:val="002A5B66"/>
    <w:rsid w:val="002A64EC"/>
    <w:rsid w:val="002A6D54"/>
    <w:rsid w:val="002B01A4"/>
    <w:rsid w:val="002B0229"/>
    <w:rsid w:val="002B05B0"/>
    <w:rsid w:val="002B264E"/>
    <w:rsid w:val="002B26CC"/>
    <w:rsid w:val="002B2C23"/>
    <w:rsid w:val="002B2EE5"/>
    <w:rsid w:val="002B3031"/>
    <w:rsid w:val="002B34EE"/>
    <w:rsid w:val="002B3A77"/>
    <w:rsid w:val="002B4401"/>
    <w:rsid w:val="002B47D6"/>
    <w:rsid w:val="002B56C9"/>
    <w:rsid w:val="002B5D64"/>
    <w:rsid w:val="002B6626"/>
    <w:rsid w:val="002B69FE"/>
    <w:rsid w:val="002B6D56"/>
    <w:rsid w:val="002C1173"/>
    <w:rsid w:val="002C2E76"/>
    <w:rsid w:val="002C35B5"/>
    <w:rsid w:val="002C3AE8"/>
    <w:rsid w:val="002C41C4"/>
    <w:rsid w:val="002C4262"/>
    <w:rsid w:val="002C46A5"/>
    <w:rsid w:val="002C525F"/>
    <w:rsid w:val="002C5858"/>
    <w:rsid w:val="002C58D4"/>
    <w:rsid w:val="002C58D6"/>
    <w:rsid w:val="002D058A"/>
    <w:rsid w:val="002D085D"/>
    <w:rsid w:val="002D0BB7"/>
    <w:rsid w:val="002D0DB9"/>
    <w:rsid w:val="002D10C6"/>
    <w:rsid w:val="002D1568"/>
    <w:rsid w:val="002D19C7"/>
    <w:rsid w:val="002D1EBE"/>
    <w:rsid w:val="002D2D5B"/>
    <w:rsid w:val="002D34C0"/>
    <w:rsid w:val="002D44AD"/>
    <w:rsid w:val="002D66AC"/>
    <w:rsid w:val="002D70AB"/>
    <w:rsid w:val="002D74EA"/>
    <w:rsid w:val="002E0DCC"/>
    <w:rsid w:val="002E1F14"/>
    <w:rsid w:val="002E27E1"/>
    <w:rsid w:val="002E2B38"/>
    <w:rsid w:val="002E2BC8"/>
    <w:rsid w:val="002E4365"/>
    <w:rsid w:val="002E5803"/>
    <w:rsid w:val="002E6749"/>
    <w:rsid w:val="002E6790"/>
    <w:rsid w:val="002E6B06"/>
    <w:rsid w:val="002E6D1B"/>
    <w:rsid w:val="002E6DE1"/>
    <w:rsid w:val="002E70A1"/>
    <w:rsid w:val="002E7107"/>
    <w:rsid w:val="002E715E"/>
    <w:rsid w:val="002E77D9"/>
    <w:rsid w:val="002E797B"/>
    <w:rsid w:val="002E7E9F"/>
    <w:rsid w:val="002E7EE8"/>
    <w:rsid w:val="002F36B6"/>
    <w:rsid w:val="002F3765"/>
    <w:rsid w:val="002F54BD"/>
    <w:rsid w:val="002F58AF"/>
    <w:rsid w:val="002F5C1F"/>
    <w:rsid w:val="002F6766"/>
    <w:rsid w:val="002F6C03"/>
    <w:rsid w:val="003004FE"/>
    <w:rsid w:val="00300654"/>
    <w:rsid w:val="00300DA9"/>
    <w:rsid w:val="00300E9B"/>
    <w:rsid w:val="00301C3A"/>
    <w:rsid w:val="003026B7"/>
    <w:rsid w:val="00303518"/>
    <w:rsid w:val="0030365C"/>
    <w:rsid w:val="00303D2B"/>
    <w:rsid w:val="003041E4"/>
    <w:rsid w:val="00304774"/>
    <w:rsid w:val="00305277"/>
    <w:rsid w:val="003052C5"/>
    <w:rsid w:val="0030552C"/>
    <w:rsid w:val="00305629"/>
    <w:rsid w:val="00305C8D"/>
    <w:rsid w:val="003063B0"/>
    <w:rsid w:val="0030663E"/>
    <w:rsid w:val="00306FA3"/>
    <w:rsid w:val="003076CB"/>
    <w:rsid w:val="00307A1E"/>
    <w:rsid w:val="0031105C"/>
    <w:rsid w:val="003114BE"/>
    <w:rsid w:val="003114D1"/>
    <w:rsid w:val="003114F5"/>
    <w:rsid w:val="00311853"/>
    <w:rsid w:val="00311C0C"/>
    <w:rsid w:val="00312033"/>
    <w:rsid w:val="003121AF"/>
    <w:rsid w:val="003133BE"/>
    <w:rsid w:val="00313AC2"/>
    <w:rsid w:val="00313BAA"/>
    <w:rsid w:val="003144C9"/>
    <w:rsid w:val="0031467D"/>
    <w:rsid w:val="003155E8"/>
    <w:rsid w:val="00316089"/>
    <w:rsid w:val="003170BE"/>
    <w:rsid w:val="003173CE"/>
    <w:rsid w:val="00317A80"/>
    <w:rsid w:val="003207EB"/>
    <w:rsid w:val="00320C8C"/>
    <w:rsid w:val="00321767"/>
    <w:rsid w:val="003218DC"/>
    <w:rsid w:val="003234EB"/>
    <w:rsid w:val="00323DD9"/>
    <w:rsid w:val="00323FC3"/>
    <w:rsid w:val="00324224"/>
    <w:rsid w:val="003243B1"/>
    <w:rsid w:val="00324896"/>
    <w:rsid w:val="00324BD6"/>
    <w:rsid w:val="003264B8"/>
    <w:rsid w:val="00326915"/>
    <w:rsid w:val="00326B45"/>
    <w:rsid w:val="00326E70"/>
    <w:rsid w:val="003300E0"/>
    <w:rsid w:val="00330165"/>
    <w:rsid w:val="003305B0"/>
    <w:rsid w:val="00330FC1"/>
    <w:rsid w:val="00332107"/>
    <w:rsid w:val="00332922"/>
    <w:rsid w:val="00332D70"/>
    <w:rsid w:val="003332A1"/>
    <w:rsid w:val="0033377A"/>
    <w:rsid w:val="00333A87"/>
    <w:rsid w:val="0033425D"/>
    <w:rsid w:val="003344DA"/>
    <w:rsid w:val="00334CD4"/>
    <w:rsid w:val="00335200"/>
    <w:rsid w:val="003354A0"/>
    <w:rsid w:val="00335548"/>
    <w:rsid w:val="00335C0C"/>
    <w:rsid w:val="0033655C"/>
    <w:rsid w:val="00337A58"/>
    <w:rsid w:val="00337D1F"/>
    <w:rsid w:val="0034000C"/>
    <w:rsid w:val="00340EB7"/>
    <w:rsid w:val="00342E26"/>
    <w:rsid w:val="00342F97"/>
    <w:rsid w:val="00343282"/>
    <w:rsid w:val="00343A54"/>
    <w:rsid w:val="003459C4"/>
    <w:rsid w:val="00345B3A"/>
    <w:rsid w:val="00346658"/>
    <w:rsid w:val="003466A4"/>
    <w:rsid w:val="00347057"/>
    <w:rsid w:val="00347145"/>
    <w:rsid w:val="003472A6"/>
    <w:rsid w:val="003474D3"/>
    <w:rsid w:val="00347DB9"/>
    <w:rsid w:val="0035011A"/>
    <w:rsid w:val="00350A1C"/>
    <w:rsid w:val="00350B0D"/>
    <w:rsid w:val="00350B71"/>
    <w:rsid w:val="003510EC"/>
    <w:rsid w:val="00351FD3"/>
    <w:rsid w:val="003522B8"/>
    <w:rsid w:val="00352C77"/>
    <w:rsid w:val="00352C8B"/>
    <w:rsid w:val="003532BE"/>
    <w:rsid w:val="00353537"/>
    <w:rsid w:val="003537A0"/>
    <w:rsid w:val="00355227"/>
    <w:rsid w:val="00355241"/>
    <w:rsid w:val="00355565"/>
    <w:rsid w:val="00355C24"/>
    <w:rsid w:val="0035650C"/>
    <w:rsid w:val="00356651"/>
    <w:rsid w:val="00356A3E"/>
    <w:rsid w:val="00356BAD"/>
    <w:rsid w:val="00357185"/>
    <w:rsid w:val="00357BC7"/>
    <w:rsid w:val="00357BD1"/>
    <w:rsid w:val="003601E6"/>
    <w:rsid w:val="0036023C"/>
    <w:rsid w:val="003608C1"/>
    <w:rsid w:val="003616B7"/>
    <w:rsid w:val="0036246C"/>
    <w:rsid w:val="00362FE5"/>
    <w:rsid w:val="003640E2"/>
    <w:rsid w:val="00364236"/>
    <w:rsid w:val="00364A0B"/>
    <w:rsid w:val="00365995"/>
    <w:rsid w:val="003662E3"/>
    <w:rsid w:val="0036776C"/>
    <w:rsid w:val="00367A90"/>
    <w:rsid w:val="0037088C"/>
    <w:rsid w:val="003708F6"/>
    <w:rsid w:val="0037102F"/>
    <w:rsid w:val="00371522"/>
    <w:rsid w:val="00374392"/>
    <w:rsid w:val="00374744"/>
    <w:rsid w:val="003752ED"/>
    <w:rsid w:val="003755EF"/>
    <w:rsid w:val="00375773"/>
    <w:rsid w:val="00377728"/>
    <w:rsid w:val="00381422"/>
    <w:rsid w:val="00381849"/>
    <w:rsid w:val="003818CF"/>
    <w:rsid w:val="00381A67"/>
    <w:rsid w:val="00381B33"/>
    <w:rsid w:val="003822DA"/>
    <w:rsid w:val="003838BD"/>
    <w:rsid w:val="00383AD8"/>
    <w:rsid w:val="0038400B"/>
    <w:rsid w:val="00384451"/>
    <w:rsid w:val="0038454B"/>
    <w:rsid w:val="003846DA"/>
    <w:rsid w:val="003846EE"/>
    <w:rsid w:val="00384C8A"/>
    <w:rsid w:val="00384F6C"/>
    <w:rsid w:val="003855EB"/>
    <w:rsid w:val="0038601F"/>
    <w:rsid w:val="0038625F"/>
    <w:rsid w:val="00386E67"/>
    <w:rsid w:val="00387BE6"/>
    <w:rsid w:val="00387D02"/>
    <w:rsid w:val="00387D89"/>
    <w:rsid w:val="00390B69"/>
    <w:rsid w:val="00390F25"/>
    <w:rsid w:val="00392463"/>
    <w:rsid w:val="00393B39"/>
    <w:rsid w:val="00393BF0"/>
    <w:rsid w:val="00393CE7"/>
    <w:rsid w:val="0039423E"/>
    <w:rsid w:val="003947D6"/>
    <w:rsid w:val="003948DA"/>
    <w:rsid w:val="00395427"/>
    <w:rsid w:val="00395920"/>
    <w:rsid w:val="00395E23"/>
    <w:rsid w:val="00397069"/>
    <w:rsid w:val="00397422"/>
    <w:rsid w:val="003976FC"/>
    <w:rsid w:val="00397832"/>
    <w:rsid w:val="0039786A"/>
    <w:rsid w:val="00397E90"/>
    <w:rsid w:val="003A01A8"/>
    <w:rsid w:val="003A0231"/>
    <w:rsid w:val="003A0E25"/>
    <w:rsid w:val="003A10AD"/>
    <w:rsid w:val="003A32B7"/>
    <w:rsid w:val="003A36DD"/>
    <w:rsid w:val="003A438D"/>
    <w:rsid w:val="003A47AC"/>
    <w:rsid w:val="003A4935"/>
    <w:rsid w:val="003A4E93"/>
    <w:rsid w:val="003A5086"/>
    <w:rsid w:val="003A5DAA"/>
    <w:rsid w:val="003A5DEB"/>
    <w:rsid w:val="003A682F"/>
    <w:rsid w:val="003A717A"/>
    <w:rsid w:val="003A76D0"/>
    <w:rsid w:val="003B00A5"/>
    <w:rsid w:val="003B0DCC"/>
    <w:rsid w:val="003B2880"/>
    <w:rsid w:val="003B2A5A"/>
    <w:rsid w:val="003B4324"/>
    <w:rsid w:val="003B4DD0"/>
    <w:rsid w:val="003B57D7"/>
    <w:rsid w:val="003B60BA"/>
    <w:rsid w:val="003B6DB5"/>
    <w:rsid w:val="003B7A31"/>
    <w:rsid w:val="003B7C52"/>
    <w:rsid w:val="003B7EA5"/>
    <w:rsid w:val="003C01EF"/>
    <w:rsid w:val="003C02C4"/>
    <w:rsid w:val="003C12D2"/>
    <w:rsid w:val="003C13B3"/>
    <w:rsid w:val="003C2A77"/>
    <w:rsid w:val="003C3189"/>
    <w:rsid w:val="003C325B"/>
    <w:rsid w:val="003C4ADD"/>
    <w:rsid w:val="003C59E2"/>
    <w:rsid w:val="003C6A9A"/>
    <w:rsid w:val="003C732C"/>
    <w:rsid w:val="003C75B7"/>
    <w:rsid w:val="003C7B0D"/>
    <w:rsid w:val="003C7DCA"/>
    <w:rsid w:val="003D1671"/>
    <w:rsid w:val="003D1838"/>
    <w:rsid w:val="003D330B"/>
    <w:rsid w:val="003D35A1"/>
    <w:rsid w:val="003D3CAE"/>
    <w:rsid w:val="003D3F09"/>
    <w:rsid w:val="003D665D"/>
    <w:rsid w:val="003E019A"/>
    <w:rsid w:val="003E1469"/>
    <w:rsid w:val="003E1665"/>
    <w:rsid w:val="003E1CFF"/>
    <w:rsid w:val="003E2373"/>
    <w:rsid w:val="003E252A"/>
    <w:rsid w:val="003E264A"/>
    <w:rsid w:val="003E28A6"/>
    <w:rsid w:val="003E2A93"/>
    <w:rsid w:val="003E3DF8"/>
    <w:rsid w:val="003E3F3C"/>
    <w:rsid w:val="003E3F91"/>
    <w:rsid w:val="003E430C"/>
    <w:rsid w:val="003E5298"/>
    <w:rsid w:val="003E5D06"/>
    <w:rsid w:val="003E6F24"/>
    <w:rsid w:val="003E793A"/>
    <w:rsid w:val="003E7A73"/>
    <w:rsid w:val="003F0740"/>
    <w:rsid w:val="003F0A06"/>
    <w:rsid w:val="003F204F"/>
    <w:rsid w:val="003F23A9"/>
    <w:rsid w:val="003F3408"/>
    <w:rsid w:val="003F3FE1"/>
    <w:rsid w:val="003F4444"/>
    <w:rsid w:val="003F55BA"/>
    <w:rsid w:val="003F56EA"/>
    <w:rsid w:val="003F6168"/>
    <w:rsid w:val="003F66FC"/>
    <w:rsid w:val="003F7729"/>
    <w:rsid w:val="003F7F88"/>
    <w:rsid w:val="003F7F91"/>
    <w:rsid w:val="004006C7"/>
    <w:rsid w:val="0040159E"/>
    <w:rsid w:val="0040161F"/>
    <w:rsid w:val="00401815"/>
    <w:rsid w:val="00401E9D"/>
    <w:rsid w:val="00402095"/>
    <w:rsid w:val="00402EA3"/>
    <w:rsid w:val="00404E11"/>
    <w:rsid w:val="004050D1"/>
    <w:rsid w:val="00405237"/>
    <w:rsid w:val="0040645E"/>
    <w:rsid w:val="00406A98"/>
    <w:rsid w:val="00406B27"/>
    <w:rsid w:val="004106DE"/>
    <w:rsid w:val="00410C69"/>
    <w:rsid w:val="00411364"/>
    <w:rsid w:val="004116EF"/>
    <w:rsid w:val="00411F9A"/>
    <w:rsid w:val="00412732"/>
    <w:rsid w:val="00412F14"/>
    <w:rsid w:val="00413FD4"/>
    <w:rsid w:val="00415A92"/>
    <w:rsid w:val="00415FE2"/>
    <w:rsid w:val="0041668F"/>
    <w:rsid w:val="00417088"/>
    <w:rsid w:val="0041738D"/>
    <w:rsid w:val="00420205"/>
    <w:rsid w:val="00420FC7"/>
    <w:rsid w:val="0042105F"/>
    <w:rsid w:val="00422315"/>
    <w:rsid w:val="004226DE"/>
    <w:rsid w:val="00423511"/>
    <w:rsid w:val="00424A61"/>
    <w:rsid w:val="004252AA"/>
    <w:rsid w:val="004267F1"/>
    <w:rsid w:val="0042711B"/>
    <w:rsid w:val="00427154"/>
    <w:rsid w:val="004313C4"/>
    <w:rsid w:val="0043262F"/>
    <w:rsid w:val="004328B4"/>
    <w:rsid w:val="004328E8"/>
    <w:rsid w:val="00432931"/>
    <w:rsid w:val="004347F1"/>
    <w:rsid w:val="00434811"/>
    <w:rsid w:val="00435313"/>
    <w:rsid w:val="00435445"/>
    <w:rsid w:val="0043558B"/>
    <w:rsid w:val="004358B8"/>
    <w:rsid w:val="00436B2A"/>
    <w:rsid w:val="004371DB"/>
    <w:rsid w:val="004372E3"/>
    <w:rsid w:val="00437637"/>
    <w:rsid w:val="0043782A"/>
    <w:rsid w:val="004401D5"/>
    <w:rsid w:val="00441205"/>
    <w:rsid w:val="00441784"/>
    <w:rsid w:val="004418A8"/>
    <w:rsid w:val="00441E0F"/>
    <w:rsid w:val="0044279D"/>
    <w:rsid w:val="00443A0E"/>
    <w:rsid w:val="00443C43"/>
    <w:rsid w:val="00444504"/>
    <w:rsid w:val="00444CAE"/>
    <w:rsid w:val="00444D7F"/>
    <w:rsid w:val="00445186"/>
    <w:rsid w:val="00446E89"/>
    <w:rsid w:val="0044713C"/>
    <w:rsid w:val="00447317"/>
    <w:rsid w:val="004503D1"/>
    <w:rsid w:val="0045107B"/>
    <w:rsid w:val="00451115"/>
    <w:rsid w:val="004515D3"/>
    <w:rsid w:val="00451778"/>
    <w:rsid w:val="00451C7C"/>
    <w:rsid w:val="00451D90"/>
    <w:rsid w:val="00452153"/>
    <w:rsid w:val="00453015"/>
    <w:rsid w:val="00453338"/>
    <w:rsid w:val="0045341D"/>
    <w:rsid w:val="00454539"/>
    <w:rsid w:val="00454CB0"/>
    <w:rsid w:val="004551A9"/>
    <w:rsid w:val="004556D8"/>
    <w:rsid w:val="00455CE6"/>
    <w:rsid w:val="00456630"/>
    <w:rsid w:val="00456D66"/>
    <w:rsid w:val="00456E77"/>
    <w:rsid w:val="004573D9"/>
    <w:rsid w:val="004578EF"/>
    <w:rsid w:val="00457FB3"/>
    <w:rsid w:val="00460411"/>
    <w:rsid w:val="004604EC"/>
    <w:rsid w:val="00461C67"/>
    <w:rsid w:val="00461FAD"/>
    <w:rsid w:val="00462154"/>
    <w:rsid w:val="00462FA4"/>
    <w:rsid w:val="00463B97"/>
    <w:rsid w:val="00463B9A"/>
    <w:rsid w:val="004642FA"/>
    <w:rsid w:val="00464E01"/>
    <w:rsid w:val="00464FDD"/>
    <w:rsid w:val="004653FB"/>
    <w:rsid w:val="00466593"/>
    <w:rsid w:val="00467354"/>
    <w:rsid w:val="004678BB"/>
    <w:rsid w:val="00467B33"/>
    <w:rsid w:val="00470060"/>
    <w:rsid w:val="00470821"/>
    <w:rsid w:val="00470873"/>
    <w:rsid w:val="00471226"/>
    <w:rsid w:val="004718AB"/>
    <w:rsid w:val="00471AA8"/>
    <w:rsid w:val="00471B14"/>
    <w:rsid w:val="00472429"/>
    <w:rsid w:val="00472E2D"/>
    <w:rsid w:val="00472F45"/>
    <w:rsid w:val="00473529"/>
    <w:rsid w:val="0047470C"/>
    <w:rsid w:val="00474BAD"/>
    <w:rsid w:val="00474BE9"/>
    <w:rsid w:val="0047617E"/>
    <w:rsid w:val="0047644A"/>
    <w:rsid w:val="00476A03"/>
    <w:rsid w:val="00476A23"/>
    <w:rsid w:val="00476E89"/>
    <w:rsid w:val="00477B67"/>
    <w:rsid w:val="0048173C"/>
    <w:rsid w:val="00481F0B"/>
    <w:rsid w:val="0048203F"/>
    <w:rsid w:val="004830BA"/>
    <w:rsid w:val="00484A09"/>
    <w:rsid w:val="00485A84"/>
    <w:rsid w:val="00485EC7"/>
    <w:rsid w:val="00486463"/>
    <w:rsid w:val="0048649C"/>
    <w:rsid w:val="00486BCA"/>
    <w:rsid w:val="004879F1"/>
    <w:rsid w:val="00490A8E"/>
    <w:rsid w:val="00491819"/>
    <w:rsid w:val="00492335"/>
    <w:rsid w:val="004925F2"/>
    <w:rsid w:val="00492F9A"/>
    <w:rsid w:val="00493C20"/>
    <w:rsid w:val="00494ADE"/>
    <w:rsid w:val="0049544F"/>
    <w:rsid w:val="0049591C"/>
    <w:rsid w:val="004967E9"/>
    <w:rsid w:val="00496AF3"/>
    <w:rsid w:val="00497B9D"/>
    <w:rsid w:val="004A058D"/>
    <w:rsid w:val="004A059E"/>
    <w:rsid w:val="004A0A1F"/>
    <w:rsid w:val="004A0C85"/>
    <w:rsid w:val="004A133E"/>
    <w:rsid w:val="004A14C8"/>
    <w:rsid w:val="004A1BD4"/>
    <w:rsid w:val="004A2DCF"/>
    <w:rsid w:val="004A3FD5"/>
    <w:rsid w:val="004A4A4D"/>
    <w:rsid w:val="004A5537"/>
    <w:rsid w:val="004A5ADE"/>
    <w:rsid w:val="004A72DC"/>
    <w:rsid w:val="004A7598"/>
    <w:rsid w:val="004B0886"/>
    <w:rsid w:val="004B1866"/>
    <w:rsid w:val="004B1C3E"/>
    <w:rsid w:val="004B2051"/>
    <w:rsid w:val="004B29B2"/>
    <w:rsid w:val="004B2E13"/>
    <w:rsid w:val="004B4EBA"/>
    <w:rsid w:val="004B4F4F"/>
    <w:rsid w:val="004B5281"/>
    <w:rsid w:val="004B5C30"/>
    <w:rsid w:val="004B65FF"/>
    <w:rsid w:val="004B675A"/>
    <w:rsid w:val="004B6BD0"/>
    <w:rsid w:val="004B6C5F"/>
    <w:rsid w:val="004B6CBB"/>
    <w:rsid w:val="004B7CA8"/>
    <w:rsid w:val="004B7F8C"/>
    <w:rsid w:val="004C08BA"/>
    <w:rsid w:val="004C1EC1"/>
    <w:rsid w:val="004C20BB"/>
    <w:rsid w:val="004C20D6"/>
    <w:rsid w:val="004C4ADC"/>
    <w:rsid w:val="004C52B9"/>
    <w:rsid w:val="004C5713"/>
    <w:rsid w:val="004C61CC"/>
    <w:rsid w:val="004C6DFA"/>
    <w:rsid w:val="004C6EE5"/>
    <w:rsid w:val="004C765D"/>
    <w:rsid w:val="004C79BE"/>
    <w:rsid w:val="004C7C7F"/>
    <w:rsid w:val="004C7FB4"/>
    <w:rsid w:val="004D145E"/>
    <w:rsid w:val="004D1E84"/>
    <w:rsid w:val="004D2435"/>
    <w:rsid w:val="004D4B8E"/>
    <w:rsid w:val="004D4C3B"/>
    <w:rsid w:val="004D565C"/>
    <w:rsid w:val="004D6D0C"/>
    <w:rsid w:val="004D6FA9"/>
    <w:rsid w:val="004D70D6"/>
    <w:rsid w:val="004D7212"/>
    <w:rsid w:val="004D7413"/>
    <w:rsid w:val="004E0962"/>
    <w:rsid w:val="004E15F8"/>
    <w:rsid w:val="004E20D1"/>
    <w:rsid w:val="004E274F"/>
    <w:rsid w:val="004E3313"/>
    <w:rsid w:val="004E4B55"/>
    <w:rsid w:val="004E613B"/>
    <w:rsid w:val="004E6C48"/>
    <w:rsid w:val="004E6E58"/>
    <w:rsid w:val="004E725E"/>
    <w:rsid w:val="004E7730"/>
    <w:rsid w:val="004F00DD"/>
    <w:rsid w:val="004F0107"/>
    <w:rsid w:val="004F02BD"/>
    <w:rsid w:val="004F23AE"/>
    <w:rsid w:val="004F2CAE"/>
    <w:rsid w:val="004F2D95"/>
    <w:rsid w:val="004F4040"/>
    <w:rsid w:val="004F45C7"/>
    <w:rsid w:val="004F5A36"/>
    <w:rsid w:val="004F5ABC"/>
    <w:rsid w:val="004F7905"/>
    <w:rsid w:val="004F7981"/>
    <w:rsid w:val="00500DDD"/>
    <w:rsid w:val="00501747"/>
    <w:rsid w:val="00502319"/>
    <w:rsid w:val="0050259C"/>
    <w:rsid w:val="0050397A"/>
    <w:rsid w:val="0050530F"/>
    <w:rsid w:val="005059BF"/>
    <w:rsid w:val="0050649D"/>
    <w:rsid w:val="005072AE"/>
    <w:rsid w:val="0051020F"/>
    <w:rsid w:val="00511C69"/>
    <w:rsid w:val="0051221A"/>
    <w:rsid w:val="0051283D"/>
    <w:rsid w:val="00512B89"/>
    <w:rsid w:val="00512DAE"/>
    <w:rsid w:val="00513263"/>
    <w:rsid w:val="00513419"/>
    <w:rsid w:val="00513818"/>
    <w:rsid w:val="00513948"/>
    <w:rsid w:val="00513F2D"/>
    <w:rsid w:val="005145CB"/>
    <w:rsid w:val="005158DD"/>
    <w:rsid w:val="00516E21"/>
    <w:rsid w:val="00520122"/>
    <w:rsid w:val="0052094C"/>
    <w:rsid w:val="0052095A"/>
    <w:rsid w:val="00520999"/>
    <w:rsid w:val="00520BED"/>
    <w:rsid w:val="00521A6B"/>
    <w:rsid w:val="00521CC0"/>
    <w:rsid w:val="0052323F"/>
    <w:rsid w:val="005239C7"/>
    <w:rsid w:val="0052578D"/>
    <w:rsid w:val="005261A0"/>
    <w:rsid w:val="00526551"/>
    <w:rsid w:val="00526D66"/>
    <w:rsid w:val="00526F0E"/>
    <w:rsid w:val="0052700E"/>
    <w:rsid w:val="005270D8"/>
    <w:rsid w:val="00527622"/>
    <w:rsid w:val="00527B58"/>
    <w:rsid w:val="005306A7"/>
    <w:rsid w:val="0053094A"/>
    <w:rsid w:val="0053094D"/>
    <w:rsid w:val="005313B0"/>
    <w:rsid w:val="00532144"/>
    <w:rsid w:val="00532E68"/>
    <w:rsid w:val="00532FCF"/>
    <w:rsid w:val="00534963"/>
    <w:rsid w:val="00534E07"/>
    <w:rsid w:val="00535541"/>
    <w:rsid w:val="0053647E"/>
    <w:rsid w:val="005365B0"/>
    <w:rsid w:val="00536E32"/>
    <w:rsid w:val="00537719"/>
    <w:rsid w:val="00540DEA"/>
    <w:rsid w:val="005415A1"/>
    <w:rsid w:val="005417CB"/>
    <w:rsid w:val="00541F18"/>
    <w:rsid w:val="00542EC1"/>
    <w:rsid w:val="00542FF9"/>
    <w:rsid w:val="00543542"/>
    <w:rsid w:val="005435CF"/>
    <w:rsid w:val="00543FC2"/>
    <w:rsid w:val="00543FF2"/>
    <w:rsid w:val="00544308"/>
    <w:rsid w:val="005447F6"/>
    <w:rsid w:val="005449E8"/>
    <w:rsid w:val="00544B80"/>
    <w:rsid w:val="00544D01"/>
    <w:rsid w:val="00544E2A"/>
    <w:rsid w:val="00545EC2"/>
    <w:rsid w:val="00546E4C"/>
    <w:rsid w:val="00547762"/>
    <w:rsid w:val="00547FE6"/>
    <w:rsid w:val="00550584"/>
    <w:rsid w:val="0055097A"/>
    <w:rsid w:val="005509BB"/>
    <w:rsid w:val="00550ABF"/>
    <w:rsid w:val="0055108B"/>
    <w:rsid w:val="005512BA"/>
    <w:rsid w:val="00551B55"/>
    <w:rsid w:val="005522E4"/>
    <w:rsid w:val="0055318E"/>
    <w:rsid w:val="00553CEA"/>
    <w:rsid w:val="005540A5"/>
    <w:rsid w:val="00554175"/>
    <w:rsid w:val="00554187"/>
    <w:rsid w:val="005541B1"/>
    <w:rsid w:val="005542FB"/>
    <w:rsid w:val="00554BDD"/>
    <w:rsid w:val="00555027"/>
    <w:rsid w:val="00557997"/>
    <w:rsid w:val="00560E7B"/>
    <w:rsid w:val="00561312"/>
    <w:rsid w:val="0056161F"/>
    <w:rsid w:val="0056186E"/>
    <w:rsid w:val="00561D93"/>
    <w:rsid w:val="00562789"/>
    <w:rsid w:val="00562E58"/>
    <w:rsid w:val="00563337"/>
    <w:rsid w:val="00563FEB"/>
    <w:rsid w:val="005653BC"/>
    <w:rsid w:val="0056649E"/>
    <w:rsid w:val="00566907"/>
    <w:rsid w:val="00566E25"/>
    <w:rsid w:val="005674E7"/>
    <w:rsid w:val="005704C1"/>
    <w:rsid w:val="00570F5B"/>
    <w:rsid w:val="00571180"/>
    <w:rsid w:val="00571398"/>
    <w:rsid w:val="00571EE2"/>
    <w:rsid w:val="00572861"/>
    <w:rsid w:val="005735C2"/>
    <w:rsid w:val="005739E6"/>
    <w:rsid w:val="00573A24"/>
    <w:rsid w:val="00574427"/>
    <w:rsid w:val="00574EA1"/>
    <w:rsid w:val="00576344"/>
    <w:rsid w:val="005767C0"/>
    <w:rsid w:val="00576C11"/>
    <w:rsid w:val="00577373"/>
    <w:rsid w:val="00580D0A"/>
    <w:rsid w:val="0058115C"/>
    <w:rsid w:val="005824DB"/>
    <w:rsid w:val="005827D2"/>
    <w:rsid w:val="00582BFA"/>
    <w:rsid w:val="00582C06"/>
    <w:rsid w:val="00582F20"/>
    <w:rsid w:val="005831ED"/>
    <w:rsid w:val="0058492B"/>
    <w:rsid w:val="00584EF4"/>
    <w:rsid w:val="00584FE5"/>
    <w:rsid w:val="00586668"/>
    <w:rsid w:val="0058667B"/>
    <w:rsid w:val="005873F6"/>
    <w:rsid w:val="00587A87"/>
    <w:rsid w:val="005902D5"/>
    <w:rsid w:val="00590F6F"/>
    <w:rsid w:val="00591671"/>
    <w:rsid w:val="00592E8E"/>
    <w:rsid w:val="005944B3"/>
    <w:rsid w:val="00594D4D"/>
    <w:rsid w:val="00595160"/>
    <w:rsid w:val="00595573"/>
    <w:rsid w:val="00597123"/>
    <w:rsid w:val="0059728C"/>
    <w:rsid w:val="0059767F"/>
    <w:rsid w:val="005A1881"/>
    <w:rsid w:val="005A18E5"/>
    <w:rsid w:val="005A2761"/>
    <w:rsid w:val="005A301B"/>
    <w:rsid w:val="005A3108"/>
    <w:rsid w:val="005A35E9"/>
    <w:rsid w:val="005A3792"/>
    <w:rsid w:val="005A3823"/>
    <w:rsid w:val="005A38A1"/>
    <w:rsid w:val="005A3B43"/>
    <w:rsid w:val="005A3F16"/>
    <w:rsid w:val="005A4254"/>
    <w:rsid w:val="005A452D"/>
    <w:rsid w:val="005A4C66"/>
    <w:rsid w:val="005A56E8"/>
    <w:rsid w:val="005A6C27"/>
    <w:rsid w:val="005A6C41"/>
    <w:rsid w:val="005A7306"/>
    <w:rsid w:val="005A7BCF"/>
    <w:rsid w:val="005A7C74"/>
    <w:rsid w:val="005B0A53"/>
    <w:rsid w:val="005B1498"/>
    <w:rsid w:val="005B1960"/>
    <w:rsid w:val="005B2078"/>
    <w:rsid w:val="005B2B0B"/>
    <w:rsid w:val="005B3350"/>
    <w:rsid w:val="005B4114"/>
    <w:rsid w:val="005B417C"/>
    <w:rsid w:val="005B467E"/>
    <w:rsid w:val="005B4F29"/>
    <w:rsid w:val="005B5DA4"/>
    <w:rsid w:val="005B6743"/>
    <w:rsid w:val="005B6E73"/>
    <w:rsid w:val="005B6E96"/>
    <w:rsid w:val="005B7094"/>
    <w:rsid w:val="005B750E"/>
    <w:rsid w:val="005B7EF7"/>
    <w:rsid w:val="005C0504"/>
    <w:rsid w:val="005C12D9"/>
    <w:rsid w:val="005C27F5"/>
    <w:rsid w:val="005C2A35"/>
    <w:rsid w:val="005C2B55"/>
    <w:rsid w:val="005C2D90"/>
    <w:rsid w:val="005C3582"/>
    <w:rsid w:val="005C42EA"/>
    <w:rsid w:val="005C4A90"/>
    <w:rsid w:val="005C5272"/>
    <w:rsid w:val="005C562F"/>
    <w:rsid w:val="005C6617"/>
    <w:rsid w:val="005C75C6"/>
    <w:rsid w:val="005D183B"/>
    <w:rsid w:val="005D19F8"/>
    <w:rsid w:val="005D1ACF"/>
    <w:rsid w:val="005D2B78"/>
    <w:rsid w:val="005D2D6D"/>
    <w:rsid w:val="005D3D01"/>
    <w:rsid w:val="005D3E1D"/>
    <w:rsid w:val="005D55EF"/>
    <w:rsid w:val="005D58B3"/>
    <w:rsid w:val="005D5B4B"/>
    <w:rsid w:val="005D5C79"/>
    <w:rsid w:val="005D6354"/>
    <w:rsid w:val="005D65EE"/>
    <w:rsid w:val="005D7B1B"/>
    <w:rsid w:val="005D7C5F"/>
    <w:rsid w:val="005E0AF4"/>
    <w:rsid w:val="005E17B4"/>
    <w:rsid w:val="005E1C97"/>
    <w:rsid w:val="005E22B4"/>
    <w:rsid w:val="005E2E29"/>
    <w:rsid w:val="005E475F"/>
    <w:rsid w:val="005E484B"/>
    <w:rsid w:val="005E6428"/>
    <w:rsid w:val="005E7679"/>
    <w:rsid w:val="005E7711"/>
    <w:rsid w:val="005E7D41"/>
    <w:rsid w:val="005F0144"/>
    <w:rsid w:val="005F034D"/>
    <w:rsid w:val="005F133C"/>
    <w:rsid w:val="005F1A47"/>
    <w:rsid w:val="005F25A9"/>
    <w:rsid w:val="005F2B32"/>
    <w:rsid w:val="005F34C4"/>
    <w:rsid w:val="005F37EB"/>
    <w:rsid w:val="005F3915"/>
    <w:rsid w:val="005F3A6B"/>
    <w:rsid w:val="005F476B"/>
    <w:rsid w:val="005F5C91"/>
    <w:rsid w:val="005F614B"/>
    <w:rsid w:val="005F61AF"/>
    <w:rsid w:val="005F665B"/>
    <w:rsid w:val="005F6E8A"/>
    <w:rsid w:val="005F7C73"/>
    <w:rsid w:val="006001A6"/>
    <w:rsid w:val="00600784"/>
    <w:rsid w:val="0060096E"/>
    <w:rsid w:val="00602BA9"/>
    <w:rsid w:val="00602C30"/>
    <w:rsid w:val="006031A8"/>
    <w:rsid w:val="00606329"/>
    <w:rsid w:val="006064FA"/>
    <w:rsid w:val="00606EB5"/>
    <w:rsid w:val="006074A9"/>
    <w:rsid w:val="0060787C"/>
    <w:rsid w:val="0061086F"/>
    <w:rsid w:val="00610DFB"/>
    <w:rsid w:val="00611804"/>
    <w:rsid w:val="0061212C"/>
    <w:rsid w:val="006129BA"/>
    <w:rsid w:val="00612ACD"/>
    <w:rsid w:val="006131A0"/>
    <w:rsid w:val="006133D8"/>
    <w:rsid w:val="00613BAC"/>
    <w:rsid w:val="00614FA0"/>
    <w:rsid w:val="0061521C"/>
    <w:rsid w:val="00615261"/>
    <w:rsid w:val="00615CF4"/>
    <w:rsid w:val="00615FD3"/>
    <w:rsid w:val="006160F7"/>
    <w:rsid w:val="006163B1"/>
    <w:rsid w:val="0061697E"/>
    <w:rsid w:val="0061719B"/>
    <w:rsid w:val="00617733"/>
    <w:rsid w:val="00617A82"/>
    <w:rsid w:val="00617EF0"/>
    <w:rsid w:val="006206AA"/>
    <w:rsid w:val="006217C6"/>
    <w:rsid w:val="0062300A"/>
    <w:rsid w:val="006234FC"/>
    <w:rsid w:val="00623D6B"/>
    <w:rsid w:val="00624479"/>
    <w:rsid w:val="006245AA"/>
    <w:rsid w:val="00624BBE"/>
    <w:rsid w:val="00625FFF"/>
    <w:rsid w:val="00626E90"/>
    <w:rsid w:val="006300D8"/>
    <w:rsid w:val="00630EB8"/>
    <w:rsid w:val="0063197B"/>
    <w:rsid w:val="006330D8"/>
    <w:rsid w:val="00633599"/>
    <w:rsid w:val="006335F1"/>
    <w:rsid w:val="00633AE5"/>
    <w:rsid w:val="00633C82"/>
    <w:rsid w:val="006342A3"/>
    <w:rsid w:val="00635E3F"/>
    <w:rsid w:val="006360AF"/>
    <w:rsid w:val="0063682C"/>
    <w:rsid w:val="00636F1A"/>
    <w:rsid w:val="006373A9"/>
    <w:rsid w:val="006373D4"/>
    <w:rsid w:val="00637776"/>
    <w:rsid w:val="00637ECE"/>
    <w:rsid w:val="00640693"/>
    <w:rsid w:val="0064095C"/>
    <w:rsid w:val="00640DFE"/>
    <w:rsid w:val="00641B1E"/>
    <w:rsid w:val="00641F2D"/>
    <w:rsid w:val="00641FF0"/>
    <w:rsid w:val="0064275E"/>
    <w:rsid w:val="006439BA"/>
    <w:rsid w:val="0064465E"/>
    <w:rsid w:val="00644A9A"/>
    <w:rsid w:val="00644B74"/>
    <w:rsid w:val="00644CB5"/>
    <w:rsid w:val="006456E5"/>
    <w:rsid w:val="006457E6"/>
    <w:rsid w:val="00645DE4"/>
    <w:rsid w:val="006467D5"/>
    <w:rsid w:val="00646DE3"/>
    <w:rsid w:val="006470EB"/>
    <w:rsid w:val="006474BB"/>
    <w:rsid w:val="00647625"/>
    <w:rsid w:val="00647A51"/>
    <w:rsid w:val="00647D79"/>
    <w:rsid w:val="006500D4"/>
    <w:rsid w:val="00650A7D"/>
    <w:rsid w:val="00651338"/>
    <w:rsid w:val="00651620"/>
    <w:rsid w:val="00651975"/>
    <w:rsid w:val="00651ED3"/>
    <w:rsid w:val="00652176"/>
    <w:rsid w:val="00652554"/>
    <w:rsid w:val="006540D0"/>
    <w:rsid w:val="006544CE"/>
    <w:rsid w:val="0065518D"/>
    <w:rsid w:val="00655A37"/>
    <w:rsid w:val="006564E6"/>
    <w:rsid w:val="0065752E"/>
    <w:rsid w:val="006575B5"/>
    <w:rsid w:val="0066078E"/>
    <w:rsid w:val="006609F7"/>
    <w:rsid w:val="00660F12"/>
    <w:rsid w:val="006619BD"/>
    <w:rsid w:val="00661B29"/>
    <w:rsid w:val="00661D91"/>
    <w:rsid w:val="0066236F"/>
    <w:rsid w:val="00662B53"/>
    <w:rsid w:val="006637E0"/>
    <w:rsid w:val="00663925"/>
    <w:rsid w:val="00663982"/>
    <w:rsid w:val="00663BF2"/>
    <w:rsid w:val="00663C7C"/>
    <w:rsid w:val="00664B59"/>
    <w:rsid w:val="0066609C"/>
    <w:rsid w:val="00666D7D"/>
    <w:rsid w:val="00671C1F"/>
    <w:rsid w:val="00672209"/>
    <w:rsid w:val="0067242A"/>
    <w:rsid w:val="00672530"/>
    <w:rsid w:val="006728DB"/>
    <w:rsid w:val="00673733"/>
    <w:rsid w:val="00673881"/>
    <w:rsid w:val="006739C0"/>
    <w:rsid w:val="00674702"/>
    <w:rsid w:val="006748B9"/>
    <w:rsid w:val="00674B69"/>
    <w:rsid w:val="0067552D"/>
    <w:rsid w:val="00675C47"/>
    <w:rsid w:val="00676625"/>
    <w:rsid w:val="006766E2"/>
    <w:rsid w:val="00680B3B"/>
    <w:rsid w:val="00680BC5"/>
    <w:rsid w:val="006813C7"/>
    <w:rsid w:val="00681740"/>
    <w:rsid w:val="00681C86"/>
    <w:rsid w:val="006824EA"/>
    <w:rsid w:val="00682515"/>
    <w:rsid w:val="00683BA7"/>
    <w:rsid w:val="0068439D"/>
    <w:rsid w:val="00684D8F"/>
    <w:rsid w:val="00686462"/>
    <w:rsid w:val="00686F50"/>
    <w:rsid w:val="00687834"/>
    <w:rsid w:val="00687992"/>
    <w:rsid w:val="00687CA3"/>
    <w:rsid w:val="0069086A"/>
    <w:rsid w:val="00692D07"/>
    <w:rsid w:val="00693294"/>
    <w:rsid w:val="006935EE"/>
    <w:rsid w:val="00693967"/>
    <w:rsid w:val="006939F0"/>
    <w:rsid w:val="00693FD8"/>
    <w:rsid w:val="0069455F"/>
    <w:rsid w:val="00694CF7"/>
    <w:rsid w:val="006957EF"/>
    <w:rsid w:val="00696997"/>
    <w:rsid w:val="00697C06"/>
    <w:rsid w:val="006A02A4"/>
    <w:rsid w:val="006A08EF"/>
    <w:rsid w:val="006A0C01"/>
    <w:rsid w:val="006A1163"/>
    <w:rsid w:val="006A12ED"/>
    <w:rsid w:val="006A1869"/>
    <w:rsid w:val="006A2E79"/>
    <w:rsid w:val="006A35F4"/>
    <w:rsid w:val="006A38A9"/>
    <w:rsid w:val="006A397F"/>
    <w:rsid w:val="006A441E"/>
    <w:rsid w:val="006A5091"/>
    <w:rsid w:val="006A5DA9"/>
    <w:rsid w:val="006A5DD3"/>
    <w:rsid w:val="006A61BD"/>
    <w:rsid w:val="006A64CD"/>
    <w:rsid w:val="006A67E1"/>
    <w:rsid w:val="006A77D2"/>
    <w:rsid w:val="006A7DD7"/>
    <w:rsid w:val="006B1684"/>
    <w:rsid w:val="006B1CE4"/>
    <w:rsid w:val="006B1F86"/>
    <w:rsid w:val="006B35E4"/>
    <w:rsid w:val="006B3F2D"/>
    <w:rsid w:val="006B401C"/>
    <w:rsid w:val="006B50D6"/>
    <w:rsid w:val="006B545D"/>
    <w:rsid w:val="006B5533"/>
    <w:rsid w:val="006B57FE"/>
    <w:rsid w:val="006B59DD"/>
    <w:rsid w:val="006B6317"/>
    <w:rsid w:val="006B6AF0"/>
    <w:rsid w:val="006B6C8F"/>
    <w:rsid w:val="006B6DEB"/>
    <w:rsid w:val="006B6E10"/>
    <w:rsid w:val="006B7826"/>
    <w:rsid w:val="006B7A37"/>
    <w:rsid w:val="006B7E94"/>
    <w:rsid w:val="006B7EC1"/>
    <w:rsid w:val="006C05D5"/>
    <w:rsid w:val="006C07D8"/>
    <w:rsid w:val="006C1983"/>
    <w:rsid w:val="006C21A2"/>
    <w:rsid w:val="006C2389"/>
    <w:rsid w:val="006C2ACA"/>
    <w:rsid w:val="006C2C95"/>
    <w:rsid w:val="006C3497"/>
    <w:rsid w:val="006C393D"/>
    <w:rsid w:val="006C4202"/>
    <w:rsid w:val="006C462E"/>
    <w:rsid w:val="006C4E99"/>
    <w:rsid w:val="006C5F9B"/>
    <w:rsid w:val="006C6932"/>
    <w:rsid w:val="006C6DD0"/>
    <w:rsid w:val="006C74BD"/>
    <w:rsid w:val="006C798B"/>
    <w:rsid w:val="006C7D10"/>
    <w:rsid w:val="006C7E0F"/>
    <w:rsid w:val="006C7E5A"/>
    <w:rsid w:val="006D00C2"/>
    <w:rsid w:val="006D04F9"/>
    <w:rsid w:val="006D08E4"/>
    <w:rsid w:val="006D0A0F"/>
    <w:rsid w:val="006D1484"/>
    <w:rsid w:val="006D24B9"/>
    <w:rsid w:val="006D274C"/>
    <w:rsid w:val="006D31BF"/>
    <w:rsid w:val="006D3244"/>
    <w:rsid w:val="006D3381"/>
    <w:rsid w:val="006D4758"/>
    <w:rsid w:val="006D485E"/>
    <w:rsid w:val="006D5491"/>
    <w:rsid w:val="006D57C3"/>
    <w:rsid w:val="006D5FAA"/>
    <w:rsid w:val="006D6598"/>
    <w:rsid w:val="006D67AE"/>
    <w:rsid w:val="006D74BC"/>
    <w:rsid w:val="006D7A50"/>
    <w:rsid w:val="006D7D2A"/>
    <w:rsid w:val="006E0522"/>
    <w:rsid w:val="006E0F37"/>
    <w:rsid w:val="006E1550"/>
    <w:rsid w:val="006E1FF3"/>
    <w:rsid w:val="006E2407"/>
    <w:rsid w:val="006E27B9"/>
    <w:rsid w:val="006E3758"/>
    <w:rsid w:val="006E4140"/>
    <w:rsid w:val="006E4514"/>
    <w:rsid w:val="006E471F"/>
    <w:rsid w:val="006E48ED"/>
    <w:rsid w:val="006E4DDE"/>
    <w:rsid w:val="006E61C9"/>
    <w:rsid w:val="006E6868"/>
    <w:rsid w:val="006E7161"/>
    <w:rsid w:val="006E7D11"/>
    <w:rsid w:val="006E7F16"/>
    <w:rsid w:val="006F01A6"/>
    <w:rsid w:val="006F06C2"/>
    <w:rsid w:val="006F08DB"/>
    <w:rsid w:val="006F1100"/>
    <w:rsid w:val="006F21B8"/>
    <w:rsid w:val="006F25F4"/>
    <w:rsid w:val="006F2612"/>
    <w:rsid w:val="006F2E59"/>
    <w:rsid w:val="006F2F4C"/>
    <w:rsid w:val="006F3363"/>
    <w:rsid w:val="006F3E13"/>
    <w:rsid w:val="006F451A"/>
    <w:rsid w:val="006F5390"/>
    <w:rsid w:val="006F6083"/>
    <w:rsid w:val="006F6DBF"/>
    <w:rsid w:val="006F7356"/>
    <w:rsid w:val="006F7564"/>
    <w:rsid w:val="006F7A19"/>
    <w:rsid w:val="00700404"/>
    <w:rsid w:val="00701DB5"/>
    <w:rsid w:val="0070228E"/>
    <w:rsid w:val="00703AD6"/>
    <w:rsid w:val="00703EBF"/>
    <w:rsid w:val="00703F29"/>
    <w:rsid w:val="00705340"/>
    <w:rsid w:val="007056B5"/>
    <w:rsid w:val="00706D05"/>
    <w:rsid w:val="007073A5"/>
    <w:rsid w:val="0070769A"/>
    <w:rsid w:val="00710128"/>
    <w:rsid w:val="007109A5"/>
    <w:rsid w:val="00711693"/>
    <w:rsid w:val="00712974"/>
    <w:rsid w:val="00712A6A"/>
    <w:rsid w:val="00712C90"/>
    <w:rsid w:val="00713515"/>
    <w:rsid w:val="00713E74"/>
    <w:rsid w:val="007141FD"/>
    <w:rsid w:val="00714EC3"/>
    <w:rsid w:val="0071534D"/>
    <w:rsid w:val="00715384"/>
    <w:rsid w:val="00716982"/>
    <w:rsid w:val="00717BC2"/>
    <w:rsid w:val="00717BDE"/>
    <w:rsid w:val="00717E5A"/>
    <w:rsid w:val="007203EE"/>
    <w:rsid w:val="0072056A"/>
    <w:rsid w:val="007208D8"/>
    <w:rsid w:val="00720E40"/>
    <w:rsid w:val="00720F64"/>
    <w:rsid w:val="00721BFF"/>
    <w:rsid w:val="00721E8D"/>
    <w:rsid w:val="00722478"/>
    <w:rsid w:val="00723ADF"/>
    <w:rsid w:val="00723CEB"/>
    <w:rsid w:val="00724DDC"/>
    <w:rsid w:val="0072594F"/>
    <w:rsid w:val="00727AB4"/>
    <w:rsid w:val="00732C24"/>
    <w:rsid w:val="007337AF"/>
    <w:rsid w:val="00733EBB"/>
    <w:rsid w:val="00734E7D"/>
    <w:rsid w:val="00735106"/>
    <w:rsid w:val="00735425"/>
    <w:rsid w:val="00735A13"/>
    <w:rsid w:val="00735DA3"/>
    <w:rsid w:val="0073676E"/>
    <w:rsid w:val="00737CC3"/>
    <w:rsid w:val="007404CA"/>
    <w:rsid w:val="007410D4"/>
    <w:rsid w:val="007413A3"/>
    <w:rsid w:val="00741702"/>
    <w:rsid w:val="00741869"/>
    <w:rsid w:val="007419A8"/>
    <w:rsid w:val="00741CB5"/>
    <w:rsid w:val="00743C3C"/>
    <w:rsid w:val="00744EF0"/>
    <w:rsid w:val="00745690"/>
    <w:rsid w:val="00745D63"/>
    <w:rsid w:val="00746702"/>
    <w:rsid w:val="00746E74"/>
    <w:rsid w:val="007475D0"/>
    <w:rsid w:val="007475DB"/>
    <w:rsid w:val="0075001B"/>
    <w:rsid w:val="00750163"/>
    <w:rsid w:val="007501CE"/>
    <w:rsid w:val="00750B45"/>
    <w:rsid w:val="007517F4"/>
    <w:rsid w:val="00752F36"/>
    <w:rsid w:val="0075361F"/>
    <w:rsid w:val="007540A6"/>
    <w:rsid w:val="007547F1"/>
    <w:rsid w:val="0075482E"/>
    <w:rsid w:val="00754AFE"/>
    <w:rsid w:val="00754B98"/>
    <w:rsid w:val="00754DD1"/>
    <w:rsid w:val="00754E60"/>
    <w:rsid w:val="00754F76"/>
    <w:rsid w:val="0075501B"/>
    <w:rsid w:val="00755B70"/>
    <w:rsid w:val="007574D3"/>
    <w:rsid w:val="007602CF"/>
    <w:rsid w:val="0076030D"/>
    <w:rsid w:val="007604C8"/>
    <w:rsid w:val="00761581"/>
    <w:rsid w:val="007619C0"/>
    <w:rsid w:val="00761CB3"/>
    <w:rsid w:val="00761F63"/>
    <w:rsid w:val="007632EF"/>
    <w:rsid w:val="007639BE"/>
    <w:rsid w:val="00763A14"/>
    <w:rsid w:val="00763F0B"/>
    <w:rsid w:val="00763F24"/>
    <w:rsid w:val="007643A7"/>
    <w:rsid w:val="00764D30"/>
    <w:rsid w:val="00765E74"/>
    <w:rsid w:val="00766055"/>
    <w:rsid w:val="0076644E"/>
    <w:rsid w:val="00767DF0"/>
    <w:rsid w:val="00770B06"/>
    <w:rsid w:val="00770DFA"/>
    <w:rsid w:val="00771139"/>
    <w:rsid w:val="0077330A"/>
    <w:rsid w:val="00773AEC"/>
    <w:rsid w:val="0077407B"/>
    <w:rsid w:val="007740ED"/>
    <w:rsid w:val="00774E54"/>
    <w:rsid w:val="00776036"/>
    <w:rsid w:val="0077686D"/>
    <w:rsid w:val="00776947"/>
    <w:rsid w:val="00776D00"/>
    <w:rsid w:val="00777DCF"/>
    <w:rsid w:val="0078026F"/>
    <w:rsid w:val="00780BD3"/>
    <w:rsid w:val="00780D8E"/>
    <w:rsid w:val="00781122"/>
    <w:rsid w:val="0078176A"/>
    <w:rsid w:val="00781A06"/>
    <w:rsid w:val="00782AFF"/>
    <w:rsid w:val="00782B75"/>
    <w:rsid w:val="00782BB0"/>
    <w:rsid w:val="00782DFA"/>
    <w:rsid w:val="007832E2"/>
    <w:rsid w:val="0078333F"/>
    <w:rsid w:val="00783913"/>
    <w:rsid w:val="0078516E"/>
    <w:rsid w:val="0078588A"/>
    <w:rsid w:val="00786151"/>
    <w:rsid w:val="00786403"/>
    <w:rsid w:val="00786864"/>
    <w:rsid w:val="00786880"/>
    <w:rsid w:val="0078704D"/>
    <w:rsid w:val="00787320"/>
    <w:rsid w:val="00787EDF"/>
    <w:rsid w:val="007900C9"/>
    <w:rsid w:val="00790264"/>
    <w:rsid w:val="00790740"/>
    <w:rsid w:val="00791080"/>
    <w:rsid w:val="00791348"/>
    <w:rsid w:val="007917A2"/>
    <w:rsid w:val="00791FA8"/>
    <w:rsid w:val="00792779"/>
    <w:rsid w:val="007930A1"/>
    <w:rsid w:val="00794403"/>
    <w:rsid w:val="0079460C"/>
    <w:rsid w:val="00794992"/>
    <w:rsid w:val="00794E7C"/>
    <w:rsid w:val="00795B4D"/>
    <w:rsid w:val="00795CFA"/>
    <w:rsid w:val="007A0774"/>
    <w:rsid w:val="007A0A2E"/>
    <w:rsid w:val="007A0AA8"/>
    <w:rsid w:val="007A0D13"/>
    <w:rsid w:val="007A1B65"/>
    <w:rsid w:val="007A2F9E"/>
    <w:rsid w:val="007A458B"/>
    <w:rsid w:val="007A4FD1"/>
    <w:rsid w:val="007A5573"/>
    <w:rsid w:val="007A65D2"/>
    <w:rsid w:val="007A76FA"/>
    <w:rsid w:val="007B0019"/>
    <w:rsid w:val="007B0870"/>
    <w:rsid w:val="007B09A3"/>
    <w:rsid w:val="007B0DF0"/>
    <w:rsid w:val="007B10DE"/>
    <w:rsid w:val="007B1D46"/>
    <w:rsid w:val="007B271C"/>
    <w:rsid w:val="007B2A9F"/>
    <w:rsid w:val="007B2D42"/>
    <w:rsid w:val="007B30FE"/>
    <w:rsid w:val="007B32D3"/>
    <w:rsid w:val="007B3364"/>
    <w:rsid w:val="007B36E7"/>
    <w:rsid w:val="007B44E2"/>
    <w:rsid w:val="007B540A"/>
    <w:rsid w:val="007B5A1F"/>
    <w:rsid w:val="007B71D8"/>
    <w:rsid w:val="007B7280"/>
    <w:rsid w:val="007B74C6"/>
    <w:rsid w:val="007B7709"/>
    <w:rsid w:val="007C0AB4"/>
    <w:rsid w:val="007C0BBD"/>
    <w:rsid w:val="007C1783"/>
    <w:rsid w:val="007C18F9"/>
    <w:rsid w:val="007C217F"/>
    <w:rsid w:val="007C33D5"/>
    <w:rsid w:val="007C3BCF"/>
    <w:rsid w:val="007C3C8F"/>
    <w:rsid w:val="007C4B48"/>
    <w:rsid w:val="007C6146"/>
    <w:rsid w:val="007C66AF"/>
    <w:rsid w:val="007C7994"/>
    <w:rsid w:val="007C7D2F"/>
    <w:rsid w:val="007D02BC"/>
    <w:rsid w:val="007D0418"/>
    <w:rsid w:val="007D156E"/>
    <w:rsid w:val="007D19FC"/>
    <w:rsid w:val="007D1F99"/>
    <w:rsid w:val="007D26D5"/>
    <w:rsid w:val="007D43C0"/>
    <w:rsid w:val="007D4678"/>
    <w:rsid w:val="007D4E0E"/>
    <w:rsid w:val="007D4FCF"/>
    <w:rsid w:val="007D50EF"/>
    <w:rsid w:val="007D5108"/>
    <w:rsid w:val="007D536C"/>
    <w:rsid w:val="007D5538"/>
    <w:rsid w:val="007D5D40"/>
    <w:rsid w:val="007D60C3"/>
    <w:rsid w:val="007D6276"/>
    <w:rsid w:val="007D65C2"/>
    <w:rsid w:val="007D6A61"/>
    <w:rsid w:val="007D6B5B"/>
    <w:rsid w:val="007D6C16"/>
    <w:rsid w:val="007D6CC1"/>
    <w:rsid w:val="007D6EE9"/>
    <w:rsid w:val="007D6F9A"/>
    <w:rsid w:val="007D7D53"/>
    <w:rsid w:val="007D7D69"/>
    <w:rsid w:val="007D7F56"/>
    <w:rsid w:val="007E0361"/>
    <w:rsid w:val="007E0A22"/>
    <w:rsid w:val="007E0BFE"/>
    <w:rsid w:val="007E0CFD"/>
    <w:rsid w:val="007E10F3"/>
    <w:rsid w:val="007E22F5"/>
    <w:rsid w:val="007E3121"/>
    <w:rsid w:val="007E3786"/>
    <w:rsid w:val="007E4465"/>
    <w:rsid w:val="007E44B3"/>
    <w:rsid w:val="007E44BE"/>
    <w:rsid w:val="007E6A43"/>
    <w:rsid w:val="007E71C8"/>
    <w:rsid w:val="007E7A0D"/>
    <w:rsid w:val="007E7B0B"/>
    <w:rsid w:val="007F015C"/>
    <w:rsid w:val="007F02D6"/>
    <w:rsid w:val="007F10E6"/>
    <w:rsid w:val="007F13BD"/>
    <w:rsid w:val="007F1582"/>
    <w:rsid w:val="007F2986"/>
    <w:rsid w:val="007F2EF1"/>
    <w:rsid w:val="007F2FE2"/>
    <w:rsid w:val="007F34C9"/>
    <w:rsid w:val="007F3BA2"/>
    <w:rsid w:val="007F3EB3"/>
    <w:rsid w:val="007F41B7"/>
    <w:rsid w:val="007F44BA"/>
    <w:rsid w:val="007F46BB"/>
    <w:rsid w:val="007F4833"/>
    <w:rsid w:val="007F576B"/>
    <w:rsid w:val="007F5F34"/>
    <w:rsid w:val="007F686B"/>
    <w:rsid w:val="007F6AA9"/>
    <w:rsid w:val="007F6C3C"/>
    <w:rsid w:val="007F705A"/>
    <w:rsid w:val="0080020A"/>
    <w:rsid w:val="0080035F"/>
    <w:rsid w:val="008019A6"/>
    <w:rsid w:val="0080246A"/>
    <w:rsid w:val="008028B4"/>
    <w:rsid w:val="00803418"/>
    <w:rsid w:val="00804752"/>
    <w:rsid w:val="008047CD"/>
    <w:rsid w:val="00804E13"/>
    <w:rsid w:val="00805F63"/>
    <w:rsid w:val="00806476"/>
    <w:rsid w:val="0080663E"/>
    <w:rsid w:val="00806DAF"/>
    <w:rsid w:val="00807A8B"/>
    <w:rsid w:val="00810594"/>
    <w:rsid w:val="00810A02"/>
    <w:rsid w:val="00810E92"/>
    <w:rsid w:val="00811C10"/>
    <w:rsid w:val="008123EF"/>
    <w:rsid w:val="008124A0"/>
    <w:rsid w:val="0081285E"/>
    <w:rsid w:val="00812A1C"/>
    <w:rsid w:val="00812FE8"/>
    <w:rsid w:val="00813EA9"/>
    <w:rsid w:val="008141B0"/>
    <w:rsid w:val="00814587"/>
    <w:rsid w:val="008146A8"/>
    <w:rsid w:val="00814F01"/>
    <w:rsid w:val="00814F2E"/>
    <w:rsid w:val="0081506F"/>
    <w:rsid w:val="00815210"/>
    <w:rsid w:val="0081546D"/>
    <w:rsid w:val="0081693E"/>
    <w:rsid w:val="0081708E"/>
    <w:rsid w:val="0082065D"/>
    <w:rsid w:val="008206C0"/>
    <w:rsid w:val="00820C49"/>
    <w:rsid w:val="00820E16"/>
    <w:rsid w:val="00820E3C"/>
    <w:rsid w:val="00821484"/>
    <w:rsid w:val="00821519"/>
    <w:rsid w:val="008223A6"/>
    <w:rsid w:val="008227ED"/>
    <w:rsid w:val="00823617"/>
    <w:rsid w:val="00823D1B"/>
    <w:rsid w:val="00823FE5"/>
    <w:rsid w:val="0082446A"/>
    <w:rsid w:val="00825D7E"/>
    <w:rsid w:val="008261DB"/>
    <w:rsid w:val="008267A8"/>
    <w:rsid w:val="00826841"/>
    <w:rsid w:val="00826F62"/>
    <w:rsid w:val="0082742B"/>
    <w:rsid w:val="0083008A"/>
    <w:rsid w:val="0083023B"/>
    <w:rsid w:val="008305CD"/>
    <w:rsid w:val="00830DDC"/>
    <w:rsid w:val="008310BC"/>
    <w:rsid w:val="0083156A"/>
    <w:rsid w:val="00831728"/>
    <w:rsid w:val="00831F6A"/>
    <w:rsid w:val="0083224D"/>
    <w:rsid w:val="00833C39"/>
    <w:rsid w:val="00833D34"/>
    <w:rsid w:val="00833DE7"/>
    <w:rsid w:val="00833EC1"/>
    <w:rsid w:val="00834625"/>
    <w:rsid w:val="008353EB"/>
    <w:rsid w:val="00835733"/>
    <w:rsid w:val="008363C0"/>
    <w:rsid w:val="008364FC"/>
    <w:rsid w:val="00836516"/>
    <w:rsid w:val="00840189"/>
    <w:rsid w:val="00840842"/>
    <w:rsid w:val="00841239"/>
    <w:rsid w:val="008412A8"/>
    <w:rsid w:val="00841D5A"/>
    <w:rsid w:val="00842AF4"/>
    <w:rsid w:val="008431ED"/>
    <w:rsid w:val="00843777"/>
    <w:rsid w:val="00843DDF"/>
    <w:rsid w:val="0084529C"/>
    <w:rsid w:val="0084557D"/>
    <w:rsid w:val="00845A13"/>
    <w:rsid w:val="00845DD7"/>
    <w:rsid w:val="0084781D"/>
    <w:rsid w:val="00847BE4"/>
    <w:rsid w:val="00847BE5"/>
    <w:rsid w:val="00850804"/>
    <w:rsid w:val="00850CA9"/>
    <w:rsid w:val="00851671"/>
    <w:rsid w:val="008516B0"/>
    <w:rsid w:val="00851DD1"/>
    <w:rsid w:val="0085228A"/>
    <w:rsid w:val="008526C1"/>
    <w:rsid w:val="00853E38"/>
    <w:rsid w:val="00855E3E"/>
    <w:rsid w:val="00856502"/>
    <w:rsid w:val="00856B05"/>
    <w:rsid w:val="00857019"/>
    <w:rsid w:val="00857427"/>
    <w:rsid w:val="008579D3"/>
    <w:rsid w:val="0086096F"/>
    <w:rsid w:val="008611DF"/>
    <w:rsid w:val="0086126C"/>
    <w:rsid w:val="008614DF"/>
    <w:rsid w:val="0086181B"/>
    <w:rsid w:val="00862379"/>
    <w:rsid w:val="00863AEE"/>
    <w:rsid w:val="00863B61"/>
    <w:rsid w:val="008645B1"/>
    <w:rsid w:val="0086461E"/>
    <w:rsid w:val="00864875"/>
    <w:rsid w:val="00865325"/>
    <w:rsid w:val="00865369"/>
    <w:rsid w:val="0086539F"/>
    <w:rsid w:val="00865EA5"/>
    <w:rsid w:val="00865F1C"/>
    <w:rsid w:val="00866443"/>
    <w:rsid w:val="0086662D"/>
    <w:rsid w:val="00866A37"/>
    <w:rsid w:val="00867467"/>
    <w:rsid w:val="00870131"/>
    <w:rsid w:val="00870A1F"/>
    <w:rsid w:val="00870B5F"/>
    <w:rsid w:val="008714FB"/>
    <w:rsid w:val="00871991"/>
    <w:rsid w:val="00871A9A"/>
    <w:rsid w:val="00872CC6"/>
    <w:rsid w:val="0087300F"/>
    <w:rsid w:val="00873098"/>
    <w:rsid w:val="00875102"/>
    <w:rsid w:val="00875295"/>
    <w:rsid w:val="008755C3"/>
    <w:rsid w:val="00875C45"/>
    <w:rsid w:val="0088005F"/>
    <w:rsid w:val="00880163"/>
    <w:rsid w:val="008807C0"/>
    <w:rsid w:val="00880B93"/>
    <w:rsid w:val="008823B3"/>
    <w:rsid w:val="008827D2"/>
    <w:rsid w:val="00882D3E"/>
    <w:rsid w:val="0088314B"/>
    <w:rsid w:val="008837F1"/>
    <w:rsid w:val="00884D4B"/>
    <w:rsid w:val="0088511E"/>
    <w:rsid w:val="00885DD8"/>
    <w:rsid w:val="00885DDB"/>
    <w:rsid w:val="00885E8B"/>
    <w:rsid w:val="008864EB"/>
    <w:rsid w:val="00886804"/>
    <w:rsid w:val="0088702A"/>
    <w:rsid w:val="008870B8"/>
    <w:rsid w:val="00887C4C"/>
    <w:rsid w:val="00891345"/>
    <w:rsid w:val="008927E8"/>
    <w:rsid w:val="008938E3"/>
    <w:rsid w:val="0089397A"/>
    <w:rsid w:val="00893E1C"/>
    <w:rsid w:val="00894581"/>
    <w:rsid w:val="00894FC2"/>
    <w:rsid w:val="008954ED"/>
    <w:rsid w:val="008959B2"/>
    <w:rsid w:val="00895B34"/>
    <w:rsid w:val="0089684B"/>
    <w:rsid w:val="00896B6E"/>
    <w:rsid w:val="00897F98"/>
    <w:rsid w:val="008A0DF3"/>
    <w:rsid w:val="008A18EF"/>
    <w:rsid w:val="008A1B7C"/>
    <w:rsid w:val="008A21E5"/>
    <w:rsid w:val="008A2467"/>
    <w:rsid w:val="008A26E3"/>
    <w:rsid w:val="008A2811"/>
    <w:rsid w:val="008A3BB1"/>
    <w:rsid w:val="008A3BC6"/>
    <w:rsid w:val="008A3E2B"/>
    <w:rsid w:val="008A41D9"/>
    <w:rsid w:val="008A5C5A"/>
    <w:rsid w:val="008A6516"/>
    <w:rsid w:val="008A6D52"/>
    <w:rsid w:val="008A7284"/>
    <w:rsid w:val="008A7C38"/>
    <w:rsid w:val="008B00A4"/>
    <w:rsid w:val="008B0CE3"/>
    <w:rsid w:val="008B1751"/>
    <w:rsid w:val="008B1D3C"/>
    <w:rsid w:val="008B1FF7"/>
    <w:rsid w:val="008B464D"/>
    <w:rsid w:val="008B5309"/>
    <w:rsid w:val="008B564C"/>
    <w:rsid w:val="008B5A58"/>
    <w:rsid w:val="008C0A8D"/>
    <w:rsid w:val="008C0B18"/>
    <w:rsid w:val="008C10AE"/>
    <w:rsid w:val="008C1A85"/>
    <w:rsid w:val="008C1F22"/>
    <w:rsid w:val="008C1F2D"/>
    <w:rsid w:val="008C21EE"/>
    <w:rsid w:val="008C2666"/>
    <w:rsid w:val="008C3390"/>
    <w:rsid w:val="008C3961"/>
    <w:rsid w:val="008C4F9C"/>
    <w:rsid w:val="008C50DF"/>
    <w:rsid w:val="008C6262"/>
    <w:rsid w:val="008C6681"/>
    <w:rsid w:val="008C743B"/>
    <w:rsid w:val="008C7D92"/>
    <w:rsid w:val="008D1049"/>
    <w:rsid w:val="008D11BE"/>
    <w:rsid w:val="008D1457"/>
    <w:rsid w:val="008D1A48"/>
    <w:rsid w:val="008D2752"/>
    <w:rsid w:val="008D31B7"/>
    <w:rsid w:val="008D3C63"/>
    <w:rsid w:val="008D41E5"/>
    <w:rsid w:val="008D479D"/>
    <w:rsid w:val="008D5076"/>
    <w:rsid w:val="008D5263"/>
    <w:rsid w:val="008D5509"/>
    <w:rsid w:val="008D6C55"/>
    <w:rsid w:val="008D7944"/>
    <w:rsid w:val="008E09DD"/>
    <w:rsid w:val="008E20F7"/>
    <w:rsid w:val="008E2A13"/>
    <w:rsid w:val="008E2F56"/>
    <w:rsid w:val="008E33EC"/>
    <w:rsid w:val="008E34EE"/>
    <w:rsid w:val="008E4BA6"/>
    <w:rsid w:val="008E5AF2"/>
    <w:rsid w:val="008E62D3"/>
    <w:rsid w:val="008E67E4"/>
    <w:rsid w:val="008F03B6"/>
    <w:rsid w:val="008F04C2"/>
    <w:rsid w:val="008F06C4"/>
    <w:rsid w:val="008F0C03"/>
    <w:rsid w:val="008F0EBF"/>
    <w:rsid w:val="008F172E"/>
    <w:rsid w:val="008F2215"/>
    <w:rsid w:val="008F2595"/>
    <w:rsid w:val="008F35F8"/>
    <w:rsid w:val="008F43CC"/>
    <w:rsid w:val="008F4E01"/>
    <w:rsid w:val="008F501B"/>
    <w:rsid w:val="008F5CE8"/>
    <w:rsid w:val="008F60F2"/>
    <w:rsid w:val="008F65FE"/>
    <w:rsid w:val="008F71C0"/>
    <w:rsid w:val="008F7BC6"/>
    <w:rsid w:val="009009B1"/>
    <w:rsid w:val="00900C7C"/>
    <w:rsid w:val="00900EB5"/>
    <w:rsid w:val="00900FCD"/>
    <w:rsid w:val="0090157D"/>
    <w:rsid w:val="009015DC"/>
    <w:rsid w:val="0090197A"/>
    <w:rsid w:val="00903D20"/>
    <w:rsid w:val="00903EEB"/>
    <w:rsid w:val="0090470B"/>
    <w:rsid w:val="009062EC"/>
    <w:rsid w:val="00906509"/>
    <w:rsid w:val="00906920"/>
    <w:rsid w:val="00910082"/>
    <w:rsid w:val="009102E3"/>
    <w:rsid w:val="00910417"/>
    <w:rsid w:val="009109DD"/>
    <w:rsid w:val="00911757"/>
    <w:rsid w:val="00911A1E"/>
    <w:rsid w:val="00911BAB"/>
    <w:rsid w:val="0091201E"/>
    <w:rsid w:val="00912AFC"/>
    <w:rsid w:val="00912F23"/>
    <w:rsid w:val="009138B1"/>
    <w:rsid w:val="009143E3"/>
    <w:rsid w:val="009150DF"/>
    <w:rsid w:val="00915236"/>
    <w:rsid w:val="00916541"/>
    <w:rsid w:val="00916591"/>
    <w:rsid w:val="00917DD7"/>
    <w:rsid w:val="00920010"/>
    <w:rsid w:val="00920187"/>
    <w:rsid w:val="0092043D"/>
    <w:rsid w:val="00920599"/>
    <w:rsid w:val="00920D99"/>
    <w:rsid w:val="009210FB"/>
    <w:rsid w:val="00921FFF"/>
    <w:rsid w:val="0092228B"/>
    <w:rsid w:val="00922D73"/>
    <w:rsid w:val="00922D7E"/>
    <w:rsid w:val="009231DF"/>
    <w:rsid w:val="00923366"/>
    <w:rsid w:val="00923F20"/>
    <w:rsid w:val="009249A8"/>
    <w:rsid w:val="00924C6B"/>
    <w:rsid w:val="00924EC9"/>
    <w:rsid w:val="00925122"/>
    <w:rsid w:val="00925165"/>
    <w:rsid w:val="00925195"/>
    <w:rsid w:val="00925488"/>
    <w:rsid w:val="00925E45"/>
    <w:rsid w:val="00926430"/>
    <w:rsid w:val="009269A2"/>
    <w:rsid w:val="00926B8F"/>
    <w:rsid w:val="00926C6A"/>
    <w:rsid w:val="009301A0"/>
    <w:rsid w:val="00930AFA"/>
    <w:rsid w:val="00930D00"/>
    <w:rsid w:val="00930E2C"/>
    <w:rsid w:val="0093153B"/>
    <w:rsid w:val="00931B77"/>
    <w:rsid w:val="009324E2"/>
    <w:rsid w:val="00932D3C"/>
    <w:rsid w:val="00932ECA"/>
    <w:rsid w:val="009330A3"/>
    <w:rsid w:val="00933151"/>
    <w:rsid w:val="0093358C"/>
    <w:rsid w:val="0093405D"/>
    <w:rsid w:val="0093448B"/>
    <w:rsid w:val="00936829"/>
    <w:rsid w:val="0093786A"/>
    <w:rsid w:val="00937B59"/>
    <w:rsid w:val="00940580"/>
    <w:rsid w:val="00940D75"/>
    <w:rsid w:val="009411C9"/>
    <w:rsid w:val="009412F7"/>
    <w:rsid w:val="0094161C"/>
    <w:rsid w:val="00942BBC"/>
    <w:rsid w:val="00943539"/>
    <w:rsid w:val="00943649"/>
    <w:rsid w:val="0094365C"/>
    <w:rsid w:val="00944E76"/>
    <w:rsid w:val="00945622"/>
    <w:rsid w:val="00945F2B"/>
    <w:rsid w:val="00947836"/>
    <w:rsid w:val="00947C74"/>
    <w:rsid w:val="009502E1"/>
    <w:rsid w:val="00950A6B"/>
    <w:rsid w:val="009513CB"/>
    <w:rsid w:val="00952488"/>
    <w:rsid w:val="00952C8D"/>
    <w:rsid w:val="00953B4A"/>
    <w:rsid w:val="00954B7D"/>
    <w:rsid w:val="00954B8C"/>
    <w:rsid w:val="00954D4F"/>
    <w:rsid w:val="009557BA"/>
    <w:rsid w:val="00955AA8"/>
    <w:rsid w:val="00956555"/>
    <w:rsid w:val="009565A5"/>
    <w:rsid w:val="00960111"/>
    <w:rsid w:val="00960E94"/>
    <w:rsid w:val="00961990"/>
    <w:rsid w:val="00962253"/>
    <w:rsid w:val="00962FCD"/>
    <w:rsid w:val="00964891"/>
    <w:rsid w:val="0096490A"/>
    <w:rsid w:val="00964C33"/>
    <w:rsid w:val="009654D9"/>
    <w:rsid w:val="009657BB"/>
    <w:rsid w:val="0096651F"/>
    <w:rsid w:val="00967AF3"/>
    <w:rsid w:val="00967B58"/>
    <w:rsid w:val="009706F1"/>
    <w:rsid w:val="00970ADC"/>
    <w:rsid w:val="00970C47"/>
    <w:rsid w:val="0097137A"/>
    <w:rsid w:val="009716D3"/>
    <w:rsid w:val="0097180F"/>
    <w:rsid w:val="00971AAD"/>
    <w:rsid w:val="00972005"/>
    <w:rsid w:val="0097268B"/>
    <w:rsid w:val="00974209"/>
    <w:rsid w:val="009754AF"/>
    <w:rsid w:val="009763D3"/>
    <w:rsid w:val="009763EB"/>
    <w:rsid w:val="0097674B"/>
    <w:rsid w:val="00976DD8"/>
    <w:rsid w:val="00977BEE"/>
    <w:rsid w:val="00977DBE"/>
    <w:rsid w:val="00980900"/>
    <w:rsid w:val="009817D0"/>
    <w:rsid w:val="00981EA1"/>
    <w:rsid w:val="00981FD3"/>
    <w:rsid w:val="00982EE0"/>
    <w:rsid w:val="0098315A"/>
    <w:rsid w:val="009839C3"/>
    <w:rsid w:val="009840D6"/>
    <w:rsid w:val="00984352"/>
    <w:rsid w:val="009846B6"/>
    <w:rsid w:val="00984AD5"/>
    <w:rsid w:val="0098738D"/>
    <w:rsid w:val="009874B3"/>
    <w:rsid w:val="00987ABD"/>
    <w:rsid w:val="00987BA0"/>
    <w:rsid w:val="0099077A"/>
    <w:rsid w:val="00990C35"/>
    <w:rsid w:val="00990DDF"/>
    <w:rsid w:val="00991EE4"/>
    <w:rsid w:val="0099275D"/>
    <w:rsid w:val="00992FE9"/>
    <w:rsid w:val="009933A1"/>
    <w:rsid w:val="0099386C"/>
    <w:rsid w:val="00993BC8"/>
    <w:rsid w:val="00993DFE"/>
    <w:rsid w:val="00993E8F"/>
    <w:rsid w:val="00994EB7"/>
    <w:rsid w:val="009951CE"/>
    <w:rsid w:val="00996559"/>
    <w:rsid w:val="00996571"/>
    <w:rsid w:val="009969E1"/>
    <w:rsid w:val="00996EE3"/>
    <w:rsid w:val="00996F4B"/>
    <w:rsid w:val="009975AE"/>
    <w:rsid w:val="00997F67"/>
    <w:rsid w:val="009A0187"/>
    <w:rsid w:val="009A05E9"/>
    <w:rsid w:val="009A126D"/>
    <w:rsid w:val="009A160E"/>
    <w:rsid w:val="009A196A"/>
    <w:rsid w:val="009A261C"/>
    <w:rsid w:val="009A2860"/>
    <w:rsid w:val="009A2967"/>
    <w:rsid w:val="009A32C4"/>
    <w:rsid w:val="009A3399"/>
    <w:rsid w:val="009A3F4A"/>
    <w:rsid w:val="009A46E8"/>
    <w:rsid w:val="009A4ADC"/>
    <w:rsid w:val="009A4B25"/>
    <w:rsid w:val="009A4C2D"/>
    <w:rsid w:val="009A52D2"/>
    <w:rsid w:val="009A5830"/>
    <w:rsid w:val="009A583D"/>
    <w:rsid w:val="009A5DED"/>
    <w:rsid w:val="009A6177"/>
    <w:rsid w:val="009B08DB"/>
    <w:rsid w:val="009B2269"/>
    <w:rsid w:val="009B29D5"/>
    <w:rsid w:val="009B2B81"/>
    <w:rsid w:val="009B33CF"/>
    <w:rsid w:val="009B3767"/>
    <w:rsid w:val="009B37FD"/>
    <w:rsid w:val="009B45F5"/>
    <w:rsid w:val="009B483E"/>
    <w:rsid w:val="009B49A5"/>
    <w:rsid w:val="009B4C6D"/>
    <w:rsid w:val="009B6654"/>
    <w:rsid w:val="009B6CFF"/>
    <w:rsid w:val="009B70E6"/>
    <w:rsid w:val="009B7422"/>
    <w:rsid w:val="009B782C"/>
    <w:rsid w:val="009B7A98"/>
    <w:rsid w:val="009C01E2"/>
    <w:rsid w:val="009C01E3"/>
    <w:rsid w:val="009C0446"/>
    <w:rsid w:val="009C0701"/>
    <w:rsid w:val="009C0871"/>
    <w:rsid w:val="009C0BE7"/>
    <w:rsid w:val="009C0C77"/>
    <w:rsid w:val="009C0E81"/>
    <w:rsid w:val="009C170D"/>
    <w:rsid w:val="009C25FF"/>
    <w:rsid w:val="009C3A4D"/>
    <w:rsid w:val="009C4270"/>
    <w:rsid w:val="009C4462"/>
    <w:rsid w:val="009C47C4"/>
    <w:rsid w:val="009C486A"/>
    <w:rsid w:val="009C4AA5"/>
    <w:rsid w:val="009C4BBE"/>
    <w:rsid w:val="009C69DB"/>
    <w:rsid w:val="009C6C7E"/>
    <w:rsid w:val="009C6CC1"/>
    <w:rsid w:val="009C72BD"/>
    <w:rsid w:val="009D0086"/>
    <w:rsid w:val="009D0EB9"/>
    <w:rsid w:val="009D1119"/>
    <w:rsid w:val="009D2602"/>
    <w:rsid w:val="009D3BF6"/>
    <w:rsid w:val="009D3C07"/>
    <w:rsid w:val="009D3E5E"/>
    <w:rsid w:val="009D3EC1"/>
    <w:rsid w:val="009D5062"/>
    <w:rsid w:val="009D5232"/>
    <w:rsid w:val="009D597B"/>
    <w:rsid w:val="009D5D97"/>
    <w:rsid w:val="009D5F06"/>
    <w:rsid w:val="009D6E29"/>
    <w:rsid w:val="009E0248"/>
    <w:rsid w:val="009E059D"/>
    <w:rsid w:val="009E0DE1"/>
    <w:rsid w:val="009E16E5"/>
    <w:rsid w:val="009E1A9F"/>
    <w:rsid w:val="009E290D"/>
    <w:rsid w:val="009E2D3F"/>
    <w:rsid w:val="009E3DAB"/>
    <w:rsid w:val="009E4424"/>
    <w:rsid w:val="009E44F3"/>
    <w:rsid w:val="009E481E"/>
    <w:rsid w:val="009E50C0"/>
    <w:rsid w:val="009E5A40"/>
    <w:rsid w:val="009E6190"/>
    <w:rsid w:val="009E6D77"/>
    <w:rsid w:val="009E7946"/>
    <w:rsid w:val="009E7E2B"/>
    <w:rsid w:val="009E7F4B"/>
    <w:rsid w:val="009F0653"/>
    <w:rsid w:val="009F0D0F"/>
    <w:rsid w:val="009F1096"/>
    <w:rsid w:val="009F21B7"/>
    <w:rsid w:val="009F3140"/>
    <w:rsid w:val="009F3E69"/>
    <w:rsid w:val="009F421E"/>
    <w:rsid w:val="009F47BA"/>
    <w:rsid w:val="009F4E0E"/>
    <w:rsid w:val="009F510B"/>
    <w:rsid w:val="009F63BE"/>
    <w:rsid w:val="009F662A"/>
    <w:rsid w:val="009F66D1"/>
    <w:rsid w:val="009F66F2"/>
    <w:rsid w:val="009F6ED7"/>
    <w:rsid w:val="00A001A5"/>
    <w:rsid w:val="00A002F1"/>
    <w:rsid w:val="00A00E17"/>
    <w:rsid w:val="00A01E32"/>
    <w:rsid w:val="00A01ED3"/>
    <w:rsid w:val="00A025EF"/>
    <w:rsid w:val="00A027CB"/>
    <w:rsid w:val="00A02F39"/>
    <w:rsid w:val="00A03661"/>
    <w:rsid w:val="00A039EC"/>
    <w:rsid w:val="00A03AE2"/>
    <w:rsid w:val="00A04784"/>
    <w:rsid w:val="00A049B1"/>
    <w:rsid w:val="00A05632"/>
    <w:rsid w:val="00A10257"/>
    <w:rsid w:val="00A10882"/>
    <w:rsid w:val="00A10953"/>
    <w:rsid w:val="00A10E76"/>
    <w:rsid w:val="00A1137E"/>
    <w:rsid w:val="00A1157F"/>
    <w:rsid w:val="00A12013"/>
    <w:rsid w:val="00A1241F"/>
    <w:rsid w:val="00A126FB"/>
    <w:rsid w:val="00A12CEF"/>
    <w:rsid w:val="00A134B9"/>
    <w:rsid w:val="00A13E14"/>
    <w:rsid w:val="00A143B0"/>
    <w:rsid w:val="00A149A2"/>
    <w:rsid w:val="00A14A8C"/>
    <w:rsid w:val="00A14CC3"/>
    <w:rsid w:val="00A14E9F"/>
    <w:rsid w:val="00A1523C"/>
    <w:rsid w:val="00A152FC"/>
    <w:rsid w:val="00A15621"/>
    <w:rsid w:val="00A160F9"/>
    <w:rsid w:val="00A17469"/>
    <w:rsid w:val="00A175BC"/>
    <w:rsid w:val="00A20158"/>
    <w:rsid w:val="00A207CD"/>
    <w:rsid w:val="00A207E1"/>
    <w:rsid w:val="00A207E8"/>
    <w:rsid w:val="00A210CE"/>
    <w:rsid w:val="00A21854"/>
    <w:rsid w:val="00A21B9F"/>
    <w:rsid w:val="00A22791"/>
    <w:rsid w:val="00A22E66"/>
    <w:rsid w:val="00A23375"/>
    <w:rsid w:val="00A245B9"/>
    <w:rsid w:val="00A24FEB"/>
    <w:rsid w:val="00A250CE"/>
    <w:rsid w:val="00A25566"/>
    <w:rsid w:val="00A260F3"/>
    <w:rsid w:val="00A263A7"/>
    <w:rsid w:val="00A26A3F"/>
    <w:rsid w:val="00A27766"/>
    <w:rsid w:val="00A279CF"/>
    <w:rsid w:val="00A27F3A"/>
    <w:rsid w:val="00A309C5"/>
    <w:rsid w:val="00A30AF5"/>
    <w:rsid w:val="00A30F62"/>
    <w:rsid w:val="00A3133A"/>
    <w:rsid w:val="00A31834"/>
    <w:rsid w:val="00A31F75"/>
    <w:rsid w:val="00A32303"/>
    <w:rsid w:val="00A32881"/>
    <w:rsid w:val="00A33AA2"/>
    <w:rsid w:val="00A33B27"/>
    <w:rsid w:val="00A342F1"/>
    <w:rsid w:val="00A34AD6"/>
    <w:rsid w:val="00A350C1"/>
    <w:rsid w:val="00A354EB"/>
    <w:rsid w:val="00A35889"/>
    <w:rsid w:val="00A35BE9"/>
    <w:rsid w:val="00A36329"/>
    <w:rsid w:val="00A3671B"/>
    <w:rsid w:val="00A379E1"/>
    <w:rsid w:val="00A37EF7"/>
    <w:rsid w:val="00A419B4"/>
    <w:rsid w:val="00A41CE8"/>
    <w:rsid w:val="00A425BE"/>
    <w:rsid w:val="00A44099"/>
    <w:rsid w:val="00A445AE"/>
    <w:rsid w:val="00A447ED"/>
    <w:rsid w:val="00A46432"/>
    <w:rsid w:val="00A46663"/>
    <w:rsid w:val="00A47422"/>
    <w:rsid w:val="00A47AB6"/>
    <w:rsid w:val="00A50212"/>
    <w:rsid w:val="00A522A5"/>
    <w:rsid w:val="00A545FB"/>
    <w:rsid w:val="00A54F35"/>
    <w:rsid w:val="00A5512A"/>
    <w:rsid w:val="00A55397"/>
    <w:rsid w:val="00A55593"/>
    <w:rsid w:val="00A55617"/>
    <w:rsid w:val="00A56C43"/>
    <w:rsid w:val="00A57C0C"/>
    <w:rsid w:val="00A60BFC"/>
    <w:rsid w:val="00A60D14"/>
    <w:rsid w:val="00A614F3"/>
    <w:rsid w:val="00A61775"/>
    <w:rsid w:val="00A62F4C"/>
    <w:rsid w:val="00A64050"/>
    <w:rsid w:val="00A64E2C"/>
    <w:rsid w:val="00A64E6C"/>
    <w:rsid w:val="00A65502"/>
    <w:rsid w:val="00A658BB"/>
    <w:rsid w:val="00A65B73"/>
    <w:rsid w:val="00A664EC"/>
    <w:rsid w:val="00A6751C"/>
    <w:rsid w:val="00A7096F"/>
    <w:rsid w:val="00A70CEE"/>
    <w:rsid w:val="00A71026"/>
    <w:rsid w:val="00A71B99"/>
    <w:rsid w:val="00A71F4F"/>
    <w:rsid w:val="00A72141"/>
    <w:rsid w:val="00A72E7F"/>
    <w:rsid w:val="00A733ED"/>
    <w:rsid w:val="00A74E21"/>
    <w:rsid w:val="00A75172"/>
    <w:rsid w:val="00A758BF"/>
    <w:rsid w:val="00A75EE9"/>
    <w:rsid w:val="00A765D3"/>
    <w:rsid w:val="00A7696A"/>
    <w:rsid w:val="00A76A8F"/>
    <w:rsid w:val="00A7758E"/>
    <w:rsid w:val="00A77698"/>
    <w:rsid w:val="00A7777C"/>
    <w:rsid w:val="00A80BDD"/>
    <w:rsid w:val="00A80CCB"/>
    <w:rsid w:val="00A828B7"/>
    <w:rsid w:val="00A83519"/>
    <w:rsid w:val="00A838E7"/>
    <w:rsid w:val="00A83DED"/>
    <w:rsid w:val="00A847FF"/>
    <w:rsid w:val="00A84DE8"/>
    <w:rsid w:val="00A84E7B"/>
    <w:rsid w:val="00A85063"/>
    <w:rsid w:val="00A86224"/>
    <w:rsid w:val="00A865E4"/>
    <w:rsid w:val="00A87109"/>
    <w:rsid w:val="00A87DA4"/>
    <w:rsid w:val="00A9011E"/>
    <w:rsid w:val="00A9017A"/>
    <w:rsid w:val="00A90540"/>
    <w:rsid w:val="00A90FE2"/>
    <w:rsid w:val="00A91110"/>
    <w:rsid w:val="00A920DF"/>
    <w:rsid w:val="00A921DF"/>
    <w:rsid w:val="00A92CCB"/>
    <w:rsid w:val="00A93250"/>
    <w:rsid w:val="00A93576"/>
    <w:rsid w:val="00A93768"/>
    <w:rsid w:val="00A93BA9"/>
    <w:rsid w:val="00A946C1"/>
    <w:rsid w:val="00A94AD2"/>
    <w:rsid w:val="00A95B8C"/>
    <w:rsid w:val="00A969F6"/>
    <w:rsid w:val="00A97159"/>
    <w:rsid w:val="00A97EDD"/>
    <w:rsid w:val="00AA07E3"/>
    <w:rsid w:val="00AA0836"/>
    <w:rsid w:val="00AA0912"/>
    <w:rsid w:val="00AA0FEE"/>
    <w:rsid w:val="00AA13BE"/>
    <w:rsid w:val="00AA1A8B"/>
    <w:rsid w:val="00AA2030"/>
    <w:rsid w:val="00AA2180"/>
    <w:rsid w:val="00AA40F9"/>
    <w:rsid w:val="00AA4F77"/>
    <w:rsid w:val="00AA6CF2"/>
    <w:rsid w:val="00AA6EBA"/>
    <w:rsid w:val="00AA7D46"/>
    <w:rsid w:val="00AB059D"/>
    <w:rsid w:val="00AB08A6"/>
    <w:rsid w:val="00AB0BB9"/>
    <w:rsid w:val="00AB1223"/>
    <w:rsid w:val="00AB146A"/>
    <w:rsid w:val="00AB2205"/>
    <w:rsid w:val="00AB2ACC"/>
    <w:rsid w:val="00AB3298"/>
    <w:rsid w:val="00AB381F"/>
    <w:rsid w:val="00AB470D"/>
    <w:rsid w:val="00AB5929"/>
    <w:rsid w:val="00AB5B41"/>
    <w:rsid w:val="00AB6060"/>
    <w:rsid w:val="00AB62D8"/>
    <w:rsid w:val="00AB676C"/>
    <w:rsid w:val="00AB7D05"/>
    <w:rsid w:val="00AC1286"/>
    <w:rsid w:val="00AC18E6"/>
    <w:rsid w:val="00AC4609"/>
    <w:rsid w:val="00AC47FD"/>
    <w:rsid w:val="00AC4AEB"/>
    <w:rsid w:val="00AC4C88"/>
    <w:rsid w:val="00AC73C4"/>
    <w:rsid w:val="00AC775D"/>
    <w:rsid w:val="00AC791A"/>
    <w:rsid w:val="00AD0212"/>
    <w:rsid w:val="00AD225B"/>
    <w:rsid w:val="00AD47F4"/>
    <w:rsid w:val="00AD4D52"/>
    <w:rsid w:val="00AD5240"/>
    <w:rsid w:val="00AD6655"/>
    <w:rsid w:val="00AD79BF"/>
    <w:rsid w:val="00AE026B"/>
    <w:rsid w:val="00AE06CE"/>
    <w:rsid w:val="00AE0ACF"/>
    <w:rsid w:val="00AE0F7C"/>
    <w:rsid w:val="00AE17C4"/>
    <w:rsid w:val="00AE1C67"/>
    <w:rsid w:val="00AE2442"/>
    <w:rsid w:val="00AE2868"/>
    <w:rsid w:val="00AE3646"/>
    <w:rsid w:val="00AE365F"/>
    <w:rsid w:val="00AE3EC2"/>
    <w:rsid w:val="00AE4F8A"/>
    <w:rsid w:val="00AE5716"/>
    <w:rsid w:val="00AE5D35"/>
    <w:rsid w:val="00AE60E4"/>
    <w:rsid w:val="00AE62BF"/>
    <w:rsid w:val="00AE710D"/>
    <w:rsid w:val="00AE760F"/>
    <w:rsid w:val="00AE7BF7"/>
    <w:rsid w:val="00AE7D27"/>
    <w:rsid w:val="00AF024C"/>
    <w:rsid w:val="00AF0311"/>
    <w:rsid w:val="00AF0842"/>
    <w:rsid w:val="00AF11CB"/>
    <w:rsid w:val="00AF17BD"/>
    <w:rsid w:val="00AF1DD4"/>
    <w:rsid w:val="00AF2176"/>
    <w:rsid w:val="00AF2403"/>
    <w:rsid w:val="00AF30CE"/>
    <w:rsid w:val="00AF329D"/>
    <w:rsid w:val="00AF3381"/>
    <w:rsid w:val="00AF358A"/>
    <w:rsid w:val="00AF38AD"/>
    <w:rsid w:val="00AF3E47"/>
    <w:rsid w:val="00AF4210"/>
    <w:rsid w:val="00AF43D3"/>
    <w:rsid w:val="00AF4D68"/>
    <w:rsid w:val="00AF4DF9"/>
    <w:rsid w:val="00AF52FB"/>
    <w:rsid w:val="00AF64D0"/>
    <w:rsid w:val="00AF7BC1"/>
    <w:rsid w:val="00B0036B"/>
    <w:rsid w:val="00B01322"/>
    <w:rsid w:val="00B01806"/>
    <w:rsid w:val="00B05AA8"/>
    <w:rsid w:val="00B0659C"/>
    <w:rsid w:val="00B070D2"/>
    <w:rsid w:val="00B112C5"/>
    <w:rsid w:val="00B11439"/>
    <w:rsid w:val="00B114F4"/>
    <w:rsid w:val="00B12302"/>
    <w:rsid w:val="00B12630"/>
    <w:rsid w:val="00B12EDA"/>
    <w:rsid w:val="00B13CC2"/>
    <w:rsid w:val="00B13DEC"/>
    <w:rsid w:val="00B148FF"/>
    <w:rsid w:val="00B15664"/>
    <w:rsid w:val="00B15F9C"/>
    <w:rsid w:val="00B166E5"/>
    <w:rsid w:val="00B1677E"/>
    <w:rsid w:val="00B203F6"/>
    <w:rsid w:val="00B2079A"/>
    <w:rsid w:val="00B20D1E"/>
    <w:rsid w:val="00B2149C"/>
    <w:rsid w:val="00B21658"/>
    <w:rsid w:val="00B23343"/>
    <w:rsid w:val="00B2432A"/>
    <w:rsid w:val="00B24450"/>
    <w:rsid w:val="00B24566"/>
    <w:rsid w:val="00B24CB4"/>
    <w:rsid w:val="00B2533E"/>
    <w:rsid w:val="00B25EEB"/>
    <w:rsid w:val="00B26767"/>
    <w:rsid w:val="00B268D4"/>
    <w:rsid w:val="00B270B6"/>
    <w:rsid w:val="00B271C5"/>
    <w:rsid w:val="00B27256"/>
    <w:rsid w:val="00B2771C"/>
    <w:rsid w:val="00B27B7C"/>
    <w:rsid w:val="00B315F7"/>
    <w:rsid w:val="00B327F9"/>
    <w:rsid w:val="00B32843"/>
    <w:rsid w:val="00B3316E"/>
    <w:rsid w:val="00B331CF"/>
    <w:rsid w:val="00B334D2"/>
    <w:rsid w:val="00B34483"/>
    <w:rsid w:val="00B3480F"/>
    <w:rsid w:val="00B36319"/>
    <w:rsid w:val="00B36E0C"/>
    <w:rsid w:val="00B372EF"/>
    <w:rsid w:val="00B37A11"/>
    <w:rsid w:val="00B40493"/>
    <w:rsid w:val="00B406DA"/>
    <w:rsid w:val="00B40D95"/>
    <w:rsid w:val="00B4104F"/>
    <w:rsid w:val="00B4184C"/>
    <w:rsid w:val="00B4231B"/>
    <w:rsid w:val="00B42AB6"/>
    <w:rsid w:val="00B42B1B"/>
    <w:rsid w:val="00B42C87"/>
    <w:rsid w:val="00B42CC8"/>
    <w:rsid w:val="00B4354F"/>
    <w:rsid w:val="00B44C56"/>
    <w:rsid w:val="00B44F30"/>
    <w:rsid w:val="00B44FEC"/>
    <w:rsid w:val="00B45B8E"/>
    <w:rsid w:val="00B45C8F"/>
    <w:rsid w:val="00B45E45"/>
    <w:rsid w:val="00B47EF6"/>
    <w:rsid w:val="00B502A4"/>
    <w:rsid w:val="00B50641"/>
    <w:rsid w:val="00B5066E"/>
    <w:rsid w:val="00B50BCB"/>
    <w:rsid w:val="00B50FD6"/>
    <w:rsid w:val="00B52368"/>
    <w:rsid w:val="00B524B2"/>
    <w:rsid w:val="00B527D6"/>
    <w:rsid w:val="00B529EC"/>
    <w:rsid w:val="00B5448C"/>
    <w:rsid w:val="00B552D8"/>
    <w:rsid w:val="00B57D4D"/>
    <w:rsid w:val="00B607A3"/>
    <w:rsid w:val="00B61252"/>
    <w:rsid w:val="00B61311"/>
    <w:rsid w:val="00B61355"/>
    <w:rsid w:val="00B629C6"/>
    <w:rsid w:val="00B63BED"/>
    <w:rsid w:val="00B63F19"/>
    <w:rsid w:val="00B641D1"/>
    <w:rsid w:val="00B64909"/>
    <w:rsid w:val="00B64A1F"/>
    <w:rsid w:val="00B64C1A"/>
    <w:rsid w:val="00B651FA"/>
    <w:rsid w:val="00B65395"/>
    <w:rsid w:val="00B65920"/>
    <w:rsid w:val="00B659F9"/>
    <w:rsid w:val="00B66796"/>
    <w:rsid w:val="00B679C0"/>
    <w:rsid w:val="00B70AE7"/>
    <w:rsid w:val="00B7178A"/>
    <w:rsid w:val="00B71D68"/>
    <w:rsid w:val="00B71F17"/>
    <w:rsid w:val="00B72775"/>
    <w:rsid w:val="00B72E3F"/>
    <w:rsid w:val="00B73566"/>
    <w:rsid w:val="00B73854"/>
    <w:rsid w:val="00B73864"/>
    <w:rsid w:val="00B741FB"/>
    <w:rsid w:val="00B74A3E"/>
    <w:rsid w:val="00B752AE"/>
    <w:rsid w:val="00B7585A"/>
    <w:rsid w:val="00B767BF"/>
    <w:rsid w:val="00B76E64"/>
    <w:rsid w:val="00B7704C"/>
    <w:rsid w:val="00B7768D"/>
    <w:rsid w:val="00B81659"/>
    <w:rsid w:val="00B8168F"/>
    <w:rsid w:val="00B81FD8"/>
    <w:rsid w:val="00B82EEB"/>
    <w:rsid w:val="00B82F93"/>
    <w:rsid w:val="00B82FBF"/>
    <w:rsid w:val="00B832C2"/>
    <w:rsid w:val="00B8512A"/>
    <w:rsid w:val="00B855B9"/>
    <w:rsid w:val="00B85910"/>
    <w:rsid w:val="00B85FA5"/>
    <w:rsid w:val="00B8626E"/>
    <w:rsid w:val="00B8665F"/>
    <w:rsid w:val="00B868F8"/>
    <w:rsid w:val="00B87420"/>
    <w:rsid w:val="00B87AA9"/>
    <w:rsid w:val="00B90210"/>
    <w:rsid w:val="00B90272"/>
    <w:rsid w:val="00B909B5"/>
    <w:rsid w:val="00B90AC9"/>
    <w:rsid w:val="00B90F3D"/>
    <w:rsid w:val="00B9132E"/>
    <w:rsid w:val="00B923B9"/>
    <w:rsid w:val="00B925DA"/>
    <w:rsid w:val="00B92DDB"/>
    <w:rsid w:val="00B92E33"/>
    <w:rsid w:val="00B942F2"/>
    <w:rsid w:val="00B94D1F"/>
    <w:rsid w:val="00B96295"/>
    <w:rsid w:val="00B96E70"/>
    <w:rsid w:val="00B97577"/>
    <w:rsid w:val="00B9760D"/>
    <w:rsid w:val="00B97CF5"/>
    <w:rsid w:val="00BA02B3"/>
    <w:rsid w:val="00BA02B8"/>
    <w:rsid w:val="00BA039F"/>
    <w:rsid w:val="00BA0516"/>
    <w:rsid w:val="00BA080D"/>
    <w:rsid w:val="00BA0F40"/>
    <w:rsid w:val="00BA1321"/>
    <w:rsid w:val="00BA169B"/>
    <w:rsid w:val="00BA26AC"/>
    <w:rsid w:val="00BA2AA4"/>
    <w:rsid w:val="00BA312E"/>
    <w:rsid w:val="00BA331C"/>
    <w:rsid w:val="00BA3ECC"/>
    <w:rsid w:val="00BA414C"/>
    <w:rsid w:val="00BA4909"/>
    <w:rsid w:val="00BA4F59"/>
    <w:rsid w:val="00BA5156"/>
    <w:rsid w:val="00BA5499"/>
    <w:rsid w:val="00BA5640"/>
    <w:rsid w:val="00BA6224"/>
    <w:rsid w:val="00BA646C"/>
    <w:rsid w:val="00BA6C37"/>
    <w:rsid w:val="00BA748C"/>
    <w:rsid w:val="00BA7A95"/>
    <w:rsid w:val="00BB0C37"/>
    <w:rsid w:val="00BB0ECD"/>
    <w:rsid w:val="00BB0F2D"/>
    <w:rsid w:val="00BB2684"/>
    <w:rsid w:val="00BB3FAA"/>
    <w:rsid w:val="00BB40C5"/>
    <w:rsid w:val="00BB43E0"/>
    <w:rsid w:val="00BB48E1"/>
    <w:rsid w:val="00BB5BA0"/>
    <w:rsid w:val="00BB76E9"/>
    <w:rsid w:val="00BB7C43"/>
    <w:rsid w:val="00BC029C"/>
    <w:rsid w:val="00BC0C35"/>
    <w:rsid w:val="00BC0FE3"/>
    <w:rsid w:val="00BC12C9"/>
    <w:rsid w:val="00BC1587"/>
    <w:rsid w:val="00BC1B6C"/>
    <w:rsid w:val="00BC365F"/>
    <w:rsid w:val="00BC371E"/>
    <w:rsid w:val="00BC4115"/>
    <w:rsid w:val="00BC45A4"/>
    <w:rsid w:val="00BC46A2"/>
    <w:rsid w:val="00BC49C0"/>
    <w:rsid w:val="00BC4B8C"/>
    <w:rsid w:val="00BC5AD0"/>
    <w:rsid w:val="00BC71C6"/>
    <w:rsid w:val="00BC7CA8"/>
    <w:rsid w:val="00BD04B2"/>
    <w:rsid w:val="00BD0E57"/>
    <w:rsid w:val="00BD1620"/>
    <w:rsid w:val="00BD201F"/>
    <w:rsid w:val="00BD28A7"/>
    <w:rsid w:val="00BD298A"/>
    <w:rsid w:val="00BD3749"/>
    <w:rsid w:val="00BD39AE"/>
    <w:rsid w:val="00BD3A4D"/>
    <w:rsid w:val="00BD3D8B"/>
    <w:rsid w:val="00BD49B8"/>
    <w:rsid w:val="00BD4BB8"/>
    <w:rsid w:val="00BD54C6"/>
    <w:rsid w:val="00BD5BB0"/>
    <w:rsid w:val="00BD5D71"/>
    <w:rsid w:val="00BD68CB"/>
    <w:rsid w:val="00BD6D49"/>
    <w:rsid w:val="00BD7054"/>
    <w:rsid w:val="00BD7314"/>
    <w:rsid w:val="00BD797A"/>
    <w:rsid w:val="00BE058A"/>
    <w:rsid w:val="00BE0AAE"/>
    <w:rsid w:val="00BE10C6"/>
    <w:rsid w:val="00BE1336"/>
    <w:rsid w:val="00BE172C"/>
    <w:rsid w:val="00BE21A1"/>
    <w:rsid w:val="00BE2E08"/>
    <w:rsid w:val="00BE348C"/>
    <w:rsid w:val="00BE34F4"/>
    <w:rsid w:val="00BE392F"/>
    <w:rsid w:val="00BE3960"/>
    <w:rsid w:val="00BE4167"/>
    <w:rsid w:val="00BE47F5"/>
    <w:rsid w:val="00BE480F"/>
    <w:rsid w:val="00BE5F14"/>
    <w:rsid w:val="00BE6460"/>
    <w:rsid w:val="00BE673B"/>
    <w:rsid w:val="00BE6880"/>
    <w:rsid w:val="00BE6F5E"/>
    <w:rsid w:val="00BE7986"/>
    <w:rsid w:val="00BF0583"/>
    <w:rsid w:val="00BF0977"/>
    <w:rsid w:val="00BF0C7A"/>
    <w:rsid w:val="00BF1BBC"/>
    <w:rsid w:val="00BF332C"/>
    <w:rsid w:val="00BF36AE"/>
    <w:rsid w:val="00BF5F2C"/>
    <w:rsid w:val="00BF6081"/>
    <w:rsid w:val="00BF744F"/>
    <w:rsid w:val="00BF797A"/>
    <w:rsid w:val="00BF7E2B"/>
    <w:rsid w:val="00BF7F3E"/>
    <w:rsid w:val="00C0186D"/>
    <w:rsid w:val="00C01900"/>
    <w:rsid w:val="00C022D6"/>
    <w:rsid w:val="00C0233D"/>
    <w:rsid w:val="00C02613"/>
    <w:rsid w:val="00C02B92"/>
    <w:rsid w:val="00C03EE9"/>
    <w:rsid w:val="00C03FB6"/>
    <w:rsid w:val="00C04EB3"/>
    <w:rsid w:val="00C05286"/>
    <w:rsid w:val="00C05769"/>
    <w:rsid w:val="00C06A65"/>
    <w:rsid w:val="00C1034C"/>
    <w:rsid w:val="00C103BB"/>
    <w:rsid w:val="00C11C70"/>
    <w:rsid w:val="00C121CA"/>
    <w:rsid w:val="00C124EC"/>
    <w:rsid w:val="00C126A0"/>
    <w:rsid w:val="00C12878"/>
    <w:rsid w:val="00C12AD6"/>
    <w:rsid w:val="00C14226"/>
    <w:rsid w:val="00C142F1"/>
    <w:rsid w:val="00C1434C"/>
    <w:rsid w:val="00C145BF"/>
    <w:rsid w:val="00C15F90"/>
    <w:rsid w:val="00C16962"/>
    <w:rsid w:val="00C20728"/>
    <w:rsid w:val="00C211B2"/>
    <w:rsid w:val="00C214BB"/>
    <w:rsid w:val="00C2248F"/>
    <w:rsid w:val="00C228E0"/>
    <w:rsid w:val="00C22F09"/>
    <w:rsid w:val="00C2325A"/>
    <w:rsid w:val="00C23281"/>
    <w:rsid w:val="00C24349"/>
    <w:rsid w:val="00C2452E"/>
    <w:rsid w:val="00C25818"/>
    <w:rsid w:val="00C25A2B"/>
    <w:rsid w:val="00C260A1"/>
    <w:rsid w:val="00C26113"/>
    <w:rsid w:val="00C262E6"/>
    <w:rsid w:val="00C26F7E"/>
    <w:rsid w:val="00C2791F"/>
    <w:rsid w:val="00C27924"/>
    <w:rsid w:val="00C3006E"/>
    <w:rsid w:val="00C30097"/>
    <w:rsid w:val="00C304C9"/>
    <w:rsid w:val="00C30557"/>
    <w:rsid w:val="00C30B64"/>
    <w:rsid w:val="00C319AC"/>
    <w:rsid w:val="00C31D60"/>
    <w:rsid w:val="00C33471"/>
    <w:rsid w:val="00C344AF"/>
    <w:rsid w:val="00C3544F"/>
    <w:rsid w:val="00C358E9"/>
    <w:rsid w:val="00C35A80"/>
    <w:rsid w:val="00C36385"/>
    <w:rsid w:val="00C36CE6"/>
    <w:rsid w:val="00C43152"/>
    <w:rsid w:val="00C449D6"/>
    <w:rsid w:val="00C44D11"/>
    <w:rsid w:val="00C44F90"/>
    <w:rsid w:val="00C45006"/>
    <w:rsid w:val="00C46FDA"/>
    <w:rsid w:val="00C46FF4"/>
    <w:rsid w:val="00C473C1"/>
    <w:rsid w:val="00C47407"/>
    <w:rsid w:val="00C4749F"/>
    <w:rsid w:val="00C474E2"/>
    <w:rsid w:val="00C4761A"/>
    <w:rsid w:val="00C47630"/>
    <w:rsid w:val="00C47CF1"/>
    <w:rsid w:val="00C47E70"/>
    <w:rsid w:val="00C51218"/>
    <w:rsid w:val="00C516B9"/>
    <w:rsid w:val="00C5276B"/>
    <w:rsid w:val="00C52A92"/>
    <w:rsid w:val="00C536AD"/>
    <w:rsid w:val="00C53979"/>
    <w:rsid w:val="00C53EF3"/>
    <w:rsid w:val="00C54651"/>
    <w:rsid w:val="00C546A6"/>
    <w:rsid w:val="00C547F3"/>
    <w:rsid w:val="00C54DBA"/>
    <w:rsid w:val="00C54DBC"/>
    <w:rsid w:val="00C55297"/>
    <w:rsid w:val="00C5542E"/>
    <w:rsid w:val="00C56217"/>
    <w:rsid w:val="00C568BB"/>
    <w:rsid w:val="00C5695B"/>
    <w:rsid w:val="00C56ABB"/>
    <w:rsid w:val="00C56B83"/>
    <w:rsid w:val="00C574B3"/>
    <w:rsid w:val="00C57C5C"/>
    <w:rsid w:val="00C6045E"/>
    <w:rsid w:val="00C612D4"/>
    <w:rsid w:val="00C6174C"/>
    <w:rsid w:val="00C62D2A"/>
    <w:rsid w:val="00C6355D"/>
    <w:rsid w:val="00C645DE"/>
    <w:rsid w:val="00C653B9"/>
    <w:rsid w:val="00C6572D"/>
    <w:rsid w:val="00C66AC6"/>
    <w:rsid w:val="00C66F9E"/>
    <w:rsid w:val="00C6725F"/>
    <w:rsid w:val="00C67B1F"/>
    <w:rsid w:val="00C70362"/>
    <w:rsid w:val="00C711E4"/>
    <w:rsid w:val="00C7152E"/>
    <w:rsid w:val="00C71628"/>
    <w:rsid w:val="00C721EF"/>
    <w:rsid w:val="00C722D9"/>
    <w:rsid w:val="00C72BCD"/>
    <w:rsid w:val="00C72D3F"/>
    <w:rsid w:val="00C731C3"/>
    <w:rsid w:val="00C7376A"/>
    <w:rsid w:val="00C73DE3"/>
    <w:rsid w:val="00C74D5D"/>
    <w:rsid w:val="00C75C9A"/>
    <w:rsid w:val="00C7617E"/>
    <w:rsid w:val="00C76B5C"/>
    <w:rsid w:val="00C80191"/>
    <w:rsid w:val="00C80BE4"/>
    <w:rsid w:val="00C812DD"/>
    <w:rsid w:val="00C82827"/>
    <w:rsid w:val="00C82B27"/>
    <w:rsid w:val="00C83744"/>
    <w:rsid w:val="00C83838"/>
    <w:rsid w:val="00C8395D"/>
    <w:rsid w:val="00C852F4"/>
    <w:rsid w:val="00C858A4"/>
    <w:rsid w:val="00C86991"/>
    <w:rsid w:val="00C86F18"/>
    <w:rsid w:val="00C878C8"/>
    <w:rsid w:val="00C87A30"/>
    <w:rsid w:val="00C87A50"/>
    <w:rsid w:val="00C90387"/>
    <w:rsid w:val="00C905A5"/>
    <w:rsid w:val="00C907A8"/>
    <w:rsid w:val="00C91024"/>
    <w:rsid w:val="00C9205F"/>
    <w:rsid w:val="00C93FF0"/>
    <w:rsid w:val="00C94397"/>
    <w:rsid w:val="00C94512"/>
    <w:rsid w:val="00C945CC"/>
    <w:rsid w:val="00C94B3E"/>
    <w:rsid w:val="00C9670F"/>
    <w:rsid w:val="00C969EA"/>
    <w:rsid w:val="00CA07B1"/>
    <w:rsid w:val="00CA0C1D"/>
    <w:rsid w:val="00CA2263"/>
    <w:rsid w:val="00CA3D54"/>
    <w:rsid w:val="00CA4629"/>
    <w:rsid w:val="00CA518E"/>
    <w:rsid w:val="00CA5740"/>
    <w:rsid w:val="00CA5A16"/>
    <w:rsid w:val="00CA63F8"/>
    <w:rsid w:val="00CA645E"/>
    <w:rsid w:val="00CA673A"/>
    <w:rsid w:val="00CA6960"/>
    <w:rsid w:val="00CA6EE9"/>
    <w:rsid w:val="00CA72EB"/>
    <w:rsid w:val="00CB01A1"/>
    <w:rsid w:val="00CB041F"/>
    <w:rsid w:val="00CB05BC"/>
    <w:rsid w:val="00CB21CC"/>
    <w:rsid w:val="00CB2376"/>
    <w:rsid w:val="00CB282C"/>
    <w:rsid w:val="00CB2CFA"/>
    <w:rsid w:val="00CB35EC"/>
    <w:rsid w:val="00CB39A0"/>
    <w:rsid w:val="00CB3E98"/>
    <w:rsid w:val="00CB4398"/>
    <w:rsid w:val="00CB4AFE"/>
    <w:rsid w:val="00CB4E3E"/>
    <w:rsid w:val="00CB5C68"/>
    <w:rsid w:val="00CB69F0"/>
    <w:rsid w:val="00CB6D5C"/>
    <w:rsid w:val="00CB6D8B"/>
    <w:rsid w:val="00CB73FA"/>
    <w:rsid w:val="00CB754C"/>
    <w:rsid w:val="00CB767C"/>
    <w:rsid w:val="00CB7D42"/>
    <w:rsid w:val="00CC0C9A"/>
    <w:rsid w:val="00CC0F63"/>
    <w:rsid w:val="00CC153A"/>
    <w:rsid w:val="00CC1FF5"/>
    <w:rsid w:val="00CC22C2"/>
    <w:rsid w:val="00CC252F"/>
    <w:rsid w:val="00CC2D4F"/>
    <w:rsid w:val="00CC49A6"/>
    <w:rsid w:val="00CC4EF1"/>
    <w:rsid w:val="00CC4F7F"/>
    <w:rsid w:val="00CC5B86"/>
    <w:rsid w:val="00CC608B"/>
    <w:rsid w:val="00CC703F"/>
    <w:rsid w:val="00CC77EC"/>
    <w:rsid w:val="00CC7A94"/>
    <w:rsid w:val="00CD0E79"/>
    <w:rsid w:val="00CD10BA"/>
    <w:rsid w:val="00CD18C7"/>
    <w:rsid w:val="00CD1F8F"/>
    <w:rsid w:val="00CD21E6"/>
    <w:rsid w:val="00CD47C1"/>
    <w:rsid w:val="00CD4991"/>
    <w:rsid w:val="00CD4B44"/>
    <w:rsid w:val="00CD4F1C"/>
    <w:rsid w:val="00CD503C"/>
    <w:rsid w:val="00CD52D2"/>
    <w:rsid w:val="00CD5845"/>
    <w:rsid w:val="00CD5E14"/>
    <w:rsid w:val="00CD6596"/>
    <w:rsid w:val="00CD6B32"/>
    <w:rsid w:val="00CD6ED2"/>
    <w:rsid w:val="00CD74A3"/>
    <w:rsid w:val="00CE0097"/>
    <w:rsid w:val="00CE03F7"/>
    <w:rsid w:val="00CE0521"/>
    <w:rsid w:val="00CE0BD5"/>
    <w:rsid w:val="00CE1190"/>
    <w:rsid w:val="00CE1B42"/>
    <w:rsid w:val="00CE2C2C"/>
    <w:rsid w:val="00CE30E5"/>
    <w:rsid w:val="00CE38AB"/>
    <w:rsid w:val="00CE5033"/>
    <w:rsid w:val="00CE512D"/>
    <w:rsid w:val="00CE5234"/>
    <w:rsid w:val="00CE590C"/>
    <w:rsid w:val="00CE5C20"/>
    <w:rsid w:val="00CE5CE5"/>
    <w:rsid w:val="00CE6208"/>
    <w:rsid w:val="00CE67AD"/>
    <w:rsid w:val="00CE7123"/>
    <w:rsid w:val="00CE74AA"/>
    <w:rsid w:val="00CF0213"/>
    <w:rsid w:val="00CF0806"/>
    <w:rsid w:val="00CF0D03"/>
    <w:rsid w:val="00CF1376"/>
    <w:rsid w:val="00CF1515"/>
    <w:rsid w:val="00CF2DE4"/>
    <w:rsid w:val="00CF3D21"/>
    <w:rsid w:val="00CF4F6A"/>
    <w:rsid w:val="00CF6B1E"/>
    <w:rsid w:val="00CF6D39"/>
    <w:rsid w:val="00CF6E49"/>
    <w:rsid w:val="00CF7219"/>
    <w:rsid w:val="00CF7AB8"/>
    <w:rsid w:val="00CF7FDD"/>
    <w:rsid w:val="00D008BB"/>
    <w:rsid w:val="00D0193A"/>
    <w:rsid w:val="00D024C5"/>
    <w:rsid w:val="00D02944"/>
    <w:rsid w:val="00D03A66"/>
    <w:rsid w:val="00D04D67"/>
    <w:rsid w:val="00D05520"/>
    <w:rsid w:val="00D05B98"/>
    <w:rsid w:val="00D05E4F"/>
    <w:rsid w:val="00D06B78"/>
    <w:rsid w:val="00D06F29"/>
    <w:rsid w:val="00D071F8"/>
    <w:rsid w:val="00D0737C"/>
    <w:rsid w:val="00D07FEA"/>
    <w:rsid w:val="00D10C64"/>
    <w:rsid w:val="00D118B7"/>
    <w:rsid w:val="00D122DF"/>
    <w:rsid w:val="00D1255F"/>
    <w:rsid w:val="00D13080"/>
    <w:rsid w:val="00D13A16"/>
    <w:rsid w:val="00D148D0"/>
    <w:rsid w:val="00D1510F"/>
    <w:rsid w:val="00D15AD1"/>
    <w:rsid w:val="00D16A12"/>
    <w:rsid w:val="00D170FF"/>
    <w:rsid w:val="00D17164"/>
    <w:rsid w:val="00D20278"/>
    <w:rsid w:val="00D20471"/>
    <w:rsid w:val="00D20FCC"/>
    <w:rsid w:val="00D22054"/>
    <w:rsid w:val="00D22385"/>
    <w:rsid w:val="00D22BF0"/>
    <w:rsid w:val="00D239D2"/>
    <w:rsid w:val="00D24A62"/>
    <w:rsid w:val="00D256B7"/>
    <w:rsid w:val="00D26390"/>
    <w:rsid w:val="00D2643C"/>
    <w:rsid w:val="00D269EB"/>
    <w:rsid w:val="00D26D54"/>
    <w:rsid w:val="00D270BF"/>
    <w:rsid w:val="00D271F8"/>
    <w:rsid w:val="00D2765F"/>
    <w:rsid w:val="00D27D72"/>
    <w:rsid w:val="00D30F3F"/>
    <w:rsid w:val="00D313E1"/>
    <w:rsid w:val="00D31CB7"/>
    <w:rsid w:val="00D32082"/>
    <w:rsid w:val="00D32C7A"/>
    <w:rsid w:val="00D33B72"/>
    <w:rsid w:val="00D33C10"/>
    <w:rsid w:val="00D34B0F"/>
    <w:rsid w:val="00D354FC"/>
    <w:rsid w:val="00D358FC"/>
    <w:rsid w:val="00D35F2B"/>
    <w:rsid w:val="00D4184B"/>
    <w:rsid w:val="00D428F5"/>
    <w:rsid w:val="00D4303F"/>
    <w:rsid w:val="00D43786"/>
    <w:rsid w:val="00D4380F"/>
    <w:rsid w:val="00D446A1"/>
    <w:rsid w:val="00D44959"/>
    <w:rsid w:val="00D44B34"/>
    <w:rsid w:val="00D452C8"/>
    <w:rsid w:val="00D4588E"/>
    <w:rsid w:val="00D459FC"/>
    <w:rsid w:val="00D45D76"/>
    <w:rsid w:val="00D46B7B"/>
    <w:rsid w:val="00D46CE6"/>
    <w:rsid w:val="00D46E19"/>
    <w:rsid w:val="00D51449"/>
    <w:rsid w:val="00D52B3D"/>
    <w:rsid w:val="00D53F46"/>
    <w:rsid w:val="00D540E8"/>
    <w:rsid w:val="00D543E9"/>
    <w:rsid w:val="00D547C3"/>
    <w:rsid w:val="00D54AC7"/>
    <w:rsid w:val="00D554F2"/>
    <w:rsid w:val="00D5691C"/>
    <w:rsid w:val="00D5726D"/>
    <w:rsid w:val="00D57336"/>
    <w:rsid w:val="00D57377"/>
    <w:rsid w:val="00D57A12"/>
    <w:rsid w:val="00D6051A"/>
    <w:rsid w:val="00D6054F"/>
    <w:rsid w:val="00D62279"/>
    <w:rsid w:val="00D622AB"/>
    <w:rsid w:val="00D62379"/>
    <w:rsid w:val="00D62387"/>
    <w:rsid w:val="00D62BC3"/>
    <w:rsid w:val="00D62D44"/>
    <w:rsid w:val="00D639E0"/>
    <w:rsid w:val="00D6437E"/>
    <w:rsid w:val="00D648EF"/>
    <w:rsid w:val="00D64F4E"/>
    <w:rsid w:val="00D6528B"/>
    <w:rsid w:val="00D652DF"/>
    <w:rsid w:val="00D661FE"/>
    <w:rsid w:val="00D6633D"/>
    <w:rsid w:val="00D66538"/>
    <w:rsid w:val="00D66C5A"/>
    <w:rsid w:val="00D67C9A"/>
    <w:rsid w:val="00D67DEF"/>
    <w:rsid w:val="00D67FF8"/>
    <w:rsid w:val="00D700F7"/>
    <w:rsid w:val="00D701C1"/>
    <w:rsid w:val="00D704BF"/>
    <w:rsid w:val="00D7115D"/>
    <w:rsid w:val="00D71C2C"/>
    <w:rsid w:val="00D72198"/>
    <w:rsid w:val="00D72EDE"/>
    <w:rsid w:val="00D7360E"/>
    <w:rsid w:val="00D73C4F"/>
    <w:rsid w:val="00D75232"/>
    <w:rsid w:val="00D755B4"/>
    <w:rsid w:val="00D75839"/>
    <w:rsid w:val="00D75C10"/>
    <w:rsid w:val="00D7609E"/>
    <w:rsid w:val="00D76A8C"/>
    <w:rsid w:val="00D76D0C"/>
    <w:rsid w:val="00D7708E"/>
    <w:rsid w:val="00D77225"/>
    <w:rsid w:val="00D8039A"/>
    <w:rsid w:val="00D809F1"/>
    <w:rsid w:val="00D80ACE"/>
    <w:rsid w:val="00D8220A"/>
    <w:rsid w:val="00D8326B"/>
    <w:rsid w:val="00D833F9"/>
    <w:rsid w:val="00D837EC"/>
    <w:rsid w:val="00D83812"/>
    <w:rsid w:val="00D83D41"/>
    <w:rsid w:val="00D83E0F"/>
    <w:rsid w:val="00D84539"/>
    <w:rsid w:val="00D84DBA"/>
    <w:rsid w:val="00D85796"/>
    <w:rsid w:val="00D86DD5"/>
    <w:rsid w:val="00D876DD"/>
    <w:rsid w:val="00D90748"/>
    <w:rsid w:val="00D91918"/>
    <w:rsid w:val="00D91B9F"/>
    <w:rsid w:val="00D921A2"/>
    <w:rsid w:val="00D925C7"/>
    <w:rsid w:val="00D92DF7"/>
    <w:rsid w:val="00D93B8C"/>
    <w:rsid w:val="00D93E0B"/>
    <w:rsid w:val="00D94264"/>
    <w:rsid w:val="00D94B32"/>
    <w:rsid w:val="00D94BE2"/>
    <w:rsid w:val="00D95651"/>
    <w:rsid w:val="00D958B1"/>
    <w:rsid w:val="00D95957"/>
    <w:rsid w:val="00D95B0D"/>
    <w:rsid w:val="00D96263"/>
    <w:rsid w:val="00D97AAC"/>
    <w:rsid w:val="00DA0334"/>
    <w:rsid w:val="00DA1183"/>
    <w:rsid w:val="00DA12FE"/>
    <w:rsid w:val="00DA1E00"/>
    <w:rsid w:val="00DA23DB"/>
    <w:rsid w:val="00DA47F6"/>
    <w:rsid w:val="00DA4B31"/>
    <w:rsid w:val="00DA4F5B"/>
    <w:rsid w:val="00DA5215"/>
    <w:rsid w:val="00DA5973"/>
    <w:rsid w:val="00DA607E"/>
    <w:rsid w:val="00DA611A"/>
    <w:rsid w:val="00DA6124"/>
    <w:rsid w:val="00DA6365"/>
    <w:rsid w:val="00DA6948"/>
    <w:rsid w:val="00DA7B82"/>
    <w:rsid w:val="00DA7FFD"/>
    <w:rsid w:val="00DB000E"/>
    <w:rsid w:val="00DB056F"/>
    <w:rsid w:val="00DB0A11"/>
    <w:rsid w:val="00DB143D"/>
    <w:rsid w:val="00DB1DC1"/>
    <w:rsid w:val="00DB1E36"/>
    <w:rsid w:val="00DB2FA6"/>
    <w:rsid w:val="00DB31B0"/>
    <w:rsid w:val="00DB421A"/>
    <w:rsid w:val="00DB42DB"/>
    <w:rsid w:val="00DB454D"/>
    <w:rsid w:val="00DB4A75"/>
    <w:rsid w:val="00DB4C6B"/>
    <w:rsid w:val="00DB4C8E"/>
    <w:rsid w:val="00DB549B"/>
    <w:rsid w:val="00DB5DFB"/>
    <w:rsid w:val="00DB5E6E"/>
    <w:rsid w:val="00DB65F5"/>
    <w:rsid w:val="00DB6D53"/>
    <w:rsid w:val="00DB77AB"/>
    <w:rsid w:val="00DB7A99"/>
    <w:rsid w:val="00DB7B37"/>
    <w:rsid w:val="00DB7EEE"/>
    <w:rsid w:val="00DC0549"/>
    <w:rsid w:val="00DC092F"/>
    <w:rsid w:val="00DC104C"/>
    <w:rsid w:val="00DC230D"/>
    <w:rsid w:val="00DC32C5"/>
    <w:rsid w:val="00DC4103"/>
    <w:rsid w:val="00DC4392"/>
    <w:rsid w:val="00DC4AC4"/>
    <w:rsid w:val="00DC5034"/>
    <w:rsid w:val="00DC57F5"/>
    <w:rsid w:val="00DC67D4"/>
    <w:rsid w:val="00DC69AD"/>
    <w:rsid w:val="00DC6B8D"/>
    <w:rsid w:val="00DC6DEC"/>
    <w:rsid w:val="00DD0138"/>
    <w:rsid w:val="00DD031B"/>
    <w:rsid w:val="00DD07B9"/>
    <w:rsid w:val="00DD085B"/>
    <w:rsid w:val="00DD1131"/>
    <w:rsid w:val="00DD1645"/>
    <w:rsid w:val="00DD24E2"/>
    <w:rsid w:val="00DD271F"/>
    <w:rsid w:val="00DD3324"/>
    <w:rsid w:val="00DD33B1"/>
    <w:rsid w:val="00DD3C66"/>
    <w:rsid w:val="00DD3F17"/>
    <w:rsid w:val="00DD585F"/>
    <w:rsid w:val="00DD593A"/>
    <w:rsid w:val="00DD6B7F"/>
    <w:rsid w:val="00DE05B0"/>
    <w:rsid w:val="00DE1B4C"/>
    <w:rsid w:val="00DE431C"/>
    <w:rsid w:val="00DE4663"/>
    <w:rsid w:val="00DE51EF"/>
    <w:rsid w:val="00DE52BA"/>
    <w:rsid w:val="00DE5796"/>
    <w:rsid w:val="00DE5C3C"/>
    <w:rsid w:val="00DE5C94"/>
    <w:rsid w:val="00DE60C9"/>
    <w:rsid w:val="00DE610A"/>
    <w:rsid w:val="00DE7C8F"/>
    <w:rsid w:val="00DF014D"/>
    <w:rsid w:val="00DF0918"/>
    <w:rsid w:val="00DF1DD9"/>
    <w:rsid w:val="00DF1FCB"/>
    <w:rsid w:val="00DF21C5"/>
    <w:rsid w:val="00DF2BC3"/>
    <w:rsid w:val="00DF3D08"/>
    <w:rsid w:val="00DF4389"/>
    <w:rsid w:val="00DF4A32"/>
    <w:rsid w:val="00DF4BBB"/>
    <w:rsid w:val="00DF5D23"/>
    <w:rsid w:val="00DF6698"/>
    <w:rsid w:val="00DF6741"/>
    <w:rsid w:val="00DF678E"/>
    <w:rsid w:val="00DF6C4F"/>
    <w:rsid w:val="00DF72A8"/>
    <w:rsid w:val="00E002BD"/>
    <w:rsid w:val="00E006ED"/>
    <w:rsid w:val="00E014CB"/>
    <w:rsid w:val="00E01685"/>
    <w:rsid w:val="00E02467"/>
    <w:rsid w:val="00E02F9D"/>
    <w:rsid w:val="00E03793"/>
    <w:rsid w:val="00E039AE"/>
    <w:rsid w:val="00E03AA6"/>
    <w:rsid w:val="00E0421C"/>
    <w:rsid w:val="00E04B43"/>
    <w:rsid w:val="00E051AE"/>
    <w:rsid w:val="00E05463"/>
    <w:rsid w:val="00E0633D"/>
    <w:rsid w:val="00E11526"/>
    <w:rsid w:val="00E11726"/>
    <w:rsid w:val="00E1247B"/>
    <w:rsid w:val="00E129FA"/>
    <w:rsid w:val="00E14233"/>
    <w:rsid w:val="00E149BC"/>
    <w:rsid w:val="00E14C97"/>
    <w:rsid w:val="00E153ED"/>
    <w:rsid w:val="00E1565A"/>
    <w:rsid w:val="00E16BF5"/>
    <w:rsid w:val="00E16CC4"/>
    <w:rsid w:val="00E16FF7"/>
    <w:rsid w:val="00E17135"/>
    <w:rsid w:val="00E17338"/>
    <w:rsid w:val="00E2020D"/>
    <w:rsid w:val="00E20F4F"/>
    <w:rsid w:val="00E2111D"/>
    <w:rsid w:val="00E2272B"/>
    <w:rsid w:val="00E23552"/>
    <w:rsid w:val="00E245BB"/>
    <w:rsid w:val="00E2524A"/>
    <w:rsid w:val="00E26FC2"/>
    <w:rsid w:val="00E27014"/>
    <w:rsid w:val="00E27A79"/>
    <w:rsid w:val="00E27B37"/>
    <w:rsid w:val="00E3028B"/>
    <w:rsid w:val="00E30CE9"/>
    <w:rsid w:val="00E3220C"/>
    <w:rsid w:val="00E32276"/>
    <w:rsid w:val="00E32519"/>
    <w:rsid w:val="00E34817"/>
    <w:rsid w:val="00E359A9"/>
    <w:rsid w:val="00E36755"/>
    <w:rsid w:val="00E3699D"/>
    <w:rsid w:val="00E37162"/>
    <w:rsid w:val="00E372E8"/>
    <w:rsid w:val="00E377A8"/>
    <w:rsid w:val="00E406CC"/>
    <w:rsid w:val="00E40E3C"/>
    <w:rsid w:val="00E421D0"/>
    <w:rsid w:val="00E426E3"/>
    <w:rsid w:val="00E432CA"/>
    <w:rsid w:val="00E433CE"/>
    <w:rsid w:val="00E438CC"/>
    <w:rsid w:val="00E4455D"/>
    <w:rsid w:val="00E4465F"/>
    <w:rsid w:val="00E44908"/>
    <w:rsid w:val="00E44A07"/>
    <w:rsid w:val="00E45777"/>
    <w:rsid w:val="00E45B9F"/>
    <w:rsid w:val="00E45F91"/>
    <w:rsid w:val="00E46644"/>
    <w:rsid w:val="00E46A7C"/>
    <w:rsid w:val="00E479D5"/>
    <w:rsid w:val="00E47B6B"/>
    <w:rsid w:val="00E47CF4"/>
    <w:rsid w:val="00E5038F"/>
    <w:rsid w:val="00E51070"/>
    <w:rsid w:val="00E5108E"/>
    <w:rsid w:val="00E51467"/>
    <w:rsid w:val="00E5167C"/>
    <w:rsid w:val="00E51BDA"/>
    <w:rsid w:val="00E51F9A"/>
    <w:rsid w:val="00E52D19"/>
    <w:rsid w:val="00E530DB"/>
    <w:rsid w:val="00E54C26"/>
    <w:rsid w:val="00E55155"/>
    <w:rsid w:val="00E55F91"/>
    <w:rsid w:val="00E5648C"/>
    <w:rsid w:val="00E5760F"/>
    <w:rsid w:val="00E606FA"/>
    <w:rsid w:val="00E60F4F"/>
    <w:rsid w:val="00E6169E"/>
    <w:rsid w:val="00E61A45"/>
    <w:rsid w:val="00E62380"/>
    <w:rsid w:val="00E6268F"/>
    <w:rsid w:val="00E62A54"/>
    <w:rsid w:val="00E62D34"/>
    <w:rsid w:val="00E632F6"/>
    <w:rsid w:val="00E63626"/>
    <w:rsid w:val="00E638DB"/>
    <w:rsid w:val="00E64D8E"/>
    <w:rsid w:val="00E65131"/>
    <w:rsid w:val="00E65626"/>
    <w:rsid w:val="00E65772"/>
    <w:rsid w:val="00E657EF"/>
    <w:rsid w:val="00E65DBE"/>
    <w:rsid w:val="00E66049"/>
    <w:rsid w:val="00E6628D"/>
    <w:rsid w:val="00E66846"/>
    <w:rsid w:val="00E66A4B"/>
    <w:rsid w:val="00E66B82"/>
    <w:rsid w:val="00E66E99"/>
    <w:rsid w:val="00E673E9"/>
    <w:rsid w:val="00E67573"/>
    <w:rsid w:val="00E6778F"/>
    <w:rsid w:val="00E67795"/>
    <w:rsid w:val="00E67F1F"/>
    <w:rsid w:val="00E704DC"/>
    <w:rsid w:val="00E706EA"/>
    <w:rsid w:val="00E70BBD"/>
    <w:rsid w:val="00E7189C"/>
    <w:rsid w:val="00E719BF"/>
    <w:rsid w:val="00E71A8A"/>
    <w:rsid w:val="00E71B0E"/>
    <w:rsid w:val="00E72642"/>
    <w:rsid w:val="00E7344C"/>
    <w:rsid w:val="00E73705"/>
    <w:rsid w:val="00E75464"/>
    <w:rsid w:val="00E758DA"/>
    <w:rsid w:val="00E75EE5"/>
    <w:rsid w:val="00E760D0"/>
    <w:rsid w:val="00E760FD"/>
    <w:rsid w:val="00E76701"/>
    <w:rsid w:val="00E76E94"/>
    <w:rsid w:val="00E773D7"/>
    <w:rsid w:val="00E803F1"/>
    <w:rsid w:val="00E80D85"/>
    <w:rsid w:val="00E816FC"/>
    <w:rsid w:val="00E81898"/>
    <w:rsid w:val="00E81E30"/>
    <w:rsid w:val="00E820AF"/>
    <w:rsid w:val="00E83EFE"/>
    <w:rsid w:val="00E842B8"/>
    <w:rsid w:val="00E84533"/>
    <w:rsid w:val="00E87328"/>
    <w:rsid w:val="00E875C2"/>
    <w:rsid w:val="00E87753"/>
    <w:rsid w:val="00E90623"/>
    <w:rsid w:val="00E90C0D"/>
    <w:rsid w:val="00E90EDF"/>
    <w:rsid w:val="00E911A4"/>
    <w:rsid w:val="00E91400"/>
    <w:rsid w:val="00E91DA9"/>
    <w:rsid w:val="00E925C0"/>
    <w:rsid w:val="00E933E7"/>
    <w:rsid w:val="00E9416B"/>
    <w:rsid w:val="00E9576C"/>
    <w:rsid w:val="00E970FA"/>
    <w:rsid w:val="00E970FB"/>
    <w:rsid w:val="00EA0CB6"/>
    <w:rsid w:val="00EA0D90"/>
    <w:rsid w:val="00EA100F"/>
    <w:rsid w:val="00EA1374"/>
    <w:rsid w:val="00EA2014"/>
    <w:rsid w:val="00EA22DE"/>
    <w:rsid w:val="00EA25B1"/>
    <w:rsid w:val="00EA26CB"/>
    <w:rsid w:val="00EA2900"/>
    <w:rsid w:val="00EA2AA8"/>
    <w:rsid w:val="00EA3597"/>
    <w:rsid w:val="00EA3F2D"/>
    <w:rsid w:val="00EA4147"/>
    <w:rsid w:val="00EA43AF"/>
    <w:rsid w:val="00EA6581"/>
    <w:rsid w:val="00EA6DB2"/>
    <w:rsid w:val="00EA72E2"/>
    <w:rsid w:val="00EA778D"/>
    <w:rsid w:val="00EA7C3A"/>
    <w:rsid w:val="00EB02FE"/>
    <w:rsid w:val="00EB0D70"/>
    <w:rsid w:val="00EB1143"/>
    <w:rsid w:val="00EB160D"/>
    <w:rsid w:val="00EB1789"/>
    <w:rsid w:val="00EB2042"/>
    <w:rsid w:val="00EB279F"/>
    <w:rsid w:val="00EB2A64"/>
    <w:rsid w:val="00EB43C4"/>
    <w:rsid w:val="00EB4ED9"/>
    <w:rsid w:val="00EB57F1"/>
    <w:rsid w:val="00EB5D53"/>
    <w:rsid w:val="00EB63C6"/>
    <w:rsid w:val="00EB6C26"/>
    <w:rsid w:val="00EB6D01"/>
    <w:rsid w:val="00EB70BD"/>
    <w:rsid w:val="00EB7C87"/>
    <w:rsid w:val="00EB7D2A"/>
    <w:rsid w:val="00EB7F22"/>
    <w:rsid w:val="00EB7FB2"/>
    <w:rsid w:val="00EC0B17"/>
    <w:rsid w:val="00EC0DBB"/>
    <w:rsid w:val="00EC2107"/>
    <w:rsid w:val="00EC217D"/>
    <w:rsid w:val="00EC236E"/>
    <w:rsid w:val="00EC289C"/>
    <w:rsid w:val="00EC3170"/>
    <w:rsid w:val="00EC3A26"/>
    <w:rsid w:val="00EC3ED4"/>
    <w:rsid w:val="00EC40FF"/>
    <w:rsid w:val="00EC49E2"/>
    <w:rsid w:val="00EC4AB3"/>
    <w:rsid w:val="00EC4B70"/>
    <w:rsid w:val="00EC5002"/>
    <w:rsid w:val="00EC5082"/>
    <w:rsid w:val="00EC509B"/>
    <w:rsid w:val="00EC5EE0"/>
    <w:rsid w:val="00EC63E8"/>
    <w:rsid w:val="00EC739C"/>
    <w:rsid w:val="00ED0517"/>
    <w:rsid w:val="00ED0BCC"/>
    <w:rsid w:val="00ED13D2"/>
    <w:rsid w:val="00ED14F3"/>
    <w:rsid w:val="00ED1EA0"/>
    <w:rsid w:val="00ED2ADB"/>
    <w:rsid w:val="00ED2E2D"/>
    <w:rsid w:val="00ED3289"/>
    <w:rsid w:val="00ED375E"/>
    <w:rsid w:val="00ED3C52"/>
    <w:rsid w:val="00ED3E50"/>
    <w:rsid w:val="00ED402A"/>
    <w:rsid w:val="00ED54A9"/>
    <w:rsid w:val="00ED58AD"/>
    <w:rsid w:val="00ED60C2"/>
    <w:rsid w:val="00ED60D9"/>
    <w:rsid w:val="00ED61FD"/>
    <w:rsid w:val="00ED6506"/>
    <w:rsid w:val="00ED662C"/>
    <w:rsid w:val="00ED6B73"/>
    <w:rsid w:val="00ED6FAD"/>
    <w:rsid w:val="00ED7282"/>
    <w:rsid w:val="00ED7B8F"/>
    <w:rsid w:val="00EE0453"/>
    <w:rsid w:val="00EE048D"/>
    <w:rsid w:val="00EE0DAA"/>
    <w:rsid w:val="00EE1716"/>
    <w:rsid w:val="00EE1779"/>
    <w:rsid w:val="00EE1D33"/>
    <w:rsid w:val="00EE3676"/>
    <w:rsid w:val="00EE3F21"/>
    <w:rsid w:val="00EE40EB"/>
    <w:rsid w:val="00EE45D6"/>
    <w:rsid w:val="00EE704D"/>
    <w:rsid w:val="00EE788B"/>
    <w:rsid w:val="00EE7EF3"/>
    <w:rsid w:val="00EF056C"/>
    <w:rsid w:val="00EF0FF3"/>
    <w:rsid w:val="00EF16CE"/>
    <w:rsid w:val="00EF272B"/>
    <w:rsid w:val="00EF2AA1"/>
    <w:rsid w:val="00EF4AE9"/>
    <w:rsid w:val="00EF51EA"/>
    <w:rsid w:val="00EF5402"/>
    <w:rsid w:val="00EF56E5"/>
    <w:rsid w:val="00EF66A1"/>
    <w:rsid w:val="00EF756C"/>
    <w:rsid w:val="00EF76C3"/>
    <w:rsid w:val="00EF78E0"/>
    <w:rsid w:val="00EF7990"/>
    <w:rsid w:val="00EF7E51"/>
    <w:rsid w:val="00F00A28"/>
    <w:rsid w:val="00F00A46"/>
    <w:rsid w:val="00F0159E"/>
    <w:rsid w:val="00F027B8"/>
    <w:rsid w:val="00F02A03"/>
    <w:rsid w:val="00F02BBE"/>
    <w:rsid w:val="00F02E4B"/>
    <w:rsid w:val="00F039B3"/>
    <w:rsid w:val="00F0404E"/>
    <w:rsid w:val="00F04232"/>
    <w:rsid w:val="00F0424A"/>
    <w:rsid w:val="00F0425D"/>
    <w:rsid w:val="00F067DE"/>
    <w:rsid w:val="00F06B1C"/>
    <w:rsid w:val="00F074F2"/>
    <w:rsid w:val="00F07A5C"/>
    <w:rsid w:val="00F100AF"/>
    <w:rsid w:val="00F101FE"/>
    <w:rsid w:val="00F1037C"/>
    <w:rsid w:val="00F1093D"/>
    <w:rsid w:val="00F10FF0"/>
    <w:rsid w:val="00F13BB3"/>
    <w:rsid w:val="00F142F0"/>
    <w:rsid w:val="00F1435D"/>
    <w:rsid w:val="00F1664B"/>
    <w:rsid w:val="00F16B2A"/>
    <w:rsid w:val="00F16ED3"/>
    <w:rsid w:val="00F16EFF"/>
    <w:rsid w:val="00F175A9"/>
    <w:rsid w:val="00F17DE4"/>
    <w:rsid w:val="00F17E59"/>
    <w:rsid w:val="00F2007E"/>
    <w:rsid w:val="00F20896"/>
    <w:rsid w:val="00F20CCB"/>
    <w:rsid w:val="00F21271"/>
    <w:rsid w:val="00F21CC2"/>
    <w:rsid w:val="00F21F41"/>
    <w:rsid w:val="00F2216F"/>
    <w:rsid w:val="00F22237"/>
    <w:rsid w:val="00F242F3"/>
    <w:rsid w:val="00F246E2"/>
    <w:rsid w:val="00F24755"/>
    <w:rsid w:val="00F258A7"/>
    <w:rsid w:val="00F26AC1"/>
    <w:rsid w:val="00F27941"/>
    <w:rsid w:val="00F27A64"/>
    <w:rsid w:val="00F32046"/>
    <w:rsid w:val="00F3248F"/>
    <w:rsid w:val="00F326E2"/>
    <w:rsid w:val="00F3314C"/>
    <w:rsid w:val="00F33334"/>
    <w:rsid w:val="00F33E0E"/>
    <w:rsid w:val="00F347DE"/>
    <w:rsid w:val="00F35A7A"/>
    <w:rsid w:val="00F3649F"/>
    <w:rsid w:val="00F368C4"/>
    <w:rsid w:val="00F3783F"/>
    <w:rsid w:val="00F37D05"/>
    <w:rsid w:val="00F37F94"/>
    <w:rsid w:val="00F40669"/>
    <w:rsid w:val="00F40DB4"/>
    <w:rsid w:val="00F412D5"/>
    <w:rsid w:val="00F4191A"/>
    <w:rsid w:val="00F42C2D"/>
    <w:rsid w:val="00F43188"/>
    <w:rsid w:val="00F43195"/>
    <w:rsid w:val="00F432B9"/>
    <w:rsid w:val="00F43A9A"/>
    <w:rsid w:val="00F4499B"/>
    <w:rsid w:val="00F46A1E"/>
    <w:rsid w:val="00F46C4E"/>
    <w:rsid w:val="00F46CBF"/>
    <w:rsid w:val="00F47EAE"/>
    <w:rsid w:val="00F506CA"/>
    <w:rsid w:val="00F5077A"/>
    <w:rsid w:val="00F50B2A"/>
    <w:rsid w:val="00F513CB"/>
    <w:rsid w:val="00F51E91"/>
    <w:rsid w:val="00F5241E"/>
    <w:rsid w:val="00F52737"/>
    <w:rsid w:val="00F529EA"/>
    <w:rsid w:val="00F52DE6"/>
    <w:rsid w:val="00F5322D"/>
    <w:rsid w:val="00F54228"/>
    <w:rsid w:val="00F5485E"/>
    <w:rsid w:val="00F54C62"/>
    <w:rsid w:val="00F55075"/>
    <w:rsid w:val="00F55ABB"/>
    <w:rsid w:val="00F55D20"/>
    <w:rsid w:val="00F56225"/>
    <w:rsid w:val="00F57010"/>
    <w:rsid w:val="00F57BFE"/>
    <w:rsid w:val="00F601CB"/>
    <w:rsid w:val="00F6053A"/>
    <w:rsid w:val="00F60900"/>
    <w:rsid w:val="00F60CF6"/>
    <w:rsid w:val="00F60EC1"/>
    <w:rsid w:val="00F61A37"/>
    <w:rsid w:val="00F61D69"/>
    <w:rsid w:val="00F61E8D"/>
    <w:rsid w:val="00F620C0"/>
    <w:rsid w:val="00F625F8"/>
    <w:rsid w:val="00F6269A"/>
    <w:rsid w:val="00F64FC7"/>
    <w:rsid w:val="00F65258"/>
    <w:rsid w:val="00F652C7"/>
    <w:rsid w:val="00F6594E"/>
    <w:rsid w:val="00F661A7"/>
    <w:rsid w:val="00F66CD6"/>
    <w:rsid w:val="00F66D0D"/>
    <w:rsid w:val="00F6764D"/>
    <w:rsid w:val="00F67CEC"/>
    <w:rsid w:val="00F70973"/>
    <w:rsid w:val="00F7156D"/>
    <w:rsid w:val="00F71F2E"/>
    <w:rsid w:val="00F723AD"/>
    <w:rsid w:val="00F72507"/>
    <w:rsid w:val="00F74CEA"/>
    <w:rsid w:val="00F75499"/>
    <w:rsid w:val="00F7573C"/>
    <w:rsid w:val="00F80331"/>
    <w:rsid w:val="00F806F0"/>
    <w:rsid w:val="00F81200"/>
    <w:rsid w:val="00F813C7"/>
    <w:rsid w:val="00F817A7"/>
    <w:rsid w:val="00F81959"/>
    <w:rsid w:val="00F819AD"/>
    <w:rsid w:val="00F8204B"/>
    <w:rsid w:val="00F820F4"/>
    <w:rsid w:val="00F8244F"/>
    <w:rsid w:val="00F82AD4"/>
    <w:rsid w:val="00F82CFA"/>
    <w:rsid w:val="00F82D22"/>
    <w:rsid w:val="00F83460"/>
    <w:rsid w:val="00F8390F"/>
    <w:rsid w:val="00F8416F"/>
    <w:rsid w:val="00F84196"/>
    <w:rsid w:val="00F84952"/>
    <w:rsid w:val="00F851A0"/>
    <w:rsid w:val="00F856EC"/>
    <w:rsid w:val="00F857C4"/>
    <w:rsid w:val="00F85ED2"/>
    <w:rsid w:val="00F86660"/>
    <w:rsid w:val="00F86BC6"/>
    <w:rsid w:val="00F8714E"/>
    <w:rsid w:val="00F9053E"/>
    <w:rsid w:val="00F90AD9"/>
    <w:rsid w:val="00F91BD3"/>
    <w:rsid w:val="00F935CB"/>
    <w:rsid w:val="00F9388D"/>
    <w:rsid w:val="00F95D66"/>
    <w:rsid w:val="00F95FC7"/>
    <w:rsid w:val="00F96117"/>
    <w:rsid w:val="00F965A5"/>
    <w:rsid w:val="00F968D1"/>
    <w:rsid w:val="00F968F0"/>
    <w:rsid w:val="00F96C9A"/>
    <w:rsid w:val="00F978B1"/>
    <w:rsid w:val="00F97BC3"/>
    <w:rsid w:val="00FA01A1"/>
    <w:rsid w:val="00FA0C84"/>
    <w:rsid w:val="00FA10A5"/>
    <w:rsid w:val="00FA22EC"/>
    <w:rsid w:val="00FA2B4A"/>
    <w:rsid w:val="00FA32D1"/>
    <w:rsid w:val="00FA4EC5"/>
    <w:rsid w:val="00FA73D5"/>
    <w:rsid w:val="00FB0972"/>
    <w:rsid w:val="00FB0A75"/>
    <w:rsid w:val="00FB13DF"/>
    <w:rsid w:val="00FB1EC5"/>
    <w:rsid w:val="00FB1F6F"/>
    <w:rsid w:val="00FB2424"/>
    <w:rsid w:val="00FB2D48"/>
    <w:rsid w:val="00FB3034"/>
    <w:rsid w:val="00FB3AB1"/>
    <w:rsid w:val="00FB3FC1"/>
    <w:rsid w:val="00FB3FFB"/>
    <w:rsid w:val="00FB42EF"/>
    <w:rsid w:val="00FB4831"/>
    <w:rsid w:val="00FB4B97"/>
    <w:rsid w:val="00FB4CB9"/>
    <w:rsid w:val="00FB4E70"/>
    <w:rsid w:val="00FB555D"/>
    <w:rsid w:val="00FB5ACD"/>
    <w:rsid w:val="00FB5B80"/>
    <w:rsid w:val="00FB5CFC"/>
    <w:rsid w:val="00FB6BC3"/>
    <w:rsid w:val="00FB6DAA"/>
    <w:rsid w:val="00FB6E8F"/>
    <w:rsid w:val="00FB6FB5"/>
    <w:rsid w:val="00FB75F8"/>
    <w:rsid w:val="00FB7F60"/>
    <w:rsid w:val="00FC092A"/>
    <w:rsid w:val="00FC0B5D"/>
    <w:rsid w:val="00FC1573"/>
    <w:rsid w:val="00FC181E"/>
    <w:rsid w:val="00FC1CBB"/>
    <w:rsid w:val="00FC2E76"/>
    <w:rsid w:val="00FC3515"/>
    <w:rsid w:val="00FC3C91"/>
    <w:rsid w:val="00FC3EA3"/>
    <w:rsid w:val="00FC570E"/>
    <w:rsid w:val="00FC5888"/>
    <w:rsid w:val="00FC7DD1"/>
    <w:rsid w:val="00FD0097"/>
    <w:rsid w:val="00FD0727"/>
    <w:rsid w:val="00FD08FF"/>
    <w:rsid w:val="00FD0A4B"/>
    <w:rsid w:val="00FD321E"/>
    <w:rsid w:val="00FD37AC"/>
    <w:rsid w:val="00FD3C2D"/>
    <w:rsid w:val="00FD42E6"/>
    <w:rsid w:val="00FD43CD"/>
    <w:rsid w:val="00FD561E"/>
    <w:rsid w:val="00FD569B"/>
    <w:rsid w:val="00FD5E89"/>
    <w:rsid w:val="00FD6C54"/>
    <w:rsid w:val="00FD6D0C"/>
    <w:rsid w:val="00FD7DE6"/>
    <w:rsid w:val="00FD7E69"/>
    <w:rsid w:val="00FE0FDC"/>
    <w:rsid w:val="00FE1FD9"/>
    <w:rsid w:val="00FE273B"/>
    <w:rsid w:val="00FE2C23"/>
    <w:rsid w:val="00FE2F3D"/>
    <w:rsid w:val="00FE322B"/>
    <w:rsid w:val="00FE4511"/>
    <w:rsid w:val="00FE460B"/>
    <w:rsid w:val="00FE4721"/>
    <w:rsid w:val="00FE4AB6"/>
    <w:rsid w:val="00FE4D12"/>
    <w:rsid w:val="00FE543D"/>
    <w:rsid w:val="00FE5F0D"/>
    <w:rsid w:val="00FE5FF7"/>
    <w:rsid w:val="00FE6464"/>
    <w:rsid w:val="00FE6562"/>
    <w:rsid w:val="00FE665F"/>
    <w:rsid w:val="00FE672B"/>
    <w:rsid w:val="00FE6E8E"/>
    <w:rsid w:val="00FF0710"/>
    <w:rsid w:val="00FF10BA"/>
    <w:rsid w:val="00FF23D8"/>
    <w:rsid w:val="00FF2D09"/>
    <w:rsid w:val="00FF3612"/>
    <w:rsid w:val="00FF4BA2"/>
    <w:rsid w:val="00FF5003"/>
    <w:rsid w:val="00FF5A7D"/>
    <w:rsid w:val="00FF668C"/>
    <w:rsid w:val="00FF7482"/>
    <w:rsid w:val="00FF7A38"/>
    <w:rsid w:val="01B637F6"/>
    <w:rsid w:val="01B85F94"/>
    <w:rsid w:val="02D30128"/>
    <w:rsid w:val="03914010"/>
    <w:rsid w:val="03A762C0"/>
    <w:rsid w:val="04C675DC"/>
    <w:rsid w:val="05D00B49"/>
    <w:rsid w:val="06BC46E1"/>
    <w:rsid w:val="06E75382"/>
    <w:rsid w:val="07B627D9"/>
    <w:rsid w:val="08B16AD9"/>
    <w:rsid w:val="08D334F3"/>
    <w:rsid w:val="09105290"/>
    <w:rsid w:val="0A9B6453"/>
    <w:rsid w:val="0AC74067"/>
    <w:rsid w:val="0C986CF3"/>
    <w:rsid w:val="0D9800E9"/>
    <w:rsid w:val="0E507994"/>
    <w:rsid w:val="0F8C1D6C"/>
    <w:rsid w:val="0FDA7A1E"/>
    <w:rsid w:val="11032FA4"/>
    <w:rsid w:val="119F4A7B"/>
    <w:rsid w:val="12C4591C"/>
    <w:rsid w:val="12CD3B60"/>
    <w:rsid w:val="138E22D8"/>
    <w:rsid w:val="13CC7E6C"/>
    <w:rsid w:val="14535FF1"/>
    <w:rsid w:val="14926B19"/>
    <w:rsid w:val="15801A51"/>
    <w:rsid w:val="158B5AB1"/>
    <w:rsid w:val="15D37473"/>
    <w:rsid w:val="15D43E5C"/>
    <w:rsid w:val="16A82624"/>
    <w:rsid w:val="1781184D"/>
    <w:rsid w:val="17C437B1"/>
    <w:rsid w:val="17FA6EAF"/>
    <w:rsid w:val="18057602"/>
    <w:rsid w:val="19483C4A"/>
    <w:rsid w:val="19D400B4"/>
    <w:rsid w:val="19EA4D01"/>
    <w:rsid w:val="1A0E3408"/>
    <w:rsid w:val="1B2B3F60"/>
    <w:rsid w:val="1BB76166"/>
    <w:rsid w:val="1C493F61"/>
    <w:rsid w:val="1CBF42D6"/>
    <w:rsid w:val="1D1A76AB"/>
    <w:rsid w:val="1D3A684D"/>
    <w:rsid w:val="1DAA6C81"/>
    <w:rsid w:val="1DB365A0"/>
    <w:rsid w:val="1DC046F7"/>
    <w:rsid w:val="1E326C77"/>
    <w:rsid w:val="20261839"/>
    <w:rsid w:val="20E5163F"/>
    <w:rsid w:val="20F829E3"/>
    <w:rsid w:val="21025237"/>
    <w:rsid w:val="24213A15"/>
    <w:rsid w:val="24935E62"/>
    <w:rsid w:val="24A24B56"/>
    <w:rsid w:val="24F849CD"/>
    <w:rsid w:val="251D4D1C"/>
    <w:rsid w:val="25824F49"/>
    <w:rsid w:val="25A05047"/>
    <w:rsid w:val="25DC4098"/>
    <w:rsid w:val="26415CA9"/>
    <w:rsid w:val="26AF70B6"/>
    <w:rsid w:val="2714107F"/>
    <w:rsid w:val="27147861"/>
    <w:rsid w:val="27321A96"/>
    <w:rsid w:val="27C5409C"/>
    <w:rsid w:val="282F5357"/>
    <w:rsid w:val="28A1418D"/>
    <w:rsid w:val="29520397"/>
    <w:rsid w:val="2A480A6E"/>
    <w:rsid w:val="2A4C2E6E"/>
    <w:rsid w:val="2AD84EF3"/>
    <w:rsid w:val="2B530846"/>
    <w:rsid w:val="2C336E4B"/>
    <w:rsid w:val="2D0068BE"/>
    <w:rsid w:val="2D376058"/>
    <w:rsid w:val="2DB72EF4"/>
    <w:rsid w:val="2DE0049D"/>
    <w:rsid w:val="2DF126AA"/>
    <w:rsid w:val="2ED55B28"/>
    <w:rsid w:val="2EFD3C36"/>
    <w:rsid w:val="2F3574B6"/>
    <w:rsid w:val="2FC31E25"/>
    <w:rsid w:val="2FE20833"/>
    <w:rsid w:val="303B110A"/>
    <w:rsid w:val="31480833"/>
    <w:rsid w:val="319E4779"/>
    <w:rsid w:val="327B558D"/>
    <w:rsid w:val="32AC4DF2"/>
    <w:rsid w:val="332B21BB"/>
    <w:rsid w:val="34020DA7"/>
    <w:rsid w:val="34D86511"/>
    <w:rsid w:val="359B0950"/>
    <w:rsid w:val="35C67F79"/>
    <w:rsid w:val="35DB228C"/>
    <w:rsid w:val="362D624A"/>
    <w:rsid w:val="36A42003"/>
    <w:rsid w:val="36E4259B"/>
    <w:rsid w:val="38A722E3"/>
    <w:rsid w:val="38D40BFF"/>
    <w:rsid w:val="38DD1817"/>
    <w:rsid w:val="38F05195"/>
    <w:rsid w:val="3A54454A"/>
    <w:rsid w:val="3B0B70BB"/>
    <w:rsid w:val="3B5F6E45"/>
    <w:rsid w:val="3B714E2B"/>
    <w:rsid w:val="3BB2713B"/>
    <w:rsid w:val="3BFC64A2"/>
    <w:rsid w:val="3D1E4507"/>
    <w:rsid w:val="3D793B23"/>
    <w:rsid w:val="3DCF309C"/>
    <w:rsid w:val="3E9F7978"/>
    <w:rsid w:val="3F253DCF"/>
    <w:rsid w:val="3F783563"/>
    <w:rsid w:val="3FBA457D"/>
    <w:rsid w:val="3FF46FC2"/>
    <w:rsid w:val="40081587"/>
    <w:rsid w:val="40161AFD"/>
    <w:rsid w:val="406840E4"/>
    <w:rsid w:val="415A776B"/>
    <w:rsid w:val="416001A9"/>
    <w:rsid w:val="41CD23B8"/>
    <w:rsid w:val="432C77C6"/>
    <w:rsid w:val="4387465F"/>
    <w:rsid w:val="444B446B"/>
    <w:rsid w:val="465019A8"/>
    <w:rsid w:val="46D24E05"/>
    <w:rsid w:val="476C240D"/>
    <w:rsid w:val="4840005F"/>
    <w:rsid w:val="48490F28"/>
    <w:rsid w:val="48952059"/>
    <w:rsid w:val="48AF2457"/>
    <w:rsid w:val="4968790B"/>
    <w:rsid w:val="49FD146F"/>
    <w:rsid w:val="4BBD5522"/>
    <w:rsid w:val="4BD172B5"/>
    <w:rsid w:val="4CE45B20"/>
    <w:rsid w:val="4D135D42"/>
    <w:rsid w:val="4D2F61B8"/>
    <w:rsid w:val="4DB0730C"/>
    <w:rsid w:val="4E3876D4"/>
    <w:rsid w:val="503C1F4D"/>
    <w:rsid w:val="51990AEB"/>
    <w:rsid w:val="52344FD0"/>
    <w:rsid w:val="54857226"/>
    <w:rsid w:val="55780E38"/>
    <w:rsid w:val="559C6CEF"/>
    <w:rsid w:val="55C64F80"/>
    <w:rsid w:val="561843C9"/>
    <w:rsid w:val="56876E58"/>
    <w:rsid w:val="57857860"/>
    <w:rsid w:val="583152CE"/>
    <w:rsid w:val="595730E7"/>
    <w:rsid w:val="59712971"/>
    <w:rsid w:val="5A8B6F17"/>
    <w:rsid w:val="5A9D3550"/>
    <w:rsid w:val="5C2A6C04"/>
    <w:rsid w:val="5D0D09DE"/>
    <w:rsid w:val="5D106C18"/>
    <w:rsid w:val="5DDB05FF"/>
    <w:rsid w:val="5E6B2873"/>
    <w:rsid w:val="61333E65"/>
    <w:rsid w:val="6366340A"/>
    <w:rsid w:val="63B03E93"/>
    <w:rsid w:val="655F347A"/>
    <w:rsid w:val="66ED0F5A"/>
    <w:rsid w:val="676853A7"/>
    <w:rsid w:val="68BB0BF3"/>
    <w:rsid w:val="691E0D23"/>
    <w:rsid w:val="693E3CEF"/>
    <w:rsid w:val="698D7D8E"/>
    <w:rsid w:val="699721EB"/>
    <w:rsid w:val="69FF6FDA"/>
    <w:rsid w:val="6B6F431B"/>
    <w:rsid w:val="6D3601AC"/>
    <w:rsid w:val="6D8F2D6B"/>
    <w:rsid w:val="6E407D58"/>
    <w:rsid w:val="6EC4388E"/>
    <w:rsid w:val="6F437969"/>
    <w:rsid w:val="6F467459"/>
    <w:rsid w:val="6FA266F9"/>
    <w:rsid w:val="6FD70BB7"/>
    <w:rsid w:val="70602962"/>
    <w:rsid w:val="71730E02"/>
    <w:rsid w:val="72085053"/>
    <w:rsid w:val="72867DF7"/>
    <w:rsid w:val="72DD6326"/>
    <w:rsid w:val="72E2393D"/>
    <w:rsid w:val="74A8183E"/>
    <w:rsid w:val="75287D2D"/>
    <w:rsid w:val="76456888"/>
    <w:rsid w:val="766A1C7F"/>
    <w:rsid w:val="76EE465E"/>
    <w:rsid w:val="777F4BCA"/>
    <w:rsid w:val="77AD3040"/>
    <w:rsid w:val="77DB2D19"/>
    <w:rsid w:val="7A016D9E"/>
    <w:rsid w:val="7A0B7BCF"/>
    <w:rsid w:val="7A7E219D"/>
    <w:rsid w:val="7A9814B1"/>
    <w:rsid w:val="7B067070"/>
    <w:rsid w:val="7BE8051D"/>
    <w:rsid w:val="7CFB1883"/>
    <w:rsid w:val="7DCF1AC1"/>
    <w:rsid w:val="7E451A56"/>
    <w:rsid w:val="7EFC32FC"/>
    <w:rsid w:val="B36412B4"/>
    <w:rsid w:val="FBBD354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0" w:semiHidden="0"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link w:val="58"/>
    <w:autoRedefine/>
    <w:qFormat/>
    <w:uiPriority w:val="0"/>
    <w:pPr>
      <w:keepNext/>
      <w:keepLines/>
      <w:spacing w:before="340" w:after="330" w:line="576" w:lineRule="auto"/>
      <w:outlineLvl w:val="0"/>
    </w:pPr>
    <w:rPr>
      <w:b/>
      <w:kern w:val="44"/>
      <w:sz w:val="44"/>
    </w:rPr>
  </w:style>
  <w:style w:type="paragraph" w:styleId="3">
    <w:name w:val="heading 2"/>
    <w:basedOn w:val="1"/>
    <w:next w:val="1"/>
    <w:link w:val="59"/>
    <w:autoRedefine/>
    <w:qFormat/>
    <w:uiPriority w:val="9"/>
    <w:pPr>
      <w:keepNext/>
      <w:keepLines/>
      <w:autoSpaceDE/>
      <w:autoSpaceDN/>
      <w:adjustRightInd/>
      <w:spacing w:before="260" w:after="260" w:line="413" w:lineRule="auto"/>
      <w:outlineLvl w:val="1"/>
    </w:pPr>
    <w:rPr>
      <w:rFonts w:ascii="Arial" w:hAnsi="Arial" w:eastAsia="黑体"/>
      <w:b/>
      <w:bCs/>
      <w:kern w:val="2"/>
      <w:sz w:val="32"/>
      <w:szCs w:val="32"/>
    </w:rPr>
  </w:style>
  <w:style w:type="paragraph" w:styleId="4">
    <w:name w:val="heading 3"/>
    <w:basedOn w:val="1"/>
    <w:next w:val="1"/>
    <w:link w:val="60"/>
    <w:autoRedefine/>
    <w:qFormat/>
    <w:uiPriority w:val="0"/>
    <w:pPr>
      <w:keepNext/>
      <w:keepLines/>
      <w:spacing w:before="260" w:after="260" w:line="413" w:lineRule="auto"/>
      <w:outlineLvl w:val="2"/>
    </w:pPr>
    <w:rPr>
      <w:b/>
      <w:bCs/>
      <w:sz w:val="32"/>
      <w:szCs w:val="32"/>
    </w:rPr>
  </w:style>
  <w:style w:type="paragraph" w:styleId="5">
    <w:name w:val="heading 4"/>
    <w:next w:val="1"/>
    <w:link w:val="61"/>
    <w:autoRedefine/>
    <w:qFormat/>
    <w:uiPriority w:val="0"/>
    <w:pPr>
      <w:keepNext/>
      <w:keepLines/>
      <w:spacing w:before="280" w:after="290" w:line="377" w:lineRule="auto"/>
      <w:outlineLvl w:val="3"/>
    </w:pPr>
    <w:rPr>
      <w:rFonts w:ascii="Cambria" w:hAnsi="Cambria" w:eastAsia="黑体" w:cs="Times New Roman"/>
      <w:b/>
      <w:bCs/>
      <w:kern w:val="2"/>
      <w:sz w:val="24"/>
      <w:szCs w:val="28"/>
      <w:lang w:val="en-US" w:eastAsia="zh-CN" w:bidi="ar-SA"/>
    </w:rPr>
  </w:style>
  <w:style w:type="paragraph" w:styleId="6">
    <w:name w:val="heading 5"/>
    <w:basedOn w:val="1"/>
    <w:next w:val="1"/>
    <w:link w:val="150"/>
    <w:autoRedefine/>
    <w:qFormat/>
    <w:uiPriority w:val="0"/>
    <w:pPr>
      <w:keepNext/>
      <w:keepLines/>
      <w:autoSpaceDE/>
      <w:autoSpaceDN/>
      <w:adjustRightInd/>
      <w:spacing w:before="280" w:after="290" w:line="372" w:lineRule="auto"/>
      <w:outlineLvl w:val="4"/>
    </w:pPr>
    <w:rPr>
      <w:b/>
      <w:bCs/>
      <w:kern w:val="2"/>
      <w:sz w:val="28"/>
      <w:szCs w:val="28"/>
    </w:rPr>
  </w:style>
  <w:style w:type="paragraph" w:styleId="7">
    <w:name w:val="heading 6"/>
    <w:basedOn w:val="1"/>
    <w:next w:val="8"/>
    <w:link w:val="151"/>
    <w:autoRedefine/>
    <w:qFormat/>
    <w:uiPriority w:val="0"/>
    <w:pPr>
      <w:keepNext/>
      <w:keepLines/>
      <w:widowControl/>
      <w:tabs>
        <w:tab w:val="left" w:pos="1152"/>
      </w:tabs>
      <w:overflowPunct w:val="0"/>
      <w:autoSpaceDE/>
      <w:autoSpaceDN/>
      <w:snapToGrid w:val="0"/>
      <w:spacing w:before="120" w:after="120" w:line="360" w:lineRule="auto"/>
      <w:ind w:left="1152" w:hanging="1152"/>
      <w:textAlignment w:val="baseline"/>
      <w:outlineLvl w:val="5"/>
    </w:pPr>
    <w:rPr>
      <w:kern w:val="24"/>
      <w:sz w:val="24"/>
      <w:szCs w:val="24"/>
    </w:rPr>
  </w:style>
  <w:style w:type="paragraph" w:styleId="9">
    <w:name w:val="heading 7"/>
    <w:basedOn w:val="1"/>
    <w:next w:val="1"/>
    <w:link w:val="152"/>
    <w:autoRedefine/>
    <w:qFormat/>
    <w:uiPriority w:val="0"/>
    <w:pPr>
      <w:keepNext/>
      <w:keepLines/>
      <w:widowControl/>
      <w:tabs>
        <w:tab w:val="left" w:pos="1296"/>
      </w:tabs>
      <w:overflowPunct w:val="0"/>
      <w:autoSpaceDE/>
      <w:autoSpaceDN/>
      <w:snapToGrid w:val="0"/>
      <w:spacing w:before="120" w:after="120" w:line="360" w:lineRule="auto"/>
      <w:ind w:left="1296" w:hanging="1296"/>
      <w:jc w:val="left"/>
      <w:textAlignment w:val="baseline"/>
      <w:outlineLvl w:val="6"/>
    </w:pPr>
    <w:rPr>
      <w:spacing w:val="2"/>
      <w:kern w:val="24"/>
      <w:sz w:val="24"/>
      <w:szCs w:val="24"/>
    </w:rPr>
  </w:style>
  <w:style w:type="paragraph" w:styleId="10">
    <w:name w:val="heading 8"/>
    <w:basedOn w:val="1"/>
    <w:next w:val="1"/>
    <w:link w:val="153"/>
    <w:autoRedefine/>
    <w:qFormat/>
    <w:uiPriority w:val="0"/>
    <w:pPr>
      <w:keepNext/>
      <w:keepLines/>
      <w:widowControl/>
      <w:tabs>
        <w:tab w:val="left" w:pos="1440"/>
      </w:tabs>
      <w:overflowPunct w:val="0"/>
      <w:autoSpaceDE/>
      <w:autoSpaceDN/>
      <w:snapToGrid w:val="0"/>
      <w:spacing w:before="120" w:after="120" w:line="360" w:lineRule="auto"/>
      <w:ind w:left="1440" w:hanging="1440"/>
      <w:jc w:val="left"/>
      <w:textAlignment w:val="baseline"/>
      <w:outlineLvl w:val="7"/>
    </w:pPr>
    <w:rPr>
      <w:kern w:val="24"/>
      <w:sz w:val="24"/>
      <w:szCs w:val="24"/>
    </w:rPr>
  </w:style>
  <w:style w:type="paragraph" w:styleId="11">
    <w:name w:val="heading 9"/>
    <w:basedOn w:val="1"/>
    <w:next w:val="1"/>
    <w:link w:val="154"/>
    <w:autoRedefine/>
    <w:qFormat/>
    <w:uiPriority w:val="0"/>
    <w:pPr>
      <w:keepNext/>
      <w:keepLines/>
      <w:autoSpaceDE/>
      <w:autoSpaceDN/>
      <w:adjustRightInd/>
      <w:spacing w:before="240" w:after="64" w:line="317" w:lineRule="auto"/>
      <w:outlineLvl w:val="8"/>
    </w:pPr>
    <w:rPr>
      <w:rFonts w:ascii="Arial" w:hAnsi="Arial" w:eastAsia="黑体"/>
      <w:color w:val="auto"/>
      <w:kern w:val="2"/>
      <w:szCs w:val="24"/>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70"/>
    <w:autoRedefine/>
    <w:qFormat/>
    <w:uiPriority w:val="0"/>
    <w:pPr>
      <w:autoSpaceDE/>
      <w:autoSpaceDN/>
      <w:adjustRightInd/>
      <w:ind w:firstLine="420"/>
    </w:pPr>
    <w:rPr>
      <w:rFonts w:asciiTheme="minorHAnsi" w:hAnsiTheme="minorHAnsi" w:eastAsiaTheme="minorEastAsia" w:cstheme="minorBidi"/>
      <w:color w:val="auto"/>
      <w:kern w:val="2"/>
      <w:szCs w:val="22"/>
    </w:rPr>
  </w:style>
  <w:style w:type="paragraph" w:styleId="12">
    <w:name w:val="toc 7"/>
    <w:basedOn w:val="1"/>
    <w:next w:val="1"/>
    <w:autoRedefine/>
    <w:qFormat/>
    <w:uiPriority w:val="0"/>
    <w:pPr>
      <w:autoSpaceDE/>
      <w:autoSpaceDN/>
      <w:adjustRightInd/>
      <w:spacing w:line="360" w:lineRule="auto"/>
      <w:ind w:left="1440" w:firstLine="200" w:firstLineChars="200"/>
      <w:jc w:val="left"/>
    </w:pPr>
    <w:rPr>
      <w:rFonts w:ascii="Calibri" w:hAnsi="Calibri"/>
      <w:color w:val="auto"/>
      <w:kern w:val="2"/>
      <w:sz w:val="18"/>
      <w:szCs w:val="18"/>
    </w:rPr>
  </w:style>
  <w:style w:type="paragraph" w:styleId="13">
    <w:name w:val="List Number 2"/>
    <w:basedOn w:val="1"/>
    <w:autoRedefine/>
    <w:qFormat/>
    <w:uiPriority w:val="0"/>
    <w:pPr>
      <w:widowControl/>
      <w:tabs>
        <w:tab w:val="left" w:pos="820"/>
      </w:tabs>
      <w:autoSpaceDE/>
      <w:autoSpaceDN/>
      <w:adjustRightInd/>
      <w:spacing w:afterLines="50"/>
      <w:ind w:left="988" w:hanging="420"/>
      <w:jc w:val="left"/>
    </w:pPr>
    <w:rPr>
      <w:color w:val="auto"/>
      <w:sz w:val="24"/>
      <w:szCs w:val="20"/>
    </w:rPr>
  </w:style>
  <w:style w:type="paragraph" w:styleId="14">
    <w:name w:val="List Number"/>
    <w:basedOn w:val="1"/>
    <w:autoRedefine/>
    <w:qFormat/>
    <w:uiPriority w:val="0"/>
    <w:pPr>
      <w:widowControl/>
      <w:numPr>
        <w:ilvl w:val="0"/>
        <w:numId w:val="1"/>
      </w:numPr>
      <w:tabs>
        <w:tab w:val="left" w:pos="720"/>
      </w:tabs>
      <w:autoSpaceDE/>
      <w:autoSpaceDN/>
      <w:adjustRightInd/>
      <w:spacing w:afterLines="50"/>
      <w:jc w:val="left"/>
    </w:pPr>
    <w:rPr>
      <w:color w:val="auto"/>
      <w:sz w:val="24"/>
      <w:szCs w:val="20"/>
    </w:rPr>
  </w:style>
  <w:style w:type="paragraph" w:styleId="15">
    <w:name w:val="caption"/>
    <w:basedOn w:val="1"/>
    <w:next w:val="1"/>
    <w:autoRedefine/>
    <w:qFormat/>
    <w:uiPriority w:val="0"/>
    <w:pPr>
      <w:autoSpaceDE/>
      <w:autoSpaceDN/>
      <w:adjustRightInd/>
      <w:spacing w:line="360" w:lineRule="auto"/>
      <w:ind w:firstLine="200" w:firstLineChars="200"/>
    </w:pPr>
    <w:rPr>
      <w:rFonts w:ascii="Cambria" w:hAnsi="Cambria" w:eastAsia="黑体"/>
      <w:color w:val="auto"/>
      <w:kern w:val="2"/>
      <w:sz w:val="20"/>
      <w:szCs w:val="20"/>
    </w:rPr>
  </w:style>
  <w:style w:type="paragraph" w:styleId="16">
    <w:name w:val="index 5"/>
    <w:basedOn w:val="1"/>
    <w:next w:val="1"/>
    <w:autoRedefine/>
    <w:qFormat/>
    <w:uiPriority w:val="0"/>
    <w:pPr>
      <w:ind w:left="800" w:leftChars="800"/>
    </w:pPr>
  </w:style>
  <w:style w:type="paragraph" w:styleId="17">
    <w:name w:val="Document Map"/>
    <w:basedOn w:val="1"/>
    <w:link w:val="104"/>
    <w:autoRedefine/>
    <w:qFormat/>
    <w:uiPriority w:val="0"/>
    <w:pPr>
      <w:shd w:val="clear" w:color="auto" w:fill="000080"/>
      <w:autoSpaceDE/>
      <w:autoSpaceDN/>
      <w:adjustRightInd/>
    </w:pPr>
    <w:rPr>
      <w:color w:val="auto"/>
      <w:kern w:val="2"/>
      <w:szCs w:val="24"/>
    </w:rPr>
  </w:style>
  <w:style w:type="paragraph" w:styleId="18">
    <w:name w:val="annotation text"/>
    <w:basedOn w:val="1"/>
    <w:link w:val="99"/>
    <w:autoRedefine/>
    <w:unhideWhenUsed/>
    <w:qFormat/>
    <w:uiPriority w:val="0"/>
    <w:pPr>
      <w:jc w:val="left"/>
    </w:pPr>
  </w:style>
  <w:style w:type="paragraph" w:styleId="19">
    <w:name w:val="Body Text 3"/>
    <w:basedOn w:val="1"/>
    <w:link w:val="145"/>
    <w:autoRedefine/>
    <w:unhideWhenUsed/>
    <w:qFormat/>
    <w:uiPriority w:val="0"/>
    <w:pPr>
      <w:spacing w:after="120"/>
    </w:pPr>
    <w:rPr>
      <w:sz w:val="16"/>
      <w:szCs w:val="16"/>
    </w:rPr>
  </w:style>
  <w:style w:type="paragraph" w:styleId="20">
    <w:name w:val="Body Text"/>
    <w:basedOn w:val="1"/>
    <w:link w:val="112"/>
    <w:autoRedefine/>
    <w:qFormat/>
    <w:uiPriority w:val="0"/>
    <w:pPr>
      <w:spacing w:after="120"/>
    </w:pPr>
  </w:style>
  <w:style w:type="paragraph" w:styleId="21">
    <w:name w:val="Body Text Indent"/>
    <w:basedOn w:val="1"/>
    <w:link w:val="105"/>
    <w:autoRedefine/>
    <w:unhideWhenUsed/>
    <w:qFormat/>
    <w:uiPriority w:val="0"/>
    <w:pPr>
      <w:spacing w:after="120"/>
      <w:ind w:left="420" w:leftChars="200"/>
    </w:pPr>
  </w:style>
  <w:style w:type="paragraph" w:styleId="22">
    <w:name w:val="List Number 3"/>
    <w:basedOn w:val="1"/>
    <w:autoRedefine/>
    <w:qFormat/>
    <w:uiPriority w:val="0"/>
    <w:pPr>
      <w:numPr>
        <w:ilvl w:val="0"/>
        <w:numId w:val="2"/>
      </w:numPr>
    </w:pPr>
  </w:style>
  <w:style w:type="paragraph" w:styleId="23">
    <w:name w:val="toc 5"/>
    <w:basedOn w:val="1"/>
    <w:next w:val="1"/>
    <w:autoRedefine/>
    <w:qFormat/>
    <w:uiPriority w:val="0"/>
    <w:pPr>
      <w:autoSpaceDE/>
      <w:autoSpaceDN/>
      <w:adjustRightInd/>
      <w:spacing w:line="360" w:lineRule="auto"/>
      <w:ind w:left="960" w:firstLine="200" w:firstLineChars="200"/>
      <w:jc w:val="left"/>
    </w:pPr>
    <w:rPr>
      <w:rFonts w:ascii="Calibri" w:hAnsi="Calibri"/>
      <w:color w:val="auto"/>
      <w:kern w:val="2"/>
      <w:sz w:val="18"/>
      <w:szCs w:val="18"/>
    </w:rPr>
  </w:style>
  <w:style w:type="paragraph" w:styleId="24">
    <w:name w:val="toc 3"/>
    <w:basedOn w:val="1"/>
    <w:next w:val="1"/>
    <w:autoRedefine/>
    <w:qFormat/>
    <w:uiPriority w:val="0"/>
    <w:pPr>
      <w:autoSpaceDE/>
      <w:autoSpaceDN/>
      <w:adjustRightInd/>
      <w:spacing w:line="360" w:lineRule="auto"/>
      <w:ind w:left="480" w:firstLine="200" w:firstLineChars="200"/>
      <w:jc w:val="left"/>
    </w:pPr>
    <w:rPr>
      <w:rFonts w:ascii="Calibri" w:hAnsi="Calibri"/>
      <w:i/>
      <w:iCs/>
      <w:color w:val="auto"/>
      <w:kern w:val="2"/>
      <w:sz w:val="20"/>
      <w:szCs w:val="20"/>
    </w:rPr>
  </w:style>
  <w:style w:type="paragraph" w:styleId="25">
    <w:name w:val="Plain Text"/>
    <w:basedOn w:val="1"/>
    <w:next w:val="1"/>
    <w:link w:val="88"/>
    <w:qFormat/>
    <w:uiPriority w:val="0"/>
    <w:pPr>
      <w:autoSpaceDE/>
      <w:autoSpaceDN/>
      <w:adjustRightInd/>
    </w:pPr>
    <w:rPr>
      <w:rFonts w:asciiTheme="minorHAnsi" w:hAnsiTheme="minorHAnsi" w:eastAsiaTheme="minorEastAsia" w:cstheme="minorBidi"/>
      <w:color w:val="auto"/>
      <w:kern w:val="2"/>
      <w:sz w:val="24"/>
      <w:szCs w:val="22"/>
    </w:rPr>
  </w:style>
  <w:style w:type="paragraph" w:styleId="26">
    <w:name w:val="toc 8"/>
    <w:basedOn w:val="1"/>
    <w:next w:val="1"/>
    <w:autoRedefine/>
    <w:qFormat/>
    <w:uiPriority w:val="0"/>
    <w:pPr>
      <w:autoSpaceDE/>
      <w:autoSpaceDN/>
      <w:adjustRightInd/>
      <w:spacing w:line="360" w:lineRule="auto"/>
      <w:ind w:left="1680" w:firstLine="200" w:firstLineChars="200"/>
      <w:jc w:val="left"/>
    </w:pPr>
    <w:rPr>
      <w:rFonts w:ascii="Calibri" w:hAnsi="Calibri"/>
      <w:color w:val="auto"/>
      <w:kern w:val="2"/>
      <w:sz w:val="18"/>
      <w:szCs w:val="18"/>
    </w:rPr>
  </w:style>
  <w:style w:type="paragraph" w:styleId="27">
    <w:name w:val="Date"/>
    <w:basedOn w:val="1"/>
    <w:next w:val="1"/>
    <w:link w:val="91"/>
    <w:autoRedefine/>
    <w:qFormat/>
    <w:uiPriority w:val="0"/>
    <w:pPr>
      <w:ind w:left="100" w:leftChars="2500"/>
    </w:pPr>
    <w:rPr>
      <w:rFonts w:asciiTheme="minorHAnsi" w:hAnsiTheme="minorHAnsi" w:eastAsiaTheme="minorEastAsia" w:cstheme="minorBidi"/>
      <w:kern w:val="2"/>
    </w:rPr>
  </w:style>
  <w:style w:type="paragraph" w:styleId="28">
    <w:name w:val="Body Text Indent 2"/>
    <w:basedOn w:val="1"/>
    <w:link w:val="109"/>
    <w:autoRedefine/>
    <w:qFormat/>
    <w:uiPriority w:val="0"/>
    <w:pPr>
      <w:autoSpaceDE/>
      <w:autoSpaceDN/>
      <w:adjustRightInd/>
      <w:spacing w:after="120" w:line="480" w:lineRule="auto"/>
      <w:ind w:left="420" w:leftChars="200" w:firstLine="200" w:firstLineChars="200"/>
    </w:pPr>
    <w:rPr>
      <w:rFonts w:ascii="仿宋_GB2312" w:eastAsia="仿宋_GB2312"/>
      <w:color w:val="auto"/>
      <w:kern w:val="2"/>
      <w:sz w:val="28"/>
      <w:szCs w:val="28"/>
    </w:rPr>
  </w:style>
  <w:style w:type="paragraph" w:styleId="29">
    <w:name w:val="Balloon Text"/>
    <w:basedOn w:val="1"/>
    <w:link w:val="103"/>
    <w:autoRedefine/>
    <w:qFormat/>
    <w:uiPriority w:val="0"/>
    <w:pPr>
      <w:autoSpaceDE/>
      <w:autoSpaceDN/>
      <w:adjustRightInd/>
    </w:pPr>
    <w:rPr>
      <w:color w:val="auto"/>
      <w:kern w:val="2"/>
      <w:sz w:val="18"/>
      <w:szCs w:val="18"/>
    </w:rPr>
  </w:style>
  <w:style w:type="paragraph" w:styleId="30">
    <w:name w:val="footer"/>
    <w:basedOn w:val="1"/>
    <w:link w:val="74"/>
    <w:autoRedefine/>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31">
    <w:name w:val="header"/>
    <w:basedOn w:val="1"/>
    <w:link w:val="75"/>
    <w:autoRedefine/>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32">
    <w:name w:val="Signature"/>
    <w:basedOn w:val="1"/>
    <w:next w:val="1"/>
    <w:link w:val="85"/>
    <w:autoRedefine/>
    <w:qFormat/>
    <w:uiPriority w:val="0"/>
    <w:pPr>
      <w:keepNext/>
      <w:widowControl/>
      <w:numPr>
        <w:ilvl w:val="1"/>
        <w:numId w:val="3"/>
      </w:numPr>
      <w:autoSpaceDE/>
      <w:autoSpaceDN/>
      <w:spacing w:line="220" w:lineRule="atLeast"/>
      <w:jc w:val="right"/>
      <w:textAlignment w:val="baseline"/>
    </w:pPr>
    <w:rPr>
      <w:rFonts w:ascii="Arial" w:hAnsi="Arial" w:eastAsiaTheme="minorEastAsia" w:cstheme="minorBidi"/>
      <w:color w:val="auto"/>
      <w:spacing w:val="-5"/>
      <w:kern w:val="2"/>
      <w:sz w:val="24"/>
      <w:szCs w:val="22"/>
    </w:rPr>
  </w:style>
  <w:style w:type="paragraph" w:styleId="33">
    <w:name w:val="toc 1"/>
    <w:basedOn w:val="1"/>
    <w:next w:val="1"/>
    <w:autoRedefine/>
    <w:qFormat/>
    <w:uiPriority w:val="39"/>
    <w:pPr>
      <w:spacing w:line="360" w:lineRule="auto"/>
    </w:pPr>
    <w:rPr>
      <w:rFonts w:eastAsia="黑体"/>
      <w:sz w:val="24"/>
    </w:rPr>
  </w:style>
  <w:style w:type="paragraph" w:styleId="34">
    <w:name w:val="toc 4"/>
    <w:basedOn w:val="1"/>
    <w:next w:val="1"/>
    <w:autoRedefine/>
    <w:qFormat/>
    <w:uiPriority w:val="0"/>
    <w:pPr>
      <w:autoSpaceDE/>
      <w:autoSpaceDN/>
      <w:adjustRightInd/>
      <w:spacing w:line="360" w:lineRule="auto"/>
      <w:ind w:left="720" w:firstLine="200" w:firstLineChars="200"/>
      <w:jc w:val="left"/>
    </w:pPr>
    <w:rPr>
      <w:rFonts w:ascii="Calibri" w:hAnsi="Calibri"/>
      <w:color w:val="auto"/>
      <w:kern w:val="2"/>
      <w:sz w:val="18"/>
      <w:szCs w:val="18"/>
    </w:rPr>
  </w:style>
  <w:style w:type="paragraph" w:styleId="35">
    <w:name w:val="List"/>
    <w:basedOn w:val="1"/>
    <w:autoRedefine/>
    <w:qFormat/>
    <w:uiPriority w:val="0"/>
    <w:pPr>
      <w:ind w:left="200" w:hanging="200" w:hangingChars="200"/>
      <w:contextualSpacing/>
    </w:pPr>
  </w:style>
  <w:style w:type="paragraph" w:styleId="36">
    <w:name w:val="toc 6"/>
    <w:basedOn w:val="1"/>
    <w:next w:val="1"/>
    <w:autoRedefine/>
    <w:qFormat/>
    <w:uiPriority w:val="0"/>
    <w:pPr>
      <w:autoSpaceDE/>
      <w:autoSpaceDN/>
      <w:adjustRightInd/>
      <w:spacing w:line="360" w:lineRule="auto"/>
      <w:ind w:left="1200" w:firstLine="200" w:firstLineChars="200"/>
      <w:jc w:val="left"/>
    </w:pPr>
    <w:rPr>
      <w:rFonts w:ascii="Calibri" w:hAnsi="Calibri"/>
      <w:color w:val="auto"/>
      <w:kern w:val="2"/>
      <w:sz w:val="18"/>
      <w:szCs w:val="18"/>
    </w:rPr>
  </w:style>
  <w:style w:type="paragraph" w:styleId="37">
    <w:name w:val="Body Text Indent 3"/>
    <w:basedOn w:val="1"/>
    <w:link w:val="87"/>
    <w:autoRedefine/>
    <w:qFormat/>
    <w:uiPriority w:val="0"/>
    <w:pPr>
      <w:autoSpaceDE/>
      <w:autoSpaceDN/>
      <w:adjustRightInd/>
      <w:ind w:firstLine="435"/>
    </w:pPr>
    <w:rPr>
      <w:rFonts w:asciiTheme="minorHAnsi" w:hAnsiTheme="minorHAnsi" w:eastAsiaTheme="minorEastAsia" w:cstheme="minorBidi"/>
      <w:color w:val="auto"/>
      <w:kern w:val="2"/>
      <w:szCs w:val="24"/>
    </w:rPr>
  </w:style>
  <w:style w:type="paragraph" w:styleId="38">
    <w:name w:val="index 7"/>
    <w:basedOn w:val="1"/>
    <w:next w:val="1"/>
    <w:autoRedefine/>
    <w:qFormat/>
    <w:uiPriority w:val="0"/>
    <w:pPr>
      <w:autoSpaceDE/>
      <w:autoSpaceDN/>
      <w:adjustRightInd/>
      <w:ind w:left="1200" w:leftChars="1200"/>
    </w:pPr>
    <w:rPr>
      <w:color w:val="auto"/>
      <w:kern w:val="2"/>
      <w:szCs w:val="24"/>
    </w:rPr>
  </w:style>
  <w:style w:type="paragraph" w:styleId="39">
    <w:name w:val="toc 2"/>
    <w:basedOn w:val="1"/>
    <w:next w:val="1"/>
    <w:autoRedefine/>
    <w:qFormat/>
    <w:uiPriority w:val="0"/>
    <w:pPr>
      <w:tabs>
        <w:tab w:val="right" w:leader="dot" w:pos="8296"/>
      </w:tabs>
      <w:autoSpaceDE/>
      <w:autoSpaceDN/>
      <w:adjustRightInd/>
      <w:spacing w:line="360" w:lineRule="auto"/>
      <w:ind w:left="240" w:firstLine="44" w:firstLineChars="22"/>
      <w:jc w:val="left"/>
    </w:pPr>
    <w:rPr>
      <w:rFonts w:ascii="Calibri" w:hAnsi="Calibri"/>
      <w:smallCaps/>
      <w:color w:val="auto"/>
      <w:kern w:val="2"/>
      <w:sz w:val="20"/>
      <w:szCs w:val="20"/>
    </w:rPr>
  </w:style>
  <w:style w:type="paragraph" w:styleId="40">
    <w:name w:val="toc 9"/>
    <w:basedOn w:val="1"/>
    <w:next w:val="1"/>
    <w:autoRedefine/>
    <w:qFormat/>
    <w:uiPriority w:val="0"/>
    <w:pPr>
      <w:autoSpaceDE/>
      <w:autoSpaceDN/>
      <w:adjustRightInd/>
      <w:spacing w:line="360" w:lineRule="auto"/>
      <w:ind w:left="1920" w:firstLine="200" w:firstLineChars="200"/>
      <w:jc w:val="left"/>
    </w:pPr>
    <w:rPr>
      <w:rFonts w:ascii="Calibri" w:hAnsi="Calibri"/>
      <w:color w:val="auto"/>
      <w:kern w:val="2"/>
      <w:sz w:val="18"/>
      <w:szCs w:val="18"/>
    </w:rPr>
  </w:style>
  <w:style w:type="paragraph" w:styleId="41">
    <w:name w:val="Body Text 2"/>
    <w:basedOn w:val="1"/>
    <w:link w:val="198"/>
    <w:autoRedefine/>
    <w:qFormat/>
    <w:uiPriority w:val="0"/>
    <w:pPr>
      <w:autoSpaceDE/>
      <w:autoSpaceDN/>
      <w:adjustRightInd/>
      <w:spacing w:after="120" w:line="480" w:lineRule="auto"/>
      <w:ind w:left="425" w:hanging="425"/>
    </w:pPr>
    <w:rPr>
      <w:kern w:val="2"/>
      <w:szCs w:val="22"/>
    </w:rPr>
  </w:style>
  <w:style w:type="paragraph" w:styleId="42">
    <w:name w:val="HTML Preformatted"/>
    <w:basedOn w:val="1"/>
    <w:link w:val="84"/>
    <w:autoRedefine/>
    <w:qFormat/>
    <w:uiPriority w:val="99"/>
    <w:pPr>
      <w:autoSpaceDE/>
      <w:autoSpaceDN/>
      <w:adjustRightInd/>
    </w:pPr>
    <w:rPr>
      <w:rFonts w:ascii="Arial Unicode MS" w:hAnsi="Arial Unicode MS" w:eastAsia="Arial Unicode MS" w:cstheme="minorBidi"/>
      <w:color w:val="auto"/>
      <w:kern w:val="2"/>
      <w:szCs w:val="22"/>
    </w:rPr>
  </w:style>
  <w:style w:type="paragraph" w:styleId="43">
    <w:name w:val="Normal (Web)"/>
    <w:basedOn w:val="1"/>
    <w:link w:val="77"/>
    <w:autoRedefine/>
    <w:qFormat/>
    <w:uiPriority w:val="99"/>
    <w:pPr>
      <w:widowControl/>
      <w:autoSpaceDE/>
      <w:autoSpaceDN/>
      <w:adjustRightInd/>
      <w:spacing w:before="100" w:beforeAutospacing="1" w:after="100" w:afterAutospacing="1"/>
      <w:jc w:val="left"/>
    </w:pPr>
    <w:rPr>
      <w:rFonts w:ascii="宋体" w:hAnsi="宋体" w:eastAsiaTheme="minorEastAsia" w:cstheme="minorBidi"/>
      <w:kern w:val="2"/>
      <w:sz w:val="24"/>
      <w:szCs w:val="24"/>
    </w:rPr>
  </w:style>
  <w:style w:type="paragraph" w:styleId="44">
    <w:name w:val="index 1"/>
    <w:basedOn w:val="1"/>
    <w:next w:val="1"/>
    <w:autoRedefine/>
    <w:qFormat/>
    <w:uiPriority w:val="0"/>
    <w:pPr>
      <w:autoSpaceDE/>
      <w:autoSpaceDN/>
      <w:spacing w:line="360" w:lineRule="atLeast"/>
      <w:jc w:val="center"/>
      <w:textAlignment w:val="baseline"/>
    </w:pPr>
    <w:rPr>
      <w:rFonts w:ascii="Arial" w:hAnsi="Arial"/>
      <w:color w:val="auto"/>
      <w:kern w:val="2"/>
    </w:rPr>
  </w:style>
  <w:style w:type="paragraph" w:styleId="45">
    <w:name w:val="Title"/>
    <w:basedOn w:val="1"/>
    <w:link w:val="197"/>
    <w:autoRedefine/>
    <w:qFormat/>
    <w:uiPriority w:val="0"/>
    <w:pPr>
      <w:autoSpaceDE/>
      <w:autoSpaceDN/>
      <w:adjustRightInd/>
      <w:spacing w:before="240" w:after="60"/>
      <w:jc w:val="center"/>
      <w:outlineLvl w:val="0"/>
    </w:pPr>
    <w:rPr>
      <w:rFonts w:ascii="Arial" w:hAnsi="Arial"/>
      <w:b/>
      <w:bCs/>
      <w:kern w:val="2"/>
      <w:sz w:val="32"/>
      <w:szCs w:val="32"/>
    </w:rPr>
  </w:style>
  <w:style w:type="paragraph" w:styleId="46">
    <w:name w:val="annotation subject"/>
    <w:basedOn w:val="18"/>
    <w:next w:val="18"/>
    <w:link w:val="100"/>
    <w:autoRedefine/>
    <w:qFormat/>
    <w:uiPriority w:val="0"/>
    <w:pPr>
      <w:autoSpaceDE/>
      <w:autoSpaceDN/>
      <w:adjustRightInd/>
    </w:pPr>
    <w:rPr>
      <w:b/>
      <w:bCs/>
      <w:color w:val="auto"/>
      <w:kern w:val="2"/>
      <w:szCs w:val="24"/>
    </w:rPr>
  </w:style>
  <w:style w:type="paragraph" w:styleId="47">
    <w:name w:val="Body Text First Indent"/>
    <w:basedOn w:val="20"/>
    <w:link w:val="149"/>
    <w:autoRedefine/>
    <w:unhideWhenUsed/>
    <w:qFormat/>
    <w:uiPriority w:val="0"/>
    <w:pPr>
      <w:ind w:firstLine="420" w:firstLineChars="100"/>
    </w:pPr>
  </w:style>
  <w:style w:type="paragraph" w:styleId="48">
    <w:name w:val="Body Text First Indent 2"/>
    <w:basedOn w:val="21"/>
    <w:link w:val="106"/>
    <w:autoRedefine/>
    <w:qFormat/>
    <w:uiPriority w:val="0"/>
    <w:pPr>
      <w:autoSpaceDE/>
      <w:autoSpaceDN/>
      <w:adjustRightInd/>
      <w:spacing w:line="360" w:lineRule="auto"/>
      <w:ind w:firstLine="420" w:firstLineChars="200"/>
    </w:pPr>
    <w:rPr>
      <w:rFonts w:ascii="Calibri" w:hAnsi="Calibri"/>
      <w:color w:val="auto"/>
      <w:kern w:val="2"/>
      <w:sz w:val="24"/>
      <w:szCs w:val="22"/>
    </w:rPr>
  </w:style>
  <w:style w:type="table" w:styleId="50">
    <w:name w:val="Table Grid"/>
    <w:basedOn w:val="4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basedOn w:val="51"/>
    <w:autoRedefine/>
    <w:qFormat/>
    <w:uiPriority w:val="0"/>
    <w:rPr>
      <w:b/>
      <w:bCs/>
    </w:rPr>
  </w:style>
  <w:style w:type="character" w:styleId="53">
    <w:name w:val="page number"/>
    <w:basedOn w:val="51"/>
    <w:autoRedefine/>
    <w:qFormat/>
    <w:uiPriority w:val="0"/>
  </w:style>
  <w:style w:type="character" w:styleId="54">
    <w:name w:val="Emphasis"/>
    <w:autoRedefine/>
    <w:qFormat/>
    <w:uiPriority w:val="0"/>
    <w:rPr>
      <w:color w:val="CC0000"/>
    </w:rPr>
  </w:style>
  <w:style w:type="character" w:styleId="55">
    <w:name w:val="HTML Acronym"/>
    <w:basedOn w:val="51"/>
    <w:autoRedefine/>
    <w:qFormat/>
    <w:uiPriority w:val="0"/>
  </w:style>
  <w:style w:type="character" w:styleId="56">
    <w:name w:val="Hyperlink"/>
    <w:basedOn w:val="51"/>
    <w:autoRedefine/>
    <w:qFormat/>
    <w:uiPriority w:val="0"/>
    <w:rPr>
      <w:color w:val="0000FF"/>
      <w:u w:val="single"/>
    </w:rPr>
  </w:style>
  <w:style w:type="character" w:styleId="57">
    <w:name w:val="annotation reference"/>
    <w:autoRedefine/>
    <w:qFormat/>
    <w:uiPriority w:val="0"/>
    <w:rPr>
      <w:sz w:val="21"/>
      <w:szCs w:val="21"/>
    </w:rPr>
  </w:style>
  <w:style w:type="character" w:customStyle="1" w:styleId="58">
    <w:name w:val="标题 1 字符"/>
    <w:basedOn w:val="51"/>
    <w:link w:val="2"/>
    <w:autoRedefine/>
    <w:qFormat/>
    <w:uiPriority w:val="0"/>
    <w:rPr>
      <w:rFonts w:ascii="Times New Roman" w:hAnsi="Times New Roman" w:eastAsia="宋体" w:cs="Times New Roman"/>
      <w:b/>
      <w:color w:val="000000"/>
      <w:kern w:val="44"/>
      <w:sz w:val="44"/>
      <w:szCs w:val="21"/>
    </w:rPr>
  </w:style>
  <w:style w:type="character" w:customStyle="1" w:styleId="59">
    <w:name w:val="标题 2 字符"/>
    <w:basedOn w:val="51"/>
    <w:link w:val="3"/>
    <w:autoRedefine/>
    <w:qFormat/>
    <w:uiPriority w:val="9"/>
    <w:rPr>
      <w:rFonts w:ascii="Arial" w:hAnsi="Arial" w:eastAsia="黑体" w:cs="Times New Roman"/>
      <w:b/>
      <w:bCs/>
      <w:color w:val="000000"/>
      <w:sz w:val="32"/>
      <w:szCs w:val="32"/>
    </w:rPr>
  </w:style>
  <w:style w:type="character" w:customStyle="1" w:styleId="60">
    <w:name w:val="标题 3 字符"/>
    <w:basedOn w:val="51"/>
    <w:link w:val="4"/>
    <w:autoRedefine/>
    <w:qFormat/>
    <w:uiPriority w:val="0"/>
    <w:rPr>
      <w:rFonts w:ascii="Times New Roman" w:hAnsi="Times New Roman" w:eastAsia="宋体" w:cs="Times New Roman"/>
      <w:b/>
      <w:bCs/>
      <w:color w:val="000000"/>
      <w:kern w:val="0"/>
      <w:sz w:val="32"/>
      <w:szCs w:val="32"/>
    </w:rPr>
  </w:style>
  <w:style w:type="character" w:customStyle="1" w:styleId="61">
    <w:name w:val="标题 4 字符"/>
    <w:basedOn w:val="51"/>
    <w:link w:val="5"/>
    <w:autoRedefine/>
    <w:qFormat/>
    <w:uiPriority w:val="0"/>
    <w:rPr>
      <w:rFonts w:ascii="Cambria" w:hAnsi="Cambria" w:eastAsia="黑体" w:cs="Times New Roman"/>
      <w:b/>
      <w:bCs/>
      <w:sz w:val="24"/>
      <w:szCs w:val="28"/>
    </w:rPr>
  </w:style>
  <w:style w:type="character" w:customStyle="1" w:styleId="62">
    <w:name w:val="正文文字2 Char"/>
    <w:link w:val="63"/>
    <w:autoRedefine/>
    <w:qFormat/>
    <w:uiPriority w:val="0"/>
    <w:rPr>
      <w:rFonts w:ascii="Arial" w:eastAsia="黑体"/>
    </w:rPr>
  </w:style>
  <w:style w:type="paragraph" w:customStyle="1" w:styleId="63">
    <w:name w:val="正文文字2"/>
    <w:basedOn w:val="20"/>
    <w:link w:val="62"/>
    <w:autoRedefine/>
    <w:qFormat/>
    <w:uiPriority w:val="0"/>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character" w:customStyle="1" w:styleId="64">
    <w:name w:val="列出段落 Char Char"/>
    <w:link w:val="65"/>
    <w:autoRedefine/>
    <w:qFormat/>
    <w:uiPriority w:val="0"/>
    <w:rPr>
      <w:rFonts w:ascii="Calibri" w:hAnsi="Calibri"/>
    </w:rPr>
  </w:style>
  <w:style w:type="paragraph" w:customStyle="1" w:styleId="65">
    <w:name w:val="列表段落1"/>
    <w:basedOn w:val="1"/>
    <w:link w:val="64"/>
    <w:autoRedefine/>
    <w:qFormat/>
    <w:uiPriority w:val="0"/>
    <w:pPr>
      <w:autoSpaceDE/>
      <w:autoSpaceDN/>
      <w:adjustRightInd/>
      <w:ind w:firstLine="420" w:firstLineChars="200"/>
    </w:pPr>
    <w:rPr>
      <w:rFonts w:ascii="Calibri" w:hAnsi="Calibri" w:eastAsiaTheme="minorEastAsia" w:cstheme="minorBidi"/>
      <w:color w:val="auto"/>
      <w:kern w:val="2"/>
      <w:szCs w:val="22"/>
    </w:rPr>
  </w:style>
  <w:style w:type="character" w:customStyle="1" w:styleId="66">
    <w:name w:val="列表段落 字符"/>
    <w:link w:val="67"/>
    <w:autoRedefine/>
    <w:qFormat/>
    <w:uiPriority w:val="99"/>
    <w:rPr>
      <w:rFonts w:ascii="Calibri" w:hAnsi="Calibri"/>
    </w:rPr>
  </w:style>
  <w:style w:type="paragraph" w:styleId="67">
    <w:name w:val="List Paragraph"/>
    <w:basedOn w:val="1"/>
    <w:link w:val="66"/>
    <w:autoRedefine/>
    <w:qFormat/>
    <w:uiPriority w:val="99"/>
    <w:pPr>
      <w:autoSpaceDE/>
      <w:autoSpaceDN/>
      <w:adjustRightInd/>
      <w:ind w:firstLine="420" w:firstLineChars="200"/>
    </w:pPr>
    <w:rPr>
      <w:rFonts w:ascii="Calibri" w:hAnsi="Calibri" w:eastAsiaTheme="minorEastAsia" w:cstheme="minorBidi"/>
      <w:color w:val="auto"/>
      <w:kern w:val="2"/>
      <w:szCs w:val="22"/>
    </w:rPr>
  </w:style>
  <w:style w:type="character" w:customStyle="1" w:styleId="68">
    <w:name w:val="日期 Char1"/>
    <w:autoRedefine/>
    <w:qFormat/>
    <w:uiPriority w:val="0"/>
    <w:rPr>
      <w:kern w:val="2"/>
      <w:sz w:val="21"/>
      <w:szCs w:val="24"/>
    </w:rPr>
  </w:style>
  <w:style w:type="character" w:customStyle="1" w:styleId="69">
    <w:name w:val="Char Char3"/>
    <w:basedOn w:val="51"/>
    <w:autoRedefine/>
    <w:qFormat/>
    <w:uiPriority w:val="0"/>
    <w:rPr>
      <w:rFonts w:ascii="宋体" w:hAnsi="Courier New" w:eastAsia="宋体"/>
      <w:sz w:val="24"/>
      <w:szCs w:val="24"/>
      <w:lang w:bidi="ar-SA"/>
    </w:rPr>
  </w:style>
  <w:style w:type="character" w:customStyle="1" w:styleId="70">
    <w:name w:val="正文缩进 字符"/>
    <w:basedOn w:val="51"/>
    <w:link w:val="8"/>
    <w:autoRedefine/>
    <w:qFormat/>
    <w:uiPriority w:val="0"/>
  </w:style>
  <w:style w:type="character" w:customStyle="1" w:styleId="71">
    <w:name w:val="正文文本缩进 字符"/>
    <w:basedOn w:val="51"/>
    <w:autoRedefine/>
    <w:qFormat/>
    <w:uiPriority w:val="0"/>
    <w:rPr>
      <w:rFonts w:eastAsia="宋体"/>
      <w:color w:val="000000"/>
      <w:sz w:val="21"/>
      <w:szCs w:val="21"/>
      <w:lang w:val="en-US" w:eastAsia="zh-CN" w:bidi="ar-SA"/>
    </w:rPr>
  </w:style>
  <w:style w:type="character" w:customStyle="1" w:styleId="72">
    <w:name w:val="15"/>
    <w:basedOn w:val="51"/>
    <w:autoRedefine/>
    <w:qFormat/>
    <w:uiPriority w:val="0"/>
    <w:rPr>
      <w:rFonts w:hint="default" w:ascii="Lucida Sans" w:hAnsi="Lucida Sans"/>
    </w:rPr>
  </w:style>
  <w:style w:type="character" w:customStyle="1" w:styleId="73">
    <w:name w:val="jtz3 Char"/>
    <w:autoRedefine/>
    <w:qFormat/>
    <w:uiPriority w:val="0"/>
    <w:rPr>
      <w:rFonts w:eastAsia="宋体"/>
      <w:b/>
      <w:bCs/>
      <w:kern w:val="2"/>
      <w:sz w:val="28"/>
      <w:szCs w:val="32"/>
      <w:lang w:val="en-US" w:eastAsia="zh-CN" w:bidi="ar-SA"/>
    </w:rPr>
  </w:style>
  <w:style w:type="character" w:customStyle="1" w:styleId="74">
    <w:name w:val="页脚 字符"/>
    <w:basedOn w:val="51"/>
    <w:link w:val="30"/>
    <w:autoRedefine/>
    <w:qFormat/>
    <w:uiPriority w:val="99"/>
    <w:rPr>
      <w:color w:val="000000"/>
      <w:sz w:val="18"/>
      <w:szCs w:val="18"/>
    </w:rPr>
  </w:style>
  <w:style w:type="character" w:customStyle="1" w:styleId="75">
    <w:name w:val="页眉 字符"/>
    <w:basedOn w:val="51"/>
    <w:link w:val="31"/>
    <w:autoRedefine/>
    <w:qFormat/>
    <w:uiPriority w:val="99"/>
    <w:rPr>
      <w:color w:val="000000"/>
      <w:sz w:val="18"/>
      <w:szCs w:val="18"/>
    </w:rPr>
  </w:style>
  <w:style w:type="character" w:customStyle="1" w:styleId="76">
    <w:name w:val="jtz2 Char1"/>
    <w:autoRedefine/>
    <w:qFormat/>
    <w:uiPriority w:val="0"/>
    <w:rPr>
      <w:rFonts w:ascii="Cambria" w:hAnsi="Cambria" w:eastAsia="宋体"/>
      <w:b/>
      <w:bCs/>
      <w:kern w:val="2"/>
      <w:sz w:val="30"/>
      <w:szCs w:val="32"/>
      <w:lang w:val="en-US" w:eastAsia="zh-CN" w:bidi="ar-SA"/>
    </w:rPr>
  </w:style>
  <w:style w:type="character" w:customStyle="1" w:styleId="77">
    <w:name w:val="普通(网站) 字符"/>
    <w:basedOn w:val="51"/>
    <w:link w:val="43"/>
    <w:autoRedefine/>
    <w:qFormat/>
    <w:uiPriority w:val="0"/>
    <w:rPr>
      <w:rFonts w:ascii="宋体" w:hAnsi="宋体"/>
      <w:color w:val="000000"/>
      <w:sz w:val="24"/>
      <w:szCs w:val="24"/>
    </w:rPr>
  </w:style>
  <w:style w:type="character" w:customStyle="1" w:styleId="78">
    <w:name w:val="Char Char13"/>
    <w:autoRedefine/>
    <w:qFormat/>
    <w:uiPriority w:val="0"/>
    <w:rPr>
      <w:rFonts w:eastAsia="宋体"/>
      <w:b/>
      <w:bCs/>
      <w:kern w:val="44"/>
      <w:sz w:val="44"/>
      <w:szCs w:val="44"/>
      <w:lang w:val="en-US" w:eastAsia="zh-CN" w:bidi="ar-SA"/>
    </w:rPr>
  </w:style>
  <w:style w:type="character" w:customStyle="1" w:styleId="79">
    <w:name w:val="Char Char17"/>
    <w:autoRedefine/>
    <w:qFormat/>
    <w:uiPriority w:val="0"/>
    <w:rPr>
      <w:rFonts w:ascii="Calibri" w:hAnsi="Calibri" w:eastAsia="宋体" w:cs="Times New Roman"/>
    </w:rPr>
  </w:style>
  <w:style w:type="character" w:customStyle="1" w:styleId="80">
    <w:name w:val="正文文本缩进 2 Char1"/>
    <w:autoRedefine/>
    <w:qFormat/>
    <w:uiPriority w:val="0"/>
    <w:rPr>
      <w:kern w:val="2"/>
      <w:sz w:val="21"/>
      <w:szCs w:val="24"/>
    </w:rPr>
  </w:style>
  <w:style w:type="character" w:customStyle="1" w:styleId="81">
    <w:name w:val="param-name"/>
    <w:autoRedefine/>
    <w:qFormat/>
    <w:uiPriority w:val="0"/>
  </w:style>
  <w:style w:type="character" w:customStyle="1" w:styleId="82">
    <w:name w:val="01 正文样式 Char"/>
    <w:link w:val="83"/>
    <w:autoRedefine/>
    <w:qFormat/>
    <w:uiPriority w:val="0"/>
    <w:rPr>
      <w:sz w:val="24"/>
    </w:rPr>
  </w:style>
  <w:style w:type="paragraph" w:customStyle="1" w:styleId="83">
    <w:name w:val="01 正文样式"/>
    <w:basedOn w:val="1"/>
    <w:link w:val="82"/>
    <w:qFormat/>
    <w:uiPriority w:val="0"/>
    <w:pPr>
      <w:autoSpaceDE/>
      <w:autoSpaceDN/>
      <w:adjustRightInd/>
      <w:spacing w:line="560" w:lineRule="exact"/>
      <w:ind w:firstLine="480" w:firstLineChars="200"/>
    </w:pPr>
    <w:rPr>
      <w:rFonts w:asciiTheme="minorHAnsi" w:hAnsiTheme="minorHAnsi" w:eastAsiaTheme="minorEastAsia" w:cstheme="minorBidi"/>
      <w:color w:val="auto"/>
      <w:kern w:val="2"/>
      <w:sz w:val="24"/>
      <w:szCs w:val="22"/>
    </w:rPr>
  </w:style>
  <w:style w:type="character" w:customStyle="1" w:styleId="84">
    <w:name w:val="HTML 预设格式 字符"/>
    <w:basedOn w:val="51"/>
    <w:link w:val="42"/>
    <w:autoRedefine/>
    <w:qFormat/>
    <w:uiPriority w:val="99"/>
    <w:rPr>
      <w:rFonts w:ascii="Arial Unicode MS" w:hAnsi="Arial Unicode MS" w:eastAsia="Arial Unicode MS"/>
    </w:rPr>
  </w:style>
  <w:style w:type="character" w:customStyle="1" w:styleId="85">
    <w:name w:val="签名 字符"/>
    <w:basedOn w:val="51"/>
    <w:link w:val="32"/>
    <w:autoRedefine/>
    <w:qFormat/>
    <w:uiPriority w:val="0"/>
    <w:rPr>
      <w:rFonts w:ascii="Arial" w:hAnsi="Arial"/>
      <w:spacing w:val="-5"/>
      <w:sz w:val="24"/>
    </w:rPr>
  </w:style>
  <w:style w:type="character" w:customStyle="1" w:styleId="86">
    <w:name w:val="jtz2 Char"/>
    <w:autoRedefine/>
    <w:qFormat/>
    <w:uiPriority w:val="0"/>
    <w:rPr>
      <w:rFonts w:ascii="Arial" w:hAnsi="Arial" w:eastAsia="宋体"/>
      <w:b/>
      <w:bCs/>
      <w:kern w:val="2"/>
      <w:sz w:val="30"/>
      <w:szCs w:val="32"/>
      <w:lang w:val="en-US" w:eastAsia="zh-CN" w:bidi="ar-SA"/>
    </w:rPr>
  </w:style>
  <w:style w:type="character" w:customStyle="1" w:styleId="87">
    <w:name w:val="正文文本缩进 3 字符"/>
    <w:basedOn w:val="51"/>
    <w:link w:val="37"/>
    <w:autoRedefine/>
    <w:qFormat/>
    <w:uiPriority w:val="0"/>
    <w:rPr>
      <w:szCs w:val="24"/>
    </w:rPr>
  </w:style>
  <w:style w:type="character" w:customStyle="1" w:styleId="88">
    <w:name w:val="纯文本 字符"/>
    <w:basedOn w:val="51"/>
    <w:link w:val="25"/>
    <w:autoRedefine/>
    <w:qFormat/>
    <w:uiPriority w:val="0"/>
    <w:rPr>
      <w:sz w:val="24"/>
    </w:rPr>
  </w:style>
  <w:style w:type="character" w:customStyle="1" w:styleId="89">
    <w:name w:val="01正文样式 Char"/>
    <w:link w:val="90"/>
    <w:autoRedefine/>
    <w:qFormat/>
    <w:uiPriority w:val="0"/>
    <w:rPr>
      <w:rFonts w:ascii="Tahoma" w:hAnsi="Tahoma" w:eastAsia="仿宋_GB2312"/>
      <w:sz w:val="28"/>
    </w:rPr>
  </w:style>
  <w:style w:type="paragraph" w:customStyle="1" w:styleId="90">
    <w:name w:val="01正文样式"/>
    <w:basedOn w:val="1"/>
    <w:link w:val="89"/>
    <w:qFormat/>
    <w:uiPriority w:val="0"/>
    <w:pPr>
      <w:autoSpaceDE/>
      <w:autoSpaceDN/>
      <w:adjustRightInd/>
      <w:ind w:firstLine="480"/>
    </w:pPr>
    <w:rPr>
      <w:rFonts w:ascii="Tahoma" w:hAnsi="Tahoma" w:eastAsia="仿宋_GB2312" w:cstheme="minorBidi"/>
      <w:color w:val="auto"/>
      <w:kern w:val="2"/>
      <w:sz w:val="28"/>
      <w:szCs w:val="22"/>
    </w:rPr>
  </w:style>
  <w:style w:type="character" w:customStyle="1" w:styleId="91">
    <w:name w:val="日期 字符"/>
    <w:basedOn w:val="51"/>
    <w:link w:val="27"/>
    <w:autoRedefine/>
    <w:qFormat/>
    <w:uiPriority w:val="0"/>
    <w:rPr>
      <w:color w:val="000000"/>
      <w:szCs w:val="21"/>
    </w:rPr>
  </w:style>
  <w:style w:type="character" w:customStyle="1" w:styleId="92">
    <w:name w:val="Char Char11"/>
    <w:basedOn w:val="51"/>
    <w:autoRedefine/>
    <w:qFormat/>
    <w:uiPriority w:val="0"/>
    <w:rPr>
      <w:rFonts w:ascii="Arial" w:hAnsi="Arial" w:eastAsia="黑体"/>
      <w:b/>
      <w:kern w:val="2"/>
      <w:sz w:val="32"/>
      <w:szCs w:val="32"/>
      <w:lang w:val="en-US" w:eastAsia="zh-CN" w:bidi="ar-SA"/>
    </w:rPr>
  </w:style>
  <w:style w:type="character" w:customStyle="1" w:styleId="93">
    <w:name w:val="font01"/>
    <w:basedOn w:val="51"/>
    <w:autoRedefine/>
    <w:qFormat/>
    <w:uiPriority w:val="0"/>
    <w:rPr>
      <w:rFonts w:hint="eastAsia" w:ascii="宋体" w:hAnsi="宋体" w:eastAsia="宋体" w:cs="宋体"/>
      <w:color w:val="000000"/>
      <w:sz w:val="24"/>
      <w:szCs w:val="24"/>
    </w:rPr>
  </w:style>
  <w:style w:type="character" w:customStyle="1" w:styleId="94">
    <w:name w:val="p0 Char"/>
    <w:link w:val="95"/>
    <w:autoRedefine/>
    <w:qFormat/>
    <w:uiPriority w:val="0"/>
    <w:rPr>
      <w:szCs w:val="21"/>
    </w:rPr>
  </w:style>
  <w:style w:type="paragraph" w:customStyle="1" w:styleId="95">
    <w:name w:val="p0"/>
    <w:next w:val="38"/>
    <w:link w:val="94"/>
    <w:autoRedefine/>
    <w:qFormat/>
    <w:uiPriority w:val="0"/>
    <w:pPr>
      <w:snapToGrid w:val="0"/>
    </w:pPr>
    <w:rPr>
      <w:rFonts w:asciiTheme="minorHAnsi" w:hAnsiTheme="minorHAnsi" w:eastAsiaTheme="minorEastAsia" w:cstheme="minorBidi"/>
      <w:kern w:val="2"/>
      <w:sz w:val="21"/>
      <w:szCs w:val="21"/>
      <w:lang w:val="en-US" w:eastAsia="zh-CN" w:bidi="ar-SA"/>
    </w:rPr>
  </w:style>
  <w:style w:type="character" w:customStyle="1" w:styleId="96">
    <w:name w:val="Font Style15"/>
    <w:autoRedefine/>
    <w:qFormat/>
    <w:uiPriority w:val="0"/>
    <w:rPr>
      <w:rFonts w:ascii="MingLiU" w:eastAsia="MingLiU"/>
      <w:sz w:val="58"/>
    </w:rPr>
  </w:style>
  <w:style w:type="character" w:customStyle="1" w:styleId="97">
    <w:name w:val="正文 1.5 倍行距 Char"/>
    <w:link w:val="98"/>
    <w:autoRedefine/>
    <w:qFormat/>
    <w:uiPriority w:val="0"/>
    <w:rPr>
      <w:sz w:val="24"/>
    </w:rPr>
  </w:style>
  <w:style w:type="paragraph" w:customStyle="1" w:styleId="98">
    <w:name w:val="正文 1.5 倍行距"/>
    <w:basedOn w:val="1"/>
    <w:link w:val="97"/>
    <w:autoRedefine/>
    <w:qFormat/>
    <w:uiPriority w:val="0"/>
    <w:pPr>
      <w:spacing w:line="360" w:lineRule="auto"/>
      <w:ind w:firstLine="480" w:firstLineChars="200"/>
      <w:textAlignment w:val="baseline"/>
    </w:pPr>
    <w:rPr>
      <w:rFonts w:asciiTheme="minorHAnsi" w:hAnsiTheme="minorHAnsi" w:eastAsiaTheme="minorEastAsia" w:cstheme="minorBidi"/>
      <w:color w:val="auto"/>
      <w:kern w:val="2"/>
      <w:sz w:val="24"/>
      <w:szCs w:val="22"/>
    </w:rPr>
  </w:style>
  <w:style w:type="character" w:customStyle="1" w:styleId="99">
    <w:name w:val="批注文字 字符"/>
    <w:basedOn w:val="51"/>
    <w:link w:val="18"/>
    <w:autoRedefine/>
    <w:qFormat/>
    <w:uiPriority w:val="99"/>
    <w:rPr>
      <w:rFonts w:ascii="Times New Roman" w:hAnsi="Times New Roman" w:eastAsia="宋体" w:cs="Times New Roman"/>
      <w:color w:val="000000"/>
      <w:kern w:val="0"/>
      <w:szCs w:val="21"/>
    </w:rPr>
  </w:style>
  <w:style w:type="character" w:customStyle="1" w:styleId="100">
    <w:name w:val="批注主题 字符"/>
    <w:basedOn w:val="99"/>
    <w:link w:val="46"/>
    <w:autoRedefine/>
    <w:qFormat/>
    <w:uiPriority w:val="0"/>
    <w:rPr>
      <w:rFonts w:ascii="Times New Roman" w:hAnsi="Times New Roman" w:eastAsia="宋体" w:cs="Times New Roman"/>
      <w:b/>
      <w:bCs/>
      <w:color w:val="000000"/>
      <w:kern w:val="0"/>
      <w:szCs w:val="24"/>
    </w:rPr>
  </w:style>
  <w:style w:type="character" w:customStyle="1" w:styleId="101">
    <w:name w:val="正文文本缩进 3 字符1"/>
    <w:basedOn w:val="51"/>
    <w:autoRedefine/>
    <w:semiHidden/>
    <w:qFormat/>
    <w:uiPriority w:val="99"/>
    <w:rPr>
      <w:rFonts w:ascii="Times New Roman" w:hAnsi="Times New Roman" w:eastAsia="宋体" w:cs="Times New Roman"/>
      <w:color w:val="000000"/>
      <w:kern w:val="0"/>
      <w:sz w:val="16"/>
      <w:szCs w:val="16"/>
    </w:rPr>
  </w:style>
  <w:style w:type="character" w:customStyle="1" w:styleId="102">
    <w:name w:val="纯文本 字符1"/>
    <w:basedOn w:val="51"/>
    <w:autoRedefine/>
    <w:semiHidden/>
    <w:qFormat/>
    <w:uiPriority w:val="99"/>
    <w:rPr>
      <w:rFonts w:hAnsi="Courier New" w:cs="Courier New" w:asciiTheme="minorEastAsia"/>
      <w:color w:val="000000"/>
      <w:kern w:val="0"/>
      <w:szCs w:val="21"/>
    </w:rPr>
  </w:style>
  <w:style w:type="character" w:customStyle="1" w:styleId="103">
    <w:name w:val="批注框文本 字符"/>
    <w:basedOn w:val="51"/>
    <w:link w:val="29"/>
    <w:autoRedefine/>
    <w:qFormat/>
    <w:uiPriority w:val="0"/>
    <w:rPr>
      <w:rFonts w:ascii="Times New Roman" w:hAnsi="Times New Roman" w:eastAsia="宋体" w:cs="Times New Roman"/>
      <w:sz w:val="18"/>
      <w:szCs w:val="18"/>
    </w:rPr>
  </w:style>
  <w:style w:type="character" w:customStyle="1" w:styleId="104">
    <w:name w:val="文档结构图 字符"/>
    <w:basedOn w:val="51"/>
    <w:link w:val="17"/>
    <w:autoRedefine/>
    <w:qFormat/>
    <w:uiPriority w:val="0"/>
    <w:rPr>
      <w:rFonts w:ascii="Times New Roman" w:hAnsi="Times New Roman" w:eastAsia="宋体" w:cs="Times New Roman"/>
      <w:szCs w:val="24"/>
      <w:shd w:val="clear" w:color="auto" w:fill="000080"/>
    </w:rPr>
  </w:style>
  <w:style w:type="character" w:customStyle="1" w:styleId="105">
    <w:name w:val="正文文本缩进 字符1"/>
    <w:basedOn w:val="51"/>
    <w:link w:val="21"/>
    <w:autoRedefine/>
    <w:qFormat/>
    <w:uiPriority w:val="0"/>
    <w:rPr>
      <w:rFonts w:ascii="Times New Roman" w:hAnsi="Times New Roman" w:eastAsia="宋体" w:cs="Times New Roman"/>
      <w:color w:val="000000"/>
      <w:kern w:val="0"/>
      <w:szCs w:val="21"/>
    </w:rPr>
  </w:style>
  <w:style w:type="character" w:customStyle="1" w:styleId="106">
    <w:name w:val="正文文本首行缩进 2 字符"/>
    <w:basedOn w:val="105"/>
    <w:link w:val="48"/>
    <w:autoRedefine/>
    <w:qFormat/>
    <w:uiPriority w:val="0"/>
    <w:rPr>
      <w:rFonts w:ascii="Calibri" w:hAnsi="Calibri" w:eastAsia="宋体" w:cs="Times New Roman"/>
      <w:color w:val="000000"/>
      <w:kern w:val="0"/>
      <w:sz w:val="24"/>
      <w:szCs w:val="21"/>
    </w:rPr>
  </w:style>
  <w:style w:type="character" w:customStyle="1" w:styleId="107">
    <w:name w:val="HTML 预设格式 字符1"/>
    <w:basedOn w:val="51"/>
    <w:autoRedefine/>
    <w:semiHidden/>
    <w:qFormat/>
    <w:uiPriority w:val="99"/>
    <w:rPr>
      <w:rFonts w:ascii="Courier New" w:hAnsi="Courier New" w:eastAsia="宋体" w:cs="Courier New"/>
      <w:color w:val="000000"/>
      <w:kern w:val="0"/>
      <w:sz w:val="20"/>
      <w:szCs w:val="20"/>
    </w:rPr>
  </w:style>
  <w:style w:type="character" w:customStyle="1" w:styleId="108">
    <w:name w:val="页脚 字符1"/>
    <w:basedOn w:val="51"/>
    <w:autoRedefine/>
    <w:semiHidden/>
    <w:qFormat/>
    <w:uiPriority w:val="99"/>
    <w:rPr>
      <w:rFonts w:ascii="Times New Roman" w:hAnsi="Times New Roman" w:eastAsia="宋体" w:cs="Times New Roman"/>
      <w:color w:val="000000"/>
      <w:kern w:val="0"/>
      <w:sz w:val="18"/>
      <w:szCs w:val="18"/>
    </w:rPr>
  </w:style>
  <w:style w:type="character" w:customStyle="1" w:styleId="109">
    <w:name w:val="正文文本缩进 2 字符"/>
    <w:basedOn w:val="51"/>
    <w:link w:val="28"/>
    <w:autoRedefine/>
    <w:qFormat/>
    <w:uiPriority w:val="0"/>
    <w:rPr>
      <w:rFonts w:ascii="仿宋_GB2312" w:hAnsi="Times New Roman" w:eastAsia="仿宋_GB2312" w:cs="Times New Roman"/>
      <w:sz w:val="28"/>
      <w:szCs w:val="28"/>
      <w:lang w:val="en-US" w:eastAsia="zh-CN"/>
    </w:rPr>
  </w:style>
  <w:style w:type="character" w:customStyle="1" w:styleId="110">
    <w:name w:val="签名 字符1"/>
    <w:basedOn w:val="51"/>
    <w:autoRedefine/>
    <w:semiHidden/>
    <w:qFormat/>
    <w:uiPriority w:val="99"/>
    <w:rPr>
      <w:rFonts w:ascii="Times New Roman" w:hAnsi="Times New Roman" w:eastAsia="宋体" w:cs="Times New Roman"/>
      <w:color w:val="000000"/>
      <w:kern w:val="0"/>
      <w:szCs w:val="21"/>
    </w:rPr>
  </w:style>
  <w:style w:type="character" w:customStyle="1" w:styleId="111">
    <w:name w:val="日期 字符1"/>
    <w:basedOn w:val="51"/>
    <w:autoRedefine/>
    <w:semiHidden/>
    <w:qFormat/>
    <w:uiPriority w:val="99"/>
    <w:rPr>
      <w:rFonts w:ascii="Times New Roman" w:hAnsi="Times New Roman" w:eastAsia="宋体" w:cs="Times New Roman"/>
      <w:color w:val="000000"/>
      <w:kern w:val="0"/>
      <w:szCs w:val="21"/>
    </w:rPr>
  </w:style>
  <w:style w:type="character" w:customStyle="1" w:styleId="112">
    <w:name w:val="正文文本 字符"/>
    <w:basedOn w:val="51"/>
    <w:link w:val="20"/>
    <w:autoRedefine/>
    <w:qFormat/>
    <w:uiPriority w:val="0"/>
    <w:rPr>
      <w:rFonts w:ascii="Times New Roman" w:hAnsi="Times New Roman" w:eastAsia="宋体" w:cs="Times New Roman"/>
      <w:color w:val="000000"/>
      <w:kern w:val="0"/>
      <w:szCs w:val="21"/>
    </w:rPr>
  </w:style>
  <w:style w:type="character" w:customStyle="1" w:styleId="113">
    <w:name w:val="页眉 字符1"/>
    <w:basedOn w:val="51"/>
    <w:autoRedefine/>
    <w:semiHidden/>
    <w:qFormat/>
    <w:uiPriority w:val="99"/>
    <w:rPr>
      <w:rFonts w:ascii="Times New Roman" w:hAnsi="Times New Roman" w:eastAsia="宋体" w:cs="Times New Roman"/>
      <w:color w:val="000000"/>
      <w:kern w:val="0"/>
      <w:sz w:val="18"/>
      <w:szCs w:val="18"/>
    </w:rPr>
  </w:style>
  <w:style w:type="paragraph" w:customStyle="1" w:styleId="114">
    <w:name w:val="正文段"/>
    <w:basedOn w:val="1"/>
    <w:next w:val="16"/>
    <w:autoRedefine/>
    <w:qFormat/>
    <w:uiPriority w:val="0"/>
    <w:pPr>
      <w:widowControl/>
      <w:autoSpaceDE/>
      <w:autoSpaceDN/>
      <w:adjustRightInd/>
      <w:snapToGrid w:val="0"/>
      <w:spacing w:afterLines="50"/>
      <w:ind w:firstLine="200" w:firstLineChars="200"/>
    </w:pPr>
    <w:rPr>
      <w:color w:val="auto"/>
      <w:sz w:val="24"/>
      <w:szCs w:val="20"/>
    </w:rPr>
  </w:style>
  <w:style w:type="paragraph" w:customStyle="1" w:styleId="115">
    <w:name w:val="Char Char Char Char Char Char Char Char Char Char Char Char Char Char Char Char Char Char Char Char Char Char Char Char Char Char Char Char"/>
    <w:basedOn w:val="1"/>
    <w:autoRedefine/>
    <w:qFormat/>
    <w:uiPriority w:val="0"/>
    <w:pPr>
      <w:tabs>
        <w:tab w:val="left" w:pos="360"/>
      </w:tabs>
      <w:autoSpaceDE/>
      <w:autoSpaceDN/>
      <w:adjustRightInd/>
    </w:pPr>
    <w:rPr>
      <w:color w:val="auto"/>
      <w:kern w:val="2"/>
      <w:sz w:val="24"/>
      <w:szCs w:val="24"/>
    </w:rPr>
  </w:style>
  <w:style w:type="paragraph" w:customStyle="1" w:styleId="116">
    <w:name w:val="p20"/>
    <w:basedOn w:val="1"/>
    <w:autoRedefine/>
    <w:qFormat/>
    <w:uiPriority w:val="0"/>
    <w:pPr>
      <w:widowControl/>
      <w:autoSpaceDE/>
      <w:autoSpaceDN/>
      <w:adjustRightInd/>
      <w:ind w:left="425" w:firstLine="420"/>
    </w:pPr>
    <w:rPr>
      <w:rFonts w:ascii="Calibri" w:hAnsi="Calibri" w:cs="宋体"/>
      <w:color w:val="auto"/>
    </w:rPr>
  </w:style>
  <w:style w:type="paragraph" w:customStyle="1" w:styleId="117">
    <w:name w:val="p22"/>
    <w:basedOn w:val="1"/>
    <w:autoRedefine/>
    <w:qFormat/>
    <w:uiPriority w:val="0"/>
    <w:pPr>
      <w:widowControl/>
      <w:autoSpaceDE/>
      <w:autoSpaceDN/>
      <w:adjustRightInd/>
      <w:jc w:val="left"/>
    </w:pPr>
    <w:rPr>
      <w:color w:val="auto"/>
      <w:sz w:val="18"/>
      <w:szCs w:val="18"/>
    </w:rPr>
  </w:style>
  <w:style w:type="paragraph" w:customStyle="1" w:styleId="118">
    <w:name w:val="列出段落1"/>
    <w:basedOn w:val="1"/>
    <w:autoRedefine/>
    <w:qFormat/>
    <w:uiPriority w:val="0"/>
    <w:pPr>
      <w:autoSpaceDE/>
      <w:autoSpaceDN/>
      <w:adjustRightInd/>
      <w:ind w:firstLine="420" w:firstLineChars="200"/>
    </w:pPr>
    <w:rPr>
      <w:color w:val="auto"/>
      <w:kern w:val="2"/>
      <w:szCs w:val="24"/>
    </w:rPr>
  </w:style>
  <w:style w:type="paragraph" w:customStyle="1" w:styleId="119">
    <w:name w:val="p15"/>
    <w:basedOn w:val="1"/>
    <w:autoRedefine/>
    <w:qFormat/>
    <w:uiPriority w:val="0"/>
    <w:pPr>
      <w:widowControl/>
      <w:autoSpaceDE/>
      <w:autoSpaceDN/>
      <w:adjustRightInd/>
      <w:snapToGrid w:val="0"/>
    </w:pPr>
  </w:style>
  <w:style w:type="paragraph" w:customStyle="1" w:styleId="120">
    <w:name w:val="Char"/>
    <w:basedOn w:val="1"/>
    <w:autoRedefine/>
    <w:qFormat/>
    <w:uiPriority w:val="0"/>
    <w:pPr>
      <w:widowControl/>
      <w:autoSpaceDE/>
      <w:autoSpaceDN/>
      <w:adjustRightInd/>
      <w:spacing w:after="160" w:line="240" w:lineRule="exact"/>
      <w:jc w:val="left"/>
    </w:pPr>
    <w:rPr>
      <w:rFonts w:ascii="Verdana" w:hAnsi="Verdana"/>
      <w:color w:val="auto"/>
      <w:szCs w:val="20"/>
      <w:lang w:eastAsia="en-US"/>
    </w:rPr>
  </w:style>
  <w:style w:type="paragraph" w:customStyle="1" w:styleId="121">
    <w:name w:val="列项"/>
    <w:basedOn w:val="1"/>
    <w:next w:val="1"/>
    <w:autoRedefine/>
    <w:qFormat/>
    <w:uiPriority w:val="0"/>
    <w:pPr>
      <w:numPr>
        <w:ilvl w:val="0"/>
        <w:numId w:val="4"/>
      </w:numPr>
      <w:autoSpaceDE/>
      <w:autoSpaceDN/>
      <w:adjustRightInd/>
      <w:spacing w:line="360" w:lineRule="auto"/>
    </w:pPr>
    <w:rPr>
      <w:rFonts w:ascii="宋体" w:hAnsi="宋体"/>
      <w:color w:val="auto"/>
      <w:kern w:val="2"/>
      <w:sz w:val="24"/>
      <w:szCs w:val="22"/>
    </w:rPr>
  </w:style>
  <w:style w:type="paragraph" w:customStyle="1" w:styleId="122">
    <w:name w:val="p16"/>
    <w:basedOn w:val="1"/>
    <w:autoRedefine/>
    <w:qFormat/>
    <w:uiPriority w:val="0"/>
    <w:pPr>
      <w:widowControl/>
      <w:autoSpaceDE/>
      <w:autoSpaceDN/>
      <w:adjustRightInd/>
    </w:pPr>
    <w:rPr>
      <w:color w:val="auto"/>
      <w:sz w:val="24"/>
      <w:szCs w:val="24"/>
    </w:rPr>
  </w:style>
  <w:style w:type="paragraph" w:customStyle="1" w:styleId="123">
    <w:name w:val="样式4"/>
    <w:basedOn w:val="2"/>
    <w:autoRedefine/>
    <w:qFormat/>
    <w:uiPriority w:val="0"/>
    <w:pPr>
      <w:autoSpaceDE/>
      <w:autoSpaceDN/>
      <w:adjustRightInd/>
      <w:spacing w:line="480" w:lineRule="auto"/>
    </w:pPr>
    <w:rPr>
      <w:bCs/>
      <w:color w:val="auto"/>
      <w:sz w:val="32"/>
      <w:szCs w:val="44"/>
    </w:rPr>
  </w:style>
  <w:style w:type="paragraph" w:customStyle="1" w:styleId="124">
    <w:name w:val="正文文本首行缩进 21"/>
    <w:basedOn w:val="125"/>
    <w:autoRedefine/>
    <w:qFormat/>
    <w:uiPriority w:val="0"/>
    <w:pPr>
      <w:ind w:firstLine="420"/>
    </w:pPr>
    <w:rPr>
      <w:rFonts w:cs="宋体"/>
    </w:rPr>
  </w:style>
  <w:style w:type="paragraph" w:customStyle="1" w:styleId="125">
    <w:name w:val="正文文本缩进1"/>
    <w:basedOn w:val="1"/>
    <w:next w:val="1"/>
    <w:autoRedefine/>
    <w:qFormat/>
    <w:uiPriority w:val="0"/>
    <w:pPr>
      <w:spacing w:after="120"/>
      <w:ind w:left="420" w:leftChars="200"/>
    </w:pPr>
  </w:style>
  <w:style w:type="paragraph" w:customStyle="1" w:styleId="126">
    <w:name w:val="Char Char Char Char Char Char Char Char Char Char Char Char Char Char Char Char Char Char Char"/>
    <w:basedOn w:val="1"/>
    <w:autoRedefine/>
    <w:qFormat/>
    <w:uiPriority w:val="0"/>
    <w:pPr>
      <w:autoSpaceDE/>
      <w:autoSpaceDN/>
      <w:adjustRightInd/>
    </w:pPr>
    <w:rPr>
      <w:color w:val="auto"/>
      <w:kern w:val="2"/>
      <w:szCs w:val="24"/>
    </w:rPr>
  </w:style>
  <w:style w:type="paragraph" w:customStyle="1" w:styleId="127">
    <w:name w:val="p23"/>
    <w:basedOn w:val="1"/>
    <w:autoRedefine/>
    <w:qFormat/>
    <w:uiPriority w:val="0"/>
    <w:pPr>
      <w:widowControl/>
      <w:pBdr>
        <w:bottom w:val="single" w:color="000000" w:sz="6" w:space="1"/>
      </w:pBdr>
      <w:autoSpaceDE/>
      <w:autoSpaceDN/>
      <w:adjustRightInd/>
      <w:jc w:val="center"/>
    </w:pPr>
    <w:rPr>
      <w:color w:val="auto"/>
      <w:sz w:val="18"/>
      <w:szCs w:val="18"/>
    </w:rPr>
  </w:style>
  <w:style w:type="paragraph" w:customStyle="1" w:styleId="128">
    <w:name w:val="p21"/>
    <w:basedOn w:val="1"/>
    <w:autoRedefine/>
    <w:qFormat/>
    <w:uiPriority w:val="0"/>
    <w:pPr>
      <w:widowControl/>
      <w:autoSpaceDE/>
      <w:autoSpaceDN/>
      <w:adjustRightInd/>
      <w:jc w:val="left"/>
    </w:pPr>
    <w:rPr>
      <w:color w:val="auto"/>
    </w:rPr>
  </w:style>
  <w:style w:type="paragraph" w:customStyle="1" w:styleId="1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0">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题注居中"/>
    <w:basedOn w:val="15"/>
    <w:next w:val="1"/>
    <w:autoRedefine/>
    <w:qFormat/>
    <w:uiPriority w:val="0"/>
    <w:pPr>
      <w:spacing w:after="120" w:line="240" w:lineRule="exact"/>
      <w:ind w:firstLine="0" w:firstLineChars="0"/>
      <w:jc w:val="center"/>
    </w:pPr>
    <w:rPr>
      <w:rFonts w:ascii="宋体" w:hAnsi="宋体" w:eastAsia="宋体" w:cs="宋体"/>
      <w:b/>
      <w:sz w:val="21"/>
    </w:rPr>
  </w:style>
  <w:style w:type="paragraph" w:customStyle="1" w:styleId="132">
    <w:name w:val="Char Char Char Char Char Char"/>
    <w:basedOn w:val="1"/>
    <w:autoRedefine/>
    <w:qFormat/>
    <w:uiPriority w:val="0"/>
    <w:pPr>
      <w:widowControl/>
      <w:autoSpaceDE/>
      <w:autoSpaceDN/>
      <w:adjustRightInd/>
      <w:spacing w:after="160" w:line="240" w:lineRule="exact"/>
      <w:jc w:val="left"/>
    </w:pPr>
    <w:rPr>
      <w:color w:val="auto"/>
      <w:kern w:val="2"/>
      <w:szCs w:val="24"/>
    </w:rPr>
  </w:style>
  <w:style w:type="paragraph" w:customStyle="1" w:styleId="133">
    <w:name w:val="Char Char Char Char1"/>
    <w:basedOn w:val="1"/>
    <w:autoRedefine/>
    <w:qFormat/>
    <w:uiPriority w:val="0"/>
    <w:pPr>
      <w:autoSpaceDE/>
      <w:autoSpaceDN/>
      <w:adjustRightInd/>
    </w:pPr>
    <w:rPr>
      <w:rFonts w:ascii="Tahoma" w:hAnsi="Tahoma"/>
      <w:color w:val="auto"/>
      <w:kern w:val="2"/>
      <w:sz w:val="24"/>
      <w:szCs w:val="20"/>
    </w:rPr>
  </w:style>
  <w:style w:type="paragraph" w:customStyle="1" w:styleId="134">
    <w:name w:val="p17"/>
    <w:basedOn w:val="1"/>
    <w:autoRedefine/>
    <w:qFormat/>
    <w:uiPriority w:val="0"/>
    <w:pPr>
      <w:widowControl/>
      <w:autoSpaceDE/>
      <w:autoSpaceDN/>
      <w:adjustRightInd/>
      <w:ind w:left="2520"/>
    </w:pPr>
    <w:rPr>
      <w:color w:val="auto"/>
    </w:rPr>
  </w:style>
  <w:style w:type="paragraph" w:customStyle="1" w:styleId="135">
    <w:name w:val="表格内"/>
    <w:basedOn w:val="1"/>
    <w:autoRedefine/>
    <w:qFormat/>
    <w:uiPriority w:val="0"/>
    <w:rPr>
      <w:rFonts w:cs="宋体"/>
      <w:szCs w:val="20"/>
    </w:rPr>
  </w:style>
  <w:style w:type="paragraph" w:customStyle="1" w:styleId="136">
    <w:name w:val="af17cgridlangnp1033langf"/>
    <w:autoRedefine/>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sz w:val="21"/>
      <w:szCs w:val="22"/>
      <w:lang w:val="en-US" w:eastAsia="zh-CN" w:bidi="ar-SA"/>
    </w:rPr>
  </w:style>
  <w:style w:type="paragraph" w:customStyle="1" w:styleId="137">
    <w:name w:val="p19"/>
    <w:basedOn w:val="1"/>
    <w:autoRedefine/>
    <w:qFormat/>
    <w:uiPriority w:val="0"/>
    <w:pPr>
      <w:widowControl/>
      <w:autoSpaceDE/>
      <w:autoSpaceDN/>
      <w:adjustRightInd/>
      <w:spacing w:before="156" w:after="156" w:line="360" w:lineRule="auto"/>
      <w:ind w:firstLine="420"/>
    </w:pPr>
    <w:rPr>
      <w:color w:val="auto"/>
      <w:sz w:val="24"/>
      <w:szCs w:val="24"/>
    </w:rPr>
  </w:style>
  <w:style w:type="paragraph" w:customStyle="1" w:styleId="138">
    <w:name w:val="Char Char"/>
    <w:basedOn w:val="1"/>
    <w:autoRedefine/>
    <w:qFormat/>
    <w:uiPriority w:val="0"/>
    <w:pPr>
      <w:autoSpaceDE/>
      <w:autoSpaceDN/>
      <w:adjustRightInd/>
    </w:pPr>
    <w:rPr>
      <w:rFonts w:ascii="仿宋_GB2312" w:eastAsia="仿宋_GB2312"/>
      <w:b/>
      <w:color w:val="auto"/>
      <w:kern w:val="2"/>
      <w:sz w:val="32"/>
      <w:szCs w:val="32"/>
    </w:rPr>
  </w:style>
  <w:style w:type="paragraph" w:customStyle="1" w:styleId="139">
    <w:name w:val="p18"/>
    <w:basedOn w:val="1"/>
    <w:autoRedefine/>
    <w:qFormat/>
    <w:uiPriority w:val="0"/>
    <w:pPr>
      <w:widowControl/>
      <w:autoSpaceDE/>
      <w:autoSpaceDN/>
      <w:adjustRightInd/>
      <w:snapToGrid w:val="0"/>
      <w:jc w:val="left"/>
    </w:pPr>
    <w:rPr>
      <w:sz w:val="24"/>
      <w:szCs w:val="24"/>
    </w:rPr>
  </w:style>
  <w:style w:type="paragraph" w:customStyle="1" w:styleId="140">
    <w:name w:val="标题1"/>
    <w:basedOn w:val="1"/>
    <w:autoRedefine/>
    <w:qFormat/>
    <w:uiPriority w:val="0"/>
    <w:pPr>
      <w:tabs>
        <w:tab w:val="left" w:pos="1442"/>
      </w:tabs>
      <w:autoSpaceDE/>
      <w:autoSpaceDN/>
      <w:adjustRightInd/>
      <w:spacing w:line="360" w:lineRule="auto"/>
      <w:jc w:val="center"/>
    </w:pPr>
    <w:rPr>
      <w:rFonts w:ascii="黑体" w:hAnsi="宋体" w:eastAsia="黑体"/>
      <w:b/>
      <w:color w:val="auto"/>
      <w:kern w:val="2"/>
      <w:sz w:val="32"/>
      <w:szCs w:val="24"/>
    </w:rPr>
  </w:style>
  <w:style w:type="paragraph" w:customStyle="1" w:styleId="141">
    <w:name w:val="文档正文"/>
    <w:basedOn w:val="1"/>
    <w:autoRedefine/>
    <w:qFormat/>
    <w:uiPriority w:val="0"/>
    <w:pPr>
      <w:autoSpaceDE/>
      <w:autoSpaceDN/>
      <w:spacing w:line="440" w:lineRule="atLeast"/>
      <w:ind w:firstLine="200" w:firstLineChars="200"/>
      <w:textAlignment w:val="baseline"/>
    </w:pPr>
    <w:rPr>
      <w:rFonts w:ascii="宋体"/>
      <w:color w:val="auto"/>
      <w:spacing w:val="4"/>
      <w:sz w:val="24"/>
      <w:szCs w:val="20"/>
    </w:rPr>
  </w:style>
  <w:style w:type="paragraph" w:customStyle="1" w:styleId="142">
    <w:name w:val="样式 正文缩进首行缩进两字 + 小四 首行缩进:  2 字符"/>
    <w:basedOn w:val="8"/>
    <w:autoRedefine/>
    <w:qFormat/>
    <w:uiPriority w:val="0"/>
    <w:pPr>
      <w:spacing w:line="360" w:lineRule="auto"/>
      <w:ind w:firstLine="200" w:firstLineChars="200"/>
    </w:pPr>
    <w:rPr>
      <w:rFonts w:cs="宋体"/>
      <w:sz w:val="24"/>
    </w:rPr>
  </w:style>
  <w:style w:type="character" w:customStyle="1" w:styleId="143">
    <w:name w:val="font91"/>
    <w:autoRedefine/>
    <w:qFormat/>
    <w:uiPriority w:val="0"/>
    <w:rPr>
      <w:rFonts w:hint="eastAsia" w:ascii="宋体" w:hAnsi="宋体" w:eastAsia="宋体" w:cs="宋体"/>
      <w:color w:val="auto"/>
      <w:sz w:val="18"/>
      <w:szCs w:val="18"/>
      <w:u w:val="none"/>
    </w:rPr>
  </w:style>
  <w:style w:type="paragraph" w:styleId="144">
    <w:name w:val="No Spacing"/>
    <w:link w:val="180"/>
    <w:autoRedefine/>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character" w:customStyle="1" w:styleId="145">
    <w:name w:val="正文文本 3 字符"/>
    <w:basedOn w:val="51"/>
    <w:link w:val="19"/>
    <w:autoRedefine/>
    <w:qFormat/>
    <w:uiPriority w:val="0"/>
    <w:rPr>
      <w:rFonts w:ascii="Times New Roman" w:hAnsi="Times New Roman" w:eastAsia="宋体" w:cs="Times New Roman"/>
      <w:color w:val="000000"/>
      <w:kern w:val="0"/>
      <w:sz w:val="16"/>
      <w:szCs w:val="16"/>
    </w:rPr>
  </w:style>
  <w:style w:type="paragraph" w:customStyle="1" w:styleId="146">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纯文本1"/>
    <w:basedOn w:val="1"/>
    <w:autoRedefine/>
    <w:qFormat/>
    <w:uiPriority w:val="0"/>
    <w:pPr>
      <w:autoSpaceDE/>
      <w:autoSpaceDN/>
      <w:adjustRightInd/>
      <w:ind w:firstLine="280" w:firstLineChars="100"/>
    </w:pPr>
    <w:rPr>
      <w:rFonts w:hAnsi="宋体" w:cs="Courier New"/>
      <w:color w:val="auto"/>
      <w:kern w:val="2"/>
      <w:szCs w:val="20"/>
    </w:rPr>
  </w:style>
  <w:style w:type="character" w:customStyle="1" w:styleId="148">
    <w:name w:val="apple-converted-space"/>
    <w:basedOn w:val="51"/>
    <w:autoRedefine/>
    <w:qFormat/>
    <w:uiPriority w:val="0"/>
  </w:style>
  <w:style w:type="character" w:customStyle="1" w:styleId="149">
    <w:name w:val="正文文本首行缩进 字符"/>
    <w:basedOn w:val="112"/>
    <w:link w:val="47"/>
    <w:autoRedefine/>
    <w:qFormat/>
    <w:uiPriority w:val="0"/>
    <w:rPr>
      <w:rFonts w:ascii="Times New Roman" w:hAnsi="Times New Roman" w:eastAsia="宋体" w:cs="Times New Roman"/>
      <w:color w:val="000000"/>
      <w:kern w:val="0"/>
      <w:sz w:val="21"/>
      <w:szCs w:val="21"/>
    </w:rPr>
  </w:style>
  <w:style w:type="character" w:customStyle="1" w:styleId="150">
    <w:name w:val="标题 5 字符"/>
    <w:basedOn w:val="51"/>
    <w:link w:val="6"/>
    <w:autoRedefine/>
    <w:qFormat/>
    <w:uiPriority w:val="0"/>
    <w:rPr>
      <w:rFonts w:ascii="Times New Roman" w:hAnsi="Times New Roman" w:eastAsia="宋体" w:cs="Times New Roman"/>
      <w:b/>
      <w:bCs/>
      <w:color w:val="000000"/>
      <w:kern w:val="2"/>
      <w:sz w:val="28"/>
      <w:szCs w:val="28"/>
    </w:rPr>
  </w:style>
  <w:style w:type="character" w:customStyle="1" w:styleId="151">
    <w:name w:val="标题 6 字符"/>
    <w:basedOn w:val="51"/>
    <w:link w:val="7"/>
    <w:autoRedefine/>
    <w:qFormat/>
    <w:uiPriority w:val="0"/>
    <w:rPr>
      <w:rFonts w:ascii="Times New Roman" w:hAnsi="Times New Roman" w:eastAsia="宋体" w:cs="Times New Roman"/>
      <w:color w:val="000000"/>
      <w:kern w:val="24"/>
      <w:sz w:val="24"/>
      <w:szCs w:val="24"/>
    </w:rPr>
  </w:style>
  <w:style w:type="character" w:customStyle="1" w:styleId="152">
    <w:name w:val="标题 7 字符"/>
    <w:basedOn w:val="51"/>
    <w:link w:val="9"/>
    <w:autoRedefine/>
    <w:qFormat/>
    <w:uiPriority w:val="0"/>
    <w:rPr>
      <w:rFonts w:ascii="Times New Roman" w:hAnsi="Times New Roman" w:eastAsia="宋体" w:cs="Times New Roman"/>
      <w:color w:val="000000"/>
      <w:spacing w:val="2"/>
      <w:kern w:val="24"/>
      <w:sz w:val="24"/>
      <w:szCs w:val="24"/>
    </w:rPr>
  </w:style>
  <w:style w:type="character" w:customStyle="1" w:styleId="153">
    <w:name w:val="标题 8 字符"/>
    <w:basedOn w:val="51"/>
    <w:link w:val="10"/>
    <w:autoRedefine/>
    <w:qFormat/>
    <w:uiPriority w:val="0"/>
    <w:rPr>
      <w:rFonts w:ascii="Times New Roman" w:hAnsi="Times New Roman" w:eastAsia="宋体" w:cs="Times New Roman"/>
      <w:color w:val="000000"/>
      <w:kern w:val="24"/>
      <w:sz w:val="24"/>
      <w:szCs w:val="24"/>
    </w:rPr>
  </w:style>
  <w:style w:type="character" w:customStyle="1" w:styleId="154">
    <w:name w:val="标题 9 字符"/>
    <w:basedOn w:val="51"/>
    <w:link w:val="11"/>
    <w:autoRedefine/>
    <w:qFormat/>
    <w:uiPriority w:val="0"/>
    <w:rPr>
      <w:rFonts w:ascii="Arial" w:hAnsi="Arial" w:eastAsia="黑体" w:cs="Times New Roman"/>
      <w:kern w:val="2"/>
      <w:sz w:val="21"/>
      <w:szCs w:val="24"/>
    </w:rPr>
  </w:style>
  <w:style w:type="character" w:customStyle="1" w:styleId="155">
    <w:name w:val="!我的正文 Ctr+Q Char"/>
    <w:link w:val="156"/>
    <w:autoRedefine/>
    <w:qFormat/>
    <w:uiPriority w:val="0"/>
    <w:rPr>
      <w:rFonts w:ascii="Arial" w:hAnsi="Arial"/>
      <w:sz w:val="24"/>
      <w:szCs w:val="21"/>
    </w:rPr>
  </w:style>
  <w:style w:type="paragraph" w:customStyle="1" w:styleId="156">
    <w:name w:val="!我的正文 Ctr+Q"/>
    <w:basedOn w:val="1"/>
    <w:link w:val="155"/>
    <w:qFormat/>
    <w:uiPriority w:val="0"/>
    <w:pPr>
      <w:autoSpaceDE/>
      <w:autoSpaceDN/>
      <w:snapToGrid w:val="0"/>
      <w:spacing w:line="360" w:lineRule="auto"/>
      <w:ind w:firstLine="480" w:firstLineChars="200"/>
    </w:pPr>
    <w:rPr>
      <w:rFonts w:ascii="Arial" w:hAnsi="Arial" w:eastAsiaTheme="minorEastAsia" w:cstheme="minorBidi"/>
      <w:color w:val="auto"/>
      <w:sz w:val="24"/>
    </w:rPr>
  </w:style>
  <w:style w:type="character" w:customStyle="1" w:styleId="157">
    <w:name w:val="Char Char14"/>
    <w:autoRedefine/>
    <w:qFormat/>
    <w:uiPriority w:val="0"/>
    <w:rPr>
      <w:rFonts w:eastAsia="宋体"/>
      <w:kern w:val="2"/>
      <w:sz w:val="24"/>
      <w:lang w:val="en-US" w:eastAsia="zh-CN" w:bidi="ar-SA"/>
    </w:rPr>
  </w:style>
  <w:style w:type="character" w:customStyle="1" w:styleId="158">
    <w:name w:val="小点说明 Char Char"/>
    <w:link w:val="159"/>
    <w:autoRedefine/>
    <w:qFormat/>
    <w:uiPriority w:val="0"/>
    <w:rPr>
      <w:rFonts w:eastAsia="宋体"/>
      <w:kern w:val="2"/>
      <w:sz w:val="21"/>
      <w:szCs w:val="24"/>
    </w:rPr>
  </w:style>
  <w:style w:type="paragraph" w:customStyle="1" w:styleId="159">
    <w:name w:val="小点说明"/>
    <w:basedOn w:val="1"/>
    <w:link w:val="158"/>
    <w:autoRedefine/>
    <w:qFormat/>
    <w:uiPriority w:val="0"/>
    <w:pPr>
      <w:autoSpaceDE/>
      <w:autoSpaceDN/>
      <w:snapToGrid w:val="0"/>
      <w:spacing w:line="360" w:lineRule="auto"/>
    </w:pPr>
    <w:rPr>
      <w:rFonts w:asciiTheme="minorHAnsi" w:hAnsiTheme="minorHAnsi" w:cstheme="minorBidi"/>
      <w:color w:val="auto"/>
      <w:kern w:val="2"/>
      <w:szCs w:val="24"/>
    </w:rPr>
  </w:style>
  <w:style w:type="character" w:customStyle="1" w:styleId="160">
    <w:name w:val="纯文本 Char"/>
    <w:autoRedefine/>
    <w:qFormat/>
    <w:uiPriority w:val="0"/>
    <w:rPr>
      <w:rFonts w:ascii="宋体" w:hAnsi="Courier New" w:cs="Courier New"/>
      <w:kern w:val="2"/>
      <w:sz w:val="21"/>
      <w:szCs w:val="21"/>
    </w:rPr>
  </w:style>
  <w:style w:type="character" w:customStyle="1" w:styleId="161">
    <w:name w:val="Char Char9"/>
    <w:autoRedefine/>
    <w:qFormat/>
    <w:uiPriority w:val="0"/>
    <w:rPr>
      <w:rFonts w:eastAsia="宋体"/>
      <w:color w:val="000000"/>
      <w:sz w:val="21"/>
      <w:szCs w:val="21"/>
      <w:lang w:val="en-US" w:eastAsia="zh-CN" w:bidi="ar-SA"/>
    </w:rPr>
  </w:style>
  <w:style w:type="character" w:customStyle="1" w:styleId="162">
    <w:name w:val="Char Char24"/>
    <w:autoRedefine/>
    <w:qFormat/>
    <w:uiPriority w:val="0"/>
    <w:rPr>
      <w:rFonts w:eastAsia="宋体"/>
      <w:b/>
      <w:color w:val="000000"/>
      <w:sz w:val="32"/>
      <w:szCs w:val="21"/>
      <w:lang w:val="en-US" w:eastAsia="zh-CN" w:bidi="ar-SA"/>
    </w:rPr>
  </w:style>
  <w:style w:type="character" w:customStyle="1" w:styleId="163">
    <w:name w:val="文章样式1 Char Char"/>
    <w:link w:val="164"/>
    <w:autoRedefine/>
    <w:qFormat/>
    <w:uiPriority w:val="0"/>
    <w:rPr>
      <w:rFonts w:ascii="宋体" w:hAnsi="宋体" w:eastAsia="Times New Roman" w:cs="宋体"/>
      <w:b/>
      <w:kern w:val="2"/>
      <w:sz w:val="21"/>
    </w:rPr>
  </w:style>
  <w:style w:type="paragraph" w:customStyle="1" w:styleId="164">
    <w:name w:val="文章样式1"/>
    <w:link w:val="163"/>
    <w:autoRedefine/>
    <w:qFormat/>
    <w:uiPriority w:val="0"/>
    <w:pPr>
      <w:numPr>
        <w:ilvl w:val="0"/>
        <w:numId w:val="3"/>
      </w:numPr>
      <w:tabs>
        <w:tab w:val="left" w:pos="0"/>
      </w:tabs>
      <w:spacing w:line="360" w:lineRule="auto"/>
    </w:pPr>
    <w:rPr>
      <w:rFonts w:ascii="宋体" w:hAnsi="宋体" w:eastAsia="Times New Roman" w:cs="宋体"/>
      <w:b/>
      <w:kern w:val="2"/>
      <w:sz w:val="21"/>
      <w:lang w:val="en-US" w:eastAsia="zh-CN" w:bidi="ar-SA"/>
    </w:rPr>
  </w:style>
  <w:style w:type="character" w:customStyle="1" w:styleId="165">
    <w:name w:val="Char Char10"/>
    <w:autoRedefine/>
    <w:qFormat/>
    <w:uiPriority w:val="0"/>
    <w:rPr>
      <w:rFonts w:eastAsia="宋体"/>
      <w:color w:val="000000"/>
      <w:sz w:val="18"/>
      <w:szCs w:val="18"/>
      <w:lang w:val="en-US" w:eastAsia="zh-CN" w:bidi="ar-SA"/>
    </w:rPr>
  </w:style>
  <w:style w:type="character" w:customStyle="1" w:styleId="166">
    <w:name w:val="样式 正文首行缩进 2 + 左侧:  2 字符 首行缩进:  2 字符1 Char Char"/>
    <w:link w:val="167"/>
    <w:autoRedefine/>
    <w:qFormat/>
    <w:uiPriority w:val="0"/>
    <w:rPr>
      <w:rFonts w:ascii="宋体" w:hAnsi="宋体" w:eastAsia="Times New Roman" w:cs="宋体"/>
      <w:color w:val="000000"/>
      <w:kern w:val="2"/>
      <w:sz w:val="21"/>
      <w:szCs w:val="21"/>
    </w:rPr>
  </w:style>
  <w:style w:type="paragraph" w:customStyle="1" w:styleId="167">
    <w:name w:val="样式 正文首行缩进 2 + 左侧:  2 字符 首行缩进:  2 字符1"/>
    <w:next w:val="1"/>
    <w:link w:val="166"/>
    <w:autoRedefine/>
    <w:qFormat/>
    <w:uiPriority w:val="0"/>
    <w:pPr>
      <w:adjustRightInd w:val="0"/>
      <w:snapToGrid w:val="0"/>
      <w:spacing w:before="60" w:after="60" w:line="360" w:lineRule="auto"/>
      <w:ind w:firstLine="420"/>
      <w:jc w:val="both"/>
    </w:pPr>
    <w:rPr>
      <w:rFonts w:ascii="宋体" w:hAnsi="宋体" w:eastAsia="Times New Roman" w:cs="宋体"/>
      <w:color w:val="000000"/>
      <w:kern w:val="2"/>
      <w:sz w:val="21"/>
      <w:szCs w:val="21"/>
      <w:lang w:val="en-US" w:eastAsia="zh-CN" w:bidi="ar-SA"/>
    </w:rPr>
  </w:style>
  <w:style w:type="character" w:customStyle="1" w:styleId="168">
    <w:name w:val="Char Char15"/>
    <w:autoRedefine/>
    <w:qFormat/>
    <w:uiPriority w:val="0"/>
    <w:rPr>
      <w:rFonts w:eastAsia="宋体"/>
      <w:kern w:val="2"/>
      <w:sz w:val="21"/>
      <w:lang w:val="en-US" w:eastAsia="zh-CN" w:bidi="ar-SA"/>
    </w:rPr>
  </w:style>
  <w:style w:type="character" w:customStyle="1" w:styleId="169">
    <w:name w:val="style21"/>
    <w:autoRedefine/>
    <w:qFormat/>
    <w:uiPriority w:val="0"/>
    <w:rPr>
      <w:color w:val="FFFFFF"/>
    </w:rPr>
  </w:style>
  <w:style w:type="character" w:customStyle="1" w:styleId="170">
    <w:name w:val="文章标题3级 Char Char"/>
    <w:link w:val="171"/>
    <w:autoRedefine/>
    <w:qFormat/>
    <w:uiPriority w:val="0"/>
    <w:rPr>
      <w:rFonts w:eastAsia="宋体"/>
      <w:b/>
      <w:bCs/>
      <w:caps/>
      <w:color w:val="000000"/>
      <w:kern w:val="2"/>
      <w:sz w:val="24"/>
      <w:szCs w:val="18"/>
    </w:rPr>
  </w:style>
  <w:style w:type="paragraph" w:customStyle="1" w:styleId="171">
    <w:name w:val="文章标题3级"/>
    <w:basedOn w:val="172"/>
    <w:next w:val="1"/>
    <w:link w:val="170"/>
    <w:autoRedefine/>
    <w:qFormat/>
    <w:uiPriority w:val="0"/>
    <w:pPr>
      <w:tabs>
        <w:tab w:val="left" w:pos="360"/>
        <w:tab w:val="left" w:pos="780"/>
        <w:tab w:val="left" w:pos="1320"/>
        <w:tab w:val="left" w:pos="1560"/>
      </w:tabs>
      <w:outlineLvl w:val="2"/>
    </w:pPr>
    <w:rPr>
      <w:rFonts w:asciiTheme="minorHAnsi" w:hAnsiTheme="minorHAnsi" w:cstheme="minorBidi"/>
      <w:color w:val="000000"/>
      <w:sz w:val="24"/>
      <w:szCs w:val="18"/>
    </w:rPr>
  </w:style>
  <w:style w:type="paragraph" w:customStyle="1" w:styleId="172">
    <w:name w:val="文章标题2级"/>
    <w:basedOn w:val="173"/>
    <w:next w:val="1"/>
    <w:autoRedefine/>
    <w:qFormat/>
    <w:uiPriority w:val="0"/>
    <w:pPr>
      <w:pageBreakBefore w:val="0"/>
      <w:tabs>
        <w:tab w:val="left" w:pos="360"/>
        <w:tab w:val="left" w:pos="780"/>
        <w:tab w:val="left" w:pos="1320"/>
      </w:tabs>
      <w:ind w:left="200" w:hanging="200" w:hangingChars="200"/>
      <w:jc w:val="left"/>
      <w:outlineLvl w:val="1"/>
    </w:pPr>
    <w:rPr>
      <w:sz w:val="30"/>
    </w:rPr>
  </w:style>
  <w:style w:type="paragraph" w:customStyle="1" w:styleId="173">
    <w:name w:val="文章标题1级"/>
    <w:next w:val="1"/>
    <w:autoRedefine/>
    <w:qFormat/>
    <w:uiPriority w:val="0"/>
    <w:pPr>
      <w:pageBreakBefore/>
      <w:tabs>
        <w:tab w:val="left" w:pos="360"/>
      </w:tabs>
      <w:spacing w:beforeLines="50" w:afterLines="50"/>
      <w:ind w:left="840" w:hanging="420"/>
      <w:jc w:val="center"/>
      <w:outlineLvl w:val="0"/>
    </w:pPr>
    <w:rPr>
      <w:rFonts w:ascii="Times New Roman" w:hAnsi="Times New Roman" w:eastAsia="宋体" w:cs="Times New Roman"/>
      <w:b/>
      <w:bCs/>
      <w:caps/>
      <w:kern w:val="2"/>
      <w:sz w:val="32"/>
      <w:szCs w:val="24"/>
      <w:lang w:val="en-US" w:eastAsia="zh-CN" w:bidi="ar-SA"/>
    </w:rPr>
  </w:style>
  <w:style w:type="character" w:customStyle="1" w:styleId="174">
    <w:name w:val="Char Char131"/>
    <w:autoRedefine/>
    <w:qFormat/>
    <w:uiPriority w:val="0"/>
    <w:rPr>
      <w:rFonts w:eastAsia="宋体"/>
      <w:color w:val="000000"/>
      <w:sz w:val="21"/>
      <w:szCs w:val="21"/>
      <w:lang w:val="en-US" w:eastAsia="zh-CN" w:bidi="ar-SA"/>
    </w:rPr>
  </w:style>
  <w:style w:type="character" w:customStyle="1" w:styleId="175">
    <w:name w:val="正文文本 Char Char"/>
    <w:autoRedefine/>
    <w:qFormat/>
    <w:uiPriority w:val="0"/>
    <w:rPr>
      <w:rFonts w:ascii="Calibri" w:hAnsi="Calibri" w:eastAsia="宋体"/>
      <w:kern w:val="2"/>
      <w:sz w:val="21"/>
      <w:szCs w:val="22"/>
      <w:lang w:val="en-US" w:eastAsia="zh-CN" w:bidi="ar-SA"/>
    </w:rPr>
  </w:style>
  <w:style w:type="character" w:customStyle="1" w:styleId="176">
    <w:name w:val="正文缩进 Char"/>
    <w:autoRedefine/>
    <w:qFormat/>
    <w:uiPriority w:val="0"/>
    <w:rPr>
      <w:rFonts w:eastAsia="宋体"/>
      <w:kern w:val="2"/>
      <w:sz w:val="21"/>
      <w:lang w:val="en-US" w:eastAsia="zh-CN" w:bidi="ar-SA"/>
    </w:rPr>
  </w:style>
  <w:style w:type="character" w:customStyle="1" w:styleId="177">
    <w:name w:val="页脚 Char"/>
    <w:autoRedefine/>
    <w:qFormat/>
    <w:uiPriority w:val="99"/>
    <w:rPr>
      <w:sz w:val="18"/>
      <w:szCs w:val="18"/>
    </w:rPr>
  </w:style>
  <w:style w:type="character" w:customStyle="1" w:styleId="178">
    <w:name w:val="页眉 Char"/>
    <w:autoRedefine/>
    <w:qFormat/>
    <w:uiPriority w:val="0"/>
    <w:rPr>
      <w:rFonts w:ascii="Times New Roman" w:hAnsi="Times New Roman"/>
      <w:kern w:val="2"/>
      <w:sz w:val="18"/>
      <w:szCs w:val="18"/>
    </w:rPr>
  </w:style>
  <w:style w:type="character" w:customStyle="1" w:styleId="179">
    <w:name w:val="Char Char18"/>
    <w:autoRedefine/>
    <w:qFormat/>
    <w:uiPriority w:val="0"/>
    <w:rPr>
      <w:rFonts w:eastAsia="宋体"/>
      <w:kern w:val="2"/>
      <w:sz w:val="21"/>
      <w:szCs w:val="24"/>
      <w:lang w:val="en-US" w:eastAsia="zh-CN" w:bidi="ar-SA"/>
    </w:rPr>
  </w:style>
  <w:style w:type="character" w:customStyle="1" w:styleId="180">
    <w:name w:val="无间隔 字符"/>
    <w:link w:val="144"/>
    <w:autoRedefine/>
    <w:qFormat/>
    <w:uiPriority w:val="0"/>
    <w:rPr>
      <w:rFonts w:ascii="Times New Roman" w:hAnsi="Times New Roman" w:eastAsia="宋体" w:cs="Times New Roman"/>
      <w:color w:val="000000"/>
      <w:sz w:val="21"/>
      <w:szCs w:val="21"/>
    </w:rPr>
  </w:style>
  <w:style w:type="character" w:customStyle="1" w:styleId="181">
    <w:name w:val="正文文字2 Char Char"/>
    <w:autoRedefine/>
    <w:qFormat/>
    <w:uiPriority w:val="0"/>
    <w:rPr>
      <w:rFonts w:ascii="Arial" w:eastAsia="黑体"/>
      <w:sz w:val="21"/>
      <w:lang w:val="en-US" w:eastAsia="zh-CN" w:bidi="ar-SA"/>
    </w:rPr>
  </w:style>
  <w:style w:type="character" w:customStyle="1" w:styleId="182">
    <w:name w:val="Char Char27"/>
    <w:autoRedefine/>
    <w:qFormat/>
    <w:uiPriority w:val="0"/>
    <w:rPr>
      <w:rFonts w:eastAsia="宋体"/>
      <w:b/>
      <w:color w:val="000000"/>
      <w:kern w:val="44"/>
      <w:sz w:val="44"/>
      <w:szCs w:val="21"/>
      <w:lang w:val="en-US" w:eastAsia="zh-CN" w:bidi="ar-SA"/>
    </w:rPr>
  </w:style>
  <w:style w:type="character" w:customStyle="1" w:styleId="183">
    <w:name w:val="style31"/>
    <w:autoRedefine/>
    <w:qFormat/>
    <w:uiPriority w:val="0"/>
    <w:rPr>
      <w:b/>
      <w:bCs/>
      <w:color w:val="0033CC"/>
    </w:rPr>
  </w:style>
  <w:style w:type="character" w:customStyle="1" w:styleId="184">
    <w:name w:val="Char Char111"/>
    <w:autoRedefine/>
    <w:qFormat/>
    <w:uiPriority w:val="0"/>
    <w:rPr>
      <w:rFonts w:eastAsia="宋体"/>
      <w:color w:val="000000"/>
      <w:sz w:val="21"/>
      <w:szCs w:val="21"/>
      <w:lang w:val="en-US" w:eastAsia="zh-CN" w:bidi="ar-SA"/>
    </w:rPr>
  </w:style>
  <w:style w:type="character" w:customStyle="1" w:styleId="185">
    <w:name w:val="Char Char26"/>
    <w:autoRedefine/>
    <w:qFormat/>
    <w:uiPriority w:val="0"/>
    <w:rPr>
      <w:b/>
      <w:color w:val="000000"/>
      <w:kern w:val="44"/>
      <w:sz w:val="44"/>
      <w:szCs w:val="21"/>
      <w:lang w:val="en-US" w:eastAsia="zh-CN" w:bidi="ar-SA"/>
    </w:rPr>
  </w:style>
  <w:style w:type="character" w:customStyle="1" w:styleId="186">
    <w:name w:val="小标题 Char Char"/>
    <w:link w:val="187"/>
    <w:autoRedefine/>
    <w:qFormat/>
    <w:uiPriority w:val="0"/>
    <w:rPr>
      <w:rFonts w:ascii="宋体" w:hAnsi="宋体" w:eastAsia="宋体"/>
      <w:b/>
      <w:sz w:val="24"/>
      <w:szCs w:val="24"/>
    </w:rPr>
  </w:style>
  <w:style w:type="paragraph" w:customStyle="1" w:styleId="187">
    <w:name w:val="小标题"/>
    <w:basedOn w:val="1"/>
    <w:next w:val="1"/>
    <w:link w:val="186"/>
    <w:autoRedefine/>
    <w:qFormat/>
    <w:uiPriority w:val="0"/>
    <w:pPr>
      <w:widowControl/>
      <w:numPr>
        <w:ilvl w:val="0"/>
        <w:numId w:val="5"/>
      </w:numPr>
      <w:tabs>
        <w:tab w:val="left" w:pos="360"/>
      </w:tabs>
      <w:autoSpaceDE/>
      <w:autoSpaceDN/>
      <w:adjustRightInd/>
      <w:jc w:val="left"/>
    </w:pPr>
    <w:rPr>
      <w:rFonts w:ascii="宋体" w:hAnsi="宋体" w:cstheme="minorBidi"/>
      <w:b/>
      <w:color w:val="auto"/>
      <w:sz w:val="24"/>
      <w:szCs w:val="24"/>
    </w:rPr>
  </w:style>
  <w:style w:type="character" w:customStyle="1" w:styleId="188">
    <w:name w:val="正文首缩两字 Char Char"/>
    <w:link w:val="189"/>
    <w:autoRedefine/>
    <w:qFormat/>
    <w:uiPriority w:val="0"/>
    <w:rPr>
      <w:rFonts w:ascii="Verdana" w:hAnsi="Verdana" w:eastAsia="宋体"/>
      <w:kern w:val="2"/>
      <w:sz w:val="24"/>
      <w:szCs w:val="24"/>
    </w:rPr>
  </w:style>
  <w:style w:type="paragraph" w:customStyle="1" w:styleId="189">
    <w:name w:val="正文首缩两字"/>
    <w:basedOn w:val="1"/>
    <w:link w:val="188"/>
    <w:autoRedefine/>
    <w:qFormat/>
    <w:uiPriority w:val="0"/>
    <w:pPr>
      <w:autoSpaceDE/>
      <w:autoSpaceDN/>
      <w:adjustRightInd/>
      <w:spacing w:line="360" w:lineRule="auto"/>
      <w:ind w:firstLine="200" w:firstLineChars="200"/>
    </w:pPr>
    <w:rPr>
      <w:rFonts w:ascii="Verdana" w:hAnsi="Verdana" w:cstheme="minorBidi"/>
      <w:color w:val="auto"/>
      <w:kern w:val="2"/>
      <w:sz w:val="24"/>
      <w:szCs w:val="24"/>
    </w:rPr>
  </w:style>
  <w:style w:type="character" w:customStyle="1" w:styleId="190">
    <w:name w:val="正文2 Char Char"/>
    <w:link w:val="191"/>
    <w:autoRedefine/>
    <w:qFormat/>
    <w:locked/>
    <w:uiPriority w:val="0"/>
    <w:rPr>
      <w:rFonts w:ascii="楷体" w:hAnsi="Verdana" w:eastAsia="楷体"/>
      <w:kern w:val="2"/>
      <w:sz w:val="24"/>
      <w:szCs w:val="24"/>
    </w:rPr>
  </w:style>
  <w:style w:type="paragraph" w:customStyle="1" w:styleId="191">
    <w:name w:val="正文2"/>
    <w:basedOn w:val="1"/>
    <w:link w:val="190"/>
    <w:autoRedefine/>
    <w:qFormat/>
    <w:uiPriority w:val="0"/>
    <w:pPr>
      <w:tabs>
        <w:tab w:val="left" w:pos="360"/>
      </w:tabs>
      <w:autoSpaceDE/>
      <w:autoSpaceDN/>
      <w:adjustRightInd/>
      <w:spacing w:beforeLines="50" w:line="360" w:lineRule="auto"/>
      <w:jc w:val="left"/>
    </w:pPr>
    <w:rPr>
      <w:rFonts w:ascii="楷体" w:hAnsi="Verdana" w:eastAsia="楷体" w:cstheme="minorBidi"/>
      <w:color w:val="auto"/>
      <w:kern w:val="2"/>
      <w:sz w:val="24"/>
      <w:szCs w:val="24"/>
    </w:rPr>
  </w:style>
  <w:style w:type="character" w:customStyle="1" w:styleId="192">
    <w:name w:val="文字 Char Char"/>
    <w:link w:val="193"/>
    <w:autoRedefine/>
    <w:qFormat/>
    <w:uiPriority w:val="0"/>
    <w:rPr>
      <w:rFonts w:ascii="宋体" w:hAnsi="宋体"/>
      <w:kern w:val="2"/>
      <w:sz w:val="28"/>
    </w:rPr>
  </w:style>
  <w:style w:type="paragraph" w:customStyle="1" w:styleId="193">
    <w:name w:val="文字"/>
    <w:basedOn w:val="1"/>
    <w:link w:val="192"/>
    <w:autoRedefine/>
    <w:qFormat/>
    <w:uiPriority w:val="0"/>
    <w:pPr>
      <w:tabs>
        <w:tab w:val="left" w:pos="8520"/>
      </w:tabs>
      <w:autoSpaceDE/>
      <w:autoSpaceDN/>
      <w:adjustRightInd/>
      <w:spacing w:line="312" w:lineRule="auto"/>
      <w:ind w:right="-210" w:firstLine="556"/>
    </w:pPr>
    <w:rPr>
      <w:rFonts w:ascii="宋体" w:hAnsi="宋体" w:eastAsiaTheme="minorEastAsia" w:cstheme="minorBidi"/>
      <w:color w:val="auto"/>
      <w:kern w:val="2"/>
      <w:sz w:val="28"/>
      <w:szCs w:val="20"/>
    </w:rPr>
  </w:style>
  <w:style w:type="character" w:customStyle="1" w:styleId="194">
    <w:name w:val="Char Char25"/>
    <w:autoRedefine/>
    <w:qFormat/>
    <w:uiPriority w:val="0"/>
    <w:rPr>
      <w:rFonts w:ascii="Arial" w:hAnsi="Arial" w:eastAsia="黑体"/>
      <w:b/>
      <w:bCs/>
      <w:kern w:val="2"/>
      <w:sz w:val="32"/>
      <w:szCs w:val="32"/>
      <w:lang w:val="en-US" w:eastAsia="zh-CN" w:bidi="ar-SA"/>
    </w:rPr>
  </w:style>
  <w:style w:type="character" w:customStyle="1" w:styleId="195">
    <w:name w:val="强调1"/>
    <w:autoRedefine/>
    <w:qFormat/>
    <w:uiPriority w:val="0"/>
    <w:rPr>
      <w:rFonts w:ascii="Arial Black" w:hAnsi="Arial Black" w:eastAsia="黑体"/>
      <w:b/>
      <w:spacing w:val="0"/>
      <w:sz w:val="21"/>
    </w:rPr>
  </w:style>
  <w:style w:type="character" w:customStyle="1" w:styleId="196">
    <w:name w:val="文档结构图 Char"/>
    <w:autoRedefine/>
    <w:qFormat/>
    <w:uiPriority w:val="0"/>
    <w:rPr>
      <w:rFonts w:ascii="Times New Roman" w:hAnsi="Times New Roman" w:eastAsia="??" w:cs="Times New Roman"/>
      <w:sz w:val="28"/>
      <w:szCs w:val="28"/>
      <w:shd w:val="clear" w:color="auto" w:fill="000080"/>
    </w:rPr>
  </w:style>
  <w:style w:type="character" w:customStyle="1" w:styleId="197">
    <w:name w:val="标题 字符"/>
    <w:basedOn w:val="51"/>
    <w:link w:val="45"/>
    <w:autoRedefine/>
    <w:qFormat/>
    <w:uiPriority w:val="0"/>
    <w:rPr>
      <w:rFonts w:ascii="Arial" w:hAnsi="Arial" w:eastAsia="宋体" w:cs="Times New Roman"/>
      <w:b/>
      <w:bCs/>
      <w:color w:val="000000"/>
      <w:kern w:val="2"/>
      <w:sz w:val="32"/>
      <w:szCs w:val="32"/>
    </w:rPr>
  </w:style>
  <w:style w:type="character" w:customStyle="1" w:styleId="198">
    <w:name w:val="正文文本 2 字符"/>
    <w:basedOn w:val="51"/>
    <w:link w:val="41"/>
    <w:autoRedefine/>
    <w:qFormat/>
    <w:uiPriority w:val="0"/>
    <w:rPr>
      <w:rFonts w:ascii="Times New Roman" w:hAnsi="Times New Roman" w:eastAsia="宋体" w:cs="Times New Roman"/>
      <w:color w:val="000000"/>
      <w:kern w:val="2"/>
      <w:sz w:val="21"/>
      <w:szCs w:val="22"/>
    </w:rPr>
  </w:style>
  <w:style w:type="paragraph" w:customStyle="1" w:styleId="199">
    <w:name w:val="正文缩进1"/>
    <w:basedOn w:val="1"/>
    <w:autoRedefine/>
    <w:qFormat/>
    <w:uiPriority w:val="0"/>
    <w:pPr>
      <w:autoSpaceDE/>
      <w:autoSpaceDN/>
      <w:adjustRightInd/>
      <w:ind w:firstLine="420"/>
    </w:pPr>
    <w:rPr>
      <w:color w:val="auto"/>
      <w:kern w:val="2"/>
      <w:szCs w:val="20"/>
    </w:rPr>
  </w:style>
  <w:style w:type="paragraph" w:customStyle="1" w:styleId="200">
    <w:name w:val="Char Char Char Char"/>
    <w:basedOn w:val="1"/>
    <w:autoRedefine/>
    <w:qFormat/>
    <w:uiPriority w:val="0"/>
    <w:pPr>
      <w:autoSpaceDE/>
      <w:autoSpaceDN/>
      <w:adjustRightInd/>
    </w:pPr>
    <w:rPr>
      <w:color w:val="auto"/>
      <w:kern w:val="2"/>
      <w:szCs w:val="20"/>
    </w:rPr>
  </w:style>
  <w:style w:type="paragraph" w:customStyle="1" w:styleId="201">
    <w:name w:val="文章标题4级"/>
    <w:basedOn w:val="171"/>
    <w:next w:val="1"/>
    <w:autoRedefine/>
    <w:qFormat/>
    <w:uiPriority w:val="0"/>
    <w:pPr>
      <w:tabs>
        <w:tab w:val="left" w:pos="1034"/>
        <w:tab w:val="left" w:pos="2760"/>
        <w:tab w:val="clear" w:pos="1560"/>
      </w:tabs>
      <w:outlineLvl w:val="3"/>
    </w:pPr>
    <w:rPr>
      <w:color w:val="auto"/>
    </w:rPr>
  </w:style>
  <w:style w:type="paragraph" w:customStyle="1" w:styleId="202">
    <w:name w:val="封面正文"/>
    <w:autoRedefine/>
    <w:qFormat/>
    <w:uiPriority w:val="0"/>
    <w:pPr>
      <w:jc w:val="both"/>
    </w:pPr>
    <w:rPr>
      <w:rFonts w:ascii="Times New Roman" w:hAnsi="Times New Roman" w:eastAsia="宋体" w:cs="Times New Roman"/>
      <w:lang w:val="en-US" w:eastAsia="zh-CN" w:bidi="ar-SA"/>
    </w:rPr>
  </w:style>
  <w:style w:type="paragraph" w:customStyle="1" w:styleId="203">
    <w:name w:val="Char Char Char"/>
    <w:basedOn w:val="1"/>
    <w:autoRedefine/>
    <w:qFormat/>
    <w:uiPriority w:val="0"/>
    <w:pPr>
      <w:autoSpaceDE/>
      <w:autoSpaceDN/>
      <w:adjustRightInd/>
    </w:pPr>
    <w:rPr>
      <w:color w:val="auto"/>
      <w:kern w:val="2"/>
      <w:szCs w:val="24"/>
    </w:rPr>
  </w:style>
  <w:style w:type="paragraph" w:customStyle="1" w:styleId="204">
    <w:name w:val="1级标题"/>
    <w:basedOn w:val="1"/>
    <w:autoRedefine/>
    <w:qFormat/>
    <w:uiPriority w:val="0"/>
    <w:pPr>
      <w:keepLines/>
      <w:pageBreakBefore/>
      <w:numPr>
        <w:ilvl w:val="0"/>
        <w:numId w:val="6"/>
      </w:numPr>
      <w:autoSpaceDE/>
      <w:autoSpaceDN/>
      <w:adjustRightInd/>
      <w:spacing w:before="240" w:after="240" w:line="360" w:lineRule="auto"/>
      <w:ind w:firstLine="0"/>
      <w:contextualSpacing/>
      <w:jc w:val="center"/>
      <w:outlineLvl w:val="0"/>
    </w:pPr>
    <w:rPr>
      <w:rFonts w:ascii="黑体" w:hAnsi="黑体" w:eastAsia="黑体"/>
      <w:color w:val="auto"/>
      <w:sz w:val="36"/>
      <w:szCs w:val="36"/>
      <w:lang w:val="zh-CN" w:eastAsia="en-US" w:bidi="en-US"/>
    </w:rPr>
  </w:style>
  <w:style w:type="paragraph" w:customStyle="1" w:styleId="205">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6">
    <w:name w:val="3级标题"/>
    <w:basedOn w:val="1"/>
    <w:autoRedefine/>
    <w:qFormat/>
    <w:uiPriority w:val="0"/>
    <w:pPr>
      <w:keepLines/>
      <w:numPr>
        <w:ilvl w:val="2"/>
        <w:numId w:val="6"/>
      </w:numPr>
      <w:autoSpaceDE/>
      <w:autoSpaceDN/>
      <w:adjustRightInd/>
      <w:spacing w:before="120" w:after="120" w:line="360" w:lineRule="auto"/>
      <w:contextualSpacing/>
      <w:jc w:val="left"/>
      <w:outlineLvl w:val="2"/>
    </w:pPr>
    <w:rPr>
      <w:rFonts w:ascii="黑体" w:hAnsi="黑体" w:eastAsia="黑体"/>
      <w:color w:val="auto"/>
      <w:sz w:val="28"/>
      <w:szCs w:val="36"/>
      <w:lang w:val="zh-CN" w:eastAsia="en-US" w:bidi="en-US"/>
    </w:rPr>
  </w:style>
  <w:style w:type="paragraph" w:customStyle="1" w:styleId="207">
    <w:name w:val="标题 6（有编号）（绿盟科技）"/>
    <w:basedOn w:val="1"/>
    <w:next w:val="1"/>
    <w:autoRedefine/>
    <w:qFormat/>
    <w:uiPriority w:val="0"/>
    <w:pPr>
      <w:keepNext/>
      <w:keepLines/>
      <w:numPr>
        <w:ilvl w:val="0"/>
        <w:numId w:val="7"/>
      </w:numPr>
      <w:tabs>
        <w:tab w:val="left" w:pos="885"/>
      </w:tabs>
      <w:autoSpaceDE/>
      <w:autoSpaceDN/>
      <w:adjustRightInd/>
      <w:spacing w:before="240" w:after="64" w:line="317" w:lineRule="auto"/>
      <w:ind w:left="2098" w:hanging="1247"/>
      <w:jc w:val="left"/>
      <w:outlineLvl w:val="5"/>
    </w:pPr>
    <w:rPr>
      <w:rFonts w:ascii="Arial" w:hAnsi="Arial" w:eastAsia="黑体"/>
      <w:b/>
      <w:color w:val="auto"/>
      <w:szCs w:val="24"/>
    </w:rPr>
  </w:style>
  <w:style w:type="paragraph" w:customStyle="1" w:styleId="208">
    <w:name w:val="次小点说明"/>
    <w:basedOn w:val="1"/>
    <w:autoRedefine/>
    <w:qFormat/>
    <w:uiPriority w:val="0"/>
    <w:pPr>
      <w:numPr>
        <w:ilvl w:val="0"/>
        <w:numId w:val="8"/>
      </w:numPr>
      <w:tabs>
        <w:tab w:val="left" w:pos="1680"/>
      </w:tabs>
      <w:autoSpaceDE/>
      <w:autoSpaceDN/>
      <w:snapToGrid w:val="0"/>
      <w:spacing w:line="360" w:lineRule="auto"/>
    </w:pPr>
    <w:rPr>
      <w:color w:val="auto"/>
      <w:kern w:val="2"/>
      <w:szCs w:val="24"/>
    </w:rPr>
  </w:style>
  <w:style w:type="paragraph" w:customStyle="1" w:styleId="209">
    <w:name w:val="段落正文 Char"/>
    <w:basedOn w:val="1"/>
    <w:autoRedefine/>
    <w:qFormat/>
    <w:uiPriority w:val="0"/>
    <w:pPr>
      <w:autoSpaceDE/>
      <w:autoSpaceDN/>
      <w:adjustRightInd/>
      <w:spacing w:line="360" w:lineRule="auto"/>
      <w:ind w:firstLine="461" w:firstLineChars="192"/>
    </w:pPr>
    <w:rPr>
      <w:rFonts w:ascii="宋体" w:hAnsi="宋体"/>
      <w:color w:val="auto"/>
      <w:kern w:val="2"/>
      <w:sz w:val="24"/>
      <w:szCs w:val="24"/>
    </w:rPr>
  </w:style>
  <w:style w:type="paragraph" w:customStyle="1" w:styleId="210">
    <w:name w:val="Table Paragraph"/>
    <w:basedOn w:val="1"/>
    <w:autoRedefine/>
    <w:qFormat/>
    <w:uiPriority w:val="1"/>
    <w:pPr>
      <w:autoSpaceDE/>
      <w:autoSpaceDN/>
      <w:adjustRightInd/>
    </w:pPr>
    <w:rPr>
      <w:rFonts w:ascii="Arial Unicode MS" w:hAnsi="Arial Unicode MS" w:eastAsia="Arial Unicode MS" w:cs="Arial Unicode MS"/>
      <w:color w:val="auto"/>
      <w:kern w:val="2"/>
      <w:szCs w:val="24"/>
      <w:lang w:val="zh-CN" w:bidi="zh-CN"/>
    </w:rPr>
  </w:style>
  <w:style w:type="paragraph" w:customStyle="1" w:styleId="211">
    <w:name w:val="样式 列表编号 + 段后: 0.5 行"/>
    <w:basedOn w:val="14"/>
    <w:autoRedefine/>
    <w:qFormat/>
    <w:uiPriority w:val="0"/>
    <w:pPr>
      <w:widowControl w:val="0"/>
      <w:tabs>
        <w:tab w:val="clear" w:pos="720"/>
      </w:tabs>
      <w:spacing w:afterLines="0"/>
      <w:jc w:val="both"/>
    </w:pPr>
    <w:rPr>
      <w:rFonts w:cs="宋体"/>
      <w:kern w:val="2"/>
      <w:sz w:val="21"/>
      <w:szCs w:val="24"/>
    </w:rPr>
  </w:style>
  <w:style w:type="paragraph" w:customStyle="1" w:styleId="212">
    <w:name w:val="Char3"/>
    <w:basedOn w:val="1"/>
    <w:autoRedefine/>
    <w:qFormat/>
    <w:uiPriority w:val="0"/>
    <w:pPr>
      <w:autoSpaceDE/>
      <w:autoSpaceDN/>
      <w:adjustRightInd/>
    </w:pPr>
    <w:rPr>
      <w:rFonts w:ascii="Tahoma" w:hAnsi="Tahoma"/>
      <w:color w:val="auto"/>
      <w:kern w:val="2"/>
      <w:sz w:val="24"/>
      <w:szCs w:val="20"/>
    </w:rPr>
  </w:style>
  <w:style w:type="paragraph" w:customStyle="1" w:styleId="213">
    <w:name w:val="列表段落2"/>
    <w:basedOn w:val="1"/>
    <w:autoRedefine/>
    <w:qFormat/>
    <w:uiPriority w:val="0"/>
    <w:pPr>
      <w:autoSpaceDE/>
      <w:autoSpaceDN/>
      <w:adjustRightInd/>
      <w:ind w:firstLine="420" w:firstLineChars="200"/>
    </w:pPr>
    <w:rPr>
      <w:color w:val="auto"/>
      <w:kern w:val="2"/>
      <w:szCs w:val="22"/>
    </w:rPr>
  </w:style>
  <w:style w:type="paragraph" w:customStyle="1" w:styleId="214">
    <w:name w:val="Char Char Char Char Char Char1"/>
    <w:basedOn w:val="1"/>
    <w:autoRedefine/>
    <w:qFormat/>
    <w:uiPriority w:val="0"/>
    <w:pPr>
      <w:widowControl/>
      <w:autoSpaceDE/>
      <w:autoSpaceDN/>
      <w:adjustRightInd/>
      <w:spacing w:after="160" w:line="240" w:lineRule="exact"/>
      <w:jc w:val="left"/>
    </w:pPr>
    <w:rPr>
      <w:color w:val="auto"/>
      <w:kern w:val="2"/>
      <w:szCs w:val="24"/>
    </w:rPr>
  </w:style>
  <w:style w:type="paragraph" w:customStyle="1" w:styleId="215">
    <w:name w:val="默认段落字体 Para Char Char Char Char"/>
    <w:basedOn w:val="1"/>
    <w:autoRedefine/>
    <w:qFormat/>
    <w:uiPriority w:val="0"/>
    <w:pPr>
      <w:autoSpaceDE/>
      <w:autoSpaceDN/>
      <w:adjustRightInd/>
    </w:pPr>
    <w:rPr>
      <w:color w:val="auto"/>
      <w:kern w:val="2"/>
      <w:szCs w:val="24"/>
    </w:rPr>
  </w:style>
  <w:style w:type="paragraph" w:customStyle="1" w:styleId="216">
    <w:name w:val="Char Char Char Char Char Char Char Char Char Char Char Char Char"/>
    <w:basedOn w:val="1"/>
    <w:autoRedefine/>
    <w:qFormat/>
    <w:uiPriority w:val="0"/>
    <w:pPr>
      <w:widowControl/>
      <w:numPr>
        <w:ilvl w:val="0"/>
        <w:numId w:val="9"/>
      </w:numPr>
      <w:tabs>
        <w:tab w:val="left" w:pos="1200"/>
      </w:tabs>
      <w:autoSpaceDE/>
      <w:autoSpaceDN/>
      <w:adjustRightInd/>
      <w:spacing w:after="160" w:line="240" w:lineRule="exact"/>
      <w:ind w:left="0" w:firstLine="0"/>
      <w:jc w:val="left"/>
    </w:pPr>
    <w:rPr>
      <w:rFonts w:ascii="Verdana" w:hAnsi="Verdana"/>
      <w:color w:val="auto"/>
      <w:sz w:val="20"/>
      <w:szCs w:val="20"/>
      <w:lang w:eastAsia="en-US"/>
    </w:rPr>
  </w:style>
  <w:style w:type="paragraph" w:customStyle="1" w:styleId="217">
    <w:name w:val="插图标注（绿盟科技）"/>
    <w:next w:val="1"/>
    <w:autoRedefine/>
    <w:qFormat/>
    <w:uiPriority w:val="0"/>
    <w:pPr>
      <w:numPr>
        <w:ilvl w:val="6"/>
        <w:numId w:val="10"/>
      </w:numPr>
      <w:tabs>
        <w:tab w:val="left" w:pos="3420"/>
      </w:tabs>
      <w:spacing w:after="156"/>
      <w:jc w:val="center"/>
    </w:pPr>
    <w:rPr>
      <w:rFonts w:ascii="Arial" w:hAnsi="Arial" w:eastAsia="宋体" w:cs="Arial"/>
      <w:sz w:val="21"/>
      <w:szCs w:val="21"/>
      <w:lang w:val="en-US" w:eastAsia="zh-CN" w:bidi="ar-SA"/>
    </w:rPr>
  </w:style>
  <w:style w:type="paragraph" w:customStyle="1" w:styleId="218">
    <w:name w:val="标题 3（绿盟科技）"/>
    <w:basedOn w:val="4"/>
    <w:next w:val="1"/>
    <w:autoRedefine/>
    <w:qFormat/>
    <w:uiPriority w:val="0"/>
    <w:pPr>
      <w:numPr>
        <w:ilvl w:val="2"/>
        <w:numId w:val="10"/>
      </w:numPr>
      <w:tabs>
        <w:tab w:val="left" w:pos="960"/>
      </w:tabs>
      <w:autoSpaceDE/>
      <w:autoSpaceDN/>
      <w:adjustRightInd/>
      <w:jc w:val="left"/>
    </w:pPr>
    <w:rPr>
      <w:rFonts w:ascii="Arial" w:hAnsi="Arial" w:eastAsia="黑体"/>
      <w:bCs w:val="0"/>
      <w:color w:val="auto"/>
      <w:sz w:val="30"/>
      <w:szCs w:val="30"/>
    </w:rPr>
  </w:style>
  <w:style w:type="paragraph" w:customStyle="1" w:styleId="219">
    <w:name w:val="陈泽滨"/>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0">
    <w:name w:val="Char1"/>
    <w:basedOn w:val="1"/>
    <w:autoRedefine/>
    <w:qFormat/>
    <w:uiPriority w:val="0"/>
    <w:pPr>
      <w:autoSpaceDE/>
      <w:autoSpaceDN/>
      <w:adjustRightInd/>
    </w:pPr>
    <w:rPr>
      <w:rFonts w:ascii="仿宋_GB2312" w:eastAsia="仿宋_GB2312"/>
      <w:b/>
      <w:color w:val="auto"/>
      <w:kern w:val="2"/>
      <w:sz w:val="32"/>
      <w:szCs w:val="32"/>
    </w:rPr>
  </w:style>
  <w:style w:type="paragraph" w:customStyle="1" w:styleId="221">
    <w:name w:val="font7"/>
    <w:basedOn w:val="1"/>
    <w:autoRedefine/>
    <w:qFormat/>
    <w:uiPriority w:val="0"/>
    <w:pPr>
      <w:widowControl/>
      <w:autoSpaceDE/>
      <w:autoSpaceDN/>
      <w:adjustRightInd/>
      <w:spacing w:before="100" w:beforeAutospacing="1" w:after="100" w:afterAutospacing="1"/>
      <w:jc w:val="left"/>
    </w:pPr>
    <w:rPr>
      <w:rFonts w:ascii="宋体" w:hAnsi="宋体" w:cs="宋体"/>
      <w:color w:val="auto"/>
      <w:sz w:val="20"/>
      <w:szCs w:val="20"/>
    </w:rPr>
  </w:style>
  <w:style w:type="paragraph" w:customStyle="1" w:styleId="222">
    <w:name w:val="纯文本2"/>
    <w:basedOn w:val="1"/>
    <w:autoRedefine/>
    <w:qFormat/>
    <w:uiPriority w:val="0"/>
    <w:pPr>
      <w:autoSpaceDE/>
      <w:autoSpaceDN/>
      <w:adjustRightInd/>
    </w:pPr>
    <w:rPr>
      <w:rFonts w:ascii="宋体" w:hAnsi="Courier New"/>
      <w:color w:val="auto"/>
    </w:rPr>
  </w:style>
  <w:style w:type="paragraph" w:customStyle="1" w:styleId="223">
    <w:name w:val="样式1"/>
    <w:basedOn w:val="114"/>
    <w:autoRedefine/>
    <w:qFormat/>
    <w:uiPriority w:val="0"/>
    <w:pPr>
      <w:widowControl w:val="0"/>
      <w:spacing w:afterLines="0"/>
      <w:ind w:firstLine="0" w:firstLineChars="0"/>
    </w:pPr>
    <w:rPr>
      <w:rFonts w:ascii="仿宋_GB2312" w:hAnsi="宋体" w:eastAsia="仿宋_GB2312"/>
      <w:bCs/>
      <w:color w:val="FF0000"/>
      <w:kern w:val="2"/>
      <w:sz w:val="21"/>
      <w:szCs w:val="21"/>
    </w:rPr>
  </w:style>
  <w:style w:type="paragraph" w:customStyle="1" w:styleId="224">
    <w:name w:val="xl104"/>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225">
    <w:name w:val="标题 1（绿盟科技）"/>
    <w:basedOn w:val="2"/>
    <w:next w:val="1"/>
    <w:autoRedefine/>
    <w:qFormat/>
    <w:uiPriority w:val="0"/>
    <w:pPr>
      <w:numPr>
        <w:ilvl w:val="0"/>
        <w:numId w:val="10"/>
      </w:numPr>
      <w:pBdr>
        <w:bottom w:val="single" w:color="auto" w:sz="48" w:space="1"/>
      </w:pBdr>
      <w:tabs>
        <w:tab w:val="left" w:pos="840"/>
      </w:tabs>
      <w:autoSpaceDE/>
      <w:autoSpaceDN/>
      <w:adjustRightInd/>
      <w:spacing w:before="600"/>
      <w:jc w:val="left"/>
    </w:pPr>
    <w:rPr>
      <w:rFonts w:ascii="Arial" w:hAnsi="Arial" w:eastAsia="黑体"/>
      <w:bCs/>
      <w:color w:val="auto"/>
      <w:szCs w:val="44"/>
    </w:rPr>
  </w:style>
  <w:style w:type="paragraph" w:customStyle="1" w:styleId="226">
    <w:name w:val="List Paragraph1"/>
    <w:basedOn w:val="1"/>
    <w:autoRedefine/>
    <w:qFormat/>
    <w:uiPriority w:val="0"/>
    <w:pPr>
      <w:autoSpaceDE/>
      <w:autoSpaceDN/>
      <w:adjustRightInd/>
      <w:ind w:firstLine="420" w:firstLineChars="200"/>
    </w:pPr>
    <w:rPr>
      <w:color w:val="auto"/>
      <w:kern w:val="2"/>
      <w:szCs w:val="24"/>
    </w:rPr>
  </w:style>
  <w:style w:type="paragraph" w:customStyle="1" w:styleId="227">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8">
    <w:name w:val="4级标题"/>
    <w:basedOn w:val="1"/>
    <w:autoRedefine/>
    <w:qFormat/>
    <w:uiPriority w:val="0"/>
    <w:pPr>
      <w:keepLines/>
      <w:numPr>
        <w:ilvl w:val="3"/>
        <w:numId w:val="6"/>
      </w:numPr>
      <w:autoSpaceDE/>
      <w:autoSpaceDN/>
      <w:adjustRightInd/>
      <w:spacing w:line="360" w:lineRule="auto"/>
      <w:contextualSpacing/>
      <w:jc w:val="left"/>
      <w:outlineLvl w:val="3"/>
    </w:pPr>
    <w:rPr>
      <w:rFonts w:ascii="黑体" w:hAnsi="黑体" w:eastAsia="黑体"/>
      <w:color w:val="auto"/>
      <w:sz w:val="24"/>
      <w:szCs w:val="24"/>
      <w:lang w:val="zh-CN" w:eastAsia="en-US" w:bidi="en-US"/>
    </w:rPr>
  </w:style>
  <w:style w:type="paragraph" w:customStyle="1" w:styleId="229">
    <w:name w:val="标题 5（有编号）（绿盟科技）"/>
    <w:basedOn w:val="1"/>
    <w:next w:val="1"/>
    <w:autoRedefine/>
    <w:qFormat/>
    <w:uiPriority w:val="0"/>
    <w:pPr>
      <w:keepNext/>
      <w:keepLines/>
      <w:numPr>
        <w:ilvl w:val="4"/>
        <w:numId w:val="10"/>
      </w:numPr>
      <w:tabs>
        <w:tab w:val="left" w:pos="2580"/>
      </w:tabs>
      <w:autoSpaceDE/>
      <w:autoSpaceDN/>
      <w:adjustRightInd/>
      <w:spacing w:before="280" w:after="156" w:line="377" w:lineRule="auto"/>
      <w:jc w:val="left"/>
      <w:outlineLvl w:val="4"/>
    </w:pPr>
    <w:rPr>
      <w:rFonts w:ascii="Arial" w:hAnsi="Arial" w:eastAsia="黑体"/>
      <w:b/>
      <w:color w:val="auto"/>
      <w:sz w:val="24"/>
      <w:szCs w:val="28"/>
    </w:rPr>
  </w:style>
  <w:style w:type="paragraph" w:customStyle="1" w:styleId="230">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1">
    <w:name w:val="表格标注（绿盟科技）"/>
    <w:basedOn w:val="217"/>
    <w:next w:val="1"/>
    <w:autoRedefine/>
    <w:qFormat/>
    <w:uiPriority w:val="0"/>
    <w:pPr>
      <w:numPr>
        <w:ilvl w:val="7"/>
      </w:numPr>
      <w:tabs>
        <w:tab w:val="left" w:pos="3840"/>
        <w:tab w:val="clear" w:pos="3420"/>
      </w:tabs>
    </w:pPr>
  </w:style>
  <w:style w:type="paragraph" w:customStyle="1" w:styleId="232">
    <w:name w:val="列出段落2"/>
    <w:basedOn w:val="1"/>
    <w:autoRedefine/>
    <w:qFormat/>
    <w:uiPriority w:val="34"/>
    <w:pPr>
      <w:ind w:firstLine="420" w:firstLineChars="200"/>
    </w:pPr>
  </w:style>
  <w:style w:type="paragraph" w:customStyle="1" w:styleId="233">
    <w:name w:val="称呼1"/>
    <w:basedOn w:val="1"/>
    <w:next w:val="1"/>
    <w:autoRedefine/>
    <w:qFormat/>
    <w:uiPriority w:val="0"/>
    <w:pPr>
      <w:widowControl/>
      <w:autoSpaceDE/>
      <w:autoSpaceDN/>
      <w:jc w:val="left"/>
      <w:textAlignment w:val="baseline"/>
    </w:pPr>
    <w:rPr>
      <w:rFonts w:ascii="Arial" w:hAnsi="Arial"/>
      <w:color w:val="auto"/>
      <w:spacing w:val="-5"/>
      <w:sz w:val="24"/>
      <w:szCs w:val="20"/>
    </w:rPr>
  </w:style>
  <w:style w:type="paragraph" w:customStyle="1" w:styleId="234">
    <w:name w:val="Body Text(ch)"/>
    <w:basedOn w:val="1"/>
    <w:next w:val="20"/>
    <w:autoRedefine/>
    <w:qFormat/>
    <w:uiPriority w:val="0"/>
    <w:pPr>
      <w:autoSpaceDE/>
      <w:autoSpaceDN/>
      <w:adjustRightInd/>
      <w:spacing w:line="360" w:lineRule="auto"/>
    </w:pPr>
    <w:rPr>
      <w:rFonts w:ascii="宋体" w:hAnsi="宋体"/>
      <w:color w:val="auto"/>
      <w:kern w:val="2"/>
      <w:sz w:val="24"/>
      <w:szCs w:val="24"/>
    </w:rPr>
  </w:style>
  <w:style w:type="paragraph" w:customStyle="1" w:styleId="235">
    <w:name w:val="2级标题"/>
    <w:basedOn w:val="1"/>
    <w:autoRedefine/>
    <w:qFormat/>
    <w:uiPriority w:val="0"/>
    <w:pPr>
      <w:keepLines/>
      <w:numPr>
        <w:ilvl w:val="1"/>
        <w:numId w:val="6"/>
      </w:numPr>
      <w:autoSpaceDE/>
      <w:autoSpaceDN/>
      <w:adjustRightInd/>
      <w:spacing w:before="240" w:after="120" w:line="360" w:lineRule="auto"/>
      <w:contextualSpacing/>
      <w:jc w:val="left"/>
      <w:outlineLvl w:val="1"/>
    </w:pPr>
    <w:rPr>
      <w:rFonts w:ascii="黑体" w:hAnsi="黑体" w:eastAsia="黑体"/>
      <w:color w:val="auto"/>
      <w:sz w:val="32"/>
      <w:szCs w:val="36"/>
      <w:lang w:val="zh-CN" w:eastAsia="en-US" w:bidi="en-US"/>
    </w:rPr>
  </w:style>
  <w:style w:type="paragraph" w:customStyle="1" w:styleId="236">
    <w:name w:val="标题 2（绿盟科技）"/>
    <w:basedOn w:val="3"/>
    <w:next w:val="1"/>
    <w:autoRedefine/>
    <w:qFormat/>
    <w:uiPriority w:val="0"/>
    <w:pPr>
      <w:numPr>
        <w:ilvl w:val="1"/>
        <w:numId w:val="10"/>
      </w:numPr>
      <w:tabs>
        <w:tab w:val="left" w:pos="1320"/>
      </w:tabs>
      <w:jc w:val="left"/>
    </w:pPr>
    <w:rPr>
      <w:bCs w:val="0"/>
    </w:rPr>
  </w:style>
  <w:style w:type="paragraph" w:customStyle="1" w:styleId="237">
    <w:name w:val="回信地址"/>
    <w:basedOn w:val="1"/>
    <w:autoRedefine/>
    <w:qFormat/>
    <w:uiPriority w:val="0"/>
    <w:pPr>
      <w:keepLines/>
      <w:widowControl/>
      <w:tabs>
        <w:tab w:val="left" w:pos="-18551"/>
      </w:tabs>
      <w:autoSpaceDE/>
      <w:autoSpaceDN/>
      <w:spacing w:line="160" w:lineRule="atLeast"/>
      <w:jc w:val="left"/>
      <w:textAlignment w:val="baseline"/>
    </w:pPr>
    <w:rPr>
      <w:rFonts w:ascii="Arial" w:hAnsi="Arial"/>
      <w:color w:val="auto"/>
      <w:sz w:val="18"/>
      <w:szCs w:val="20"/>
    </w:rPr>
  </w:style>
  <w:style w:type="paragraph" w:customStyle="1" w:styleId="238">
    <w:name w:val="1"/>
    <w:basedOn w:val="1"/>
    <w:autoRedefine/>
    <w:qFormat/>
    <w:uiPriority w:val="0"/>
    <w:pPr>
      <w:widowControl/>
      <w:autoSpaceDE/>
      <w:autoSpaceDN/>
      <w:adjustRightInd/>
      <w:spacing w:after="160" w:line="240" w:lineRule="exact"/>
      <w:jc w:val="left"/>
    </w:pPr>
    <w:rPr>
      <w:color w:val="auto"/>
      <w:kern w:val="2"/>
      <w:szCs w:val="24"/>
    </w:rPr>
  </w:style>
  <w:style w:type="paragraph" w:customStyle="1" w:styleId="239">
    <w:name w:val="标准正文"/>
    <w:basedOn w:val="1"/>
    <w:link w:val="253"/>
    <w:autoRedefine/>
    <w:qFormat/>
    <w:uiPriority w:val="0"/>
    <w:pPr>
      <w:autoSpaceDE/>
      <w:autoSpaceDN/>
      <w:adjustRightInd/>
      <w:spacing w:afterLines="50"/>
      <w:ind w:firstLine="200" w:firstLineChars="200"/>
    </w:pPr>
    <w:rPr>
      <w:color w:val="auto"/>
      <w:kern w:val="2"/>
      <w:sz w:val="24"/>
    </w:rPr>
  </w:style>
  <w:style w:type="paragraph" w:customStyle="1" w:styleId="240">
    <w:name w:val="table text"/>
    <w:basedOn w:val="1"/>
    <w:autoRedefine/>
    <w:qFormat/>
    <w:uiPriority w:val="0"/>
    <w:pPr>
      <w:widowControl/>
      <w:autoSpaceDE/>
      <w:autoSpaceDN/>
      <w:adjustRightInd/>
    </w:pPr>
    <w:rPr>
      <w:rFonts w:ascii="Arial" w:hAnsi="Arial"/>
      <w:bCs/>
      <w:color w:val="auto"/>
      <w:sz w:val="20"/>
      <w:szCs w:val="20"/>
    </w:rPr>
  </w:style>
  <w:style w:type="paragraph" w:customStyle="1" w:styleId="241">
    <w:name w:val="Char2"/>
    <w:basedOn w:val="1"/>
    <w:autoRedefine/>
    <w:qFormat/>
    <w:uiPriority w:val="0"/>
    <w:pPr>
      <w:autoSpaceDE/>
      <w:autoSpaceDN/>
      <w:adjustRightInd/>
    </w:pPr>
    <w:rPr>
      <w:color w:val="auto"/>
      <w:kern w:val="2"/>
      <w:szCs w:val="20"/>
    </w:rPr>
  </w:style>
  <w:style w:type="paragraph" w:customStyle="1" w:styleId="242">
    <w:name w:val="WPS Plain"/>
    <w:autoRedefine/>
    <w:qFormat/>
    <w:uiPriority w:val="0"/>
    <w:rPr>
      <w:rFonts w:ascii="Times New Roman" w:hAnsi="Times New Roman" w:eastAsia="宋体" w:cs="Times New Roman"/>
      <w:sz w:val="21"/>
      <w:szCs w:val="22"/>
      <w:lang w:val="en-US" w:eastAsia="zh-CN" w:bidi="ar-SA"/>
    </w:rPr>
  </w:style>
  <w:style w:type="paragraph" w:customStyle="1" w:styleId="243">
    <w:name w:val="正文首行缩进 21"/>
    <w:basedOn w:val="1"/>
    <w:autoRedefine/>
    <w:qFormat/>
    <w:uiPriority w:val="0"/>
    <w:pPr>
      <w:autoSpaceDE/>
      <w:autoSpaceDN/>
      <w:adjustRightInd/>
      <w:spacing w:after="120"/>
      <w:ind w:left="420" w:leftChars="200" w:firstLine="420"/>
    </w:pPr>
    <w:rPr>
      <w:rFonts w:cs="宋体"/>
      <w:kern w:val="2"/>
    </w:rPr>
  </w:style>
  <w:style w:type="paragraph" w:customStyle="1" w:styleId="244">
    <w:name w:val="四级目录 Char Char Char Char Char"/>
    <w:next w:val="1"/>
    <w:autoRedefine/>
    <w:qFormat/>
    <w:uiPriority w:val="0"/>
    <w:pPr>
      <w:spacing w:line="360" w:lineRule="auto"/>
      <w:ind w:left="200" w:leftChars="200"/>
    </w:pPr>
    <w:rPr>
      <w:rFonts w:ascii="Calibri" w:hAnsi="Calibri" w:eastAsia="宋体" w:cs="Times New Roman"/>
      <w:lang w:val="en-US" w:eastAsia="zh-CN" w:bidi="ar-SA"/>
    </w:rPr>
  </w:style>
  <w:style w:type="paragraph" w:customStyle="1" w:styleId="245">
    <w:name w:val="_Style 82"/>
    <w:basedOn w:val="1"/>
    <w:next w:val="1"/>
    <w:autoRedefine/>
    <w:qFormat/>
    <w:uiPriority w:val="34"/>
    <w:pPr>
      <w:autoSpaceDE/>
      <w:autoSpaceDN/>
      <w:adjustRightInd/>
      <w:ind w:firstLine="420" w:firstLineChars="200"/>
    </w:pPr>
    <w:rPr>
      <w:rFonts w:ascii="等线" w:hAnsi="等线" w:eastAsia="等线" w:cs="宋体"/>
      <w:color w:val="auto"/>
      <w:kern w:val="2"/>
      <w:szCs w:val="24"/>
    </w:rPr>
  </w:style>
  <w:style w:type="character" w:customStyle="1" w:styleId="246">
    <w:name w:val="NormalCharacter"/>
    <w:link w:val="247"/>
    <w:autoRedefine/>
    <w:qFormat/>
    <w:uiPriority w:val="0"/>
  </w:style>
  <w:style w:type="paragraph" w:customStyle="1" w:styleId="247">
    <w:name w:val="UserStyle_152"/>
    <w:basedOn w:val="1"/>
    <w:link w:val="246"/>
    <w:autoRedefine/>
    <w:qFormat/>
    <w:uiPriority w:val="0"/>
    <w:pPr>
      <w:widowControl/>
      <w:autoSpaceDE/>
      <w:autoSpaceDN/>
      <w:adjustRightInd/>
      <w:textAlignment w:val="baseline"/>
    </w:pPr>
    <w:rPr>
      <w:rFonts w:ascii="宋体" w:hAnsi="宋体" w:cstheme="minorBidi"/>
      <w:color w:val="auto"/>
      <w:spacing w:val="-6"/>
      <w:kern w:val="2"/>
      <w:sz w:val="36"/>
      <w:szCs w:val="20"/>
    </w:rPr>
  </w:style>
  <w:style w:type="character" w:customStyle="1" w:styleId="248">
    <w:name w:val="标准文本 Char"/>
    <w:link w:val="249"/>
    <w:autoRedefine/>
    <w:qFormat/>
    <w:uiPriority w:val="0"/>
    <w:rPr>
      <w:sz w:val="24"/>
      <w:szCs w:val="24"/>
    </w:rPr>
  </w:style>
  <w:style w:type="paragraph" w:customStyle="1" w:styleId="249">
    <w:name w:val="标准文本"/>
    <w:basedOn w:val="20"/>
    <w:link w:val="248"/>
    <w:autoRedefine/>
    <w:qFormat/>
    <w:uiPriority w:val="0"/>
    <w:pPr>
      <w:autoSpaceDE/>
      <w:autoSpaceDN/>
      <w:adjustRightInd/>
      <w:spacing w:before="120" w:line="360" w:lineRule="auto"/>
      <w:ind w:left="240" w:leftChars="100" w:firstLine="420"/>
    </w:pPr>
    <w:rPr>
      <w:rFonts w:asciiTheme="minorHAnsi" w:hAnsiTheme="minorHAnsi" w:eastAsiaTheme="minorEastAsia" w:cstheme="minorBidi"/>
      <w:color w:val="auto"/>
      <w:sz w:val="24"/>
      <w:szCs w:val="24"/>
    </w:rPr>
  </w:style>
  <w:style w:type="character" w:customStyle="1" w:styleId="250">
    <w:name w:val="bookmark-item"/>
    <w:basedOn w:val="51"/>
    <w:autoRedefine/>
    <w:qFormat/>
    <w:uiPriority w:val="99"/>
  </w:style>
  <w:style w:type="paragraph" w:customStyle="1" w:styleId="251">
    <w:name w:val="DAS正文"/>
    <w:basedOn w:val="1"/>
    <w:autoRedefine/>
    <w:qFormat/>
    <w:uiPriority w:val="0"/>
    <w:pPr>
      <w:autoSpaceDE/>
      <w:autoSpaceDN/>
      <w:adjustRightInd/>
      <w:spacing w:line="360" w:lineRule="auto"/>
      <w:ind w:right="181" w:firstLine="480" w:firstLineChars="200"/>
    </w:pPr>
    <w:rPr>
      <w:rFonts w:ascii="Verdana" w:hAnsi="Verdana"/>
      <w:color w:val="auto"/>
      <w:kern w:val="2"/>
      <w:szCs w:val="24"/>
    </w:rPr>
  </w:style>
  <w:style w:type="paragraph" w:customStyle="1" w:styleId="252">
    <w:name w:val="_Style 3"/>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253">
    <w:name w:val="标准正文 Char"/>
    <w:link w:val="239"/>
    <w:autoRedefine/>
    <w:qFormat/>
    <w:uiPriority w:val="0"/>
    <w:rPr>
      <w:kern w:val="2"/>
      <w:sz w:val="24"/>
      <w:szCs w:val="21"/>
    </w:rPr>
  </w:style>
  <w:style w:type="paragraph" w:customStyle="1" w:styleId="254">
    <w:name w:val="_Style 1"/>
    <w:autoRedefine/>
    <w:qFormat/>
    <w:uiPriority w:val="0"/>
    <w:rPr>
      <w:rFonts w:ascii="Calibri" w:hAnsi="Calibri" w:eastAsia="宋体" w:cs="Times New Roman"/>
      <w:kern w:val="2"/>
      <w:sz w:val="28"/>
      <w:szCs w:val="22"/>
      <w:lang w:val="en-US" w:eastAsia="zh-CN" w:bidi="ar-SA"/>
    </w:rPr>
  </w:style>
  <w:style w:type="character" w:customStyle="1" w:styleId="255">
    <w:name w:val="font31"/>
    <w:basedOn w:val="51"/>
    <w:autoRedefine/>
    <w:qFormat/>
    <w:uiPriority w:val="0"/>
    <w:rPr>
      <w:rFonts w:hint="eastAsia" w:ascii="宋体" w:hAnsi="宋体" w:eastAsia="宋体" w:cs="宋体"/>
      <w:color w:val="000000"/>
      <w:sz w:val="21"/>
      <w:szCs w:val="21"/>
      <w:u w:val="none"/>
    </w:rPr>
  </w:style>
  <w:style w:type="character" w:customStyle="1" w:styleId="256">
    <w:name w:val="font21"/>
    <w:basedOn w:val="51"/>
    <w:autoRedefine/>
    <w:qFormat/>
    <w:uiPriority w:val="99"/>
    <w:rPr>
      <w:rFonts w:hint="eastAsia" w:ascii="宋体" w:hAnsi="宋体" w:eastAsia="宋体" w:cs="宋体"/>
      <w:color w:val="000000"/>
      <w:sz w:val="21"/>
      <w:szCs w:val="21"/>
      <w:u w:val="none"/>
    </w:rPr>
  </w:style>
  <w:style w:type="paragraph" w:customStyle="1" w:styleId="2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8">
    <w:name w:val="表格文字"/>
    <w:basedOn w:val="1"/>
    <w:next w:val="20"/>
    <w:autoRedefine/>
    <w:qFormat/>
    <w:uiPriority w:val="0"/>
    <w:pPr>
      <w:spacing w:line="420" w:lineRule="atLeast"/>
      <w:textAlignment w:val="baseline"/>
    </w:pPr>
    <w:rPr>
      <w:szCs w:val="24"/>
    </w:rPr>
  </w:style>
  <w:style w:type="paragraph" w:customStyle="1" w:styleId="259">
    <w:name w:val="列出段落3"/>
    <w:basedOn w:val="1"/>
    <w:autoRedefine/>
    <w:qFormat/>
    <w:uiPriority w:val="0"/>
    <w:pPr>
      <w:autoSpaceDE/>
      <w:autoSpaceDN/>
      <w:adjustRightInd/>
      <w:ind w:firstLine="420" w:firstLineChars="200"/>
    </w:pPr>
    <w:rPr>
      <w:rFonts w:ascii="Calibri" w:hAnsi="Calibri" w:cs="Calibri"/>
      <w:color w:val="auto"/>
      <w:kern w:val="2"/>
      <w:szCs w:val="22"/>
    </w:rPr>
  </w:style>
  <w:style w:type="paragraph" w:customStyle="1" w:styleId="260">
    <w:name w:val="列出段落4"/>
    <w:basedOn w:val="1"/>
    <w:autoRedefine/>
    <w:qFormat/>
    <w:uiPriority w:val="0"/>
    <w:pPr>
      <w:autoSpaceDE/>
      <w:autoSpaceDN/>
      <w:adjustRightInd/>
      <w:ind w:firstLine="420" w:firstLineChars="200"/>
    </w:pPr>
    <w:rPr>
      <w:rFonts w:ascii="Calibri" w:hAnsi="Calibri" w:cs="Calibri"/>
      <w:color w:val="auto"/>
      <w:kern w:val="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42</Pages>
  <Words>20792</Words>
  <Characters>21932</Characters>
  <Lines>210</Lines>
  <Paragraphs>59</Paragraphs>
  <TotalTime>89</TotalTime>
  <ScaleCrop>false</ScaleCrop>
  <LinksUpToDate>false</LinksUpToDate>
  <CharactersWithSpaces>22182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2020-07-21T00:41:00Z</dcterms:created>
  <dc:creator>小蛮 吴</dc:creator>
  <cp:lastModifiedBy>Windows User</cp:lastModifiedBy>
  <cp:lastPrinted>2022-07-18T19:11:00Z</cp:lastPrinted>
  <dcterms:modified xsi:type="dcterms:W3CDTF">2025-01-22T07:24:37Z</dcterms:modified>
  <cp:revision>1729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2B2D44AF389E414985EBA4405BA51C91</vt:lpwstr>
  </property>
  <property fmtid="{D5CDD505-2E9C-101B-9397-08002B2CF9AE}" pid="4" name="KSOTemplateDocerSaveRecord">
    <vt:lpwstr>eyJoZGlkIjoiMzgyYmNjMDE1MTUwZTJmYjc1ZjkxZGZlOGMyODI3NTEiLCJ1c2VySWQiOiIyODY2MDMxNTYifQ==</vt:lpwstr>
  </property>
</Properties>
</file>